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31293E" w14:paraId="3F0E9EC4" w14:textId="77777777" w:rsidTr="00952667">
        <w:trPr>
          <w:cantSplit/>
          <w:trHeight w:val="1134"/>
        </w:trPr>
        <w:tc>
          <w:tcPr>
            <w:tcW w:w="6379" w:type="dxa"/>
          </w:tcPr>
          <w:p w14:paraId="68FE8375" w14:textId="6390CADE" w:rsidR="00307769" w:rsidRPr="0031293E" w:rsidRDefault="00B42366" w:rsidP="00307769">
            <w:pPr>
              <w:tabs>
                <w:tab w:val="clear" w:pos="1191"/>
                <w:tab w:val="clear" w:pos="1588"/>
                <w:tab w:val="clear" w:pos="1985"/>
              </w:tabs>
              <w:ind w:left="34"/>
              <w:rPr>
                <w:b/>
                <w:bCs/>
                <w:sz w:val="32"/>
                <w:szCs w:val="32"/>
                <w:lang w:val="es-ES"/>
              </w:rPr>
            </w:pPr>
            <w:r w:rsidRPr="0031293E">
              <w:rPr>
                <w:b/>
                <w:bCs/>
                <w:sz w:val="32"/>
                <w:szCs w:val="32"/>
                <w:lang w:val="es-ES"/>
              </w:rPr>
              <w:t>Grupo Asesor de Desarrollo de las Telecomunicaciones</w:t>
            </w:r>
            <w:r w:rsidR="00307769" w:rsidRPr="0031293E">
              <w:rPr>
                <w:b/>
                <w:bCs/>
                <w:sz w:val="32"/>
                <w:szCs w:val="32"/>
                <w:lang w:val="es-ES"/>
              </w:rPr>
              <w:t xml:space="preserve"> (</w:t>
            </w:r>
            <w:r w:rsidRPr="0031293E">
              <w:rPr>
                <w:b/>
                <w:bCs/>
                <w:sz w:val="32"/>
                <w:szCs w:val="32"/>
                <w:lang w:val="es-ES"/>
              </w:rPr>
              <w:t>GADT</w:t>
            </w:r>
            <w:r w:rsidR="00307769" w:rsidRPr="0031293E">
              <w:rPr>
                <w:b/>
                <w:bCs/>
                <w:sz w:val="32"/>
                <w:szCs w:val="32"/>
                <w:lang w:val="es-ES"/>
              </w:rPr>
              <w:t>)</w:t>
            </w:r>
          </w:p>
          <w:p w14:paraId="5F5F590A" w14:textId="49B07C8E" w:rsidR="00307769" w:rsidRPr="0031293E" w:rsidRDefault="00307769" w:rsidP="00307769">
            <w:pPr>
              <w:tabs>
                <w:tab w:val="clear" w:pos="1191"/>
                <w:tab w:val="clear" w:pos="1588"/>
                <w:tab w:val="clear" w:pos="1985"/>
              </w:tabs>
              <w:spacing w:after="120"/>
              <w:ind w:left="34"/>
              <w:rPr>
                <w:rFonts w:ascii="Verdana" w:hAnsi="Verdana"/>
                <w:sz w:val="28"/>
                <w:szCs w:val="28"/>
                <w:lang w:val="es-ES"/>
              </w:rPr>
            </w:pPr>
            <w:r w:rsidRPr="0031293E">
              <w:rPr>
                <w:b/>
                <w:bCs/>
                <w:sz w:val="26"/>
                <w:szCs w:val="26"/>
                <w:lang w:val="es-ES"/>
              </w:rPr>
              <w:t>3</w:t>
            </w:r>
            <w:r w:rsidR="00341DA6" w:rsidRPr="0031293E">
              <w:rPr>
                <w:b/>
                <w:bCs/>
                <w:sz w:val="26"/>
                <w:szCs w:val="26"/>
                <w:lang w:val="es-ES"/>
              </w:rPr>
              <w:t>1</w:t>
            </w:r>
            <w:r w:rsidR="00B42366" w:rsidRPr="0031293E">
              <w:rPr>
                <w:b/>
                <w:bCs/>
                <w:sz w:val="26"/>
                <w:szCs w:val="26"/>
                <w:lang w:val="es-ES"/>
              </w:rPr>
              <w:t xml:space="preserve">ª reunión, Ginebra </w:t>
            </w:r>
            <w:r w:rsidR="006F202A">
              <w:rPr>
                <w:b/>
                <w:bCs/>
                <w:sz w:val="26"/>
                <w:szCs w:val="26"/>
                <w:lang w:val="es-ES"/>
              </w:rPr>
              <w:t>(</w:t>
            </w:r>
            <w:r w:rsidR="00B42366" w:rsidRPr="0031293E">
              <w:rPr>
                <w:b/>
                <w:bCs/>
                <w:sz w:val="26"/>
                <w:szCs w:val="26"/>
                <w:lang w:val="es-ES"/>
              </w:rPr>
              <w:t>Suiza</w:t>
            </w:r>
            <w:r w:rsidR="006F202A">
              <w:rPr>
                <w:b/>
                <w:bCs/>
                <w:sz w:val="26"/>
                <w:szCs w:val="26"/>
                <w:lang w:val="es-ES"/>
              </w:rPr>
              <w:t>)</w:t>
            </w:r>
            <w:r w:rsidR="00B42366" w:rsidRPr="0031293E">
              <w:rPr>
                <w:b/>
                <w:bCs/>
                <w:sz w:val="26"/>
                <w:szCs w:val="26"/>
                <w:lang w:val="es-ES"/>
              </w:rPr>
              <w:t xml:space="preserve">, </w:t>
            </w:r>
            <w:r w:rsidR="00341DA6" w:rsidRPr="0031293E">
              <w:rPr>
                <w:b/>
                <w:bCs/>
                <w:sz w:val="26"/>
                <w:szCs w:val="26"/>
                <w:lang w:val="es-ES"/>
              </w:rPr>
              <w:t>20</w:t>
            </w:r>
            <w:r w:rsidRPr="0031293E">
              <w:rPr>
                <w:b/>
                <w:bCs/>
                <w:sz w:val="26"/>
                <w:szCs w:val="26"/>
                <w:lang w:val="es-ES"/>
              </w:rPr>
              <w:t>-2</w:t>
            </w:r>
            <w:r w:rsidR="00B9710C" w:rsidRPr="0031293E">
              <w:rPr>
                <w:b/>
                <w:bCs/>
                <w:sz w:val="26"/>
                <w:szCs w:val="26"/>
                <w:lang w:val="es-ES"/>
              </w:rPr>
              <w:t>3</w:t>
            </w:r>
            <w:r w:rsidRPr="0031293E">
              <w:rPr>
                <w:b/>
                <w:bCs/>
                <w:sz w:val="26"/>
                <w:szCs w:val="26"/>
                <w:lang w:val="es-ES"/>
              </w:rPr>
              <w:t xml:space="preserve"> </w:t>
            </w:r>
            <w:r w:rsidR="00B42366" w:rsidRPr="0031293E">
              <w:rPr>
                <w:b/>
                <w:bCs/>
                <w:sz w:val="26"/>
                <w:szCs w:val="26"/>
                <w:lang w:val="es-ES"/>
              </w:rPr>
              <w:t xml:space="preserve">de </w:t>
            </w:r>
            <w:r w:rsidR="00341DA6" w:rsidRPr="0031293E">
              <w:rPr>
                <w:b/>
                <w:bCs/>
                <w:sz w:val="26"/>
                <w:szCs w:val="26"/>
                <w:lang w:val="es-ES"/>
              </w:rPr>
              <w:t>mayo</w:t>
            </w:r>
            <w:r w:rsidR="00B42366" w:rsidRPr="0031293E">
              <w:rPr>
                <w:b/>
                <w:bCs/>
                <w:sz w:val="26"/>
                <w:szCs w:val="26"/>
                <w:lang w:val="es-ES"/>
              </w:rPr>
              <w:t xml:space="preserve"> de</w:t>
            </w:r>
            <w:r w:rsidRPr="0031293E">
              <w:rPr>
                <w:b/>
                <w:bCs/>
                <w:sz w:val="26"/>
                <w:szCs w:val="26"/>
                <w:lang w:val="es-ES"/>
              </w:rPr>
              <w:t xml:space="preserve"> 202</w:t>
            </w:r>
            <w:r w:rsidR="009142FD">
              <w:rPr>
                <w:b/>
                <w:bCs/>
                <w:sz w:val="26"/>
                <w:szCs w:val="26"/>
                <w:lang w:val="es-ES"/>
              </w:rPr>
              <w:t>4</w:t>
            </w:r>
          </w:p>
        </w:tc>
        <w:tc>
          <w:tcPr>
            <w:tcW w:w="3509" w:type="dxa"/>
          </w:tcPr>
          <w:p w14:paraId="67E7B4C4" w14:textId="0F52E4CC" w:rsidR="00307769" w:rsidRPr="0031293E" w:rsidRDefault="00307769" w:rsidP="00952667">
            <w:pPr>
              <w:spacing w:after="120"/>
              <w:ind w:right="142"/>
              <w:jc w:val="right"/>
              <w:rPr>
                <w:lang w:val="es-ES"/>
              </w:rPr>
            </w:pPr>
            <w:r w:rsidRPr="0031293E">
              <w:rPr>
                <w:noProof/>
                <w:lang w:val="es-ES"/>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1293E" w14:paraId="3C13197B" w14:textId="77777777" w:rsidTr="0009076F">
        <w:trPr>
          <w:cantSplit/>
        </w:trPr>
        <w:tc>
          <w:tcPr>
            <w:tcW w:w="6379" w:type="dxa"/>
            <w:tcBorders>
              <w:top w:val="single" w:sz="12" w:space="0" w:color="auto"/>
            </w:tcBorders>
          </w:tcPr>
          <w:p w14:paraId="2EED9DB2" w14:textId="77777777" w:rsidR="00683C32" w:rsidRPr="0031293E" w:rsidRDefault="00683C32" w:rsidP="00107E85">
            <w:pPr>
              <w:spacing w:before="0"/>
              <w:rPr>
                <w:rFonts w:cs="Arial"/>
                <w:b/>
                <w:bCs/>
                <w:sz w:val="20"/>
                <w:lang w:val="es-ES"/>
              </w:rPr>
            </w:pPr>
          </w:p>
        </w:tc>
        <w:tc>
          <w:tcPr>
            <w:tcW w:w="3509" w:type="dxa"/>
            <w:tcBorders>
              <w:top w:val="single" w:sz="12" w:space="0" w:color="auto"/>
            </w:tcBorders>
          </w:tcPr>
          <w:p w14:paraId="6CC77CFE" w14:textId="77777777" w:rsidR="00683C32" w:rsidRPr="0031293E" w:rsidRDefault="00683C32" w:rsidP="00107E85">
            <w:pPr>
              <w:spacing w:before="0"/>
              <w:rPr>
                <w:b/>
                <w:bCs/>
                <w:sz w:val="20"/>
                <w:lang w:val="es-ES"/>
              </w:rPr>
            </w:pPr>
          </w:p>
        </w:tc>
      </w:tr>
      <w:tr w:rsidR="00683C32" w:rsidRPr="0031293E" w14:paraId="0BB3FBC4" w14:textId="77777777" w:rsidTr="0009076F">
        <w:trPr>
          <w:cantSplit/>
        </w:trPr>
        <w:tc>
          <w:tcPr>
            <w:tcW w:w="6379" w:type="dxa"/>
          </w:tcPr>
          <w:p w14:paraId="43C54B3D" w14:textId="77777777" w:rsidR="00683C32" w:rsidRPr="0031293E" w:rsidRDefault="00683C32" w:rsidP="00400CCF">
            <w:pPr>
              <w:pStyle w:val="Committee"/>
              <w:spacing w:before="0"/>
              <w:rPr>
                <w:b w:val="0"/>
                <w:szCs w:val="24"/>
                <w:lang w:val="es-ES"/>
              </w:rPr>
            </w:pPr>
          </w:p>
        </w:tc>
        <w:tc>
          <w:tcPr>
            <w:tcW w:w="3509" w:type="dxa"/>
          </w:tcPr>
          <w:p w14:paraId="02E44EE9" w14:textId="7520D9BF" w:rsidR="00683C32" w:rsidRPr="0031293E" w:rsidRDefault="0096201B" w:rsidP="00B648C7">
            <w:pPr>
              <w:spacing w:before="0"/>
              <w:jc w:val="both"/>
              <w:rPr>
                <w:bCs/>
                <w:szCs w:val="24"/>
                <w:lang w:val="es-ES"/>
              </w:rPr>
            </w:pPr>
            <w:r w:rsidRPr="0031293E">
              <w:rPr>
                <w:b/>
                <w:bCs/>
                <w:lang w:val="es-ES"/>
              </w:rPr>
              <w:t>Document</w:t>
            </w:r>
            <w:r w:rsidR="00B42366" w:rsidRPr="0031293E">
              <w:rPr>
                <w:b/>
                <w:bCs/>
                <w:lang w:val="es-ES"/>
              </w:rPr>
              <w:t>o</w:t>
            </w:r>
            <w:r w:rsidRPr="0031293E">
              <w:rPr>
                <w:b/>
                <w:bCs/>
                <w:lang w:val="es-ES"/>
              </w:rPr>
              <w:t xml:space="preserve"> </w:t>
            </w:r>
            <w:bookmarkStart w:id="0" w:name="DocRef1"/>
            <w:bookmarkEnd w:id="0"/>
            <w:r w:rsidRPr="0031293E">
              <w:rPr>
                <w:b/>
                <w:bCs/>
                <w:lang w:val="es-ES"/>
              </w:rPr>
              <w:t>TDAG</w:t>
            </w:r>
            <w:r w:rsidR="003242AB" w:rsidRPr="0031293E">
              <w:rPr>
                <w:b/>
                <w:bCs/>
                <w:lang w:val="es-ES"/>
              </w:rPr>
              <w:t>-</w:t>
            </w:r>
            <w:r w:rsidR="00B648C7" w:rsidRPr="0031293E">
              <w:rPr>
                <w:b/>
                <w:bCs/>
                <w:lang w:val="es-ES"/>
              </w:rPr>
              <w:t>2</w:t>
            </w:r>
            <w:bookmarkStart w:id="1" w:name="DocNo1"/>
            <w:bookmarkEnd w:id="1"/>
            <w:r w:rsidR="00341DA6" w:rsidRPr="0031293E">
              <w:rPr>
                <w:b/>
                <w:bCs/>
                <w:lang w:val="es-ES"/>
              </w:rPr>
              <w:t>4</w:t>
            </w:r>
            <w:r w:rsidR="0009076F" w:rsidRPr="0031293E">
              <w:rPr>
                <w:b/>
                <w:bCs/>
                <w:lang w:val="es-ES"/>
              </w:rPr>
              <w:t>/</w:t>
            </w:r>
            <w:r w:rsidR="0011291E" w:rsidRPr="0031293E">
              <w:rPr>
                <w:b/>
                <w:bCs/>
                <w:lang w:val="es-ES"/>
              </w:rPr>
              <w:t>8</w:t>
            </w:r>
            <w:r w:rsidRPr="0031293E">
              <w:rPr>
                <w:b/>
                <w:bCs/>
                <w:lang w:val="es-ES"/>
              </w:rPr>
              <w:t>-</w:t>
            </w:r>
            <w:r w:rsidR="00B42366" w:rsidRPr="0031293E">
              <w:rPr>
                <w:b/>
                <w:bCs/>
                <w:lang w:val="es-ES"/>
              </w:rPr>
              <w:t>S</w:t>
            </w:r>
          </w:p>
        </w:tc>
      </w:tr>
      <w:tr w:rsidR="00683C32" w:rsidRPr="0031293E" w14:paraId="24D04936" w14:textId="77777777" w:rsidTr="0009076F">
        <w:trPr>
          <w:cantSplit/>
        </w:trPr>
        <w:tc>
          <w:tcPr>
            <w:tcW w:w="6379" w:type="dxa"/>
          </w:tcPr>
          <w:p w14:paraId="12CE4DBF" w14:textId="77777777" w:rsidR="00683C32" w:rsidRPr="0031293E" w:rsidRDefault="00683C32" w:rsidP="00400CCF">
            <w:pPr>
              <w:spacing w:before="0"/>
              <w:rPr>
                <w:b/>
                <w:bCs/>
                <w:smallCaps/>
                <w:szCs w:val="24"/>
                <w:lang w:val="es-ES"/>
              </w:rPr>
            </w:pPr>
          </w:p>
        </w:tc>
        <w:tc>
          <w:tcPr>
            <w:tcW w:w="3509" w:type="dxa"/>
          </w:tcPr>
          <w:p w14:paraId="0F89640F" w14:textId="03F2F9E3" w:rsidR="00683C32" w:rsidRPr="0031293E" w:rsidRDefault="004B6C81" w:rsidP="00B648C7">
            <w:pPr>
              <w:spacing w:before="0"/>
              <w:rPr>
                <w:b/>
                <w:szCs w:val="24"/>
                <w:lang w:val="es-ES"/>
              </w:rPr>
            </w:pPr>
            <w:bookmarkStart w:id="2" w:name="CreationDate"/>
            <w:bookmarkEnd w:id="2"/>
            <w:r w:rsidRPr="0031293E">
              <w:rPr>
                <w:b/>
                <w:bCs/>
                <w:lang w:val="es-ES"/>
              </w:rPr>
              <w:t>8 de abril</w:t>
            </w:r>
            <w:r w:rsidR="0011291E" w:rsidRPr="0031293E">
              <w:rPr>
                <w:b/>
                <w:bCs/>
                <w:lang w:val="es-ES"/>
              </w:rPr>
              <w:t xml:space="preserve"> de 2024</w:t>
            </w:r>
          </w:p>
        </w:tc>
      </w:tr>
      <w:tr w:rsidR="00683C32" w:rsidRPr="0031293E" w14:paraId="7B96545F" w14:textId="77777777" w:rsidTr="0009076F">
        <w:trPr>
          <w:cantSplit/>
        </w:trPr>
        <w:tc>
          <w:tcPr>
            <w:tcW w:w="6379" w:type="dxa"/>
          </w:tcPr>
          <w:p w14:paraId="65956FD3" w14:textId="77777777" w:rsidR="00683C32" w:rsidRPr="0031293E" w:rsidRDefault="00683C32" w:rsidP="00400CCF">
            <w:pPr>
              <w:spacing w:before="0"/>
              <w:rPr>
                <w:b/>
                <w:bCs/>
                <w:smallCaps/>
                <w:szCs w:val="24"/>
                <w:lang w:val="es-ES"/>
              </w:rPr>
            </w:pPr>
          </w:p>
        </w:tc>
        <w:tc>
          <w:tcPr>
            <w:tcW w:w="3509" w:type="dxa"/>
          </w:tcPr>
          <w:p w14:paraId="30EFD39F" w14:textId="560C5C27" w:rsidR="00514D2F" w:rsidRPr="0031293E" w:rsidRDefault="0096201B" w:rsidP="00400CCF">
            <w:pPr>
              <w:spacing w:before="0"/>
              <w:rPr>
                <w:szCs w:val="24"/>
                <w:lang w:val="es-ES"/>
              </w:rPr>
            </w:pPr>
            <w:r w:rsidRPr="0031293E">
              <w:rPr>
                <w:b/>
                <w:lang w:val="es-ES"/>
              </w:rPr>
              <w:t>Original:</w:t>
            </w:r>
            <w:bookmarkStart w:id="3" w:name="Original"/>
            <w:bookmarkEnd w:id="3"/>
            <w:r w:rsidR="00CE0422" w:rsidRPr="0031293E">
              <w:rPr>
                <w:b/>
                <w:lang w:val="es-ES"/>
              </w:rPr>
              <w:t xml:space="preserve"> </w:t>
            </w:r>
            <w:r w:rsidR="00B42366" w:rsidRPr="0031293E">
              <w:rPr>
                <w:b/>
                <w:lang w:val="es-ES"/>
              </w:rPr>
              <w:t>inglés</w:t>
            </w:r>
          </w:p>
        </w:tc>
      </w:tr>
      <w:tr w:rsidR="00A13162" w:rsidRPr="00096341" w14:paraId="31656E31" w14:textId="77777777" w:rsidTr="00107E85">
        <w:trPr>
          <w:cantSplit/>
          <w:trHeight w:val="852"/>
        </w:trPr>
        <w:tc>
          <w:tcPr>
            <w:tcW w:w="9888" w:type="dxa"/>
            <w:gridSpan w:val="2"/>
          </w:tcPr>
          <w:p w14:paraId="512FCA01" w14:textId="479862E3" w:rsidR="00A13162" w:rsidRPr="009142FD" w:rsidRDefault="0011291E" w:rsidP="00566FD6">
            <w:pPr>
              <w:pStyle w:val="Source"/>
              <w:rPr>
                <w:lang w:val="es-ES"/>
              </w:rPr>
            </w:pPr>
            <w:bookmarkStart w:id="4" w:name="Source"/>
            <w:bookmarkEnd w:id="4"/>
            <w:r w:rsidRPr="009142FD">
              <w:rPr>
                <w:lang w:val="es-ES"/>
              </w:rPr>
              <w:t>Director de la Oficina de Desarrollo de las Telecomunicaciones</w:t>
            </w:r>
          </w:p>
        </w:tc>
      </w:tr>
      <w:tr w:rsidR="0011291E" w:rsidRPr="00096341" w14:paraId="2CBD3A36" w14:textId="77777777" w:rsidTr="00107E85">
        <w:trPr>
          <w:cantSplit/>
        </w:trPr>
        <w:tc>
          <w:tcPr>
            <w:tcW w:w="9888" w:type="dxa"/>
            <w:gridSpan w:val="2"/>
          </w:tcPr>
          <w:p w14:paraId="1B4121DF" w14:textId="4E088D62" w:rsidR="0011291E" w:rsidRPr="0031293E" w:rsidRDefault="0011291E" w:rsidP="0011291E">
            <w:pPr>
              <w:pStyle w:val="Title1"/>
              <w:rPr>
                <w:lang w:val="es-ES"/>
              </w:rPr>
            </w:pPr>
            <w:bookmarkStart w:id="5" w:name="Title"/>
            <w:bookmarkEnd w:id="5"/>
            <w:r w:rsidRPr="0031293E">
              <w:rPr>
                <w:lang w:val="es-ES"/>
              </w:rPr>
              <w:t>Miembros de Sector, Asociados e Instituciones Académicas del UIT-D</w:t>
            </w:r>
          </w:p>
        </w:tc>
      </w:tr>
      <w:tr w:rsidR="0011291E" w:rsidRPr="00096341" w14:paraId="23A30231" w14:textId="77777777" w:rsidTr="00A721F4">
        <w:trPr>
          <w:cantSplit/>
        </w:trPr>
        <w:tc>
          <w:tcPr>
            <w:tcW w:w="9888" w:type="dxa"/>
            <w:gridSpan w:val="2"/>
            <w:tcBorders>
              <w:bottom w:val="single" w:sz="4" w:space="0" w:color="auto"/>
            </w:tcBorders>
          </w:tcPr>
          <w:p w14:paraId="726EE70E" w14:textId="77777777" w:rsidR="0011291E" w:rsidRPr="0031293E" w:rsidRDefault="0011291E" w:rsidP="0011291E">
            <w:pPr>
              <w:rPr>
                <w:lang w:val="es-ES"/>
              </w:rPr>
            </w:pPr>
          </w:p>
        </w:tc>
      </w:tr>
      <w:tr w:rsidR="0011291E" w:rsidRPr="00096341"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11291E" w:rsidRPr="0031293E" w:rsidRDefault="0011291E" w:rsidP="001C78B2">
            <w:pPr>
              <w:pStyle w:val="Headingb"/>
              <w:rPr>
                <w:lang w:val="es-ES"/>
              </w:rPr>
            </w:pPr>
            <w:r w:rsidRPr="0031293E">
              <w:rPr>
                <w:lang w:val="es-ES"/>
              </w:rPr>
              <w:t>Resumen:</w:t>
            </w:r>
          </w:p>
          <w:p w14:paraId="4082D7E8" w14:textId="1F5971B6" w:rsidR="0011291E" w:rsidRPr="0031293E" w:rsidRDefault="0011291E" w:rsidP="001C78B2">
            <w:pPr>
              <w:rPr>
                <w:szCs w:val="24"/>
                <w:lang w:val="es-ES"/>
              </w:rPr>
            </w:pPr>
            <w:r w:rsidRPr="0031293E">
              <w:rPr>
                <w:lang w:val="es-ES"/>
              </w:rPr>
              <w:t>El presente documento ofrece una visión general de la evolución de los miembros del UIT-D en</w:t>
            </w:r>
            <w:r w:rsidR="009142FD">
              <w:rPr>
                <w:lang w:val="es-ES"/>
              </w:rPr>
              <w:t> </w:t>
            </w:r>
            <w:r w:rsidRPr="0031293E">
              <w:rPr>
                <w:lang w:val="es-ES"/>
              </w:rPr>
              <w:t>2022-2023 y hasta febrero de 2024. También se recomiendan varias medidas para seguir impulsando los esfuerzos encaminados a captar y conservar a más miembros, con arreglo a los resultados de la Conferencia Mundial de Desarrollo de las Telecomunicaciones de 2022 (CMDT-22) y la Conferencia de Plenipotenciarios de 2022 (PP-22). El UIT-D está integrado por Miembros de Sector, Asociados e Instituciones Académicas</w:t>
            </w:r>
            <w:r w:rsidR="00566FD6">
              <w:rPr>
                <w:rStyle w:val="FootnoteReference"/>
                <w:lang w:val="es-ES"/>
              </w:rPr>
              <w:footnoteReference w:id="1"/>
            </w:r>
            <w:r w:rsidRPr="0031293E">
              <w:rPr>
                <w:lang w:val="es-ES"/>
              </w:rPr>
              <w:t>.</w:t>
            </w:r>
          </w:p>
          <w:p w14:paraId="76A1C541" w14:textId="70BC879D" w:rsidR="0011291E" w:rsidRPr="00566FD6" w:rsidRDefault="0011291E" w:rsidP="001C78B2">
            <w:pPr>
              <w:pStyle w:val="Headingb"/>
              <w:rPr>
                <w:lang w:val="es-ES"/>
              </w:rPr>
            </w:pPr>
            <w:r w:rsidRPr="00566FD6">
              <w:rPr>
                <w:lang w:val="es-ES"/>
              </w:rPr>
              <w:t>Acción solicitada:</w:t>
            </w:r>
          </w:p>
          <w:p w14:paraId="371956FC" w14:textId="20C216B0" w:rsidR="0011291E" w:rsidRPr="0031293E" w:rsidRDefault="0011291E" w:rsidP="001C78B2">
            <w:pPr>
              <w:rPr>
                <w:szCs w:val="24"/>
                <w:lang w:val="es-ES"/>
              </w:rPr>
            </w:pPr>
            <w:r w:rsidRPr="0031293E">
              <w:rPr>
                <w:lang w:val="es-ES"/>
              </w:rPr>
              <w:t>Se invita al GADT a tomar nota del presente documento y formular las observaciones que estime oportunas.</w:t>
            </w:r>
          </w:p>
          <w:p w14:paraId="622ACB80" w14:textId="6D46991A" w:rsidR="0011291E" w:rsidRPr="00566FD6" w:rsidRDefault="0011291E" w:rsidP="001C78B2">
            <w:pPr>
              <w:pStyle w:val="Headingb"/>
              <w:rPr>
                <w:lang w:val="es-ES"/>
              </w:rPr>
            </w:pPr>
            <w:r w:rsidRPr="00566FD6">
              <w:rPr>
                <w:lang w:val="es-ES"/>
              </w:rPr>
              <w:t>Referencias:</w:t>
            </w:r>
          </w:p>
          <w:p w14:paraId="7BE1F505" w14:textId="77777777" w:rsidR="0011291E" w:rsidRPr="0031293E" w:rsidRDefault="0011291E" w:rsidP="001C78B2">
            <w:pPr>
              <w:rPr>
                <w:rFonts w:ascii="Calibri" w:hAnsi="Calibri"/>
                <w:lang w:val="es-ES"/>
              </w:rPr>
            </w:pPr>
            <w:r w:rsidRPr="0031293E">
              <w:rPr>
                <w:lang w:val="es-ES"/>
              </w:rPr>
              <w:t>Resolución 71 (Rev. Kigali, 2022) de la CMDT;</w:t>
            </w:r>
          </w:p>
          <w:p w14:paraId="1ECDD20E" w14:textId="2681C3F1" w:rsidR="0011291E" w:rsidRPr="0031293E" w:rsidRDefault="0011291E" w:rsidP="001C78B2">
            <w:pPr>
              <w:rPr>
                <w:lang w:val="es-ES"/>
              </w:rPr>
            </w:pPr>
            <w:r w:rsidRPr="0031293E">
              <w:rPr>
                <w:lang w:val="es-ES"/>
              </w:rPr>
              <w:t>Resoluciones 169, 205 y 209 (Rev. Bucarest, 2022) de la Conferencia de Plenipotenciarios.</w:t>
            </w:r>
          </w:p>
        </w:tc>
      </w:tr>
    </w:tbl>
    <w:p w14:paraId="5B29B2A3" w14:textId="77777777" w:rsidR="00923CF1" w:rsidRPr="0031293E" w:rsidRDefault="00923CF1" w:rsidP="00566FD6">
      <w:pPr>
        <w:rPr>
          <w:lang w:val="es-ES"/>
        </w:rPr>
      </w:pPr>
      <w:r w:rsidRPr="0031293E">
        <w:rPr>
          <w:lang w:val="es-ES"/>
        </w:rPr>
        <w:br w:type="page"/>
      </w:r>
    </w:p>
    <w:p w14:paraId="42E4DE38" w14:textId="1F13D28A" w:rsidR="0011291E" w:rsidRPr="0031293E" w:rsidRDefault="0011291E" w:rsidP="0011291E">
      <w:pPr>
        <w:pStyle w:val="Heading1"/>
        <w:rPr>
          <w:rFonts w:ascii="Calibri" w:eastAsia="SimSun" w:hAnsi="Calibri" w:cs="Arial"/>
          <w:szCs w:val="24"/>
          <w:lang w:val="es-ES"/>
        </w:rPr>
      </w:pPr>
      <w:bookmarkStart w:id="6" w:name="Proposal"/>
      <w:bookmarkEnd w:id="6"/>
      <w:r w:rsidRPr="0031293E">
        <w:rPr>
          <w:lang w:val="es-ES"/>
        </w:rPr>
        <w:lastRenderedPageBreak/>
        <w:t>1</w:t>
      </w:r>
      <w:r w:rsidRPr="0031293E">
        <w:rPr>
          <w:lang w:val="es-ES"/>
        </w:rPr>
        <w:tab/>
      </w:r>
      <w:proofErr w:type="gramStart"/>
      <w:r w:rsidRPr="0031293E">
        <w:rPr>
          <w:lang w:val="es-ES"/>
        </w:rPr>
        <w:t>Antecedentes</w:t>
      </w:r>
      <w:proofErr w:type="gramEnd"/>
    </w:p>
    <w:p w14:paraId="612DE2C2" w14:textId="5CF51F00" w:rsidR="0011291E" w:rsidRPr="0031293E" w:rsidRDefault="0011291E" w:rsidP="0011291E">
      <w:pPr>
        <w:rPr>
          <w:rFonts w:ascii="Calibri" w:eastAsia="SimSun" w:hAnsi="Calibri"/>
          <w:szCs w:val="24"/>
          <w:lang w:val="es-ES"/>
        </w:rPr>
      </w:pPr>
      <w:r w:rsidRPr="0031293E">
        <w:rPr>
          <w:lang w:val="es-ES"/>
        </w:rPr>
        <w:t>En la Conferencia Mundial de Desarrollo de las Telecomunicaciones de 2022 (CMDT-22) se revisó y aprobó la Resolución</w:t>
      </w:r>
      <w:r w:rsidR="009142FD">
        <w:rPr>
          <w:lang w:val="es-ES"/>
        </w:rPr>
        <w:t> </w:t>
      </w:r>
      <w:r w:rsidRPr="0031293E">
        <w:rPr>
          <w:lang w:val="es-ES"/>
        </w:rPr>
        <w:t>71 (Rev. Kigali, 2022</w:t>
      </w:r>
      <w:r w:rsidR="00566FD6">
        <w:rPr>
          <w:rStyle w:val="FootnoteReference"/>
          <w:lang w:val="es-ES"/>
        </w:rPr>
        <w:footnoteReference w:id="2"/>
      </w:r>
      <w:r w:rsidRPr="0031293E">
        <w:rPr>
          <w:lang w:val="es-ES"/>
        </w:rPr>
        <w:t xml:space="preserve">), a fin de promover la participación eficaz de los actuales Miembros de Sector, Asociados e Instituciones Académicas en las actividades del UIT-D, incluida su participación en los trabajos de las Comisiones de Estudio del UIT-D, y atraer a nuevos miembros de los sectores público, privado y académico. </w:t>
      </w:r>
    </w:p>
    <w:p w14:paraId="38611334" w14:textId="413FB218" w:rsidR="0011291E" w:rsidRPr="0031293E" w:rsidRDefault="0011291E" w:rsidP="0011291E">
      <w:pPr>
        <w:rPr>
          <w:rFonts w:ascii="Calibri" w:eastAsia="SimSun" w:hAnsi="Calibri"/>
          <w:iCs/>
          <w:szCs w:val="24"/>
          <w:lang w:val="es-ES"/>
        </w:rPr>
      </w:pPr>
      <w:r w:rsidRPr="0031293E">
        <w:rPr>
          <w:lang w:val="es-ES"/>
        </w:rPr>
        <w:t>La Resolución</w:t>
      </w:r>
      <w:r w:rsidR="002C7565">
        <w:rPr>
          <w:lang w:val="es-ES"/>
        </w:rPr>
        <w:t> </w:t>
      </w:r>
      <w:r w:rsidRPr="0031293E">
        <w:rPr>
          <w:lang w:val="es-ES"/>
        </w:rPr>
        <w:t>71 se centró en fortalecer la cooperación entre los Estados Miembros, los Miembros de Sector, los Asociados y las Instituciones Académicas del UIT-D y, en ella, se encargó a la BDT que siguiera colaborando estrechamente con los Miembros de Sector, los Asociados y las Instituciones Académicas del UIT-D para que participasen en la aplicación satisfactoria del Plan de Acción de Kigali y que continuara organizando reuniones para altos ejecutivos de la industria, por ejemplo, reuniones del Grupo Asesor de la Industria sobre cuestiones de desarrollo y los Directores de Reglamentación del sector privado (IAGDI-CRO).</w:t>
      </w:r>
    </w:p>
    <w:p w14:paraId="7F2A8CDA" w14:textId="10050ECF" w:rsidR="0011291E" w:rsidRPr="002C7565" w:rsidRDefault="0011291E" w:rsidP="00566FD6">
      <w:pPr>
        <w:pStyle w:val="Heading1"/>
        <w:rPr>
          <w:rFonts w:eastAsia="SimSun"/>
          <w:lang w:val="es-ES"/>
        </w:rPr>
      </w:pPr>
      <w:r w:rsidRPr="002C7565">
        <w:rPr>
          <w:lang w:val="es-ES"/>
        </w:rPr>
        <w:t>2</w:t>
      </w:r>
      <w:r w:rsidRPr="002C7565">
        <w:rPr>
          <w:lang w:val="es-ES"/>
        </w:rPr>
        <w:tab/>
      </w:r>
      <w:proofErr w:type="gramStart"/>
      <w:r w:rsidRPr="002C7565">
        <w:rPr>
          <w:lang w:val="es-ES"/>
        </w:rPr>
        <w:t>Evolución</w:t>
      </w:r>
      <w:proofErr w:type="gramEnd"/>
      <w:r w:rsidRPr="002C7565">
        <w:rPr>
          <w:lang w:val="es-ES"/>
        </w:rPr>
        <w:t xml:space="preserve"> de los miembros del UIT-D</w:t>
      </w:r>
    </w:p>
    <w:p w14:paraId="1E6A74AB" w14:textId="2DB1626E" w:rsidR="0011291E" w:rsidRPr="0031293E" w:rsidRDefault="0011291E" w:rsidP="00662A02">
      <w:pPr>
        <w:rPr>
          <w:rFonts w:ascii="Calibri" w:eastAsia="SimSun" w:hAnsi="Calibri"/>
          <w:iCs/>
          <w:szCs w:val="24"/>
          <w:lang w:val="es-ES"/>
        </w:rPr>
      </w:pPr>
      <w:r w:rsidRPr="0031293E">
        <w:rPr>
          <w:lang w:val="es-ES"/>
        </w:rPr>
        <w:t xml:space="preserve">El </w:t>
      </w:r>
      <w:r w:rsidRPr="002C7565">
        <w:rPr>
          <w:b/>
          <w:bCs/>
          <w:lang w:val="es-ES"/>
        </w:rPr>
        <w:t>Gráfico</w:t>
      </w:r>
      <w:r w:rsidR="002C7565" w:rsidRPr="002C7565">
        <w:rPr>
          <w:b/>
          <w:bCs/>
          <w:lang w:val="es-ES"/>
        </w:rPr>
        <w:t> </w:t>
      </w:r>
      <w:r w:rsidRPr="002C7565">
        <w:rPr>
          <w:b/>
          <w:bCs/>
          <w:lang w:val="es-ES"/>
        </w:rPr>
        <w:t>1</w:t>
      </w:r>
      <w:r w:rsidRPr="0031293E">
        <w:rPr>
          <w:lang w:val="es-ES"/>
        </w:rPr>
        <w:t xml:space="preserve"> ilustra la evolución de los miembros del UIT-D (Miembros de Sector, Asociados e Instituciones Académicas). En él se muestra el número absoluto de Miembros de Sector, Asociados e Instituciones Académicas del UIT-D en diciembre de 2022, diciembre de 2023 y junio de 2024 (proyección).</w:t>
      </w:r>
    </w:p>
    <w:p w14:paraId="3EDBA7CB" w14:textId="4312E063" w:rsidR="0011291E" w:rsidRPr="009142FD" w:rsidRDefault="0011291E" w:rsidP="009142FD">
      <w:pPr>
        <w:pStyle w:val="Figure"/>
        <w:keepNext w:val="0"/>
        <w:keepLines w:val="0"/>
      </w:pPr>
      <w:r w:rsidRPr="009142FD">
        <w:rPr>
          <w:noProof/>
        </w:rPr>
        <w:drawing>
          <wp:inline distT="0" distB="0" distL="0" distR="0" wp14:anchorId="00DD60D4" wp14:editId="7886B87C">
            <wp:extent cx="5786324" cy="2772461"/>
            <wp:effectExtent l="0" t="0" r="5080" b="889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8BCC97" w14:textId="04504B94" w:rsidR="001C78B2" w:rsidRDefault="00FC2415" w:rsidP="00566FD6">
      <w:pPr>
        <w:pStyle w:val="Heading2"/>
        <w:rPr>
          <w:lang w:val="es-ES"/>
        </w:rPr>
      </w:pPr>
      <w:r w:rsidRPr="002C7565">
        <w:rPr>
          <w:lang w:val="es-ES"/>
        </w:rPr>
        <w:lastRenderedPageBreak/>
        <w:t>2.1</w:t>
      </w:r>
      <w:r w:rsidRPr="002C7565">
        <w:rPr>
          <w:lang w:val="es-ES"/>
        </w:rPr>
        <w:tab/>
      </w:r>
      <w:r w:rsidR="0011291E" w:rsidRPr="002C7565">
        <w:rPr>
          <w:lang w:val="es-ES"/>
        </w:rPr>
        <w:t>Miembros de Sector y Asociados del UIT-D</w:t>
      </w:r>
    </w:p>
    <w:p w14:paraId="2B7B01C8" w14:textId="7978B583" w:rsidR="00C25181" w:rsidRPr="0031293E" w:rsidRDefault="00C25181" w:rsidP="00C25181">
      <w:pPr>
        <w:keepNext/>
        <w:tabs>
          <w:tab w:val="clear" w:pos="794"/>
          <w:tab w:val="clear" w:pos="1191"/>
          <w:tab w:val="clear" w:pos="1588"/>
          <w:tab w:val="clear" w:pos="1985"/>
        </w:tabs>
        <w:spacing w:after="120"/>
        <w:rPr>
          <w:rFonts w:ascii="Calibri" w:eastAsia="SimSun" w:hAnsi="Calibri" w:cs="Arial"/>
          <w:b/>
          <w:bCs/>
          <w:lang w:val="es-ES" w:eastAsia="zh-CN"/>
        </w:rPr>
      </w:pPr>
      <w:r w:rsidRPr="0031293E">
        <w:rPr>
          <w:rFonts w:ascii="Calibri" w:eastAsia="SimSun" w:hAnsi="Calibri" w:cs="Arial"/>
          <w:noProof/>
          <w:lang w:val="es-ES"/>
        </w:rPr>
        <mc:AlternateContent>
          <mc:Choice Requires="wpg">
            <w:drawing>
              <wp:anchor distT="0" distB="0" distL="114300" distR="114300" simplePos="0" relativeHeight="251670528" behindDoc="0" locked="0" layoutInCell="1" allowOverlap="1" wp14:anchorId="29002BE7" wp14:editId="06A0F305">
                <wp:simplePos x="0" y="0"/>
                <wp:positionH relativeFrom="column">
                  <wp:posOffset>5028289</wp:posOffset>
                </wp:positionH>
                <wp:positionV relativeFrom="paragraph">
                  <wp:posOffset>1553007</wp:posOffset>
                </wp:positionV>
                <wp:extent cx="813435" cy="286385"/>
                <wp:effectExtent l="0" t="0" r="0" b="0"/>
                <wp:wrapNone/>
                <wp:docPr id="1521436402" name="Group 3"/>
                <wp:cNvGraphicFramePr/>
                <a:graphic xmlns:a="http://schemas.openxmlformats.org/drawingml/2006/main">
                  <a:graphicData uri="http://schemas.microsoft.com/office/word/2010/wordprocessingGroup">
                    <wpg:wgp>
                      <wpg:cNvGrpSpPr/>
                      <wpg:grpSpPr>
                        <a:xfrm>
                          <a:off x="0" y="0"/>
                          <a:ext cx="813435" cy="286385"/>
                          <a:chOff x="0" y="0"/>
                          <a:chExt cx="902201" cy="287649"/>
                        </a:xfrm>
                      </wpg:grpSpPr>
                      <wps:wsp>
                        <wps:cNvPr id="1401696889" name="Oval 2"/>
                        <wps:cNvSpPr/>
                        <wps:spPr>
                          <a:xfrm>
                            <a:off x="0" y="76200"/>
                            <a:ext cx="129540" cy="12954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959573" name="Text Box 2"/>
                        <wps:cNvSpPr txBox="1">
                          <a:spLocks noChangeArrowheads="1"/>
                        </wps:cNvSpPr>
                        <wps:spPr bwMode="auto">
                          <a:xfrm>
                            <a:off x="149587" y="0"/>
                            <a:ext cx="752614" cy="287649"/>
                          </a:xfrm>
                          <a:prstGeom prst="rect">
                            <a:avLst/>
                          </a:prstGeom>
                          <a:noFill/>
                          <a:ln w="9525">
                            <a:noFill/>
                            <a:miter lim="800000"/>
                            <a:headEnd/>
                            <a:tailEnd/>
                          </a:ln>
                        </wps:spPr>
                        <wps:txbx>
                          <w:txbxContent>
                            <w:p w14:paraId="4B6A7A80" w14:textId="77777777" w:rsidR="00C25181" w:rsidRPr="00C25181" w:rsidRDefault="00C25181" w:rsidP="00C25181">
                              <w:pPr>
                                <w:spacing w:before="0"/>
                                <w:rPr>
                                  <w:rFonts w:ascii="Avenir Nxt2 W1G" w:hAnsi="Avenir Nxt2 W1G"/>
                                  <w:sz w:val="16"/>
                                  <w:szCs w:val="16"/>
                                </w:rPr>
                              </w:pPr>
                              <w:r w:rsidRPr="00C25181">
                                <w:rPr>
                                  <w:sz w:val="18"/>
                                  <w:szCs w:val="18"/>
                                  <w:lang w:val="es-ES"/>
                                </w:rPr>
                                <w:t>Total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02BE7" id="Group 3" o:spid="_x0000_s1026" style="position:absolute;margin-left:395.95pt;margin-top:122.3pt;width:64.05pt;height:22.55pt;z-index:251670528;mso-width-relative:margin;mso-height-relative:margin" coordsize="902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">
                <v:oval id="Oval 2" o:spid="_x0000_s1027"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" fillcolor="#4f81bd [3204]" stroked="f" strokeweight="2pt"/>
                <v:shapetype id="_x0000_t202" coordsize="21600,21600" o:spt="202" path="m,l,21600r21600,l21600,xe">
                  <v:stroke joinstyle="miter"/>
                  <v:path gradientshapeok="t" o:connecttype="rect"/>
                </v:shapetype>
                <v:shape id="_x0000_s1028" type="#_x0000_t202" style="position:absolute;left:1495;width:752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" filled="f" stroked="f">
                  <v:textbox>
                    <w:txbxContent>
                      <w:p w14:paraId="4B6A7A80" w14:textId="77777777" w:rsidR="00C25181" w:rsidRPr="00C25181" w:rsidRDefault="00C25181" w:rsidP="00C25181">
                        <w:pPr>
                          <w:spacing w:before="0"/>
                          <w:rPr>
                            <w:rFonts w:ascii="Avenir Nxt2 W1G" w:hAnsi="Avenir Nxt2 W1G"/>
                            <w:sz w:val="16"/>
                            <w:szCs w:val="16"/>
                          </w:rPr>
                        </w:pPr>
                        <w:r w:rsidRPr="00C25181">
                          <w:rPr>
                            <w:sz w:val="18"/>
                            <w:szCs w:val="18"/>
                            <w:lang w:val="es-ES"/>
                          </w:rPr>
                          <w:t>Total</w:t>
                        </w:r>
                      </w:p>
                    </w:txbxContent>
                  </v:textbox>
                </v:shape>
              </v:group>
            </w:pict>
          </mc:Fallback>
        </mc:AlternateContent>
      </w:r>
      <w:r w:rsidRPr="0031293E">
        <w:rPr>
          <w:rFonts w:ascii="Calibri" w:eastAsia="SimSun" w:hAnsi="Calibri" w:cs="Arial"/>
          <w:noProof/>
          <w:lang w:val="es-ES"/>
        </w:rPr>
        <mc:AlternateContent>
          <mc:Choice Requires="wpg">
            <w:drawing>
              <wp:anchor distT="0" distB="0" distL="114300" distR="114300" simplePos="0" relativeHeight="251668480" behindDoc="0" locked="0" layoutInCell="1" allowOverlap="1" wp14:anchorId="6797BFD6" wp14:editId="17714153">
                <wp:simplePos x="0" y="0"/>
                <wp:positionH relativeFrom="column">
                  <wp:posOffset>170456</wp:posOffset>
                </wp:positionH>
                <wp:positionV relativeFrom="paragraph">
                  <wp:posOffset>2443894</wp:posOffset>
                </wp:positionV>
                <wp:extent cx="4627283" cy="240664"/>
                <wp:effectExtent l="0" t="0" r="0" b="0"/>
                <wp:wrapNone/>
                <wp:docPr id="5" name="Group 5"/>
                <wp:cNvGraphicFramePr/>
                <a:graphic xmlns:a="http://schemas.openxmlformats.org/drawingml/2006/main">
                  <a:graphicData uri="http://schemas.microsoft.com/office/word/2010/wordprocessingGroup">
                    <wpg:wgp>
                      <wpg:cNvGrpSpPr/>
                      <wpg:grpSpPr>
                        <a:xfrm>
                          <a:off x="0" y="0"/>
                          <a:ext cx="4627283" cy="240664"/>
                          <a:chOff x="-461178" y="0"/>
                          <a:chExt cx="4627398" cy="240987"/>
                        </a:xfrm>
                      </wpg:grpSpPr>
                      <wps:wsp>
                        <wps:cNvPr id="217" name="Text Box 2"/>
                        <wps:cNvSpPr txBox="1">
                          <a:spLocks noChangeArrowheads="1"/>
                        </wps:cNvSpPr>
                        <wps:spPr bwMode="auto">
                          <a:xfrm>
                            <a:off x="-461178" y="0"/>
                            <a:ext cx="739792" cy="240987"/>
                          </a:xfrm>
                          <a:prstGeom prst="rect">
                            <a:avLst/>
                          </a:prstGeom>
                          <a:noFill/>
                          <a:ln w="9525">
                            <a:noFill/>
                            <a:miter lim="800000"/>
                            <a:headEnd/>
                            <a:tailEnd/>
                          </a:ln>
                        </wps:spPr>
                        <wps:txbx>
                          <w:txbxContent>
                            <w:p w14:paraId="4EEA6594"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2021</w:t>
                              </w:r>
                            </w:p>
                          </w:txbxContent>
                        </wps:txbx>
                        <wps:bodyPr rot="0" vert="horz" wrap="square" lIns="91440" tIns="45720" rIns="91440" bIns="45720" anchor="t" anchorCtr="0">
                          <a:spAutoFit/>
                        </wps:bodyPr>
                      </wps:wsp>
                      <wps:wsp>
                        <wps:cNvPr id="1760324119" name="Text Box 2"/>
                        <wps:cNvSpPr txBox="1">
                          <a:spLocks noChangeArrowheads="1"/>
                        </wps:cNvSpPr>
                        <wps:spPr bwMode="auto">
                          <a:xfrm>
                            <a:off x="838117" y="0"/>
                            <a:ext cx="564528" cy="240987"/>
                          </a:xfrm>
                          <a:prstGeom prst="rect">
                            <a:avLst/>
                          </a:prstGeom>
                          <a:noFill/>
                          <a:ln w="9525">
                            <a:noFill/>
                            <a:miter lim="800000"/>
                            <a:headEnd/>
                            <a:tailEnd/>
                          </a:ln>
                        </wps:spPr>
                        <wps:txbx>
                          <w:txbxContent>
                            <w:p w14:paraId="1147B9E2"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2022</w:t>
                              </w:r>
                            </w:p>
                          </w:txbxContent>
                        </wps:txbx>
                        <wps:bodyPr rot="0" vert="horz" wrap="square" lIns="91440" tIns="45720" rIns="91440" bIns="45720" anchor="t" anchorCtr="0">
                          <a:spAutoFit/>
                        </wps:bodyPr>
                      </wps:wsp>
                      <wps:wsp>
                        <wps:cNvPr id="601844239" name="Text Box 2"/>
                        <wps:cNvSpPr txBox="1">
                          <a:spLocks noChangeArrowheads="1"/>
                        </wps:cNvSpPr>
                        <wps:spPr bwMode="auto">
                          <a:xfrm>
                            <a:off x="2181057" y="0"/>
                            <a:ext cx="564528" cy="240987"/>
                          </a:xfrm>
                          <a:prstGeom prst="rect">
                            <a:avLst/>
                          </a:prstGeom>
                          <a:noFill/>
                          <a:ln w="9525">
                            <a:noFill/>
                            <a:miter lim="800000"/>
                            <a:headEnd/>
                            <a:tailEnd/>
                          </a:ln>
                        </wps:spPr>
                        <wps:txbx>
                          <w:txbxContent>
                            <w:p w14:paraId="07B2C1C9"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2023</w:t>
                              </w:r>
                            </w:p>
                          </w:txbxContent>
                        </wps:txbx>
                        <wps:bodyPr rot="0" vert="horz" wrap="square" lIns="91440" tIns="45720" rIns="91440" bIns="45720" anchor="t" anchorCtr="0">
                          <a:spAutoFit/>
                        </wps:bodyPr>
                      </wps:wsp>
                      <wps:wsp>
                        <wps:cNvPr id="1046262105" name="Text Box 2"/>
                        <wps:cNvSpPr txBox="1">
                          <a:spLocks noChangeArrowheads="1"/>
                        </wps:cNvSpPr>
                        <wps:spPr bwMode="auto">
                          <a:xfrm>
                            <a:off x="3571211" y="0"/>
                            <a:ext cx="595009" cy="240987"/>
                          </a:xfrm>
                          <a:prstGeom prst="rect">
                            <a:avLst/>
                          </a:prstGeom>
                          <a:noFill/>
                          <a:ln w="9525">
                            <a:noFill/>
                            <a:miter lim="800000"/>
                            <a:headEnd/>
                            <a:tailEnd/>
                          </a:ln>
                        </wps:spPr>
                        <wps:txbx>
                          <w:txbxContent>
                            <w:p w14:paraId="6FC0F5B6"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2024*</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797BFD6" id="Group 5" o:spid="_x0000_s1029" style="position:absolute;margin-left:13.4pt;margin-top:192.45pt;width:364.35pt;height:18.95pt;z-index:251668480;mso-width-relative:margin" coordorigin="-4611" coordsize="4627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">
                <v:shape id="_x0000_s1030" type="#_x0000_t202" style="position:absolute;left:-4611;width:739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EEA6594"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2021</w:t>
                        </w:r>
                      </w:p>
                    </w:txbxContent>
                  </v:textbox>
                </v:shape>
                <v:shape id="_x0000_s1031" type="#_x0000_t202" style="position:absolute;left:8381;width:564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" filled="f" stroked="f">
                  <v:textbox style="mso-fit-shape-to-text:t">
                    <w:txbxContent>
                      <w:p w14:paraId="1147B9E2"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2022</w:t>
                        </w:r>
                      </w:p>
                    </w:txbxContent>
                  </v:textbox>
                </v:shape>
                <v:shape id="_x0000_s1032" type="#_x0000_t202" style="position:absolute;left:21810;width:564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" filled="f" stroked="f">
                  <v:textbox style="mso-fit-shape-to-text:t">
                    <w:txbxContent>
                      <w:p w14:paraId="07B2C1C9"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2023</w:t>
                        </w:r>
                      </w:p>
                    </w:txbxContent>
                  </v:textbox>
                </v:shape>
                <v:shape id="_x0000_s1033" type="#_x0000_t202" style="position:absolute;left:35712;width:595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" filled="f" stroked="f">
                  <v:textbox style="mso-fit-shape-to-text:t">
                    <w:txbxContent>
                      <w:p w14:paraId="6FC0F5B6" w14:textId="77777777" w:rsidR="00C25181" w:rsidRPr="00096341" w:rsidRDefault="00C25181" w:rsidP="00C25181">
                        <w:pPr>
                          <w:spacing w:before="0"/>
                          <w:jc w:val="center"/>
                          <w:rPr>
                            <w:rFonts w:ascii="Avenir Nxt2 W1G" w:hAnsi="Avenir Nxt2 W1G"/>
                            <w:sz w:val="18"/>
                            <w:szCs w:val="18"/>
                          </w:rPr>
                        </w:pPr>
                        <w:r w:rsidRPr="00096341">
                          <w:rPr>
                            <w:sz w:val="18"/>
                            <w:szCs w:val="18"/>
                            <w:lang w:val="es-ES"/>
                          </w:rPr>
                          <w:t>2024*</w:t>
                        </w:r>
                      </w:p>
                    </w:txbxContent>
                  </v:textbox>
                </v:shape>
              </v:group>
            </w:pict>
          </mc:Fallback>
        </mc:AlternateContent>
      </w:r>
      <w:r w:rsidRPr="0031293E">
        <w:rPr>
          <w:rFonts w:ascii="Calibri" w:eastAsia="SimSun" w:hAnsi="Calibri" w:cs="Arial"/>
          <w:noProof/>
          <w:lang w:val="es-ES"/>
        </w:rPr>
        <mc:AlternateContent>
          <mc:Choice Requires="wpg">
            <w:drawing>
              <wp:anchor distT="0" distB="0" distL="114300" distR="114300" simplePos="0" relativeHeight="251669504" behindDoc="0" locked="0" layoutInCell="1" allowOverlap="1" wp14:anchorId="05CECCAC" wp14:editId="56BD32A2">
                <wp:simplePos x="0" y="0"/>
                <wp:positionH relativeFrom="column">
                  <wp:posOffset>877929</wp:posOffset>
                </wp:positionH>
                <wp:positionV relativeFrom="paragraph">
                  <wp:posOffset>383927</wp:posOffset>
                </wp:positionV>
                <wp:extent cx="5374640" cy="2072640"/>
                <wp:effectExtent l="0" t="0" r="0" b="22860"/>
                <wp:wrapNone/>
                <wp:docPr id="4" name="Group 4"/>
                <wp:cNvGraphicFramePr/>
                <a:graphic xmlns:a="http://schemas.openxmlformats.org/drawingml/2006/main">
                  <a:graphicData uri="http://schemas.microsoft.com/office/word/2010/wordprocessingGroup">
                    <wpg:wgp>
                      <wpg:cNvGrpSpPr/>
                      <wpg:grpSpPr>
                        <a:xfrm>
                          <a:off x="0" y="0"/>
                          <a:ext cx="5374640" cy="2072640"/>
                          <a:chOff x="0" y="0"/>
                          <a:chExt cx="5375557" cy="2072640"/>
                        </a:xfrm>
                      </wpg:grpSpPr>
                      <wps:wsp>
                        <wps:cNvPr id="614123071" name="Straight Connector 1"/>
                        <wps:cNvCnPr/>
                        <wps:spPr>
                          <a:xfrm>
                            <a:off x="0"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147080523" name="Straight Connector 1"/>
                        <wps:cNvCnPr/>
                        <wps:spPr>
                          <a:xfrm>
                            <a:off x="1352550"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757105770" name="Straight Connector 1"/>
                        <wps:cNvCnPr/>
                        <wps:spPr>
                          <a:xfrm>
                            <a:off x="2714625"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g:grpSp>
                        <wpg:cNvPr id="1601017525" name="Group 3"/>
                        <wpg:cNvGrpSpPr/>
                        <wpg:grpSpPr>
                          <a:xfrm>
                            <a:off x="4137729" y="723569"/>
                            <a:ext cx="1237828" cy="857315"/>
                            <a:chOff x="-129540" y="28307"/>
                            <a:chExt cx="1238490" cy="859199"/>
                          </a:xfrm>
                        </wpg:grpSpPr>
                        <wps:wsp>
                          <wps:cNvPr id="905228046" name="Oval 2"/>
                          <wps:cNvSpPr/>
                          <wps:spPr>
                            <a:xfrm>
                              <a:off x="-129540" y="116043"/>
                              <a:ext cx="129540" cy="129540"/>
                            </a:xfrm>
                            <a:prstGeom prst="ellipse">
                              <a:avLst/>
                            </a:prstGeom>
                            <a:solidFill>
                              <a:srgbClr val="9BCD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662352" name="Text Box 2"/>
                          <wps:cNvSpPr txBox="1">
                            <a:spLocks noChangeArrowheads="1"/>
                          </wps:cNvSpPr>
                          <wps:spPr bwMode="auto">
                            <a:xfrm>
                              <a:off x="8559" y="28307"/>
                              <a:ext cx="1100391" cy="859199"/>
                            </a:xfrm>
                            <a:prstGeom prst="rect">
                              <a:avLst/>
                            </a:prstGeom>
                            <a:noFill/>
                            <a:ln w="9525">
                              <a:noFill/>
                              <a:miter lim="800000"/>
                              <a:headEnd/>
                              <a:tailEnd/>
                            </a:ln>
                          </wps:spPr>
                          <wps:txbx>
                            <w:txbxContent>
                              <w:p w14:paraId="589F4213" w14:textId="77777777" w:rsidR="00C25181" w:rsidRPr="00C25181" w:rsidRDefault="00C25181" w:rsidP="00C25181">
                                <w:pPr>
                                  <w:spacing w:before="0"/>
                                  <w:rPr>
                                    <w:rFonts w:ascii="Avenir Nxt2 W1G" w:hAnsi="Avenir Nxt2 W1G"/>
                                    <w:sz w:val="16"/>
                                    <w:szCs w:val="16"/>
                                  </w:rPr>
                                </w:pPr>
                                <w:r w:rsidRPr="00C25181">
                                  <w:rPr>
                                    <w:sz w:val="18"/>
                                    <w:szCs w:val="18"/>
                                    <w:lang w:val="es-ES"/>
                                  </w:rPr>
                                  <w:t>Crecimiento</w:t>
                                </w:r>
                              </w:p>
                            </w:txbxContent>
                          </wps:txbx>
                          <wps:bodyPr rot="0" vert="horz" wrap="square" lIns="91440" tIns="45720" rIns="91440" bIns="45720" anchor="t" anchorCtr="0">
                            <a:noAutofit/>
                          </wps:bodyPr>
                        </wps:wsp>
                      </wpg:grpSp>
                      <wpg:grpSp>
                        <wpg:cNvPr id="1460462599" name="Group 3"/>
                        <wpg:cNvGrpSpPr/>
                        <wpg:grpSpPr>
                          <a:xfrm>
                            <a:off x="4137729" y="962108"/>
                            <a:ext cx="1101924" cy="296461"/>
                            <a:chOff x="-129540" y="-9463"/>
                            <a:chExt cx="1102514" cy="297112"/>
                          </a:xfrm>
                        </wpg:grpSpPr>
                        <wps:wsp>
                          <wps:cNvPr id="1526782283" name="Oval 2"/>
                          <wps:cNvSpPr/>
                          <wps:spPr>
                            <a:xfrm>
                              <a:off x="-129540" y="68231"/>
                              <a:ext cx="129540" cy="129540"/>
                            </a:xfrm>
                            <a:prstGeom prst="ellipse">
                              <a:avLst/>
                            </a:prstGeom>
                            <a:solidFill>
                              <a:srgbClr val="FA4D5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610998" name="Text Box 2"/>
                          <wps:cNvSpPr txBox="1">
                            <a:spLocks noChangeArrowheads="1"/>
                          </wps:cNvSpPr>
                          <wps:spPr bwMode="auto">
                            <a:xfrm>
                              <a:off x="18688" y="-9463"/>
                              <a:ext cx="954286" cy="297112"/>
                            </a:xfrm>
                            <a:prstGeom prst="rect">
                              <a:avLst/>
                            </a:prstGeom>
                            <a:noFill/>
                            <a:ln w="9525">
                              <a:noFill/>
                              <a:miter lim="800000"/>
                              <a:headEnd/>
                              <a:tailEnd/>
                            </a:ln>
                          </wps:spPr>
                          <wps:txbx>
                            <w:txbxContent>
                              <w:p w14:paraId="70B6AF96" w14:textId="77777777" w:rsidR="00C25181" w:rsidRPr="00C25181" w:rsidRDefault="00C25181" w:rsidP="00C25181">
                                <w:pPr>
                                  <w:spacing w:before="0"/>
                                  <w:rPr>
                                    <w:rFonts w:ascii="Avenir Nxt2 W1G" w:hAnsi="Avenir Nxt2 W1G"/>
                                    <w:sz w:val="16"/>
                                    <w:szCs w:val="16"/>
                                  </w:rPr>
                                </w:pPr>
                                <w:r w:rsidRPr="00C25181">
                                  <w:rPr>
                                    <w:sz w:val="18"/>
                                    <w:szCs w:val="18"/>
                                    <w:lang w:val="es-ES"/>
                                  </w:rPr>
                                  <w:t>Pérdida</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05CECCAC" id="Group 4" o:spid="_x0000_s1034" style="position:absolute;margin-left:69.15pt;margin-top:30.25pt;width:423.2pt;height:163.2pt;z-index:251669504;mso-width-relative:margin" coordsize="53755,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">
                <v:line id="Straight Connector 1" o:spid="_x0000_s1035" style="position:absolute;visibility:visible;mso-wrap-style:square" from="0,0" to="0,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" strokecolor="#bc4542 [3045]"/>
                <v:line id="Straight Connector 1" o:spid="_x0000_s1036" style="position:absolute;visibility:visible;mso-wrap-style:square" from="13525,0" to="13525,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" strokecolor="#bc4542 [3045]"/>
                <v:line id="Straight Connector 1" o:spid="_x0000_s1037" style="position:absolute;visibility:visible;mso-wrap-style:square" from="27146,0" to="27146,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" strokecolor="#bc4542 [3045]"/>
                <v:group id="_x0000_s1038" style="position:absolute;left:41377;top:7235;width:12378;height:8573" coordorigin="-1295,283" coordsize="12384,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">
                  <v:oval id="Oval 2" o:spid="_x0000_s1039" style="position:absolute;left:-1295;top:1160;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" fillcolor="#9bcd7a" stroked="f" strokeweight="2pt"/>
                  <v:shape id="_x0000_s1040" type="#_x0000_t202" style="position:absolute;left:85;top:283;width:11004;height:8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" filled="f" stroked="f">
                    <v:textbox>
                      <w:txbxContent>
                        <w:p w14:paraId="589F4213" w14:textId="77777777" w:rsidR="00C25181" w:rsidRPr="00C25181" w:rsidRDefault="00C25181" w:rsidP="00C25181">
                          <w:pPr>
                            <w:spacing w:before="0"/>
                            <w:rPr>
                              <w:rFonts w:ascii="Avenir Nxt2 W1G" w:hAnsi="Avenir Nxt2 W1G"/>
                              <w:sz w:val="16"/>
                              <w:szCs w:val="16"/>
                            </w:rPr>
                          </w:pPr>
                          <w:r w:rsidRPr="00C25181">
                            <w:rPr>
                              <w:sz w:val="18"/>
                              <w:szCs w:val="18"/>
                              <w:lang w:val="es-ES"/>
                            </w:rPr>
                            <w:t>Crecimiento</w:t>
                          </w:r>
                        </w:p>
                      </w:txbxContent>
                    </v:textbox>
                  </v:shape>
                </v:group>
                <v:group id="_x0000_s1041" style="position:absolute;left:41377;top:9621;width:11019;height:2964" coordorigin="-1295,-94" coordsize="11025,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">
                  <v:oval id="Oval 2" o:spid="_x0000_s1042" style="position:absolute;left:-1295;top:68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" fillcolor="#fa4d55" stroked="f" strokeweight="2pt"/>
                  <v:shape id="_x0000_s1043" type="#_x0000_t202" style="position:absolute;left:186;top:-94;width:9543;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" filled="f" stroked="f">
                    <v:textbox>
                      <w:txbxContent>
                        <w:p w14:paraId="70B6AF96" w14:textId="77777777" w:rsidR="00C25181" w:rsidRPr="00C25181" w:rsidRDefault="00C25181" w:rsidP="00C25181">
                          <w:pPr>
                            <w:spacing w:before="0"/>
                            <w:rPr>
                              <w:rFonts w:ascii="Avenir Nxt2 W1G" w:hAnsi="Avenir Nxt2 W1G"/>
                              <w:sz w:val="16"/>
                              <w:szCs w:val="16"/>
                            </w:rPr>
                          </w:pPr>
                          <w:r w:rsidRPr="00C25181">
                            <w:rPr>
                              <w:sz w:val="18"/>
                              <w:szCs w:val="18"/>
                              <w:lang w:val="es-ES"/>
                            </w:rPr>
                            <w:t>Pérdida</w:t>
                          </w:r>
                        </w:p>
                      </w:txbxContent>
                    </v:textbox>
                  </v:shape>
                </v:group>
              </v:group>
            </w:pict>
          </mc:Fallback>
        </mc:AlternateContent>
      </w:r>
      <w:r w:rsidRPr="0031293E">
        <w:rPr>
          <w:rFonts w:ascii="Calibri" w:eastAsia="SimSun" w:hAnsi="Calibri" w:cs="Arial"/>
          <w:b/>
          <w:bCs/>
          <w:noProof/>
          <w:lang w:val="es-ES"/>
        </w:rPr>
        <mc:AlternateContent>
          <mc:Choice Requires="cx4">
            <w:drawing>
              <wp:inline distT="0" distB="0" distL="0" distR="0" wp14:anchorId="2085D43C" wp14:editId="7AB28C53">
                <wp:extent cx="4994910" cy="2497540"/>
                <wp:effectExtent l="0" t="0" r="15240" b="17145"/>
                <wp:docPr id="1073594995"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2085D43C" wp14:editId="7AB28C53">
                <wp:extent cx="4994910" cy="2497540"/>
                <wp:effectExtent l="0" t="0" r="15240" b="17145"/>
                <wp:docPr id="1073594995"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73594995" name="Chart 1"/>
                        <pic:cNvPicPr>
                          <a:picLocks noGrp="1" noRot="1" noChangeAspect="1" noMove="1" noResize="1" noEditPoints="1" noAdjustHandles="1" noChangeArrowheads="1" noChangeShapeType="1"/>
                        </pic:cNvPicPr>
                      </pic:nvPicPr>
                      <pic:blipFill>
                        <a:blip r:embed="rId13"/>
                        <a:stretch>
                          <a:fillRect/>
                        </a:stretch>
                      </pic:blipFill>
                      <pic:spPr>
                        <a:xfrm>
                          <a:off x="0" y="0"/>
                          <a:ext cx="4994910" cy="2497455"/>
                        </a:xfrm>
                        <a:prstGeom prst="rect">
                          <a:avLst/>
                        </a:prstGeom>
                      </pic:spPr>
                    </pic:pic>
                  </a:graphicData>
                </a:graphic>
              </wp:inline>
            </w:drawing>
          </mc:Fallback>
        </mc:AlternateContent>
      </w:r>
    </w:p>
    <w:p w14:paraId="0739AFC2" w14:textId="10E03FB7" w:rsidR="0011291E" w:rsidRPr="0031293E" w:rsidRDefault="0011291E" w:rsidP="002C7565">
      <w:pPr>
        <w:pStyle w:val="Normalaftertitle"/>
        <w:rPr>
          <w:rFonts w:ascii="Calibri" w:eastAsia="SimSun" w:hAnsi="Calibri" w:cs="Arial"/>
          <w:lang w:val="es-ES"/>
        </w:rPr>
      </w:pPr>
      <w:r w:rsidRPr="0031293E">
        <w:rPr>
          <w:lang w:val="es-ES"/>
        </w:rPr>
        <w:t xml:space="preserve">En el </w:t>
      </w:r>
      <w:r w:rsidRPr="002C7565">
        <w:rPr>
          <w:b/>
          <w:bCs/>
          <w:lang w:val="es-ES"/>
        </w:rPr>
        <w:t>Gráfico</w:t>
      </w:r>
      <w:r w:rsidR="002C7565" w:rsidRPr="002C7565">
        <w:rPr>
          <w:b/>
          <w:bCs/>
          <w:lang w:val="es-ES"/>
        </w:rPr>
        <w:t> </w:t>
      </w:r>
      <w:r w:rsidRPr="002C7565">
        <w:rPr>
          <w:b/>
          <w:bCs/>
          <w:lang w:val="es-ES"/>
        </w:rPr>
        <w:t>2</w:t>
      </w:r>
      <w:r w:rsidRPr="0031293E">
        <w:rPr>
          <w:lang w:val="es-ES"/>
        </w:rPr>
        <w:t xml:space="preserve"> se presenta el crecimiento sostenido del número de Miembros de Sector y Asociados del UIT-D en 2022 y 2023, y se reflejan las </w:t>
      </w:r>
      <w:r w:rsidRPr="002C7565">
        <w:rPr>
          <w:b/>
          <w:bCs/>
          <w:lang w:val="es-ES"/>
        </w:rPr>
        <w:t>ganancias</w:t>
      </w:r>
      <w:r w:rsidRPr="002C7565">
        <w:rPr>
          <w:lang w:val="es-ES"/>
        </w:rPr>
        <w:t xml:space="preserve"> </w:t>
      </w:r>
      <w:r w:rsidRPr="0031293E">
        <w:rPr>
          <w:lang w:val="es-ES"/>
        </w:rPr>
        <w:t xml:space="preserve">y </w:t>
      </w:r>
      <w:r w:rsidRPr="002C7565">
        <w:rPr>
          <w:b/>
          <w:bCs/>
          <w:lang w:val="es-ES"/>
        </w:rPr>
        <w:t>pérdidas</w:t>
      </w:r>
      <w:r w:rsidRPr="002C7565">
        <w:rPr>
          <w:lang w:val="es-ES"/>
        </w:rPr>
        <w:t xml:space="preserve"> </w:t>
      </w:r>
      <w:r w:rsidRPr="0031293E">
        <w:rPr>
          <w:lang w:val="es-ES"/>
        </w:rPr>
        <w:t>de los Miembros de Sector y Asociados en esos dos años. También se indican los números previstos para junio de 2024 en función de las cuentas que se activarán.</w:t>
      </w:r>
    </w:p>
    <w:p w14:paraId="4B185FD8" w14:textId="37802A4D" w:rsidR="0011291E" w:rsidRPr="0031293E" w:rsidRDefault="0011291E" w:rsidP="00662A02">
      <w:pPr>
        <w:rPr>
          <w:rFonts w:ascii="Calibri" w:eastAsia="SimSun" w:hAnsi="Calibri" w:cs="Arial"/>
          <w:lang w:val="es-ES"/>
        </w:rPr>
      </w:pPr>
      <w:r w:rsidRPr="0031293E">
        <w:rPr>
          <w:lang w:val="es-ES"/>
        </w:rPr>
        <w:t xml:space="preserve">Hasta diciembre de 2023, el UIT-D atrajo en total a </w:t>
      </w:r>
      <w:r w:rsidRPr="002C7565">
        <w:rPr>
          <w:b/>
          <w:bCs/>
          <w:lang w:val="es-ES"/>
        </w:rPr>
        <w:t>27 nuevos Miembros</w:t>
      </w:r>
      <w:r w:rsidRPr="0031293E">
        <w:rPr>
          <w:lang w:val="es-ES"/>
        </w:rPr>
        <w:t>, en comparación con los 18 de 2022. El año 2023 muestra un aumento del 50% en el número total de nuevos miembros.</w:t>
      </w:r>
    </w:p>
    <w:p w14:paraId="0121CE6B" w14:textId="0CDA11D3" w:rsidR="0011291E" w:rsidRPr="002C7565" w:rsidRDefault="0011291E" w:rsidP="00662A02">
      <w:pPr>
        <w:rPr>
          <w:rFonts w:ascii="Calibri" w:eastAsia="SimSun" w:hAnsi="Calibri" w:cs="Arial"/>
          <w:lang w:val="es-ES"/>
        </w:rPr>
      </w:pPr>
      <w:r w:rsidRPr="002C7565">
        <w:rPr>
          <w:lang w:val="es-ES"/>
        </w:rPr>
        <w:t xml:space="preserve">A finales de febrero de 2024, el UIT-D ya se había asegurado </w:t>
      </w:r>
      <w:r w:rsidRPr="002C7565">
        <w:rPr>
          <w:b/>
          <w:bCs/>
          <w:lang w:val="es-ES"/>
        </w:rPr>
        <w:t>ocho nuevos Miembros</w:t>
      </w:r>
      <w:r w:rsidRPr="002C7565">
        <w:rPr>
          <w:lang w:val="es-ES"/>
        </w:rPr>
        <w:t xml:space="preserve"> y espera la activación de </w:t>
      </w:r>
      <w:r w:rsidRPr="002C7565">
        <w:rPr>
          <w:b/>
          <w:bCs/>
          <w:lang w:val="es-ES"/>
        </w:rPr>
        <w:t xml:space="preserve">otros </w:t>
      </w:r>
      <w:r w:rsidR="004B6C81" w:rsidRPr="002C7565">
        <w:rPr>
          <w:b/>
          <w:bCs/>
          <w:lang w:val="es-ES"/>
        </w:rPr>
        <w:t xml:space="preserve">siete </w:t>
      </w:r>
      <w:r w:rsidRPr="002C7565">
        <w:rPr>
          <w:b/>
          <w:bCs/>
          <w:lang w:val="es-ES"/>
        </w:rPr>
        <w:t>Miembros</w:t>
      </w:r>
      <w:r w:rsidRPr="002C7565">
        <w:rPr>
          <w:lang w:val="es-ES"/>
        </w:rPr>
        <w:t xml:space="preserve"> hasta junio de 2024.</w:t>
      </w:r>
    </w:p>
    <w:p w14:paraId="08F89666" w14:textId="28AAC8D6" w:rsidR="0011291E" w:rsidRPr="0031293E" w:rsidRDefault="0011291E" w:rsidP="00662A02">
      <w:pPr>
        <w:rPr>
          <w:rFonts w:ascii="Calibri" w:eastAsia="SimSun" w:hAnsi="Calibri" w:cs="Arial"/>
          <w:lang w:val="es-ES"/>
        </w:rPr>
      </w:pPr>
      <w:r w:rsidRPr="0031293E">
        <w:rPr>
          <w:lang w:val="es-ES"/>
        </w:rPr>
        <w:t xml:space="preserve">Además, en 2023, el total de denuncias y exclusiones continuó </w:t>
      </w:r>
      <w:r w:rsidRPr="002C7565">
        <w:rPr>
          <w:b/>
          <w:bCs/>
          <w:lang w:val="es-ES"/>
        </w:rPr>
        <w:t xml:space="preserve">bajando hasta llegar a </w:t>
      </w:r>
      <w:r w:rsidR="002C7565">
        <w:rPr>
          <w:b/>
          <w:bCs/>
          <w:lang w:val="es-ES"/>
        </w:rPr>
        <w:t>doce</w:t>
      </w:r>
      <w:r w:rsidRPr="002C7565">
        <w:rPr>
          <w:b/>
          <w:bCs/>
          <w:lang w:val="es-ES"/>
        </w:rPr>
        <w:t xml:space="preserve"> miembros</w:t>
      </w:r>
      <w:r w:rsidRPr="0031293E">
        <w:rPr>
          <w:lang w:val="es-ES"/>
        </w:rPr>
        <w:t>, a consecuencia de las fusiones, la revisión de la estrategia comercial, el impago de las cuotas o razones no reveladas. Además, se espera que dos denuncias surtan efecto no más tarde de junio de 2024.</w:t>
      </w:r>
    </w:p>
    <w:p w14:paraId="43AE6B06" w14:textId="3DE505B2" w:rsidR="0011291E" w:rsidRPr="0031293E" w:rsidRDefault="0011291E" w:rsidP="00662A02">
      <w:pPr>
        <w:rPr>
          <w:rFonts w:ascii="Calibri" w:eastAsia="SimSun" w:hAnsi="Calibri" w:cs="Arial"/>
          <w:lang w:val="es-ES"/>
        </w:rPr>
      </w:pPr>
      <w:r w:rsidRPr="0031293E">
        <w:rPr>
          <w:lang w:val="es-ES"/>
        </w:rPr>
        <w:t>El aumento sostenido del número de miembros del UIT-D responde a la intensificación de los esfuerzos de divulgación por diferentes vías, por ejemplo, llevando a invitados/observadores a los eventos temáticos internos y aprovechando la propuesta de valor de asociación para iniciativas del</w:t>
      </w:r>
      <w:r w:rsidR="008D693E">
        <w:rPr>
          <w:lang w:val="es-ES"/>
        </w:rPr>
        <w:t> </w:t>
      </w:r>
      <w:r w:rsidRPr="0031293E">
        <w:rPr>
          <w:lang w:val="es-ES"/>
        </w:rPr>
        <w:t>UIT-D existentes y lanzadas recientemente a fin de crear un paquete de beneficios único para miembros y asociaciones.</w:t>
      </w:r>
    </w:p>
    <w:p w14:paraId="154C8B5A" w14:textId="42DDF21A" w:rsidR="0011291E" w:rsidRPr="0031293E" w:rsidRDefault="0011291E" w:rsidP="00662A02">
      <w:pPr>
        <w:rPr>
          <w:rFonts w:ascii="Calibri" w:eastAsia="SimSun" w:hAnsi="Calibri" w:cs="Arial"/>
          <w:lang w:val="es-ES"/>
        </w:rPr>
      </w:pPr>
      <w:r w:rsidRPr="0031293E">
        <w:rPr>
          <w:lang w:val="es-ES"/>
        </w:rPr>
        <w:t>Por último, el uso intensivo de paneles y herramientas factuales permitió centrar la atención en las cuentas de Miembros en riesgo y realizar acciones de seguimiento encaminadas a obtener un mayor nivel de conciencia y ratificación del compromiso, que se tradujeron en una mayor retención de miembros y en el crecimiento neto del número de miembros.</w:t>
      </w:r>
    </w:p>
    <w:p w14:paraId="348AC67A" w14:textId="095C2CDA" w:rsidR="0011291E" w:rsidRPr="0031293E" w:rsidRDefault="0011291E" w:rsidP="00662A02">
      <w:pPr>
        <w:rPr>
          <w:lang w:val="es-ES"/>
        </w:rPr>
      </w:pPr>
      <w:r w:rsidRPr="0031293E">
        <w:rPr>
          <w:lang w:val="es-ES"/>
        </w:rPr>
        <w:t>Las listas de movimientos de Miembros en 2023 (nuevos miembros y pérdidas) y la proyección prevista para junio de 2024 figuran en el Documento</w:t>
      </w:r>
      <w:r w:rsidR="002C7565">
        <w:rPr>
          <w:lang w:val="es-ES"/>
        </w:rPr>
        <w:t> </w:t>
      </w:r>
      <w:hyperlink r:id="rId14" w:history="1">
        <w:r w:rsidRPr="0031293E">
          <w:rPr>
            <w:rStyle w:val="Hyperlink"/>
            <w:lang w:val="es-ES"/>
          </w:rPr>
          <w:t>TDAG-24/INF/2</w:t>
        </w:r>
      </w:hyperlink>
      <w:r w:rsidRPr="0031293E">
        <w:rPr>
          <w:lang w:val="es-ES"/>
        </w:rPr>
        <w:t>.</w:t>
      </w:r>
    </w:p>
    <w:p w14:paraId="4AECF46F" w14:textId="5C33F8DC" w:rsidR="0011291E" w:rsidRPr="002C7565" w:rsidRDefault="00026036" w:rsidP="00566FD6">
      <w:pPr>
        <w:pStyle w:val="Heading2"/>
        <w:rPr>
          <w:rFonts w:eastAsia="SimSun"/>
          <w:lang w:val="es-ES"/>
        </w:rPr>
      </w:pPr>
      <w:r w:rsidRPr="002C7565">
        <w:rPr>
          <w:lang w:val="es-ES"/>
        </w:rPr>
        <w:t>2.2</w:t>
      </w:r>
      <w:r w:rsidRPr="002C7565">
        <w:rPr>
          <w:lang w:val="es-ES"/>
        </w:rPr>
        <w:tab/>
      </w:r>
      <w:r w:rsidR="0011291E" w:rsidRPr="002C7565">
        <w:rPr>
          <w:lang w:val="es-ES"/>
        </w:rPr>
        <w:t>Solicitudes de exención del pago de cuotas</w:t>
      </w:r>
    </w:p>
    <w:p w14:paraId="7F6A366A" w14:textId="19A4F684" w:rsidR="0011291E" w:rsidRPr="0031293E" w:rsidRDefault="0011291E" w:rsidP="00662A02">
      <w:pPr>
        <w:rPr>
          <w:rFonts w:ascii="Calibri" w:eastAsia="SimSun" w:hAnsi="Calibri" w:cs="Arial"/>
          <w:lang w:val="es-ES"/>
        </w:rPr>
      </w:pPr>
      <w:r w:rsidRPr="0031293E">
        <w:rPr>
          <w:lang w:val="es-ES"/>
        </w:rPr>
        <w:t>La BDT siguió examinando las solicitudes de exención del pago de cuotas de conformidad con el número</w:t>
      </w:r>
      <w:r w:rsidR="008D693E">
        <w:rPr>
          <w:lang w:val="es-ES"/>
        </w:rPr>
        <w:t> </w:t>
      </w:r>
      <w:r w:rsidRPr="0031293E">
        <w:rPr>
          <w:lang w:val="es-ES"/>
        </w:rPr>
        <w:t xml:space="preserve">476 del Convenio y con arreglo a los criterios del Consejo de la UIT que pueden consultarse </w:t>
      </w:r>
      <w:hyperlink r:id="rId15" w:history="1">
        <w:r w:rsidRPr="008D693E">
          <w:rPr>
            <w:rStyle w:val="Hyperlink"/>
            <w:lang w:val="es-ES"/>
          </w:rPr>
          <w:t>aquí</w:t>
        </w:r>
      </w:hyperlink>
      <w:r w:rsidRPr="0031293E">
        <w:rPr>
          <w:lang w:val="es-ES"/>
        </w:rPr>
        <w:t xml:space="preserve">. En su reunión de julio de 2023, el Consejo de la UIT aprobó la adhesión de </w:t>
      </w:r>
      <w:r w:rsidRPr="009142FD">
        <w:rPr>
          <w:b/>
          <w:bCs/>
          <w:lang w:val="es-ES"/>
        </w:rPr>
        <w:t>cuatro</w:t>
      </w:r>
      <w:r w:rsidR="009142FD">
        <w:rPr>
          <w:lang w:val="es-ES"/>
        </w:rPr>
        <w:t> </w:t>
      </w:r>
      <w:r w:rsidRPr="0031293E">
        <w:rPr>
          <w:lang w:val="es-ES"/>
        </w:rPr>
        <w:t>organizaciones al UIT-D como miembros exentos:</w:t>
      </w:r>
    </w:p>
    <w:p w14:paraId="28B67686" w14:textId="3031508F" w:rsidR="0011291E" w:rsidRPr="0031293E" w:rsidRDefault="00026036" w:rsidP="00026036">
      <w:pPr>
        <w:pStyle w:val="enumlev1"/>
        <w:rPr>
          <w:rFonts w:ascii="Calibri" w:eastAsia="SimSun" w:hAnsi="Calibri" w:cs="Arial"/>
          <w:lang w:val="es-ES"/>
        </w:rPr>
      </w:pPr>
      <w:r w:rsidRPr="0031293E">
        <w:rPr>
          <w:lang w:val="es-ES"/>
        </w:rPr>
        <w:lastRenderedPageBreak/>
        <w:t>–</w:t>
      </w:r>
      <w:r w:rsidRPr="0031293E">
        <w:rPr>
          <w:lang w:val="es-ES"/>
        </w:rPr>
        <w:tab/>
      </w:r>
      <w:r w:rsidR="0011291E" w:rsidRPr="0031293E">
        <w:rPr>
          <w:lang w:val="es-ES"/>
        </w:rPr>
        <w:t>Organización Árabe para la Educación, la Cultura y las Ciencias (ALECSO)</w:t>
      </w:r>
      <w:r w:rsidR="002C7565">
        <w:rPr>
          <w:lang w:val="es-ES"/>
        </w:rPr>
        <w:t>;</w:t>
      </w:r>
    </w:p>
    <w:p w14:paraId="7AEDA973" w14:textId="6EEC3B9D" w:rsidR="0011291E" w:rsidRPr="00BF10C3" w:rsidRDefault="00026036" w:rsidP="00026036">
      <w:pPr>
        <w:pStyle w:val="enumlev1"/>
        <w:rPr>
          <w:rFonts w:ascii="Calibri" w:eastAsia="SimSun" w:hAnsi="Calibri" w:cs="Arial"/>
        </w:rPr>
      </w:pPr>
      <w:r w:rsidRPr="00BF10C3">
        <w:t>–</w:t>
      </w:r>
      <w:r w:rsidRPr="00BF10C3">
        <w:tab/>
      </w:r>
      <w:r w:rsidR="0011291E" w:rsidRPr="00BF10C3">
        <w:t>Communications Regulators Association of Southern Africa (CRASA</w:t>
      </w:r>
      <w:proofErr w:type="gramStart"/>
      <w:r w:rsidR="0011291E" w:rsidRPr="00BF10C3">
        <w:t>)</w:t>
      </w:r>
      <w:r w:rsidR="002C7565">
        <w:t>;</w:t>
      </w:r>
      <w:proofErr w:type="gramEnd"/>
    </w:p>
    <w:p w14:paraId="0A8A9884" w14:textId="77B7E2AE" w:rsidR="0011291E" w:rsidRPr="0031293E" w:rsidRDefault="00026036" w:rsidP="00026036">
      <w:pPr>
        <w:pStyle w:val="enumlev1"/>
        <w:rPr>
          <w:rFonts w:ascii="Calibri" w:eastAsia="SimSun" w:hAnsi="Calibri" w:cs="Arial"/>
          <w:lang w:val="es-ES"/>
        </w:rPr>
      </w:pPr>
      <w:r w:rsidRPr="0031293E">
        <w:rPr>
          <w:lang w:val="es-ES"/>
        </w:rPr>
        <w:t>–</w:t>
      </w:r>
      <w:r w:rsidRPr="0031293E">
        <w:rPr>
          <w:lang w:val="es-ES"/>
        </w:rPr>
        <w:tab/>
      </w:r>
      <w:r w:rsidR="0011291E" w:rsidRPr="0031293E">
        <w:rPr>
          <w:lang w:val="es-ES"/>
        </w:rPr>
        <w:t>Global Impact (Global Digital Inclusion Partnership)</w:t>
      </w:r>
      <w:r w:rsidR="002C7565">
        <w:rPr>
          <w:lang w:val="es-ES"/>
        </w:rPr>
        <w:t>;</w:t>
      </w:r>
    </w:p>
    <w:p w14:paraId="0209BDA0" w14:textId="58D4C05B" w:rsidR="0011291E" w:rsidRPr="0031293E" w:rsidRDefault="00026036" w:rsidP="00026036">
      <w:pPr>
        <w:pStyle w:val="enumlev1"/>
        <w:rPr>
          <w:rFonts w:ascii="Calibri" w:eastAsia="SimSun" w:hAnsi="Calibri" w:cs="Arial"/>
          <w:lang w:val="es-ES"/>
        </w:rPr>
      </w:pPr>
      <w:r w:rsidRPr="0031293E">
        <w:rPr>
          <w:lang w:val="es-ES"/>
        </w:rPr>
        <w:t>–</w:t>
      </w:r>
      <w:r w:rsidRPr="0031293E">
        <w:rPr>
          <w:lang w:val="es-ES"/>
        </w:rPr>
        <w:tab/>
      </w:r>
      <w:r w:rsidR="0011291E" w:rsidRPr="0031293E">
        <w:rPr>
          <w:lang w:val="es-ES"/>
        </w:rPr>
        <w:t>Federación Mundial de Organizaciones de Ingenieros (FMOI).</w:t>
      </w:r>
    </w:p>
    <w:p w14:paraId="4ABC430B" w14:textId="2B73C9A5" w:rsidR="0011291E" w:rsidRPr="0031293E" w:rsidRDefault="00026036" w:rsidP="00385E51">
      <w:pPr>
        <w:pStyle w:val="Heading2"/>
        <w:rPr>
          <w:rFonts w:ascii="Calibri" w:eastAsia="SimSun" w:hAnsi="Calibri" w:cs="Arial"/>
          <w:b w:val="0"/>
          <w:bCs/>
          <w:szCs w:val="24"/>
          <w:lang w:val="es-ES"/>
        </w:rPr>
      </w:pPr>
      <w:r w:rsidRPr="0031293E">
        <w:rPr>
          <w:bCs/>
          <w:lang w:val="es-ES"/>
        </w:rPr>
        <w:t>2.3</w:t>
      </w:r>
      <w:r w:rsidRPr="0031293E">
        <w:rPr>
          <w:bCs/>
          <w:lang w:val="es-ES"/>
        </w:rPr>
        <w:tab/>
      </w:r>
      <w:r w:rsidR="0011291E" w:rsidRPr="0031293E">
        <w:rPr>
          <w:bCs/>
          <w:lang w:val="es-ES"/>
        </w:rPr>
        <w:t>Aprobaciones pendientes</w:t>
      </w:r>
    </w:p>
    <w:p w14:paraId="3364E560" w14:textId="648015BC" w:rsidR="0011291E" w:rsidRPr="002C7565" w:rsidRDefault="0011291E" w:rsidP="002C7565">
      <w:pPr>
        <w:spacing w:after="120"/>
        <w:rPr>
          <w:lang w:val="es-ES"/>
        </w:rPr>
      </w:pPr>
      <w:r w:rsidRPr="002C7565">
        <w:rPr>
          <w:lang w:val="es-ES"/>
        </w:rPr>
        <w:t xml:space="preserve">En febrero de 2024, </w:t>
      </w:r>
      <w:r w:rsidR="004B6C81" w:rsidRPr="002C7565">
        <w:rPr>
          <w:b/>
          <w:bCs/>
          <w:lang w:val="es-ES"/>
        </w:rPr>
        <w:t xml:space="preserve">nueve </w:t>
      </w:r>
      <w:r w:rsidRPr="002C7565">
        <w:rPr>
          <w:b/>
          <w:bCs/>
          <w:lang w:val="es-ES"/>
        </w:rPr>
        <w:t>entidades</w:t>
      </w:r>
      <w:r w:rsidRPr="002C7565">
        <w:rPr>
          <w:lang w:val="es-ES"/>
        </w:rPr>
        <w:t xml:space="preserve"> estaban </w:t>
      </w:r>
      <w:r w:rsidRPr="002C7565">
        <w:rPr>
          <w:b/>
          <w:bCs/>
          <w:lang w:val="es-ES"/>
        </w:rPr>
        <w:t>pendientes de recibir la autorización</w:t>
      </w:r>
      <w:r w:rsidRPr="002C7565">
        <w:rPr>
          <w:lang w:val="es-ES"/>
        </w:rPr>
        <w:t xml:space="preserve"> de sus </w:t>
      </w:r>
      <w:r w:rsidRPr="002C7565">
        <w:rPr>
          <w:b/>
          <w:bCs/>
          <w:lang w:val="es-ES"/>
        </w:rPr>
        <w:t>administraciones respectivas</w:t>
      </w:r>
      <w:r w:rsidRPr="002C7565">
        <w:rPr>
          <w:lang w:val="es-ES"/>
        </w:rPr>
        <w:t xml:space="preserve"> basándose en la fecha de la comunicación de la UIT. Quisiéramos dar las gracias a las Administraciones de las entidades del sector privado que, según nuestro conocimiento, prestan la debida atención a las solicitudes que se les remiten para revisar las solicitudes de adhesión al UIT-D, y esperamos recibir sus aprobaciones o decisiones.</w:t>
      </w:r>
    </w:p>
    <w:tbl>
      <w:tblPr>
        <w:tblStyle w:val="TableGrid1"/>
        <w:tblW w:w="5000" w:type="pct"/>
        <w:jc w:val="center"/>
        <w:tblLayout w:type="fixed"/>
        <w:tblLook w:val="0420" w:firstRow="1" w:lastRow="0" w:firstColumn="0" w:lastColumn="0" w:noHBand="0" w:noVBand="1"/>
      </w:tblPr>
      <w:tblGrid>
        <w:gridCol w:w="2268"/>
        <w:gridCol w:w="5277"/>
        <w:gridCol w:w="2089"/>
      </w:tblGrid>
      <w:tr w:rsidR="00026036" w:rsidRPr="0031293E" w14:paraId="7F53379B" w14:textId="77777777" w:rsidTr="002C7565">
        <w:trPr>
          <w:cnfStyle w:val="100000000000" w:firstRow="1" w:lastRow="0" w:firstColumn="0" w:lastColumn="0" w:oddVBand="0" w:evenVBand="0" w:oddHBand="0" w:evenHBand="0" w:firstRowFirstColumn="0" w:firstRowLastColumn="0" w:lastRowFirstColumn="0" w:lastRowLastColumn="0"/>
          <w:jc w:val="center"/>
        </w:trPr>
        <w:tc>
          <w:tcPr>
            <w:tcW w:w="2268" w:type="dxa"/>
            <w:tcBorders>
              <w:top w:val="nil"/>
              <w:left w:val="nil"/>
              <w:bottom w:val="single" w:sz="4" w:space="0" w:color="FFFFFF"/>
              <w:right w:val="single" w:sz="4" w:space="0" w:color="FFFFFF"/>
            </w:tcBorders>
            <w:vAlign w:val="center"/>
          </w:tcPr>
          <w:p w14:paraId="3654AF16" w14:textId="77777777" w:rsidR="00026036" w:rsidRPr="0031293E" w:rsidRDefault="00026036" w:rsidP="002C7565">
            <w:pPr>
              <w:pStyle w:val="Tablehead"/>
              <w:jc w:val="left"/>
              <w:rPr>
                <w:rFonts w:eastAsia="SimSun" w:cs="Calibri"/>
                <w:sz w:val="18"/>
                <w:szCs w:val="18"/>
                <w:lang w:val="es-ES"/>
              </w:rPr>
            </w:pPr>
            <w:r w:rsidRPr="0031293E">
              <w:rPr>
                <w:lang w:val="es-ES"/>
              </w:rPr>
              <w:t>PAÍS</w:t>
            </w:r>
          </w:p>
        </w:tc>
        <w:tc>
          <w:tcPr>
            <w:tcW w:w="5277" w:type="dxa"/>
            <w:tcBorders>
              <w:top w:val="nil"/>
              <w:left w:val="single" w:sz="4" w:space="0" w:color="FFFFFF"/>
              <w:bottom w:val="single" w:sz="4" w:space="0" w:color="FFFFFF"/>
              <w:right w:val="single" w:sz="4" w:space="0" w:color="FFFFFF"/>
            </w:tcBorders>
            <w:vAlign w:val="center"/>
          </w:tcPr>
          <w:p w14:paraId="69CDB1A3" w14:textId="77777777" w:rsidR="00026036" w:rsidRPr="0031293E" w:rsidRDefault="00026036" w:rsidP="002C7565">
            <w:pPr>
              <w:pStyle w:val="Tablehead"/>
              <w:jc w:val="left"/>
              <w:rPr>
                <w:rFonts w:eastAsia="SimSun" w:cs="Calibri"/>
                <w:sz w:val="18"/>
                <w:szCs w:val="18"/>
                <w:lang w:val="es-ES"/>
              </w:rPr>
            </w:pPr>
            <w:r w:rsidRPr="0031293E">
              <w:rPr>
                <w:lang w:val="es-ES"/>
              </w:rPr>
              <w:t>NOMBRE DE LA ENTIDAD</w:t>
            </w:r>
          </w:p>
        </w:tc>
        <w:tc>
          <w:tcPr>
            <w:tcW w:w="2089" w:type="dxa"/>
            <w:tcBorders>
              <w:top w:val="nil"/>
              <w:left w:val="single" w:sz="4" w:space="0" w:color="FFFFFF"/>
              <w:bottom w:val="single" w:sz="4" w:space="0" w:color="FFFFFF"/>
              <w:right w:val="single" w:sz="4" w:space="0" w:color="FFFFFF"/>
            </w:tcBorders>
            <w:vAlign w:val="center"/>
          </w:tcPr>
          <w:p w14:paraId="1324A178" w14:textId="77777777" w:rsidR="00026036" w:rsidRPr="0031293E" w:rsidRDefault="00026036" w:rsidP="00AB18ED">
            <w:pPr>
              <w:pStyle w:val="Tablehead"/>
              <w:rPr>
                <w:rFonts w:eastAsia="SimSun" w:cs="Calibri"/>
                <w:sz w:val="18"/>
                <w:szCs w:val="18"/>
                <w:lang w:val="es-ES"/>
              </w:rPr>
            </w:pPr>
            <w:r w:rsidRPr="0031293E">
              <w:rPr>
                <w:lang w:val="es-ES"/>
              </w:rPr>
              <w:t>TIPO DE AFILIACIÓN</w:t>
            </w:r>
          </w:p>
        </w:tc>
      </w:tr>
      <w:tr w:rsidR="00026036" w:rsidRPr="0031293E" w14:paraId="41F81638" w14:textId="77777777" w:rsidTr="002C7565">
        <w:trPr>
          <w:cnfStyle w:val="000000100000" w:firstRow="0" w:lastRow="0" w:firstColumn="0" w:lastColumn="0" w:oddVBand="0" w:evenVBand="0" w:oddHBand="1" w:evenHBand="0"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6892C4C" w14:textId="77777777" w:rsidR="00026036" w:rsidRPr="0031293E" w:rsidRDefault="00026036" w:rsidP="00AB18ED">
            <w:pPr>
              <w:pStyle w:val="Tabletext"/>
              <w:rPr>
                <w:rFonts w:eastAsia="SimSun" w:cs="Calibri"/>
                <w:sz w:val="18"/>
                <w:szCs w:val="18"/>
                <w:lang w:val="es-ES"/>
              </w:rPr>
            </w:pPr>
            <w:r w:rsidRPr="0031293E">
              <w:rPr>
                <w:lang w:val="es-ES"/>
              </w:rPr>
              <w:t>Kenya</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775242B" w14:textId="77777777" w:rsidR="00026036" w:rsidRPr="0031293E" w:rsidRDefault="00026036" w:rsidP="00AB18ED">
            <w:pPr>
              <w:pStyle w:val="Tabletext"/>
              <w:rPr>
                <w:rFonts w:eastAsia="SimSun" w:cs="Calibri"/>
                <w:sz w:val="18"/>
                <w:szCs w:val="18"/>
                <w:lang w:val="es-ES"/>
              </w:rPr>
            </w:pPr>
            <w:r w:rsidRPr="0031293E">
              <w:rPr>
                <w:lang w:val="es-ES"/>
              </w:rPr>
              <w:t>Adanian Labs</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3F9672D"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r w:rsidR="00026036" w:rsidRPr="0031293E" w14:paraId="59F938E3" w14:textId="77777777" w:rsidTr="002C7565">
        <w:trPr>
          <w:cnfStyle w:val="000000010000" w:firstRow="0" w:lastRow="0" w:firstColumn="0" w:lastColumn="0" w:oddVBand="0" w:evenVBand="0" w:oddHBand="0" w:evenHBand="1"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5793955" w14:textId="77777777" w:rsidR="00026036" w:rsidRPr="0031293E" w:rsidRDefault="00026036" w:rsidP="00AB18ED">
            <w:pPr>
              <w:pStyle w:val="Tabletext"/>
              <w:rPr>
                <w:rFonts w:eastAsia="SimSun" w:cs="Calibri"/>
                <w:sz w:val="18"/>
                <w:szCs w:val="18"/>
                <w:lang w:val="es-ES"/>
              </w:rPr>
            </w:pPr>
            <w:r w:rsidRPr="0031293E">
              <w:rPr>
                <w:lang w:val="es-ES"/>
              </w:rPr>
              <w:t>Nigeria</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6996DA8" w14:textId="77777777" w:rsidR="00026036" w:rsidRPr="0031293E" w:rsidRDefault="00026036" w:rsidP="00AB18ED">
            <w:pPr>
              <w:pStyle w:val="Tabletext"/>
              <w:rPr>
                <w:rFonts w:eastAsia="SimSun" w:cs="Calibri"/>
                <w:sz w:val="18"/>
                <w:szCs w:val="18"/>
                <w:lang w:val="es-ES"/>
              </w:rPr>
            </w:pPr>
            <w:r w:rsidRPr="0031293E">
              <w:rPr>
                <w:lang w:val="es-ES"/>
              </w:rPr>
              <w:t>M-kel Networks Limited</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710C8EE"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r w:rsidR="00026036" w:rsidRPr="0031293E" w14:paraId="1A8E1AC2" w14:textId="77777777" w:rsidTr="002C7565">
        <w:trPr>
          <w:cnfStyle w:val="000000100000" w:firstRow="0" w:lastRow="0" w:firstColumn="0" w:lastColumn="0" w:oddVBand="0" w:evenVBand="0" w:oddHBand="1" w:evenHBand="0"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90841FE" w14:textId="77777777" w:rsidR="00026036" w:rsidRPr="0031293E" w:rsidRDefault="00026036" w:rsidP="00AB18ED">
            <w:pPr>
              <w:pStyle w:val="Tabletext"/>
              <w:rPr>
                <w:rFonts w:eastAsia="SimSun" w:cs="Calibri"/>
                <w:sz w:val="18"/>
                <w:szCs w:val="18"/>
                <w:lang w:val="es-ES"/>
              </w:rPr>
            </w:pPr>
            <w:r w:rsidRPr="0031293E">
              <w:rPr>
                <w:lang w:val="es-ES"/>
              </w:rPr>
              <w:t>Angola</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CD88BD5" w14:textId="77777777" w:rsidR="00026036" w:rsidRPr="0031293E" w:rsidRDefault="00026036" w:rsidP="00AB18ED">
            <w:pPr>
              <w:pStyle w:val="Tabletext"/>
              <w:rPr>
                <w:rFonts w:eastAsia="SimSun" w:cs="Calibri"/>
                <w:sz w:val="18"/>
                <w:szCs w:val="18"/>
                <w:lang w:val="es-ES"/>
              </w:rPr>
            </w:pPr>
            <w:r w:rsidRPr="0031293E">
              <w:rPr>
                <w:lang w:val="es-ES"/>
              </w:rPr>
              <w:t>ELENGEAFRIKA</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A794D0E"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r w:rsidR="00026036" w:rsidRPr="0031293E" w14:paraId="42EC13CF" w14:textId="77777777" w:rsidTr="002C7565">
        <w:trPr>
          <w:cnfStyle w:val="000000010000" w:firstRow="0" w:lastRow="0" w:firstColumn="0" w:lastColumn="0" w:oddVBand="0" w:evenVBand="0" w:oddHBand="0" w:evenHBand="1"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8A543F1" w14:textId="77777777" w:rsidR="00026036" w:rsidRPr="0031293E" w:rsidRDefault="00026036" w:rsidP="00AB18ED">
            <w:pPr>
              <w:pStyle w:val="Tabletext"/>
              <w:rPr>
                <w:rFonts w:eastAsia="SimSun" w:cs="Calibri"/>
                <w:sz w:val="18"/>
                <w:szCs w:val="18"/>
                <w:lang w:val="es-ES"/>
              </w:rPr>
            </w:pPr>
            <w:r w:rsidRPr="0031293E">
              <w:rPr>
                <w:lang w:val="es-ES"/>
              </w:rPr>
              <w:t>Yemen</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72C489F" w14:textId="77777777" w:rsidR="00026036" w:rsidRPr="0031293E" w:rsidRDefault="00026036" w:rsidP="00AB18ED">
            <w:pPr>
              <w:pStyle w:val="Tabletext"/>
              <w:rPr>
                <w:rFonts w:eastAsia="SimSun" w:cs="Calibri"/>
                <w:sz w:val="18"/>
                <w:szCs w:val="18"/>
                <w:lang w:val="es-ES"/>
              </w:rPr>
            </w:pPr>
            <w:r w:rsidRPr="0031293E">
              <w:rPr>
                <w:lang w:val="es-ES"/>
              </w:rPr>
              <w:t>Yemen Mobile</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8EACDF5"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r w:rsidR="00026036" w:rsidRPr="0031293E" w14:paraId="1393E3F0" w14:textId="77777777" w:rsidTr="002C7565">
        <w:trPr>
          <w:cnfStyle w:val="000000100000" w:firstRow="0" w:lastRow="0" w:firstColumn="0" w:lastColumn="0" w:oddVBand="0" w:evenVBand="0" w:oddHBand="1" w:evenHBand="0"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5C0C3F0" w14:textId="77777777" w:rsidR="00026036" w:rsidRPr="0031293E" w:rsidRDefault="00026036" w:rsidP="00AB18ED">
            <w:pPr>
              <w:pStyle w:val="Tabletext"/>
              <w:rPr>
                <w:rFonts w:eastAsia="SimSun" w:cs="Calibri"/>
                <w:sz w:val="18"/>
                <w:szCs w:val="18"/>
                <w:lang w:val="es-ES"/>
              </w:rPr>
            </w:pPr>
            <w:r w:rsidRPr="0031293E">
              <w:rPr>
                <w:lang w:val="es-ES"/>
              </w:rPr>
              <w:t>Uganda</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F29C2EC" w14:textId="77777777" w:rsidR="00026036" w:rsidRPr="0031293E" w:rsidRDefault="00026036" w:rsidP="00AB18ED">
            <w:pPr>
              <w:pStyle w:val="Tabletext"/>
              <w:rPr>
                <w:rFonts w:eastAsia="SimSun" w:cs="Calibri"/>
                <w:sz w:val="18"/>
                <w:szCs w:val="18"/>
                <w:lang w:val="es-ES"/>
              </w:rPr>
            </w:pPr>
            <w:r w:rsidRPr="0031293E">
              <w:rPr>
                <w:lang w:val="es-ES"/>
              </w:rPr>
              <w:t>Lubcom Tech. Solutions Limited</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027D7F1" w14:textId="77777777" w:rsidR="00026036" w:rsidRPr="0031293E" w:rsidRDefault="00026036" w:rsidP="0029024E">
            <w:pPr>
              <w:pStyle w:val="Tabletext"/>
              <w:jc w:val="center"/>
              <w:rPr>
                <w:rFonts w:cs="Calibri"/>
                <w:color w:val="000000"/>
                <w:sz w:val="18"/>
                <w:szCs w:val="18"/>
                <w:lang w:val="es-ES"/>
              </w:rPr>
            </w:pPr>
            <w:r w:rsidRPr="0031293E">
              <w:rPr>
                <w:lang w:val="es-ES"/>
              </w:rPr>
              <w:t>Asociado</w:t>
            </w:r>
          </w:p>
        </w:tc>
      </w:tr>
      <w:tr w:rsidR="00026036" w:rsidRPr="0031293E" w14:paraId="19D27E11" w14:textId="77777777" w:rsidTr="002C7565">
        <w:trPr>
          <w:cnfStyle w:val="000000010000" w:firstRow="0" w:lastRow="0" w:firstColumn="0" w:lastColumn="0" w:oddVBand="0" w:evenVBand="0" w:oddHBand="0" w:evenHBand="1"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B9C282F" w14:textId="77777777" w:rsidR="00026036" w:rsidRPr="0031293E" w:rsidRDefault="00026036" w:rsidP="00AB18ED">
            <w:pPr>
              <w:pStyle w:val="Tabletext"/>
              <w:rPr>
                <w:rFonts w:eastAsia="SimSun" w:cs="Calibri"/>
                <w:sz w:val="18"/>
                <w:szCs w:val="18"/>
                <w:lang w:val="es-ES"/>
              </w:rPr>
            </w:pPr>
            <w:r w:rsidRPr="0031293E">
              <w:rPr>
                <w:lang w:val="es-ES"/>
              </w:rPr>
              <w:t>Papua Nueva Guinea</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0BE6B8C" w14:textId="77777777" w:rsidR="00026036" w:rsidRPr="00BF10C3" w:rsidRDefault="00026036" w:rsidP="00AB18ED">
            <w:pPr>
              <w:pStyle w:val="Tabletext"/>
              <w:rPr>
                <w:rFonts w:eastAsia="SimSun" w:cs="Calibri"/>
                <w:sz w:val="18"/>
                <w:szCs w:val="18"/>
              </w:rPr>
            </w:pPr>
            <w:r w:rsidRPr="00BF10C3">
              <w:t>South Pacific Systems Private Limited</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430A90F"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r w:rsidR="00026036" w:rsidRPr="0031293E" w14:paraId="14103E4B" w14:textId="77777777" w:rsidTr="002C7565">
        <w:trPr>
          <w:cnfStyle w:val="000000100000" w:firstRow="0" w:lastRow="0" w:firstColumn="0" w:lastColumn="0" w:oddVBand="0" w:evenVBand="0" w:oddHBand="1" w:evenHBand="0"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6140408" w14:textId="77777777" w:rsidR="00026036" w:rsidRPr="0031293E" w:rsidRDefault="00026036" w:rsidP="00AB18ED">
            <w:pPr>
              <w:pStyle w:val="Tabletext"/>
              <w:rPr>
                <w:rFonts w:eastAsia="SimSun" w:cs="Calibri"/>
                <w:sz w:val="18"/>
                <w:szCs w:val="18"/>
                <w:lang w:val="es-ES"/>
              </w:rPr>
            </w:pPr>
            <w:r w:rsidRPr="0031293E">
              <w:rPr>
                <w:lang w:val="es-ES"/>
              </w:rPr>
              <w:t>Yemen</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8EB7C54" w14:textId="77777777" w:rsidR="00026036" w:rsidRPr="00BF10C3" w:rsidRDefault="00026036" w:rsidP="00AB18ED">
            <w:pPr>
              <w:pStyle w:val="Tabletext"/>
              <w:rPr>
                <w:rFonts w:eastAsia="SimSun" w:cs="Calibri"/>
                <w:sz w:val="18"/>
                <w:szCs w:val="18"/>
              </w:rPr>
            </w:pPr>
            <w:r w:rsidRPr="00BF10C3">
              <w:t>National Foundation for Development and Humanitarian Response (NFDHR)</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D0D58B0" w14:textId="77777777" w:rsidR="00026036" w:rsidRPr="0031293E" w:rsidRDefault="00026036" w:rsidP="0029024E">
            <w:pPr>
              <w:pStyle w:val="Tabletext"/>
              <w:jc w:val="center"/>
              <w:rPr>
                <w:rFonts w:cs="Calibri"/>
                <w:color w:val="000000"/>
                <w:sz w:val="18"/>
                <w:szCs w:val="18"/>
                <w:lang w:val="es-ES"/>
              </w:rPr>
            </w:pPr>
            <w:r w:rsidRPr="0031293E">
              <w:rPr>
                <w:lang w:val="es-ES"/>
              </w:rPr>
              <w:t>Asociado</w:t>
            </w:r>
          </w:p>
        </w:tc>
      </w:tr>
      <w:tr w:rsidR="00026036" w:rsidRPr="0031293E" w14:paraId="1CE081CA" w14:textId="77777777" w:rsidTr="002C7565">
        <w:trPr>
          <w:cnfStyle w:val="000000010000" w:firstRow="0" w:lastRow="0" w:firstColumn="0" w:lastColumn="0" w:oddVBand="0" w:evenVBand="0" w:oddHBand="0" w:evenHBand="1"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E327B5E" w14:textId="77777777" w:rsidR="00026036" w:rsidRPr="0031293E" w:rsidRDefault="00026036" w:rsidP="00AB18ED">
            <w:pPr>
              <w:pStyle w:val="Tabletext"/>
              <w:rPr>
                <w:rFonts w:eastAsia="SimSun" w:cs="Calibri"/>
                <w:sz w:val="18"/>
                <w:szCs w:val="18"/>
                <w:lang w:val="es-ES"/>
              </w:rPr>
            </w:pPr>
            <w:r w:rsidRPr="0031293E">
              <w:rPr>
                <w:lang w:val="es-ES"/>
              </w:rPr>
              <w:t>Malawi</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1B3A0DD" w14:textId="77777777" w:rsidR="00026036" w:rsidRPr="0031293E" w:rsidRDefault="00026036" w:rsidP="00AB18ED">
            <w:pPr>
              <w:pStyle w:val="Tabletext"/>
              <w:rPr>
                <w:rFonts w:eastAsia="SimSun" w:cs="Calibri"/>
                <w:sz w:val="18"/>
                <w:szCs w:val="18"/>
                <w:lang w:val="es-ES"/>
              </w:rPr>
            </w:pPr>
            <w:r w:rsidRPr="0031293E">
              <w:rPr>
                <w:lang w:val="es-ES"/>
              </w:rPr>
              <w:t>Fatha Hi-Tech Ltd</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32EFE59"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r w:rsidR="00026036" w:rsidRPr="0031293E" w14:paraId="7689F0EE" w14:textId="77777777" w:rsidTr="002C7565">
        <w:trPr>
          <w:cnfStyle w:val="000000100000" w:firstRow="0" w:lastRow="0" w:firstColumn="0" w:lastColumn="0" w:oddVBand="0" w:evenVBand="0" w:oddHBand="1" w:evenHBand="0" w:firstRowFirstColumn="0" w:firstRowLastColumn="0" w:lastRowFirstColumn="0" w:lastRowLastColumn="0"/>
          <w:jc w:val="center"/>
        </w:trPr>
        <w:tc>
          <w:tcPr>
            <w:tcW w:w="2268"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BDFEA9D" w14:textId="77777777" w:rsidR="00026036" w:rsidRPr="0031293E" w:rsidRDefault="00026036" w:rsidP="00AB18ED">
            <w:pPr>
              <w:pStyle w:val="Tabletext"/>
              <w:rPr>
                <w:rFonts w:eastAsia="SimSun" w:cs="Calibri"/>
                <w:sz w:val="18"/>
                <w:szCs w:val="18"/>
                <w:lang w:val="es-ES"/>
              </w:rPr>
            </w:pPr>
            <w:r w:rsidRPr="0031293E">
              <w:rPr>
                <w:lang w:val="es-ES"/>
              </w:rPr>
              <w:t>Venezuela (República Bolivariana de)</w:t>
            </w:r>
          </w:p>
        </w:tc>
        <w:tc>
          <w:tcPr>
            <w:tcW w:w="527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83866C6" w14:textId="77777777" w:rsidR="00026036" w:rsidRPr="0031293E" w:rsidRDefault="00026036" w:rsidP="00AB18ED">
            <w:pPr>
              <w:pStyle w:val="Tabletext"/>
              <w:rPr>
                <w:rFonts w:eastAsia="SimSun" w:cs="Calibri"/>
                <w:sz w:val="18"/>
                <w:szCs w:val="18"/>
                <w:lang w:val="es-ES"/>
              </w:rPr>
            </w:pPr>
            <w:r w:rsidRPr="0031293E">
              <w:rPr>
                <w:lang w:val="es-ES"/>
              </w:rPr>
              <w:t>TELECOMUNICACIONES GRAN CARIBE, S.A.</w:t>
            </w:r>
          </w:p>
        </w:tc>
        <w:tc>
          <w:tcPr>
            <w:tcW w:w="2089"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6CB7665" w14:textId="77777777" w:rsidR="00026036" w:rsidRPr="0031293E" w:rsidRDefault="00026036" w:rsidP="0029024E">
            <w:pPr>
              <w:pStyle w:val="Tabletext"/>
              <w:jc w:val="center"/>
              <w:rPr>
                <w:rFonts w:cs="Calibri"/>
                <w:color w:val="000000"/>
                <w:sz w:val="18"/>
                <w:szCs w:val="18"/>
                <w:lang w:val="es-ES"/>
              </w:rPr>
            </w:pPr>
            <w:r w:rsidRPr="0031293E">
              <w:rPr>
                <w:lang w:val="es-ES"/>
              </w:rPr>
              <w:t>Miembro de Sector</w:t>
            </w:r>
          </w:p>
        </w:tc>
      </w:tr>
    </w:tbl>
    <w:p w14:paraId="3D53C15D" w14:textId="17AEB109" w:rsidR="0011291E" w:rsidRPr="0031293E" w:rsidRDefault="00B15801" w:rsidP="00385E51">
      <w:pPr>
        <w:pStyle w:val="Heading2"/>
        <w:rPr>
          <w:rFonts w:ascii="Calibri" w:eastAsia="SimSun" w:hAnsi="Calibri" w:cs="Arial"/>
          <w:bCs/>
          <w:lang w:val="es-ES"/>
        </w:rPr>
      </w:pPr>
      <w:r w:rsidRPr="0031293E">
        <w:rPr>
          <w:lang w:val="es-ES"/>
        </w:rPr>
        <w:lastRenderedPageBreak/>
        <w:t>2.4</w:t>
      </w:r>
      <w:r w:rsidRPr="0031293E">
        <w:rPr>
          <w:lang w:val="es-ES"/>
        </w:rPr>
        <w:tab/>
      </w:r>
      <w:r w:rsidR="0011291E" w:rsidRPr="0031293E">
        <w:rPr>
          <w:lang w:val="es-ES"/>
        </w:rPr>
        <w:t>Afiliación como Institución Académica</w:t>
      </w:r>
      <w:r w:rsidR="00566FD6">
        <w:rPr>
          <w:rStyle w:val="FootnoteReference"/>
          <w:lang w:val="es-ES"/>
        </w:rPr>
        <w:footnoteReference w:id="3"/>
      </w:r>
    </w:p>
    <w:p w14:paraId="5A6B4771" w14:textId="5940A3CB" w:rsidR="0011291E" w:rsidRPr="0031293E" w:rsidRDefault="00C25181" w:rsidP="0011291E">
      <w:pPr>
        <w:keepNext/>
        <w:tabs>
          <w:tab w:val="clear" w:pos="794"/>
          <w:tab w:val="clear" w:pos="1191"/>
          <w:tab w:val="clear" w:pos="1588"/>
          <w:tab w:val="clear" w:pos="1985"/>
          <w:tab w:val="left" w:pos="567"/>
          <w:tab w:val="left" w:pos="1134"/>
          <w:tab w:val="left" w:pos="1701"/>
          <w:tab w:val="left" w:pos="2268"/>
        </w:tabs>
        <w:rPr>
          <w:lang w:val="es-ES"/>
        </w:rPr>
      </w:pPr>
      <w:r w:rsidRPr="0031293E">
        <w:rPr>
          <w:rFonts w:ascii="Calibri" w:eastAsia="SimSun" w:hAnsi="Calibri" w:cs="Arial"/>
          <w:b/>
          <w:bCs/>
          <w:noProof/>
          <w:szCs w:val="24"/>
          <w:lang w:val="es-ES"/>
        </w:rPr>
        <mc:AlternateContent>
          <mc:Choice Requires="wpg">
            <w:drawing>
              <wp:anchor distT="0" distB="0" distL="114300" distR="114300" simplePos="0" relativeHeight="251659264" behindDoc="0" locked="0" layoutInCell="1" allowOverlap="1" wp14:anchorId="7CF4C9C9" wp14:editId="127831B4">
                <wp:simplePos x="0" y="0"/>
                <wp:positionH relativeFrom="column">
                  <wp:posOffset>4989432</wp:posOffset>
                </wp:positionH>
                <wp:positionV relativeFrom="paragraph">
                  <wp:posOffset>1181560</wp:posOffset>
                </wp:positionV>
                <wp:extent cx="1121134" cy="898443"/>
                <wp:effectExtent l="0" t="0" r="0" b="0"/>
                <wp:wrapNone/>
                <wp:docPr id="1" name="Group 1"/>
                <wp:cNvGraphicFramePr/>
                <a:graphic xmlns:a="http://schemas.openxmlformats.org/drawingml/2006/main">
                  <a:graphicData uri="http://schemas.microsoft.com/office/word/2010/wordprocessingGroup">
                    <wpg:wgp>
                      <wpg:cNvGrpSpPr/>
                      <wpg:grpSpPr>
                        <a:xfrm>
                          <a:off x="0" y="0"/>
                          <a:ext cx="1121134" cy="898443"/>
                          <a:chOff x="0" y="0"/>
                          <a:chExt cx="1235523" cy="848558"/>
                        </a:xfrm>
                      </wpg:grpSpPr>
                      <wpg:grpSp>
                        <wpg:cNvPr id="1398672855" name="Group 3"/>
                        <wpg:cNvGrpSpPr/>
                        <wpg:grpSpPr>
                          <a:xfrm>
                            <a:off x="0" y="561539"/>
                            <a:ext cx="960628" cy="287019"/>
                            <a:chOff x="0" y="-436"/>
                            <a:chExt cx="960628" cy="287019"/>
                          </a:xfrm>
                        </wpg:grpSpPr>
                        <wps:wsp>
                          <wps:cNvPr id="1700008344" name="Oval 2"/>
                          <wps:cNvSpPr/>
                          <wps:spPr>
                            <a:xfrm>
                              <a:off x="0" y="76200"/>
                              <a:ext cx="129540" cy="12954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590285" name="Text Box 2"/>
                          <wps:cNvSpPr txBox="1">
                            <a:spLocks noChangeArrowheads="1"/>
                          </wps:cNvSpPr>
                          <wps:spPr bwMode="auto">
                            <a:xfrm>
                              <a:off x="190374" y="-436"/>
                              <a:ext cx="770254" cy="287019"/>
                            </a:xfrm>
                            <a:prstGeom prst="rect">
                              <a:avLst/>
                            </a:prstGeom>
                            <a:noFill/>
                            <a:ln w="9525">
                              <a:noFill/>
                              <a:miter lim="800000"/>
                              <a:headEnd/>
                              <a:tailEnd/>
                            </a:ln>
                          </wps:spPr>
                          <wps:txbx>
                            <w:txbxContent>
                              <w:p w14:paraId="28C4E226" w14:textId="77777777" w:rsidR="0011291E" w:rsidRPr="00AD04D0" w:rsidRDefault="0011291E" w:rsidP="0011291E">
                                <w:pPr>
                                  <w:spacing w:before="0"/>
                                  <w:rPr>
                                    <w:rFonts w:ascii="Avenir Nxt2 W1G" w:hAnsi="Avenir Nxt2 W1G"/>
                                    <w:sz w:val="16"/>
                                    <w:szCs w:val="16"/>
                                  </w:rPr>
                                </w:pPr>
                                <w:r w:rsidRPr="00AD04D0">
                                  <w:rPr>
                                    <w:sz w:val="16"/>
                                    <w:szCs w:val="16"/>
                                    <w:lang w:val="es-ES"/>
                                  </w:rPr>
                                  <w:t>Total</w:t>
                                </w:r>
                              </w:p>
                            </w:txbxContent>
                          </wps:txbx>
                          <wps:bodyPr rot="0" vert="horz" wrap="square" lIns="91440" tIns="45720" rIns="91440" bIns="45720" anchor="t" anchorCtr="0">
                            <a:noAutofit/>
                          </wps:bodyPr>
                        </wps:wsp>
                      </wpg:grpSp>
                      <wpg:grpSp>
                        <wpg:cNvPr id="1617162133" name="Group 3"/>
                        <wpg:cNvGrpSpPr/>
                        <wpg:grpSpPr>
                          <a:xfrm>
                            <a:off x="0" y="0"/>
                            <a:ext cx="1235523" cy="287086"/>
                            <a:chOff x="0" y="0"/>
                            <a:chExt cx="1235523" cy="287086"/>
                          </a:xfrm>
                        </wpg:grpSpPr>
                        <wps:wsp>
                          <wps:cNvPr id="1221657299" name="Oval 2"/>
                          <wps:cNvSpPr/>
                          <wps:spPr>
                            <a:xfrm>
                              <a:off x="0" y="76200"/>
                              <a:ext cx="129540" cy="129540"/>
                            </a:xfrm>
                            <a:prstGeom prst="ellipse">
                              <a:avLst/>
                            </a:prstGeom>
                            <a:solidFill>
                              <a:srgbClr val="FFE9A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2495559" name="Text Box 2"/>
                          <wps:cNvSpPr txBox="1">
                            <a:spLocks noChangeArrowheads="1"/>
                          </wps:cNvSpPr>
                          <wps:spPr bwMode="auto">
                            <a:xfrm>
                              <a:off x="190273" y="0"/>
                              <a:ext cx="1045250" cy="287086"/>
                            </a:xfrm>
                            <a:prstGeom prst="rect">
                              <a:avLst/>
                            </a:prstGeom>
                            <a:noFill/>
                            <a:ln w="9525">
                              <a:noFill/>
                              <a:miter lim="800000"/>
                              <a:headEnd/>
                              <a:tailEnd/>
                            </a:ln>
                          </wps:spPr>
                          <wps:txbx>
                            <w:txbxContent>
                              <w:p w14:paraId="29E87FAA" w14:textId="77777777" w:rsidR="0011291E" w:rsidRPr="00AD04D0" w:rsidRDefault="0011291E" w:rsidP="0011291E">
                                <w:pPr>
                                  <w:spacing w:before="0"/>
                                  <w:rPr>
                                    <w:rFonts w:ascii="Avenir Nxt2 W1G" w:hAnsi="Avenir Nxt2 W1G"/>
                                    <w:sz w:val="16"/>
                                    <w:szCs w:val="16"/>
                                  </w:rPr>
                                </w:pPr>
                                <w:r w:rsidRPr="00AD04D0">
                                  <w:rPr>
                                    <w:sz w:val="16"/>
                                    <w:szCs w:val="16"/>
                                    <w:lang w:val="es-ES"/>
                                  </w:rPr>
                                  <w:t>Crecimiento</w:t>
                                </w:r>
                              </w:p>
                            </w:txbxContent>
                          </wps:txbx>
                          <wps:bodyPr rot="0" vert="horz" wrap="square" lIns="91440" tIns="45720" rIns="91440" bIns="45720" anchor="t" anchorCtr="0">
                            <a:noAutofit/>
                          </wps:bodyPr>
                        </wps:wsp>
                      </wpg:grpSp>
                      <wpg:grpSp>
                        <wpg:cNvPr id="1852376976" name="Group 3"/>
                        <wpg:cNvGrpSpPr/>
                        <wpg:grpSpPr>
                          <a:xfrm>
                            <a:off x="0" y="276161"/>
                            <a:ext cx="959791" cy="287019"/>
                            <a:chOff x="0" y="-64"/>
                            <a:chExt cx="959791" cy="287019"/>
                          </a:xfrm>
                        </wpg:grpSpPr>
                        <wps:wsp>
                          <wps:cNvPr id="1759765119" name="Oval 2"/>
                          <wps:cNvSpPr/>
                          <wps:spPr>
                            <a:xfrm>
                              <a:off x="0" y="76200"/>
                              <a:ext cx="129540" cy="129540"/>
                            </a:xfrm>
                            <a:prstGeom prst="ellipse">
                              <a:avLst/>
                            </a:prstGeom>
                            <a:solidFill>
                              <a:srgbClr val="C3720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148485" name="Text Box 2"/>
                          <wps:cNvSpPr txBox="1">
                            <a:spLocks noChangeArrowheads="1"/>
                          </wps:cNvSpPr>
                          <wps:spPr bwMode="auto">
                            <a:xfrm>
                              <a:off x="190172" y="-64"/>
                              <a:ext cx="769619" cy="287019"/>
                            </a:xfrm>
                            <a:prstGeom prst="rect">
                              <a:avLst/>
                            </a:prstGeom>
                            <a:noFill/>
                            <a:ln w="9525">
                              <a:noFill/>
                              <a:miter lim="800000"/>
                              <a:headEnd/>
                              <a:tailEnd/>
                            </a:ln>
                          </wps:spPr>
                          <wps:txbx>
                            <w:txbxContent>
                              <w:p w14:paraId="718378DF" w14:textId="77777777" w:rsidR="0011291E" w:rsidRPr="00AD04D0" w:rsidRDefault="0011291E" w:rsidP="0011291E">
                                <w:pPr>
                                  <w:spacing w:before="0"/>
                                  <w:rPr>
                                    <w:rFonts w:ascii="Avenir Nxt2 W1G" w:hAnsi="Avenir Nxt2 W1G"/>
                                    <w:sz w:val="16"/>
                                    <w:szCs w:val="16"/>
                                  </w:rPr>
                                </w:pPr>
                                <w:r w:rsidRPr="00AD04D0">
                                  <w:rPr>
                                    <w:sz w:val="16"/>
                                    <w:szCs w:val="16"/>
                                    <w:lang w:val="es-ES"/>
                                  </w:rPr>
                                  <w:t>Pérdida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CF4C9C9" id="Group 1" o:spid="_x0000_s1044" style="position:absolute;margin-left:392.85pt;margin-top:93.05pt;width:88.3pt;height:70.75pt;z-index:251659264;mso-width-relative:margin;mso-height-relative:margin" coordsize="12355,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">
                <v:group id="_x0000_s1045" style="position:absolute;top:5615;width:9606;height:2870" coordorigin=",-4" coordsize="9606,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">
                  <v:oval id="Oval 2" o:spid="_x0000_s104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" fillcolor="#ffc000" stroked="f" strokeweight="2pt"/>
                  <v:shape id="_x0000_s1047" type="#_x0000_t202" style="position:absolute;left:1903;top:-4;width:7703;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" filled="f" stroked="f">
                    <v:textbox>
                      <w:txbxContent>
                        <w:p w14:paraId="28C4E226" w14:textId="77777777" w:rsidR="0011291E" w:rsidRPr="00AD04D0" w:rsidRDefault="0011291E" w:rsidP="0011291E">
                          <w:pPr>
                            <w:spacing w:before="0"/>
                            <w:rPr>
                              <w:rFonts w:ascii="Avenir Nxt2 W1G" w:hAnsi="Avenir Nxt2 W1G"/>
                              <w:sz w:val="16"/>
                              <w:szCs w:val="16"/>
                            </w:rPr>
                          </w:pPr>
                          <w:r w:rsidRPr="00AD04D0">
                            <w:rPr>
                              <w:sz w:val="16"/>
                              <w:szCs w:val="16"/>
                              <w:lang w:val="es-ES"/>
                            </w:rPr>
                            <w:t>Total</w:t>
                          </w:r>
                        </w:p>
                      </w:txbxContent>
                    </v:textbox>
                  </v:shape>
                </v:group>
                <v:group id="_x0000_s1048" style="position:absolute;width:12355;height:2870" coordsize="12355,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">
                  <v:oval id="Oval 2" o:spid="_x0000_s104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" fillcolor="#ffe9a9" stroked="f" strokeweight="2pt"/>
                  <v:shape id="_x0000_s1050" type="#_x0000_t202" style="position:absolute;left:1902;width:1045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" filled="f" stroked="f">
                    <v:textbox>
                      <w:txbxContent>
                        <w:p w14:paraId="29E87FAA" w14:textId="77777777" w:rsidR="0011291E" w:rsidRPr="00AD04D0" w:rsidRDefault="0011291E" w:rsidP="0011291E">
                          <w:pPr>
                            <w:spacing w:before="0"/>
                            <w:rPr>
                              <w:rFonts w:ascii="Avenir Nxt2 W1G" w:hAnsi="Avenir Nxt2 W1G"/>
                              <w:sz w:val="16"/>
                              <w:szCs w:val="16"/>
                            </w:rPr>
                          </w:pPr>
                          <w:r w:rsidRPr="00AD04D0">
                            <w:rPr>
                              <w:sz w:val="16"/>
                              <w:szCs w:val="16"/>
                              <w:lang w:val="es-ES"/>
                            </w:rPr>
                            <w:t>Crecimiento</w:t>
                          </w:r>
                        </w:p>
                      </w:txbxContent>
                    </v:textbox>
                  </v:shape>
                </v:group>
                <v:group id="_x0000_s1051" style="position:absolute;top:2761;width:9597;height:2870" coordorigin="" coordsize="9597,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">
                  <v:oval id="Oval 2" o:spid="_x0000_s1052"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" fillcolor="#c37205" stroked="f" strokeweight="2pt"/>
                  <v:shape id="_x0000_s1053" type="#_x0000_t202" style="position:absolute;left:1901;width:7696;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" filled="f" stroked="f">
                    <v:textbox>
                      <w:txbxContent>
                        <w:p w14:paraId="718378DF" w14:textId="77777777" w:rsidR="0011291E" w:rsidRPr="00AD04D0" w:rsidRDefault="0011291E" w:rsidP="0011291E">
                          <w:pPr>
                            <w:spacing w:before="0"/>
                            <w:rPr>
                              <w:rFonts w:ascii="Avenir Nxt2 W1G" w:hAnsi="Avenir Nxt2 W1G"/>
                              <w:sz w:val="16"/>
                              <w:szCs w:val="16"/>
                            </w:rPr>
                          </w:pPr>
                          <w:r w:rsidRPr="00AD04D0">
                            <w:rPr>
                              <w:sz w:val="16"/>
                              <w:szCs w:val="16"/>
                              <w:lang w:val="es-ES"/>
                            </w:rPr>
                            <w:t>Pérdida</w:t>
                          </w:r>
                        </w:p>
                      </w:txbxContent>
                    </v:textbox>
                  </v:shape>
                </v:group>
              </v:group>
            </w:pict>
          </mc:Fallback>
        </mc:AlternateContent>
      </w:r>
      <w:r w:rsidR="00AD04D0" w:rsidRPr="0031293E">
        <w:rPr>
          <w:rFonts w:ascii="Calibri" w:eastAsia="SimSun" w:hAnsi="Calibri" w:cs="Arial"/>
          <w:b/>
          <w:bCs/>
          <w:noProof/>
          <w:szCs w:val="24"/>
          <w:lang w:val="es-ES"/>
        </w:rPr>
        <mc:AlternateContent>
          <mc:Choice Requires="wps">
            <w:drawing>
              <wp:anchor distT="45720" distB="45720" distL="114300" distR="114300" simplePos="0" relativeHeight="251666432" behindDoc="0" locked="0" layoutInCell="1" allowOverlap="1" wp14:anchorId="1FC4643A" wp14:editId="745D6900">
                <wp:simplePos x="0" y="0"/>
                <wp:positionH relativeFrom="margin">
                  <wp:posOffset>3604895</wp:posOffset>
                </wp:positionH>
                <wp:positionV relativeFrom="paragraph">
                  <wp:posOffset>2912745</wp:posOffset>
                </wp:positionV>
                <wp:extent cx="565200" cy="27000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 cy="270000"/>
                        </a:xfrm>
                        <a:prstGeom prst="rect">
                          <a:avLst/>
                        </a:prstGeom>
                        <a:noFill/>
                        <a:ln w="9525">
                          <a:noFill/>
                          <a:miter lim="800000"/>
                          <a:headEnd/>
                          <a:tailEnd/>
                        </a:ln>
                      </wps:spPr>
                      <wps:txbx>
                        <w:txbxContent>
                          <w:p w14:paraId="69F7A0C7" w14:textId="77777777" w:rsidR="0011291E" w:rsidRPr="0057040A" w:rsidRDefault="0011291E" w:rsidP="0011291E">
                            <w:pPr>
                              <w:spacing w:before="0"/>
                              <w:jc w:val="center"/>
                              <w:rPr>
                                <w:rFonts w:ascii="Avenir Nxt2 W1G" w:hAnsi="Avenir Nxt2 W1G"/>
                                <w:sz w:val="18"/>
                                <w:szCs w:val="14"/>
                              </w:rPr>
                            </w:pPr>
                            <w:r>
                              <w:rPr>
                                <w:lang w:val="es-ES"/>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4643A" id="Text Box 2" o:spid="_x0000_s1054" type="#_x0000_t202" style="position:absolute;margin-left:283.85pt;margin-top:229.35pt;width:44.5pt;height:2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" filled="f" stroked="f">
                <v:textbox>
                  <w:txbxContent>
                    <w:p w14:paraId="69F7A0C7" w14:textId="77777777" w:rsidR="0011291E" w:rsidRPr="0057040A" w:rsidRDefault="0011291E" w:rsidP="0011291E">
                      <w:pPr>
                        <w:spacing w:before="0"/>
                        <w:jc w:val="center"/>
                        <w:rPr>
                          <w:rFonts w:ascii="Avenir Nxt2 W1G" w:hAnsi="Avenir Nxt2 W1G"/>
                          <w:sz w:val="18"/>
                          <w:szCs w:val="14"/>
                        </w:rPr>
                      </w:pPr>
                      <w:r>
                        <w:rPr>
                          <w:lang w:val="es-ES"/>
                        </w:rPr>
                        <w:t>2023</w:t>
                      </w:r>
                    </w:p>
                  </w:txbxContent>
                </v:textbox>
                <w10:wrap anchorx="margin"/>
              </v:shape>
            </w:pict>
          </mc:Fallback>
        </mc:AlternateContent>
      </w:r>
      <w:r w:rsidR="00AD04D0" w:rsidRPr="0031293E">
        <w:rPr>
          <w:rFonts w:ascii="Calibri" w:eastAsia="SimSun" w:hAnsi="Calibri" w:cs="Arial"/>
          <w:b/>
          <w:bCs/>
          <w:noProof/>
          <w:szCs w:val="24"/>
          <w:lang w:val="es-ES"/>
        </w:rPr>
        <mc:AlternateContent>
          <mc:Choice Requires="wps">
            <w:drawing>
              <wp:anchor distT="45720" distB="45720" distL="114300" distR="114300" simplePos="0" relativeHeight="251665408" behindDoc="0" locked="0" layoutInCell="1" allowOverlap="1" wp14:anchorId="2EFE4865" wp14:editId="35576228">
                <wp:simplePos x="0" y="0"/>
                <wp:positionH relativeFrom="column">
                  <wp:posOffset>1649095</wp:posOffset>
                </wp:positionH>
                <wp:positionV relativeFrom="paragraph">
                  <wp:posOffset>2912745</wp:posOffset>
                </wp:positionV>
                <wp:extent cx="565200" cy="262800"/>
                <wp:effectExtent l="0" t="0" r="0" b="4445"/>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 cy="262800"/>
                        </a:xfrm>
                        <a:prstGeom prst="rect">
                          <a:avLst/>
                        </a:prstGeom>
                        <a:noFill/>
                        <a:ln w="9525">
                          <a:noFill/>
                          <a:miter lim="800000"/>
                          <a:headEnd/>
                          <a:tailEnd/>
                        </a:ln>
                      </wps:spPr>
                      <wps:txbx>
                        <w:txbxContent>
                          <w:p w14:paraId="3786B968" w14:textId="77777777" w:rsidR="0011291E" w:rsidRPr="0057040A" w:rsidRDefault="0011291E" w:rsidP="0011291E">
                            <w:pPr>
                              <w:spacing w:before="0"/>
                              <w:jc w:val="center"/>
                              <w:rPr>
                                <w:rFonts w:ascii="Avenir Nxt2 W1G" w:hAnsi="Avenir Nxt2 W1G"/>
                                <w:sz w:val="18"/>
                                <w:szCs w:val="14"/>
                              </w:rPr>
                            </w:pPr>
                            <w:r>
                              <w:rPr>
                                <w:lang w:val="es-ES"/>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E4865" id="_x0000_s1055" type="#_x0000_t202" style="position:absolute;margin-left:129.85pt;margin-top:229.35pt;width:44.5pt;height:2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" filled="f" stroked="f">
                <v:textbox>
                  <w:txbxContent>
                    <w:p w14:paraId="3786B968" w14:textId="77777777" w:rsidR="0011291E" w:rsidRPr="0057040A" w:rsidRDefault="0011291E" w:rsidP="0011291E">
                      <w:pPr>
                        <w:spacing w:before="0"/>
                        <w:jc w:val="center"/>
                        <w:rPr>
                          <w:rFonts w:ascii="Avenir Nxt2 W1G" w:hAnsi="Avenir Nxt2 W1G"/>
                          <w:sz w:val="18"/>
                          <w:szCs w:val="14"/>
                        </w:rPr>
                      </w:pPr>
                      <w:r>
                        <w:rPr>
                          <w:lang w:val="es-ES"/>
                        </w:rPr>
                        <w:t>2022</w:t>
                      </w:r>
                    </w:p>
                  </w:txbxContent>
                </v:textbox>
              </v:shape>
            </w:pict>
          </mc:Fallback>
        </mc:AlternateContent>
      </w:r>
      <w:r w:rsidR="00AB18ED" w:rsidRPr="0031293E">
        <w:rPr>
          <w:rFonts w:ascii="Calibri" w:eastAsia="SimSun" w:hAnsi="Calibri" w:cs="Arial"/>
          <w:b/>
          <w:bCs/>
          <w:noProof/>
          <w:szCs w:val="24"/>
          <w:lang w:val="es-ES"/>
        </w:rPr>
        <mc:AlternateContent>
          <mc:Choice Requires="wps">
            <w:drawing>
              <wp:anchor distT="45720" distB="45720" distL="114300" distR="114300" simplePos="0" relativeHeight="251664384" behindDoc="0" locked="0" layoutInCell="1" allowOverlap="1" wp14:anchorId="2C076F6C" wp14:editId="2F432E73">
                <wp:simplePos x="0" y="0"/>
                <wp:positionH relativeFrom="column">
                  <wp:posOffset>377190</wp:posOffset>
                </wp:positionH>
                <wp:positionV relativeFrom="paragraph">
                  <wp:posOffset>2912584</wp:posOffset>
                </wp:positionV>
                <wp:extent cx="563880" cy="301349"/>
                <wp:effectExtent l="0" t="0" r="0" b="381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01349"/>
                        </a:xfrm>
                        <a:prstGeom prst="rect">
                          <a:avLst/>
                        </a:prstGeom>
                        <a:noFill/>
                        <a:ln w="9525">
                          <a:noFill/>
                          <a:miter lim="800000"/>
                          <a:headEnd/>
                          <a:tailEnd/>
                        </a:ln>
                      </wps:spPr>
                      <wps:txbx>
                        <w:txbxContent>
                          <w:p w14:paraId="13D3A71E" w14:textId="77777777" w:rsidR="0011291E" w:rsidRPr="00EC3B94" w:rsidRDefault="0011291E" w:rsidP="0011291E">
                            <w:pPr>
                              <w:spacing w:before="0"/>
                              <w:jc w:val="center"/>
                              <w:rPr>
                                <w:rFonts w:ascii="Avenir Nxt2 W1G" w:hAnsi="Avenir Nxt2 W1G"/>
                                <w:sz w:val="18"/>
                                <w:szCs w:val="14"/>
                              </w:rPr>
                            </w:pPr>
                            <w:r>
                              <w:rPr>
                                <w:lang w:val="es-ES"/>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76F6C" id="_x0000_s1056" type="#_x0000_t202" style="position:absolute;margin-left:29.7pt;margin-top:229.35pt;width:44.4pt;height:2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" filled="f" stroked="f">
                <v:textbox>
                  <w:txbxContent>
                    <w:p w14:paraId="13D3A71E" w14:textId="77777777" w:rsidR="0011291E" w:rsidRPr="00EC3B94" w:rsidRDefault="0011291E" w:rsidP="0011291E">
                      <w:pPr>
                        <w:spacing w:before="0"/>
                        <w:jc w:val="center"/>
                        <w:rPr>
                          <w:rFonts w:ascii="Avenir Nxt2 W1G" w:hAnsi="Avenir Nxt2 W1G"/>
                          <w:sz w:val="18"/>
                          <w:szCs w:val="14"/>
                        </w:rPr>
                      </w:pPr>
                      <w:r>
                        <w:rPr>
                          <w:lang w:val="es-ES"/>
                        </w:rPr>
                        <w:t>2021</w:t>
                      </w:r>
                    </w:p>
                  </w:txbxContent>
                </v:textbox>
              </v:shape>
            </w:pict>
          </mc:Fallback>
        </mc:AlternateContent>
      </w:r>
      <w:r w:rsidR="00385E51" w:rsidRPr="0031293E">
        <w:rPr>
          <w:rFonts w:ascii="Calibri" w:eastAsia="SimSun" w:hAnsi="Calibri" w:cs="Arial"/>
          <w:b/>
          <w:bCs/>
          <w:noProof/>
          <w:szCs w:val="24"/>
          <w:lang w:val="es-ES"/>
        </w:rPr>
        <mc:AlternateContent>
          <mc:Choice Requires="wpg">
            <w:drawing>
              <wp:anchor distT="0" distB="0" distL="114300" distR="114300" simplePos="0" relativeHeight="251660288" behindDoc="0" locked="0" layoutInCell="1" allowOverlap="1" wp14:anchorId="538B94E2" wp14:editId="56526A11">
                <wp:simplePos x="0" y="0"/>
                <wp:positionH relativeFrom="column">
                  <wp:posOffset>1061002</wp:posOffset>
                </wp:positionH>
                <wp:positionV relativeFrom="paragraph">
                  <wp:posOffset>277467</wp:posOffset>
                </wp:positionV>
                <wp:extent cx="1971675" cy="2054446"/>
                <wp:effectExtent l="0" t="0" r="28575" b="22225"/>
                <wp:wrapNone/>
                <wp:docPr id="3" name="Group 3"/>
                <wp:cNvGraphicFramePr/>
                <a:graphic xmlns:a="http://schemas.openxmlformats.org/drawingml/2006/main">
                  <a:graphicData uri="http://schemas.microsoft.com/office/word/2010/wordprocessingGroup">
                    <wpg:wgp>
                      <wpg:cNvGrpSpPr/>
                      <wpg:grpSpPr>
                        <a:xfrm>
                          <a:off x="0" y="0"/>
                          <a:ext cx="1971675" cy="2054446"/>
                          <a:chOff x="0" y="0"/>
                          <a:chExt cx="1971675" cy="1998980"/>
                        </a:xfrm>
                      </wpg:grpSpPr>
                      <wps:wsp>
                        <wps:cNvPr id="1446109044"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687018271"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27CC883D" id="Group 3" o:spid="_x0000_s1026" style="position:absolute;margin-left:83.55pt;margin-top:21.85pt;width:155.25pt;height:161.75pt;z-index:251660288;mso-height-relative:margin"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" strokecolor="#bc4542 [3045]"/>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" strokecolor="#bc4542 [3045]"/>
              </v:group>
            </w:pict>
          </mc:Fallback>
        </mc:AlternateContent>
      </w:r>
      <w:r w:rsidR="0011291E" w:rsidRPr="0031293E">
        <w:rPr>
          <w:rFonts w:ascii="Calibri" w:eastAsia="SimSun" w:hAnsi="Calibri" w:cs="Arial"/>
          <w:b/>
          <w:bCs/>
          <w:noProof/>
          <w:lang w:val="es-ES"/>
        </w:rPr>
        <mc:AlternateContent>
          <mc:Choice Requires="cx4">
            <w:drawing>
              <wp:inline distT="0" distB="0" distL="0" distR="0" wp14:anchorId="74B8E49E" wp14:editId="396765FB">
                <wp:extent cx="5128260" cy="3013545"/>
                <wp:effectExtent l="0" t="0" r="15240" b="15875"/>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74B8E49E" wp14:editId="396765FB">
                <wp:extent cx="5128260" cy="3013545"/>
                <wp:effectExtent l="0" t="0" r="15240" b="15875"/>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8"/>
                        <a:stretch>
                          <a:fillRect/>
                        </a:stretch>
                      </pic:blipFill>
                      <pic:spPr>
                        <a:xfrm>
                          <a:off x="0" y="0"/>
                          <a:ext cx="5128260" cy="3013075"/>
                        </a:xfrm>
                        <a:prstGeom prst="rect">
                          <a:avLst/>
                        </a:prstGeom>
                      </pic:spPr>
                    </pic:pic>
                  </a:graphicData>
                </a:graphic>
              </wp:inline>
            </w:drawing>
          </mc:Fallback>
        </mc:AlternateContent>
      </w:r>
    </w:p>
    <w:p w14:paraId="3948BC89" w14:textId="2765E070" w:rsidR="0011291E" w:rsidRPr="0031293E" w:rsidRDefault="0011291E" w:rsidP="0029024E">
      <w:pPr>
        <w:pStyle w:val="Normalaftertitle"/>
        <w:rPr>
          <w:lang w:val="es-ES"/>
        </w:rPr>
      </w:pPr>
      <w:r w:rsidRPr="0031293E">
        <w:rPr>
          <w:lang w:val="es-ES"/>
        </w:rPr>
        <w:t xml:space="preserve">En el </w:t>
      </w:r>
      <w:r w:rsidRPr="0029024E">
        <w:rPr>
          <w:b/>
          <w:bCs/>
          <w:lang w:val="es-ES"/>
        </w:rPr>
        <w:t>Gráfico</w:t>
      </w:r>
      <w:r w:rsidR="0029024E" w:rsidRPr="0029024E">
        <w:rPr>
          <w:b/>
          <w:bCs/>
          <w:lang w:val="es-ES"/>
        </w:rPr>
        <w:t> </w:t>
      </w:r>
      <w:r w:rsidRPr="0029024E">
        <w:rPr>
          <w:b/>
          <w:bCs/>
          <w:lang w:val="es-ES"/>
        </w:rPr>
        <w:t>3</w:t>
      </w:r>
      <w:r w:rsidRPr="0031293E">
        <w:rPr>
          <w:lang w:val="es-ES"/>
        </w:rPr>
        <w:t xml:space="preserve"> se detallan las ganancias y pérdidas en el número de Instituciones Académicas afiliadas en 2022 y 2023. Mientras que se observó un crecimiento importante en 2022, el número de pérdidas fue mayor en 2023. Las Instituciones Académicas pueden participar en los trabajos de los tres Sectores con una sola cuota </w:t>
      </w:r>
      <w:r w:rsidR="00420222" w:rsidRPr="0031293E">
        <w:rPr>
          <w:lang w:val="es-ES"/>
        </w:rPr>
        <w:t>y</w:t>
      </w:r>
      <w:r w:rsidRPr="0031293E">
        <w:rPr>
          <w:lang w:val="es-ES"/>
        </w:rPr>
        <w:t xml:space="preserve"> </w:t>
      </w:r>
      <w:r w:rsidR="004B6C81" w:rsidRPr="0031293E">
        <w:rPr>
          <w:lang w:val="es-ES"/>
        </w:rPr>
        <w:t xml:space="preserve">pueden contribuir </w:t>
      </w:r>
      <w:r w:rsidRPr="0031293E">
        <w:rPr>
          <w:lang w:val="es-ES"/>
        </w:rPr>
        <w:t>a las Comisiones de Estudio</w:t>
      </w:r>
      <w:r w:rsidR="004B6C81" w:rsidRPr="0031293E">
        <w:rPr>
          <w:lang w:val="es-ES"/>
        </w:rPr>
        <w:t xml:space="preserve"> de todos los Sectores</w:t>
      </w:r>
      <w:r w:rsidRPr="0031293E">
        <w:rPr>
          <w:lang w:val="es-ES"/>
        </w:rPr>
        <w:t>. No obstante, se ha informado de dificultades para mantener la afiliación durante un per</w:t>
      </w:r>
      <w:r w:rsidR="009142FD">
        <w:rPr>
          <w:lang w:val="es-ES"/>
        </w:rPr>
        <w:t>i</w:t>
      </w:r>
      <w:r w:rsidRPr="0031293E">
        <w:rPr>
          <w:lang w:val="es-ES"/>
        </w:rPr>
        <w:t>odo prolongado debido a limitaciones presupuestarias.</w:t>
      </w:r>
    </w:p>
    <w:p w14:paraId="3675A5F7" w14:textId="61D172CA" w:rsidR="0011291E" w:rsidRPr="0031293E" w:rsidRDefault="0011291E" w:rsidP="00132C9F">
      <w:pPr>
        <w:rPr>
          <w:lang w:val="es-ES"/>
        </w:rPr>
      </w:pPr>
      <w:r w:rsidRPr="0031293E">
        <w:rPr>
          <w:lang w:val="es-ES"/>
        </w:rPr>
        <w:t xml:space="preserve">A fin de compensar las pérdidas, se siguen realizando grandes esfuerzos de divulgación, en particular mediante la organización de visitas y sesiones de información con los Estados Miembros interesados en promover y apoyar a las Instituciones Académicas afiliadas. </w:t>
      </w:r>
      <w:r w:rsidR="004B6C81" w:rsidRPr="0031293E">
        <w:rPr>
          <w:lang w:val="es-ES"/>
        </w:rPr>
        <w:t>Se ha actualizado la información sobre los beneficios de las Instituciones Académicas en toda la Unión que está disponible en la página web y se está preparando una página específica sobre los beneficios de las Instituciones Académicas.</w:t>
      </w:r>
    </w:p>
    <w:p w14:paraId="5A6CD889" w14:textId="54F5BA26" w:rsidR="0011291E" w:rsidRPr="0031293E" w:rsidRDefault="0011291E" w:rsidP="00132C9F">
      <w:pPr>
        <w:rPr>
          <w:lang w:val="es-ES"/>
        </w:rPr>
      </w:pPr>
      <w:r w:rsidRPr="0031293E">
        <w:rPr>
          <w:lang w:val="es-ES"/>
        </w:rPr>
        <w:t xml:space="preserve">En lo que respecta a la colaboración específica con el UIT-D, </w:t>
      </w:r>
      <w:r w:rsidR="004B6C81" w:rsidRPr="0031293E">
        <w:rPr>
          <w:lang w:val="es-ES"/>
        </w:rPr>
        <w:t xml:space="preserve">se han suscrito acuerdos de colaboración </w:t>
      </w:r>
      <w:r w:rsidR="00420222" w:rsidRPr="0031293E">
        <w:rPr>
          <w:lang w:val="es-ES"/>
        </w:rPr>
        <w:t xml:space="preserve">de prueba </w:t>
      </w:r>
      <w:r w:rsidR="004B6C81" w:rsidRPr="0031293E">
        <w:rPr>
          <w:lang w:val="es-ES"/>
        </w:rPr>
        <w:t xml:space="preserve">con </w:t>
      </w:r>
      <w:r w:rsidR="00420222" w:rsidRPr="0031293E">
        <w:rPr>
          <w:lang w:val="es-ES"/>
        </w:rPr>
        <w:t xml:space="preserve">instituciones </w:t>
      </w:r>
      <w:r w:rsidR="004B6C81" w:rsidRPr="0031293E">
        <w:rPr>
          <w:lang w:val="es-ES"/>
        </w:rPr>
        <w:t xml:space="preserve">académicas (tanto </w:t>
      </w:r>
      <w:r w:rsidR="00420222" w:rsidRPr="0031293E">
        <w:rPr>
          <w:lang w:val="es-ES"/>
        </w:rPr>
        <w:t>M</w:t>
      </w:r>
      <w:r w:rsidR="004B6C81" w:rsidRPr="0031293E">
        <w:rPr>
          <w:lang w:val="es-ES"/>
        </w:rPr>
        <w:t xml:space="preserve">iembros </w:t>
      </w:r>
      <w:r w:rsidR="00420222" w:rsidRPr="0031293E">
        <w:rPr>
          <w:lang w:val="es-ES"/>
        </w:rPr>
        <w:t xml:space="preserve">de la UIT </w:t>
      </w:r>
      <w:r w:rsidR="004B6C81" w:rsidRPr="0031293E">
        <w:rPr>
          <w:lang w:val="es-ES"/>
        </w:rPr>
        <w:t xml:space="preserve">como </w:t>
      </w:r>
      <w:r w:rsidR="00420222" w:rsidRPr="0031293E">
        <w:rPr>
          <w:lang w:val="es-ES"/>
        </w:rPr>
        <w:t>ajenas a la Unión</w:t>
      </w:r>
      <w:r w:rsidR="004B6C81" w:rsidRPr="0031293E">
        <w:rPr>
          <w:lang w:val="es-ES"/>
        </w:rPr>
        <w:t xml:space="preserve">) para elaborar estudios y llevar a cabo investigaciones conjuntas. Además, </w:t>
      </w:r>
      <w:r w:rsidR="00420222" w:rsidRPr="0031293E">
        <w:rPr>
          <w:lang w:val="es-ES"/>
        </w:rPr>
        <w:t>la Academia de la</w:t>
      </w:r>
      <w:r w:rsidR="0029024E">
        <w:rPr>
          <w:lang w:val="es-ES"/>
        </w:rPr>
        <w:t> </w:t>
      </w:r>
      <w:r w:rsidR="00420222" w:rsidRPr="0031293E">
        <w:rPr>
          <w:lang w:val="es-ES"/>
        </w:rPr>
        <w:t>UIT continúa ofreciendo oportunidades de asociación para impartir programas de capacitación u ofrecer cursos específicos conjuntos. En el Anexo</w:t>
      </w:r>
      <w:r w:rsidR="0029024E">
        <w:rPr>
          <w:lang w:val="es-ES"/>
        </w:rPr>
        <w:t> </w:t>
      </w:r>
      <w:r w:rsidR="00420222" w:rsidRPr="0031293E">
        <w:rPr>
          <w:lang w:val="es-ES"/>
        </w:rPr>
        <w:t>1 se ofrece información adicional sobre las oportunidades y la implicación actual en la replicación de la Academia, tanto con las Instituciones Académicas de la UIT como con entidades académicas ajenas a la Unión</w:t>
      </w:r>
      <w:r w:rsidRPr="0031293E">
        <w:rPr>
          <w:lang w:val="es-ES"/>
        </w:rPr>
        <w:t>.</w:t>
      </w:r>
    </w:p>
    <w:p w14:paraId="1CBBD783" w14:textId="3B17CBBF" w:rsidR="0011291E" w:rsidRPr="0031293E" w:rsidRDefault="00385E51" w:rsidP="00385E51">
      <w:pPr>
        <w:pStyle w:val="Heading1"/>
        <w:rPr>
          <w:rFonts w:ascii="Calibri" w:eastAsia="SimSun" w:hAnsi="Calibri" w:cs="Arial"/>
          <w:bCs/>
          <w:szCs w:val="24"/>
          <w:lang w:val="es-ES"/>
        </w:rPr>
      </w:pPr>
      <w:r w:rsidRPr="0031293E">
        <w:rPr>
          <w:lang w:val="es-ES"/>
        </w:rPr>
        <w:lastRenderedPageBreak/>
        <w:t>3</w:t>
      </w:r>
      <w:r w:rsidRPr="0031293E">
        <w:rPr>
          <w:lang w:val="es-ES"/>
        </w:rPr>
        <w:tab/>
      </w:r>
      <w:proofErr w:type="gramStart"/>
      <w:r w:rsidR="0011291E" w:rsidRPr="0031293E">
        <w:rPr>
          <w:lang w:val="es-ES"/>
        </w:rPr>
        <w:t>Participación</w:t>
      </w:r>
      <w:proofErr w:type="gramEnd"/>
      <w:r w:rsidR="0011291E" w:rsidRPr="0031293E">
        <w:rPr>
          <w:lang w:val="es-ES"/>
        </w:rPr>
        <w:t>, retención, promoción y captación</w:t>
      </w:r>
    </w:p>
    <w:p w14:paraId="6D478AF6" w14:textId="2B286D43" w:rsidR="0011291E" w:rsidRPr="0029024E" w:rsidRDefault="00385E51" w:rsidP="00385E51">
      <w:pPr>
        <w:pStyle w:val="enumlev1"/>
        <w:rPr>
          <w:rFonts w:ascii="Calibri" w:eastAsia="SimSun" w:hAnsi="Calibri" w:cs="Calibri"/>
          <w:lang w:val="es-ES"/>
        </w:rPr>
      </w:pPr>
      <w:r w:rsidRPr="0029024E">
        <w:rPr>
          <w:lang w:val="es-ES"/>
        </w:rPr>
        <w:t>–</w:t>
      </w:r>
      <w:r w:rsidRPr="0029024E">
        <w:rPr>
          <w:lang w:val="es-ES"/>
        </w:rPr>
        <w:tab/>
      </w:r>
      <w:r w:rsidR="0011291E" w:rsidRPr="0029024E">
        <w:rPr>
          <w:lang w:val="es-ES"/>
        </w:rPr>
        <w:t xml:space="preserve">La BDT emprendió varias medidas para reforzar las </w:t>
      </w:r>
      <w:r w:rsidR="0011291E" w:rsidRPr="0029024E">
        <w:rPr>
          <w:b/>
          <w:bCs/>
          <w:lang w:val="es-ES"/>
        </w:rPr>
        <w:t>actividades de divulgación y participación</w:t>
      </w:r>
      <w:r w:rsidR="0011291E" w:rsidRPr="0029024E">
        <w:rPr>
          <w:lang w:val="es-ES"/>
        </w:rPr>
        <w:t xml:space="preserve"> mediante campañas de promoción y acciones de difusión en las exposiciones tecnológicas </w:t>
      </w:r>
      <w:proofErr w:type="gramStart"/>
      <w:r w:rsidR="0011291E" w:rsidRPr="0029024E">
        <w:rPr>
          <w:lang w:val="es-ES"/>
        </w:rPr>
        <w:t>mundiales dirigidas</w:t>
      </w:r>
      <w:proofErr w:type="gramEnd"/>
      <w:r w:rsidR="0011291E" w:rsidRPr="0029024E">
        <w:rPr>
          <w:lang w:val="es-ES"/>
        </w:rPr>
        <w:t xml:space="preserve"> a públicos más amplios. La BDT también se centró en convertir las plataformas existentes dentro de la cartera de productos y servicios del UIT-D en canales efectivos para llegar a los miembros. A lo largo de 2023 se celebraron más sesiones informativas (presenciales y virtuales) con expertos temáticos y miembros del UIT-D, lo que aumentó la sensibilización en relación con los ámbitos de colaboración.</w:t>
      </w:r>
    </w:p>
    <w:p w14:paraId="6CAAFF6B" w14:textId="6F36FA2C" w:rsidR="0011291E" w:rsidRPr="0029024E" w:rsidRDefault="00385E51" w:rsidP="00385E51">
      <w:pPr>
        <w:pStyle w:val="enumlev1"/>
        <w:rPr>
          <w:rFonts w:ascii="Calibri" w:eastAsia="SimSun" w:hAnsi="Calibri" w:cs="Calibri"/>
          <w:lang w:val="es-ES"/>
        </w:rPr>
      </w:pPr>
      <w:r w:rsidRPr="0029024E">
        <w:rPr>
          <w:lang w:val="es-ES"/>
        </w:rPr>
        <w:t>–</w:t>
      </w:r>
      <w:r w:rsidRPr="0029024E">
        <w:rPr>
          <w:lang w:val="es-ES"/>
        </w:rPr>
        <w:tab/>
      </w:r>
      <w:r w:rsidR="0011291E" w:rsidRPr="0029024E">
        <w:rPr>
          <w:lang w:val="es-ES"/>
        </w:rPr>
        <w:t xml:space="preserve">En particular, durante el Simposio Mundial para Organismos Reguladores (GSR-23) que tuvo lugar en Sharm-El-Sheikh (Egipto) se celebró una reunión del </w:t>
      </w:r>
      <w:r w:rsidR="0011291E" w:rsidRPr="0029024E">
        <w:rPr>
          <w:b/>
          <w:bCs/>
          <w:lang w:val="es-ES"/>
        </w:rPr>
        <w:t xml:space="preserve">Grupo Asesor de la Industria sobre el Desarrollo y de </w:t>
      </w:r>
      <w:proofErr w:type="gramStart"/>
      <w:r w:rsidR="0011291E" w:rsidRPr="0029024E">
        <w:rPr>
          <w:b/>
          <w:bCs/>
          <w:lang w:val="es-ES"/>
        </w:rPr>
        <w:t>Directores</w:t>
      </w:r>
      <w:proofErr w:type="gramEnd"/>
      <w:r w:rsidR="0011291E" w:rsidRPr="0029024E">
        <w:rPr>
          <w:b/>
          <w:bCs/>
          <w:lang w:val="es-ES"/>
        </w:rPr>
        <w:t xml:space="preserve"> de reglamentación del sector privado (IAGDI-CRO)</w:t>
      </w:r>
      <w:r w:rsidR="0011291E" w:rsidRPr="0029024E">
        <w:rPr>
          <w:lang w:val="es-ES"/>
        </w:rPr>
        <w:t xml:space="preserve">. El interés y el compromiso de los Miembros de Sector del UIT-D quedan demostrados por el número histórico de participantes y por el aumento del número de contribuciones de la industria y del sector privado al proceso de consulta de las Directrices sobre prácticas idóneas del GSR. La </w:t>
      </w:r>
      <w:hyperlink r:id="rId19" w:history="1">
        <w:r w:rsidR="0011291E" w:rsidRPr="0029024E">
          <w:rPr>
            <w:rStyle w:val="Hyperlink"/>
            <w:lang w:val="es-ES"/>
          </w:rPr>
          <w:t>declaración final</w:t>
        </w:r>
      </w:hyperlink>
      <w:r w:rsidR="0011291E" w:rsidRPr="0029024E">
        <w:rPr>
          <w:lang w:val="es-ES"/>
        </w:rPr>
        <w:t xml:space="preserve"> y el Informe del Presidente de la reunión se pueden consultar </w:t>
      </w:r>
      <w:hyperlink r:id="rId20" w:history="1">
        <w:r w:rsidR="0011291E" w:rsidRPr="0029024E">
          <w:rPr>
            <w:rStyle w:val="Hyperlink"/>
            <w:lang w:val="es-ES"/>
          </w:rPr>
          <w:t>aquí</w:t>
        </w:r>
      </w:hyperlink>
      <w:r w:rsidR="0011291E" w:rsidRPr="0029024E">
        <w:rPr>
          <w:lang w:val="es-ES"/>
        </w:rPr>
        <w:t xml:space="preserve">. La próxima reunión del IAGDI-CRO tendrá lugar el </w:t>
      </w:r>
      <w:r w:rsidR="0011291E" w:rsidRPr="0029024E">
        <w:rPr>
          <w:b/>
          <w:bCs/>
          <w:lang w:val="es-ES"/>
        </w:rPr>
        <w:t>2 de julio de 2024</w:t>
      </w:r>
      <w:r w:rsidR="0011291E" w:rsidRPr="0029024E">
        <w:rPr>
          <w:lang w:val="es-ES"/>
        </w:rPr>
        <w:t xml:space="preserve"> en Kampala (Uganda), durante el GSR-24.</w:t>
      </w:r>
    </w:p>
    <w:p w14:paraId="7715960B" w14:textId="19A213A3" w:rsidR="0011291E" w:rsidRPr="00566FD6" w:rsidRDefault="00385E51" w:rsidP="00385E51">
      <w:pPr>
        <w:pStyle w:val="enumlev1"/>
        <w:rPr>
          <w:lang w:val="es-ES"/>
        </w:rPr>
      </w:pPr>
      <w:r w:rsidRPr="0031293E">
        <w:rPr>
          <w:lang w:val="es-ES"/>
        </w:rPr>
        <w:t>–</w:t>
      </w:r>
      <w:r w:rsidRPr="0031293E">
        <w:rPr>
          <w:lang w:val="es-ES"/>
        </w:rPr>
        <w:tab/>
      </w:r>
      <w:r w:rsidR="0011291E" w:rsidRPr="0031293E">
        <w:rPr>
          <w:lang w:val="es-ES"/>
        </w:rPr>
        <w:t xml:space="preserve">La </w:t>
      </w:r>
      <w:r w:rsidR="0011291E" w:rsidRPr="009142FD">
        <w:rPr>
          <w:b/>
          <w:bCs/>
          <w:lang w:val="es-ES"/>
        </w:rPr>
        <w:t>serie</w:t>
      </w:r>
      <w:r w:rsidR="0011291E" w:rsidRPr="00566FD6">
        <w:rPr>
          <w:lang w:val="es-ES"/>
        </w:rPr>
        <w:t xml:space="preserve"> </w:t>
      </w:r>
      <w:r w:rsidR="0011291E" w:rsidRPr="00566FD6">
        <w:rPr>
          <w:b/>
          <w:bCs/>
          <w:lang w:val="es-ES"/>
        </w:rPr>
        <w:t>Conozca a sus Miembros</w:t>
      </w:r>
      <w:r w:rsidR="0011291E" w:rsidRPr="0031293E">
        <w:rPr>
          <w:lang w:val="es-ES"/>
        </w:rPr>
        <w:t xml:space="preserve"> seguirá ofreciendo una plataforma de consulta con la dirección y de intercambio de conocimientos entre Miembros del UIT-D y el personal de la</w:t>
      </w:r>
      <w:r w:rsidR="0029024E">
        <w:rPr>
          <w:lang w:val="es-ES"/>
        </w:rPr>
        <w:t> </w:t>
      </w:r>
      <w:r w:rsidR="0011291E" w:rsidRPr="0031293E">
        <w:rPr>
          <w:lang w:val="es-ES"/>
        </w:rPr>
        <w:t xml:space="preserve">UIT. Además, la </w:t>
      </w:r>
      <w:r w:rsidR="0011291E" w:rsidRPr="00566FD6">
        <w:rPr>
          <w:b/>
          <w:bCs/>
          <w:lang w:val="es-ES"/>
        </w:rPr>
        <w:t>serie de Charlas Técnicas</w:t>
      </w:r>
      <w:r w:rsidR="0011291E" w:rsidRPr="0031293E">
        <w:rPr>
          <w:lang w:val="es-ES"/>
        </w:rPr>
        <w:t xml:space="preserve"> ofrecerá a los Miembros del UIT-D la oportunidad de presentar sus tendencias tecnológicas y enfoques innovadores y compartir sus prácticas idóneas en la aplicación y utilización de estas tecnologías para el desarrollo digital.</w:t>
      </w:r>
    </w:p>
    <w:p w14:paraId="122A0CAD" w14:textId="03982EFD" w:rsidR="0011291E" w:rsidRPr="0031293E" w:rsidRDefault="00385E51" w:rsidP="00385E51">
      <w:pPr>
        <w:pStyle w:val="enumlev1"/>
        <w:rPr>
          <w:rFonts w:ascii="Calibri" w:eastAsia="SimSun" w:hAnsi="Calibri" w:cs="Calibri"/>
          <w:lang w:val="es-ES"/>
        </w:rPr>
      </w:pPr>
      <w:r w:rsidRPr="0031293E">
        <w:rPr>
          <w:lang w:val="es-ES"/>
        </w:rPr>
        <w:t>–</w:t>
      </w:r>
      <w:r w:rsidRPr="0031293E">
        <w:rPr>
          <w:lang w:val="es-ES"/>
        </w:rPr>
        <w:tab/>
      </w:r>
      <w:r w:rsidR="0011291E" w:rsidRPr="0031293E">
        <w:rPr>
          <w:lang w:val="es-ES"/>
        </w:rPr>
        <w:t xml:space="preserve">El mayor reconocimiento de la afiliación al UIT-D a través de los </w:t>
      </w:r>
      <w:r w:rsidR="0011291E" w:rsidRPr="00096341">
        <w:rPr>
          <w:b/>
          <w:bCs/>
          <w:lang w:val="es-ES"/>
        </w:rPr>
        <w:t>testimonios</w:t>
      </w:r>
      <w:r w:rsidR="0011291E" w:rsidRPr="0031293E">
        <w:rPr>
          <w:lang w:val="es-ES"/>
        </w:rPr>
        <w:t xml:space="preserve"> de los miembros del UIT-D, en los que representantes de alto nivel promueven el valor de la participación en el UIT-D, constituye tanto un agradecimiento a nuestros miembros como un medio para atraer a nuevos posibles miembros.</w:t>
      </w:r>
    </w:p>
    <w:p w14:paraId="7234F2E1" w14:textId="613D3146" w:rsidR="0011291E" w:rsidRPr="0031293E" w:rsidRDefault="00385E51" w:rsidP="00385E51">
      <w:pPr>
        <w:pStyle w:val="enumlev1"/>
        <w:rPr>
          <w:rFonts w:ascii="Calibri" w:eastAsia="SimSun" w:hAnsi="Calibri" w:cs="Calibri"/>
          <w:lang w:val="es-ES"/>
        </w:rPr>
      </w:pPr>
      <w:r w:rsidRPr="0031293E">
        <w:rPr>
          <w:lang w:val="es-ES"/>
        </w:rPr>
        <w:t>–</w:t>
      </w:r>
      <w:r w:rsidRPr="0031293E">
        <w:rPr>
          <w:lang w:val="es-ES"/>
        </w:rPr>
        <w:tab/>
      </w:r>
      <w:r w:rsidR="0011291E" w:rsidRPr="0031293E">
        <w:rPr>
          <w:lang w:val="es-ES"/>
        </w:rPr>
        <w:t xml:space="preserve">La </w:t>
      </w:r>
      <w:r w:rsidR="0011291E" w:rsidRPr="00566FD6">
        <w:rPr>
          <w:b/>
          <w:bCs/>
          <w:lang w:val="es-ES"/>
        </w:rPr>
        <w:t>Coalición Digital Partner2Connect</w:t>
      </w:r>
      <w:r w:rsidR="00566FD6">
        <w:rPr>
          <w:rStyle w:val="FootnoteReference"/>
        </w:rPr>
        <w:footnoteReference w:id="4"/>
      </w:r>
      <w:r w:rsidR="0011291E" w:rsidRPr="0031293E">
        <w:rPr>
          <w:lang w:val="es-ES"/>
        </w:rPr>
        <w:t xml:space="preserve"> atrae un gran número de promesas de contribución de los miembros del UIT-D. Las sesiones de los Foros Regionales de Desarrollo reconocieron estos compromisos y se ocuparon de convertirlos en acciones tangibles para lograr una conectividad significativa.</w:t>
      </w:r>
    </w:p>
    <w:p w14:paraId="74569E1E" w14:textId="71C676DB" w:rsidR="0011291E" w:rsidRPr="0031293E" w:rsidRDefault="00385E51" w:rsidP="00385E51">
      <w:pPr>
        <w:pStyle w:val="Heading1"/>
        <w:rPr>
          <w:rFonts w:ascii="Calibri" w:eastAsia="SimSun" w:hAnsi="Calibri" w:cs="Arial"/>
          <w:b w:val="0"/>
          <w:bCs/>
          <w:szCs w:val="24"/>
          <w:lang w:val="es-ES"/>
        </w:rPr>
      </w:pPr>
      <w:r w:rsidRPr="0031293E">
        <w:rPr>
          <w:lang w:val="es-ES"/>
        </w:rPr>
        <w:t>4</w:t>
      </w:r>
      <w:r w:rsidRPr="0031293E">
        <w:rPr>
          <w:lang w:val="es-ES"/>
        </w:rPr>
        <w:tab/>
      </w:r>
      <w:proofErr w:type="gramStart"/>
      <w:r w:rsidR="0011291E" w:rsidRPr="0031293E">
        <w:rPr>
          <w:lang w:val="es-ES"/>
        </w:rPr>
        <w:t>Mejoras</w:t>
      </w:r>
      <w:proofErr w:type="gramEnd"/>
      <w:r w:rsidR="0011291E" w:rsidRPr="0031293E">
        <w:rPr>
          <w:lang w:val="es-ES"/>
        </w:rPr>
        <w:t xml:space="preserve"> de herramientas y procesos en 2024 </w:t>
      </w:r>
    </w:p>
    <w:p w14:paraId="39FCD2D2" w14:textId="77777777" w:rsidR="0011291E" w:rsidRPr="0031293E" w:rsidRDefault="0011291E" w:rsidP="00833857">
      <w:pPr>
        <w:rPr>
          <w:rFonts w:ascii="Calibri" w:eastAsia="SimSun" w:hAnsi="Calibri" w:cs="Arial"/>
          <w:szCs w:val="24"/>
          <w:lang w:val="es-ES"/>
        </w:rPr>
      </w:pPr>
      <w:r w:rsidRPr="0031293E">
        <w:rPr>
          <w:lang w:val="es-ES"/>
        </w:rPr>
        <w:t>La BDT sigue perfeccionando las herramientas y los procesos para atraer a miembros nuevos y retenerlos:</w:t>
      </w:r>
    </w:p>
    <w:p w14:paraId="333087C0" w14:textId="0F86453A" w:rsidR="0011291E" w:rsidRPr="0029024E" w:rsidRDefault="00385E51" w:rsidP="00385E51">
      <w:pPr>
        <w:pStyle w:val="enumlev1"/>
        <w:rPr>
          <w:rFonts w:ascii="Calibri" w:eastAsia="SimSun" w:hAnsi="Calibri" w:cs="Arial"/>
          <w:szCs w:val="24"/>
          <w:lang w:val="es-ES"/>
        </w:rPr>
      </w:pPr>
      <w:r w:rsidRPr="0029024E">
        <w:rPr>
          <w:b/>
          <w:lang w:val="es-ES"/>
        </w:rPr>
        <w:t>–</w:t>
      </w:r>
      <w:r w:rsidRPr="0029024E">
        <w:rPr>
          <w:b/>
          <w:lang w:val="es-ES"/>
        </w:rPr>
        <w:tab/>
      </w:r>
      <w:r w:rsidR="0011291E" w:rsidRPr="0029024E">
        <w:rPr>
          <w:b/>
          <w:bCs/>
          <w:lang w:val="es-ES"/>
        </w:rPr>
        <w:t>Revisión y realineación de procesos</w:t>
      </w:r>
      <w:r w:rsidR="0011291E" w:rsidRPr="0029024E">
        <w:rPr>
          <w:lang w:val="es-ES"/>
        </w:rPr>
        <w:t xml:space="preserve"> aprovechando los métodos de datos modernos y racionalizando los procesos internos, y uso mejorado de herramientas renovadas.</w:t>
      </w:r>
    </w:p>
    <w:p w14:paraId="67D492D6" w14:textId="6A58D653" w:rsidR="0011291E" w:rsidRPr="0029024E" w:rsidRDefault="00385E51" w:rsidP="00385E51">
      <w:pPr>
        <w:pStyle w:val="enumlev1"/>
        <w:rPr>
          <w:rFonts w:ascii="Calibri" w:eastAsia="SimSun" w:hAnsi="Calibri" w:cs="Arial"/>
          <w:szCs w:val="24"/>
          <w:lang w:val="es-ES"/>
        </w:rPr>
      </w:pPr>
      <w:r w:rsidRPr="0029024E">
        <w:rPr>
          <w:b/>
          <w:lang w:val="es-ES"/>
        </w:rPr>
        <w:lastRenderedPageBreak/>
        <w:t>–</w:t>
      </w:r>
      <w:r w:rsidRPr="0029024E">
        <w:rPr>
          <w:b/>
          <w:lang w:val="es-ES"/>
        </w:rPr>
        <w:tab/>
      </w:r>
      <w:r w:rsidR="0011291E" w:rsidRPr="0029024E">
        <w:rPr>
          <w:b/>
          <w:bCs/>
          <w:lang w:val="es-ES"/>
        </w:rPr>
        <w:t>Armonización de la experiencia de afiliación</w:t>
      </w:r>
      <w:r w:rsidR="0011291E" w:rsidRPr="0029024E">
        <w:rPr>
          <w:lang w:val="es-ES"/>
        </w:rPr>
        <w:t xml:space="preserve"> mediante la elaboración de un nuevo kit de bienvenida para una incorporación más efectiva de los nuevos miembros y un mayor conocimiento de las oportunidades de colaboración con el UIT-D.</w:t>
      </w:r>
    </w:p>
    <w:p w14:paraId="45A3D659" w14:textId="5A96AB79" w:rsidR="004D0B28" w:rsidRPr="0031293E" w:rsidRDefault="00385E51" w:rsidP="00385E51">
      <w:pPr>
        <w:pStyle w:val="Heading1"/>
        <w:rPr>
          <w:lang w:val="es-ES"/>
        </w:rPr>
      </w:pPr>
      <w:r w:rsidRPr="0031293E">
        <w:rPr>
          <w:lang w:val="es-ES"/>
        </w:rPr>
        <w:t>5</w:t>
      </w:r>
      <w:r w:rsidRPr="0031293E">
        <w:rPr>
          <w:lang w:val="es-ES"/>
        </w:rPr>
        <w:tab/>
      </w:r>
      <w:proofErr w:type="gramStart"/>
      <w:r w:rsidR="0011291E" w:rsidRPr="0031293E">
        <w:rPr>
          <w:lang w:val="es-ES"/>
        </w:rPr>
        <w:t>Nuevo</w:t>
      </w:r>
      <w:proofErr w:type="gramEnd"/>
      <w:r w:rsidR="0011291E" w:rsidRPr="0031293E">
        <w:rPr>
          <w:lang w:val="es-ES"/>
        </w:rPr>
        <w:t xml:space="preserve"> sitio web de los miembros del UIT-D</w:t>
      </w:r>
    </w:p>
    <w:p w14:paraId="6111FD86" w14:textId="79D81E9E" w:rsidR="0011291E" w:rsidRPr="0031293E" w:rsidRDefault="004D0B28" w:rsidP="004D0B28">
      <w:pPr>
        <w:rPr>
          <w:rFonts w:ascii="Calibri" w:eastAsia="SimSun" w:hAnsi="Calibri" w:cs="Arial"/>
          <w:szCs w:val="24"/>
          <w:lang w:val="es-ES"/>
        </w:rPr>
      </w:pPr>
      <w:r w:rsidRPr="0031293E">
        <w:rPr>
          <w:lang w:val="es-ES"/>
        </w:rPr>
        <w:t>P</w:t>
      </w:r>
      <w:r w:rsidR="0011291E" w:rsidRPr="0031293E">
        <w:rPr>
          <w:lang w:val="es-ES"/>
        </w:rPr>
        <w:t>ara una experiencia de afiliación fluida, con contenido actualizado, mejor reflejo de los beneficios y procesos de solicitud simplificados con miras a convencer a los visitantes para que se unan como miembros.</w:t>
      </w:r>
    </w:p>
    <w:p w14:paraId="0A37D919" w14:textId="628AA6EA" w:rsidR="0011291E" w:rsidRPr="0029024E" w:rsidRDefault="00385E51" w:rsidP="00385E51">
      <w:pPr>
        <w:pStyle w:val="Heading1"/>
        <w:rPr>
          <w:lang w:val="es-ES"/>
        </w:rPr>
      </w:pPr>
      <w:r w:rsidRPr="0029024E">
        <w:rPr>
          <w:lang w:val="es-ES"/>
        </w:rPr>
        <w:t>6</w:t>
      </w:r>
      <w:r w:rsidRPr="0029024E">
        <w:rPr>
          <w:lang w:val="es-ES"/>
        </w:rPr>
        <w:tab/>
      </w:r>
      <w:proofErr w:type="gramStart"/>
      <w:r w:rsidR="0011291E" w:rsidRPr="0029024E">
        <w:rPr>
          <w:lang w:val="es-ES"/>
        </w:rPr>
        <w:t>Conclusiones</w:t>
      </w:r>
      <w:proofErr w:type="gramEnd"/>
    </w:p>
    <w:p w14:paraId="1B903846" w14:textId="77777777" w:rsidR="0011291E" w:rsidRPr="0031293E" w:rsidRDefault="0011291E" w:rsidP="00833857">
      <w:pPr>
        <w:rPr>
          <w:rFonts w:ascii="Calibri" w:eastAsia="SimSun" w:hAnsi="Calibri"/>
          <w:lang w:val="es-ES"/>
        </w:rPr>
      </w:pPr>
      <w:r w:rsidRPr="0031293E">
        <w:rPr>
          <w:lang w:val="es-ES"/>
        </w:rPr>
        <w:t>La BDT está decidida a:</w:t>
      </w:r>
    </w:p>
    <w:p w14:paraId="06CBA502" w14:textId="0CCA24CE" w:rsidR="0011291E" w:rsidRPr="0031293E" w:rsidRDefault="006F6AFD" w:rsidP="006F6AFD">
      <w:pPr>
        <w:pStyle w:val="enumlev1"/>
        <w:rPr>
          <w:rFonts w:ascii="Calibri" w:eastAsia="SimSun" w:hAnsi="Calibri"/>
          <w:szCs w:val="24"/>
          <w:lang w:val="es-ES"/>
        </w:rPr>
      </w:pPr>
      <w:r w:rsidRPr="0031293E">
        <w:rPr>
          <w:lang w:val="es-ES"/>
        </w:rPr>
        <w:t>a)</w:t>
      </w:r>
      <w:r w:rsidRPr="0031293E">
        <w:rPr>
          <w:lang w:val="es-ES"/>
        </w:rPr>
        <w:tab/>
      </w:r>
      <w:r w:rsidR="0011291E" w:rsidRPr="0031293E">
        <w:rPr>
          <w:lang w:val="es-ES"/>
        </w:rPr>
        <w:t>reforzar el compromiso con los miembros del UIT-D en el marco de la aplicación del Plan de Acción de Kigali, celebrando sesiones informativas y misiones oficiales, demostrando el valor conexo y forjando asociaciones que desbloqueen los recursos necesarios para financiar proyectos e iniciativas de gran alcance;</w:t>
      </w:r>
    </w:p>
    <w:p w14:paraId="4D85ED75" w14:textId="3B8C86F6" w:rsidR="0011291E" w:rsidRPr="0031293E" w:rsidRDefault="006F6AFD" w:rsidP="006F6AFD">
      <w:pPr>
        <w:pStyle w:val="enumlev1"/>
        <w:rPr>
          <w:rFonts w:ascii="Calibri" w:eastAsia="SimSun" w:hAnsi="Calibri"/>
          <w:lang w:val="es-ES"/>
        </w:rPr>
      </w:pPr>
      <w:r w:rsidRPr="0031293E">
        <w:rPr>
          <w:lang w:val="es-ES"/>
        </w:rPr>
        <w:t>b)</w:t>
      </w:r>
      <w:r w:rsidRPr="0031293E">
        <w:rPr>
          <w:lang w:val="es-ES"/>
        </w:rPr>
        <w:tab/>
      </w:r>
      <w:r w:rsidR="0011291E" w:rsidRPr="0031293E">
        <w:rPr>
          <w:lang w:val="es-ES"/>
        </w:rPr>
        <w:t xml:space="preserve">dirigirse a los miembros no activos del UIT-D a fin de aumentar su nivel de participación en las actividades del UIT-D, incluidos eventos tales como las reuniones de las Comisiones de Estudio del UIT-D, el Simposio Mundial para Organismos Reguladores y los Foros de Desarrollo Regional; y </w:t>
      </w:r>
    </w:p>
    <w:p w14:paraId="25F37008" w14:textId="1F6E9A21" w:rsidR="0011291E" w:rsidRPr="0031293E" w:rsidRDefault="006F6AFD" w:rsidP="006F6AFD">
      <w:pPr>
        <w:pStyle w:val="enumlev1"/>
        <w:rPr>
          <w:rFonts w:ascii="Calibri" w:eastAsia="SimSun" w:hAnsi="Calibri"/>
          <w:lang w:val="es-ES"/>
        </w:rPr>
      </w:pPr>
      <w:r w:rsidRPr="0031293E">
        <w:rPr>
          <w:lang w:val="es-ES"/>
        </w:rPr>
        <w:t>c)</w:t>
      </w:r>
      <w:r w:rsidRPr="0031293E">
        <w:rPr>
          <w:lang w:val="es-ES"/>
        </w:rPr>
        <w:tab/>
      </w:r>
      <w:r w:rsidR="0011291E" w:rsidRPr="0031293E">
        <w:rPr>
          <w:lang w:val="es-ES"/>
        </w:rPr>
        <w:t>seguir recabando ideas y comentarios de los Miembros de Sector y las Instituciones Académicas del UIT-D sobre la mejora de herramientas, procesos y servicios.</w:t>
      </w:r>
    </w:p>
    <w:p w14:paraId="071DA42C" w14:textId="740D78FB" w:rsidR="0011291E" w:rsidRPr="0029024E" w:rsidRDefault="006F6AFD" w:rsidP="006F6AFD">
      <w:pPr>
        <w:pStyle w:val="Heading1"/>
        <w:rPr>
          <w:lang w:val="es-ES"/>
        </w:rPr>
      </w:pPr>
      <w:r w:rsidRPr="0029024E">
        <w:rPr>
          <w:lang w:val="es-ES"/>
        </w:rPr>
        <w:t>7</w:t>
      </w:r>
      <w:r w:rsidRPr="0029024E">
        <w:rPr>
          <w:lang w:val="es-ES"/>
        </w:rPr>
        <w:tab/>
      </w:r>
      <w:proofErr w:type="gramStart"/>
      <w:r w:rsidR="0011291E" w:rsidRPr="0029024E">
        <w:rPr>
          <w:lang w:val="es-ES"/>
        </w:rPr>
        <w:t>Petición</w:t>
      </w:r>
      <w:proofErr w:type="gramEnd"/>
      <w:r w:rsidR="0011291E" w:rsidRPr="0029024E">
        <w:rPr>
          <w:lang w:val="es-ES"/>
        </w:rPr>
        <w:t xml:space="preserve"> de apoyo</w:t>
      </w:r>
    </w:p>
    <w:p w14:paraId="172FE77B" w14:textId="77777777" w:rsidR="0011291E" w:rsidRPr="0031293E" w:rsidRDefault="0011291E" w:rsidP="00662A02">
      <w:pPr>
        <w:rPr>
          <w:lang w:val="es-ES"/>
        </w:rPr>
      </w:pPr>
      <w:r w:rsidRPr="0031293E">
        <w:rPr>
          <w:lang w:val="es-ES"/>
        </w:rPr>
        <w:t>Se invita a los Estados Miembros a participar y a promover, en colaboración con el sector privado, la industria y las universidades de su país, los beneficios de formar parte del UIT-D. Se alienta a los Estados Miembros a completar oportunamente los trámites de diligencia debida de las nuevas solicitudes, de tal manera que las entidades solicitantes no pierdan la motivación para completar el proceso de afiliación.</w:t>
      </w:r>
    </w:p>
    <w:p w14:paraId="7E7F9C9B" w14:textId="77777777" w:rsidR="006F6AFD" w:rsidRPr="008D693E" w:rsidRDefault="006F6AFD" w:rsidP="00411C49">
      <w:pPr>
        <w:pStyle w:val="Reasons"/>
        <w:rPr>
          <w:lang w:val="es-ES"/>
        </w:rPr>
      </w:pPr>
    </w:p>
    <w:p w14:paraId="00A7F13B" w14:textId="77777777" w:rsidR="006F6AFD" w:rsidRPr="0031293E" w:rsidRDefault="006F6AFD">
      <w:pPr>
        <w:jc w:val="center"/>
        <w:rPr>
          <w:lang w:val="es-ES"/>
        </w:rPr>
      </w:pPr>
      <w:r w:rsidRPr="0031293E">
        <w:rPr>
          <w:lang w:val="es-ES"/>
        </w:rPr>
        <w:t>______________</w:t>
      </w:r>
    </w:p>
    <w:sectPr w:rsidR="006F6AFD" w:rsidRPr="0031293E" w:rsidSect="00473791">
      <w:head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E421" w14:textId="77777777" w:rsidR="00E700A4" w:rsidRDefault="00E700A4">
      <w:r>
        <w:separator/>
      </w:r>
    </w:p>
  </w:endnote>
  <w:endnote w:type="continuationSeparator" w:id="0">
    <w:p w14:paraId="45935AC7" w14:textId="77777777" w:rsidR="00E700A4" w:rsidRDefault="00E7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w:altName w:val="Cambria"/>
    <w:panose1 w:val="00000000000000000000"/>
    <w:charset w:val="00"/>
    <w:family w:val="swiss"/>
    <w:notTrueType/>
    <w:pitch w:val="variable"/>
    <w:sig w:usb0="A00002EF" w:usb1="00000003" w:usb2="00000000" w:usb3="00000000" w:csb0="0000019F" w:csb1="00000000"/>
  </w:font>
  <w:font w:name="Avenir Nxt2 W1G Demi">
    <w:altName w:val="Cambria"/>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396D65" w:rsidRPr="00096341" w14:paraId="695D1810" w14:textId="77777777" w:rsidTr="00396D65">
      <w:tc>
        <w:tcPr>
          <w:tcW w:w="1526" w:type="dxa"/>
          <w:tcBorders>
            <w:top w:val="single" w:sz="4" w:space="0" w:color="000000"/>
          </w:tcBorders>
          <w:shd w:val="clear" w:color="auto" w:fill="auto"/>
        </w:tcPr>
        <w:p w14:paraId="746E5A61" w14:textId="5E9EBACC" w:rsidR="00396D65" w:rsidRPr="00566FD6" w:rsidRDefault="00396D65" w:rsidP="00566FD6">
          <w:pPr>
            <w:pStyle w:val="FirstFooter"/>
          </w:pPr>
          <w:proofErr w:type="gramStart"/>
          <w:r w:rsidRPr="00566FD6">
            <w:t>Contacto:</w:t>
          </w:r>
          <w:proofErr w:type="gramEnd"/>
        </w:p>
      </w:tc>
      <w:tc>
        <w:tcPr>
          <w:tcW w:w="2410" w:type="dxa"/>
          <w:tcBorders>
            <w:top w:val="single" w:sz="4" w:space="0" w:color="000000"/>
          </w:tcBorders>
          <w:shd w:val="clear" w:color="auto" w:fill="auto"/>
        </w:tcPr>
        <w:p w14:paraId="488E41E2" w14:textId="28495F32" w:rsidR="00396D65" w:rsidRPr="00566FD6" w:rsidRDefault="00396D65" w:rsidP="00566FD6">
          <w:pPr>
            <w:pStyle w:val="FirstFooter"/>
          </w:pPr>
          <w:r w:rsidRPr="00566FD6">
            <w:t>Nombre/Organización/</w:t>
          </w:r>
          <w:proofErr w:type="gramStart"/>
          <w:r w:rsidRPr="00566FD6">
            <w:t>Entidad:</w:t>
          </w:r>
          <w:proofErr w:type="gramEnd"/>
        </w:p>
      </w:tc>
      <w:tc>
        <w:tcPr>
          <w:tcW w:w="5987" w:type="dxa"/>
          <w:tcBorders>
            <w:top w:val="single" w:sz="4" w:space="0" w:color="000000"/>
          </w:tcBorders>
        </w:tcPr>
        <w:p w14:paraId="5119751D" w14:textId="09BEF4CC" w:rsidR="00396D65" w:rsidRPr="00096341" w:rsidRDefault="00396D65" w:rsidP="00566FD6">
          <w:pPr>
            <w:pStyle w:val="FirstFooter"/>
            <w:rPr>
              <w:lang w:val="es-ES"/>
            </w:rPr>
          </w:pPr>
          <w:r w:rsidRPr="00096341">
            <w:rPr>
              <w:lang w:val="es-ES"/>
            </w:rPr>
            <w:t>Sr. Marco Obiso, Jefe en funciones del Departamento de Asociaciones para el Desarrollo Digital, Oficina de Desarrollo de las Telecomunicaciones</w:t>
          </w:r>
        </w:p>
      </w:tc>
      <w:bookmarkStart w:id="7" w:name="OrgName"/>
      <w:bookmarkEnd w:id="7"/>
    </w:tr>
    <w:tr w:rsidR="00396D65" w:rsidRPr="00842E57" w14:paraId="61167678" w14:textId="77777777" w:rsidTr="00396D65">
      <w:tc>
        <w:tcPr>
          <w:tcW w:w="1526" w:type="dxa"/>
          <w:shd w:val="clear" w:color="auto" w:fill="auto"/>
        </w:tcPr>
        <w:p w14:paraId="33710823" w14:textId="77777777" w:rsidR="00396D65" w:rsidRPr="00566FD6" w:rsidRDefault="00396D65" w:rsidP="0011291E">
          <w:pPr>
            <w:pStyle w:val="FirstFooter"/>
            <w:tabs>
              <w:tab w:val="left" w:pos="1559"/>
              <w:tab w:val="left" w:pos="3828"/>
            </w:tabs>
            <w:rPr>
              <w:szCs w:val="16"/>
              <w:lang w:val="es-ES_tradnl"/>
            </w:rPr>
          </w:pPr>
        </w:p>
      </w:tc>
      <w:tc>
        <w:tcPr>
          <w:tcW w:w="2410" w:type="dxa"/>
          <w:shd w:val="clear" w:color="auto" w:fill="auto"/>
        </w:tcPr>
        <w:p w14:paraId="1251F6E4" w14:textId="0AA1FA52" w:rsidR="00396D65" w:rsidRPr="00566FD6" w:rsidRDefault="00396D65" w:rsidP="00566FD6">
          <w:pPr>
            <w:pStyle w:val="FirstFooter"/>
          </w:pPr>
          <w:r w:rsidRPr="00566FD6">
            <w:t>Tel</w:t>
          </w:r>
          <w:proofErr w:type="gramStart"/>
          <w:r w:rsidRPr="00566FD6">
            <w:t>.:</w:t>
          </w:r>
          <w:proofErr w:type="gramEnd"/>
        </w:p>
      </w:tc>
      <w:tc>
        <w:tcPr>
          <w:tcW w:w="5987" w:type="dxa"/>
        </w:tcPr>
        <w:p w14:paraId="42326F64" w14:textId="7DC1FF3C" w:rsidR="00396D65" w:rsidRPr="00566FD6" w:rsidRDefault="00396D65" w:rsidP="00566FD6">
          <w:pPr>
            <w:pStyle w:val="FirstFooter"/>
          </w:pPr>
          <w:r w:rsidRPr="00566FD6">
            <w:t>+41 22 730 6760</w:t>
          </w:r>
        </w:p>
      </w:tc>
      <w:bookmarkStart w:id="8" w:name="PhoneNo"/>
      <w:bookmarkEnd w:id="8"/>
    </w:tr>
    <w:tr w:rsidR="00396D65" w:rsidRPr="00842E57" w14:paraId="0299A231" w14:textId="77777777" w:rsidTr="00396D65">
      <w:tc>
        <w:tcPr>
          <w:tcW w:w="1526" w:type="dxa"/>
          <w:shd w:val="clear" w:color="auto" w:fill="auto"/>
        </w:tcPr>
        <w:p w14:paraId="35CBC438" w14:textId="77777777" w:rsidR="00396D65" w:rsidRPr="00566FD6" w:rsidRDefault="00396D65" w:rsidP="0011291E">
          <w:pPr>
            <w:pStyle w:val="FirstFooter"/>
            <w:tabs>
              <w:tab w:val="left" w:pos="1559"/>
              <w:tab w:val="left" w:pos="3828"/>
            </w:tabs>
            <w:rPr>
              <w:szCs w:val="16"/>
              <w:lang w:val="es-ES_tradnl"/>
            </w:rPr>
          </w:pPr>
        </w:p>
      </w:tc>
      <w:tc>
        <w:tcPr>
          <w:tcW w:w="2410" w:type="dxa"/>
          <w:shd w:val="clear" w:color="auto" w:fill="auto"/>
        </w:tcPr>
        <w:p w14:paraId="65335E06" w14:textId="676092A0" w:rsidR="00396D65" w:rsidRPr="00566FD6" w:rsidRDefault="00396D65" w:rsidP="00566FD6">
          <w:pPr>
            <w:pStyle w:val="FirstFooter"/>
          </w:pPr>
          <w:r w:rsidRPr="00566FD6">
            <w:t>Correo-</w:t>
          </w:r>
          <w:proofErr w:type="gramStart"/>
          <w:r w:rsidRPr="00566FD6">
            <w:t>e:</w:t>
          </w:r>
          <w:proofErr w:type="gramEnd"/>
        </w:p>
      </w:tc>
      <w:tc>
        <w:tcPr>
          <w:tcW w:w="5987" w:type="dxa"/>
        </w:tcPr>
        <w:p w14:paraId="1BDF2F8A" w14:textId="1419770E" w:rsidR="00396D65" w:rsidRPr="00566FD6" w:rsidRDefault="00096341" w:rsidP="00566FD6">
          <w:pPr>
            <w:pStyle w:val="FirstFooter"/>
          </w:pPr>
          <w:hyperlink r:id="rId1" w:history="1">
            <w:r w:rsidR="00566FD6" w:rsidRPr="00A2176F">
              <w:rPr>
                <w:rStyle w:val="Hyperlink"/>
              </w:rPr>
              <w:t>marco.obiso@itu.int</w:t>
            </w:r>
          </w:hyperlink>
        </w:p>
      </w:tc>
      <w:bookmarkStart w:id="9" w:name="Email"/>
      <w:bookmarkEnd w:id="9"/>
    </w:tr>
  </w:tbl>
  <w:p w14:paraId="40A321D0" w14:textId="65411F8F" w:rsidR="00721657" w:rsidRPr="00B051EE" w:rsidRDefault="00721657" w:rsidP="00B051EE">
    <w:pPr>
      <w:pStyle w:val="Foo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2877" w14:textId="77777777" w:rsidR="00E700A4" w:rsidRDefault="00E700A4">
      <w:r>
        <w:t>____________________</w:t>
      </w:r>
    </w:p>
  </w:footnote>
  <w:footnote w:type="continuationSeparator" w:id="0">
    <w:p w14:paraId="71CEE1B1" w14:textId="77777777" w:rsidR="00E700A4" w:rsidRDefault="00E700A4">
      <w:r>
        <w:continuationSeparator/>
      </w:r>
    </w:p>
  </w:footnote>
  <w:footnote w:id="1">
    <w:p w14:paraId="057B963B" w14:textId="23E83F63" w:rsidR="00566FD6" w:rsidRPr="00566FD6" w:rsidRDefault="00566FD6" w:rsidP="00566FD6">
      <w:pPr>
        <w:pStyle w:val="FootnoteText"/>
        <w:rPr>
          <w:lang w:val="es-ES"/>
        </w:rPr>
      </w:pPr>
      <w:r>
        <w:rPr>
          <w:rStyle w:val="FootnoteReference"/>
        </w:rPr>
        <w:footnoteRef/>
      </w:r>
      <w:r w:rsidRPr="00566FD6">
        <w:rPr>
          <w:lang w:val="es-ES"/>
        </w:rPr>
        <w:tab/>
        <w:t>Véase la Resolución 169 (Guadalajara, 2010) de la Conferencia de Plenipotenciarios, en la que se resuelve admitir la participación de las instituciones académicas en los trabajos de la Unión en el marco de una nueva categoría.</w:t>
      </w:r>
    </w:p>
  </w:footnote>
  <w:footnote w:id="2">
    <w:p w14:paraId="2140C18D" w14:textId="6EE738EF" w:rsidR="00566FD6" w:rsidRPr="00566FD6" w:rsidRDefault="00566FD6" w:rsidP="00566FD6">
      <w:pPr>
        <w:pStyle w:val="FootnoteText"/>
        <w:rPr>
          <w:lang w:val="es-ES"/>
        </w:rPr>
      </w:pPr>
      <w:r>
        <w:rPr>
          <w:rStyle w:val="FootnoteReference"/>
        </w:rPr>
        <w:footnoteRef/>
      </w:r>
      <w:r w:rsidRPr="00566FD6">
        <w:rPr>
          <w:lang w:val="es-ES"/>
        </w:rPr>
        <w:tab/>
        <w:t>Resolución</w:t>
      </w:r>
      <w:r w:rsidR="009142FD">
        <w:rPr>
          <w:lang w:val="es-ES"/>
        </w:rPr>
        <w:t> </w:t>
      </w:r>
      <w:r w:rsidRPr="00566FD6">
        <w:rPr>
          <w:lang w:val="es-ES"/>
        </w:rPr>
        <w:t>71 (Rev. Kigali, 2022), "Fortalecimiento de la cooperación entre los Estados Miembros, los Miembros de Sector, los Asociados y las Instituciones Académicas del Sector de Desarrollo de las Telecomunicaciones de la UIT y el carácter evolutivo de la función del sector privado en el Sector de Desarrollo de las Telecomunicaciones de la UIT".</w:t>
      </w:r>
    </w:p>
  </w:footnote>
  <w:footnote w:id="3">
    <w:p w14:paraId="620C5214" w14:textId="3EB74163" w:rsidR="00566FD6" w:rsidRPr="00566FD6" w:rsidRDefault="00566FD6" w:rsidP="00566FD6">
      <w:pPr>
        <w:pStyle w:val="FootnoteText"/>
        <w:rPr>
          <w:lang w:val="es-ES"/>
        </w:rPr>
      </w:pPr>
      <w:r>
        <w:rPr>
          <w:rStyle w:val="FootnoteReference"/>
        </w:rPr>
        <w:footnoteRef/>
      </w:r>
      <w:r w:rsidRPr="00566FD6">
        <w:rPr>
          <w:lang w:val="es-ES"/>
        </w:rPr>
        <w:tab/>
        <w:t>Las Instituciones Académicas miembros participan en los trabajos de los tres Sectores de la UIT, incluidos sus Grupos Asesores. También participan en otras conferencias mundiales y regionales, talleres y actividades de la Unión, a excepción de las Conferencias de Plenipotenciarios, las Conferencias Mundiales de Radiocomunicaciones, las Conferencias Mundiales de Telecomunicaciones Internacionales y las reuniones del Consejo de la UIT, de conformidad con el reglamento interno de cada uno de los Sectores.</w:t>
      </w:r>
    </w:p>
  </w:footnote>
  <w:footnote w:id="4">
    <w:p w14:paraId="4C20BD1E" w14:textId="3D85EBB0" w:rsidR="00566FD6" w:rsidRPr="00566FD6" w:rsidRDefault="00566FD6" w:rsidP="00566FD6">
      <w:pPr>
        <w:pStyle w:val="FootnoteText"/>
        <w:rPr>
          <w:lang w:val="es-ES"/>
        </w:rPr>
      </w:pPr>
      <w:r>
        <w:rPr>
          <w:rStyle w:val="FootnoteReference"/>
        </w:rPr>
        <w:footnoteRef/>
      </w:r>
      <w:r w:rsidRPr="00566FD6">
        <w:rPr>
          <w:lang w:val="es-ES"/>
        </w:rPr>
        <w:tab/>
        <w:t>En febrero de 2024, los Miembros de Sector del UIT-D, entre los que figuran organizaciones regionales e internacionales y el sector privado, habían realizado 170</w:t>
      </w:r>
      <w:r w:rsidR="009142FD">
        <w:rPr>
          <w:lang w:val="es-ES"/>
        </w:rPr>
        <w:t> </w:t>
      </w:r>
      <w:r w:rsidRPr="00566FD6">
        <w:rPr>
          <w:lang w:val="es-ES"/>
        </w:rPr>
        <w:t>promesas de contribución por un valor estimado de más de 25 000 millones USD.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DA3FF2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11291E">
      <w:rPr>
        <w:sz w:val="22"/>
        <w:szCs w:val="22"/>
        <w:lang w:val="de-CH"/>
      </w:rPr>
      <w:t>8</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D0A1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A47"/>
    <w:multiLevelType w:val="hybridMultilevel"/>
    <w:tmpl w:val="9F0285EC"/>
    <w:lvl w:ilvl="0" w:tplc="D8AA70EE">
      <w:start w:val="1"/>
      <w:numFmt w:val="bullet"/>
      <w:lvlText w:val=""/>
      <w:lvlJc w:val="left"/>
      <w:pPr>
        <w:ind w:left="717" w:hanging="360"/>
      </w:pPr>
      <w:rPr>
        <w:rFonts w:ascii="Symbol" w:hAnsi="Symbol" w:hint="default"/>
        <w:sz w:val="24"/>
        <w:szCs w:val="2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1A1917"/>
    <w:multiLevelType w:val="hybridMultilevel"/>
    <w:tmpl w:val="825687EE"/>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7696AE2"/>
    <w:multiLevelType w:val="hybridMultilevel"/>
    <w:tmpl w:val="3B2437FC"/>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971BD"/>
    <w:multiLevelType w:val="hybridMultilevel"/>
    <w:tmpl w:val="609A4ED6"/>
    <w:lvl w:ilvl="0" w:tplc="04090017">
      <w:start w:val="1"/>
      <w:numFmt w:val="lowerLetter"/>
      <w:lvlText w:val="%1)"/>
      <w:lvlJc w:val="left"/>
      <w:pPr>
        <w:ind w:left="360" w:hanging="360"/>
      </w:pPr>
      <w:rPr>
        <w:rFonts w:hint="default"/>
      </w:rPr>
    </w:lvl>
    <w:lvl w:ilvl="1" w:tplc="08090019">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num w:numId="1" w16cid:durableId="2091583439">
    <w:abstractNumId w:val="3"/>
  </w:num>
  <w:num w:numId="2" w16cid:durableId="1266690049">
    <w:abstractNumId w:val="1"/>
  </w:num>
  <w:num w:numId="3" w16cid:durableId="1512256890">
    <w:abstractNumId w:val="4"/>
  </w:num>
  <w:num w:numId="4" w16cid:durableId="1842962119">
    <w:abstractNumId w:val="0"/>
  </w:num>
  <w:num w:numId="5" w16cid:durableId="1264806195">
    <w:abstractNumId w:val="2"/>
  </w:num>
  <w:num w:numId="6" w16cid:durableId="27973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26036"/>
    <w:rsid w:val="00037A9E"/>
    <w:rsid w:val="00037F91"/>
    <w:rsid w:val="000539F1"/>
    <w:rsid w:val="00054747"/>
    <w:rsid w:val="00055A2A"/>
    <w:rsid w:val="000615C1"/>
    <w:rsid w:val="00061675"/>
    <w:rsid w:val="000743AA"/>
    <w:rsid w:val="0009076F"/>
    <w:rsid w:val="0009225C"/>
    <w:rsid w:val="00096341"/>
    <w:rsid w:val="000A17C4"/>
    <w:rsid w:val="000A1C5D"/>
    <w:rsid w:val="000A203A"/>
    <w:rsid w:val="000A36A4"/>
    <w:rsid w:val="000A56E9"/>
    <w:rsid w:val="000B2352"/>
    <w:rsid w:val="000C7B84"/>
    <w:rsid w:val="000D261B"/>
    <w:rsid w:val="000D58A3"/>
    <w:rsid w:val="000E3ED4"/>
    <w:rsid w:val="000E3F9C"/>
    <w:rsid w:val="000F1550"/>
    <w:rsid w:val="000F251B"/>
    <w:rsid w:val="000F5FE8"/>
    <w:rsid w:val="000F6644"/>
    <w:rsid w:val="00100833"/>
    <w:rsid w:val="00102F72"/>
    <w:rsid w:val="00107E85"/>
    <w:rsid w:val="0011291E"/>
    <w:rsid w:val="00113EE8"/>
    <w:rsid w:val="0011455A"/>
    <w:rsid w:val="00114A65"/>
    <w:rsid w:val="00126EBF"/>
    <w:rsid w:val="00132C9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C78B2"/>
    <w:rsid w:val="001D1E06"/>
    <w:rsid w:val="001F128D"/>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024E"/>
    <w:rsid w:val="002A2FC6"/>
    <w:rsid w:val="002C1EC7"/>
    <w:rsid w:val="002C3015"/>
    <w:rsid w:val="002C4342"/>
    <w:rsid w:val="002C7565"/>
    <w:rsid w:val="002C7EA3"/>
    <w:rsid w:val="002D20AE"/>
    <w:rsid w:val="002D6C61"/>
    <w:rsid w:val="002E2104"/>
    <w:rsid w:val="002E2DAC"/>
    <w:rsid w:val="002E6963"/>
    <w:rsid w:val="002E6F8F"/>
    <w:rsid w:val="002F05D8"/>
    <w:rsid w:val="002F2DE0"/>
    <w:rsid w:val="002F5E25"/>
    <w:rsid w:val="0030353C"/>
    <w:rsid w:val="00307769"/>
    <w:rsid w:val="003125C3"/>
    <w:rsid w:val="0031293E"/>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5E51"/>
    <w:rsid w:val="00386A89"/>
    <w:rsid w:val="0039648E"/>
    <w:rsid w:val="00396D65"/>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20222"/>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C81"/>
    <w:rsid w:val="004D0B28"/>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7952"/>
    <w:rsid w:val="0054420E"/>
    <w:rsid w:val="00544D1B"/>
    <w:rsid w:val="00545DC0"/>
    <w:rsid w:val="00545F6C"/>
    <w:rsid w:val="005477D9"/>
    <w:rsid w:val="0055720C"/>
    <w:rsid w:val="00561796"/>
    <w:rsid w:val="005632DD"/>
    <w:rsid w:val="0056423B"/>
    <w:rsid w:val="00566FD6"/>
    <w:rsid w:val="00573424"/>
    <w:rsid w:val="0057402F"/>
    <w:rsid w:val="00575377"/>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038C"/>
    <w:rsid w:val="0064734E"/>
    <w:rsid w:val="00650137"/>
    <w:rsid w:val="006509D7"/>
    <w:rsid w:val="00651CE8"/>
    <w:rsid w:val="0065521B"/>
    <w:rsid w:val="00662A02"/>
    <w:rsid w:val="00671EF6"/>
    <w:rsid w:val="0067205B"/>
    <w:rsid w:val="006748F8"/>
    <w:rsid w:val="00680489"/>
    <w:rsid w:val="00683C32"/>
    <w:rsid w:val="00690BB2"/>
    <w:rsid w:val="00693D09"/>
    <w:rsid w:val="00695873"/>
    <w:rsid w:val="006A6549"/>
    <w:rsid w:val="006A7710"/>
    <w:rsid w:val="006A7A61"/>
    <w:rsid w:val="006B1E59"/>
    <w:rsid w:val="006B2FFB"/>
    <w:rsid w:val="006C10A2"/>
    <w:rsid w:val="006C1F18"/>
    <w:rsid w:val="006D40D5"/>
    <w:rsid w:val="006F009A"/>
    <w:rsid w:val="006F202A"/>
    <w:rsid w:val="006F3D93"/>
    <w:rsid w:val="006F6AFD"/>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3857"/>
    <w:rsid w:val="008419B1"/>
    <w:rsid w:val="00842E57"/>
    <w:rsid w:val="00844A56"/>
    <w:rsid w:val="00845B11"/>
    <w:rsid w:val="00852081"/>
    <w:rsid w:val="00872B6E"/>
    <w:rsid w:val="00874DFD"/>
    <w:rsid w:val="008802F9"/>
    <w:rsid w:val="00883086"/>
    <w:rsid w:val="008879FD"/>
    <w:rsid w:val="008909A9"/>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693E"/>
    <w:rsid w:val="008E34F0"/>
    <w:rsid w:val="008F14F5"/>
    <w:rsid w:val="008F71C1"/>
    <w:rsid w:val="00902D41"/>
    <w:rsid w:val="00902F49"/>
    <w:rsid w:val="00904230"/>
    <w:rsid w:val="00914004"/>
    <w:rsid w:val="009142FD"/>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460B"/>
    <w:rsid w:val="009F3940"/>
    <w:rsid w:val="009F3EB2"/>
    <w:rsid w:val="009F6EB1"/>
    <w:rsid w:val="00A11D05"/>
    <w:rsid w:val="00A13162"/>
    <w:rsid w:val="00A20267"/>
    <w:rsid w:val="00A3158C"/>
    <w:rsid w:val="00A32DF3"/>
    <w:rsid w:val="00A33E32"/>
    <w:rsid w:val="00A35E20"/>
    <w:rsid w:val="00A36DDE"/>
    <w:rsid w:val="00A36F6D"/>
    <w:rsid w:val="00A50CA0"/>
    <w:rsid w:val="00A525CC"/>
    <w:rsid w:val="00A53E7C"/>
    <w:rsid w:val="00A60087"/>
    <w:rsid w:val="00A705E8"/>
    <w:rsid w:val="00A721F4"/>
    <w:rsid w:val="00A9392C"/>
    <w:rsid w:val="00A9462B"/>
    <w:rsid w:val="00A97D59"/>
    <w:rsid w:val="00AA3E09"/>
    <w:rsid w:val="00AA3F86"/>
    <w:rsid w:val="00AA4BEF"/>
    <w:rsid w:val="00AB1659"/>
    <w:rsid w:val="00AB18ED"/>
    <w:rsid w:val="00AB4962"/>
    <w:rsid w:val="00AB734E"/>
    <w:rsid w:val="00AB740F"/>
    <w:rsid w:val="00AC6F14"/>
    <w:rsid w:val="00AC7221"/>
    <w:rsid w:val="00AD04D0"/>
    <w:rsid w:val="00AD3F43"/>
    <w:rsid w:val="00AD4677"/>
    <w:rsid w:val="00AE5961"/>
    <w:rsid w:val="00AF0745"/>
    <w:rsid w:val="00AF2E6F"/>
    <w:rsid w:val="00AF4971"/>
    <w:rsid w:val="00AF5276"/>
    <w:rsid w:val="00AF7C86"/>
    <w:rsid w:val="00B01046"/>
    <w:rsid w:val="00B051EE"/>
    <w:rsid w:val="00B15801"/>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BF10C3"/>
    <w:rsid w:val="00C015F8"/>
    <w:rsid w:val="00C02C2A"/>
    <w:rsid w:val="00C07E26"/>
    <w:rsid w:val="00C1011C"/>
    <w:rsid w:val="00C12F94"/>
    <w:rsid w:val="00C177C5"/>
    <w:rsid w:val="00C25181"/>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0A4"/>
    <w:rsid w:val="00E70D9F"/>
    <w:rsid w:val="00E72DFE"/>
    <w:rsid w:val="00E83810"/>
    <w:rsid w:val="00E86933"/>
    <w:rsid w:val="00E92250"/>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043B"/>
    <w:rsid w:val="00FB4139"/>
    <w:rsid w:val="00FB476E"/>
    <w:rsid w:val="00FC0D90"/>
    <w:rsid w:val="00FC2415"/>
    <w:rsid w:val="00FC7D8C"/>
    <w:rsid w:val="00FD0A1D"/>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3C6C09"/>
    <w:rPr>
      <w:color w:val="605E5C"/>
      <w:shd w:val="clear" w:color="auto" w:fill="E1DFDD"/>
    </w:rPr>
  </w:style>
  <w:style w:type="table" w:customStyle="1" w:styleId="TableGrid1">
    <w:name w:val="Table Grid1"/>
    <w:basedOn w:val="TableNormal"/>
    <w:next w:val="TableGrid"/>
    <w:uiPriority w:val="59"/>
    <w:rsid w:val="00026036"/>
    <w:rPr>
      <w:rFonts w:ascii="Avenir Nxt2 W1G" w:hAnsi="Avenir Nxt2 W1G"/>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venir Nxt2 W1G Demi" w:hAnsi="Avenir Nxt2 W1G Demi"/>
        <w:color w:val="FFFFFF"/>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paragraph" w:styleId="BalloonText">
    <w:name w:val="Balloon Text"/>
    <w:basedOn w:val="Normal"/>
    <w:link w:val="BalloonTextChar"/>
    <w:semiHidden/>
    <w:unhideWhenUsed/>
    <w:rsid w:val="004202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0222"/>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66FD6"/>
    <w:rPr>
      <w:color w:val="605E5C"/>
      <w:shd w:val="clear" w:color="auto" w:fill="E1DFDD"/>
    </w:rPr>
  </w:style>
  <w:style w:type="paragraph" w:styleId="Revision">
    <w:name w:val="Revision"/>
    <w:hidden/>
    <w:uiPriority w:val="99"/>
    <w:semiHidden/>
    <w:rsid w:val="00AD04D0"/>
    <w:rPr>
      <w:rFonts w:asciiTheme="minorHAnsi" w:hAnsiTheme="minorHAnsi"/>
      <w:sz w:val="24"/>
      <w:lang w:val="en-GB" w:eastAsia="en-US"/>
    </w:rPr>
  </w:style>
  <w:style w:type="paragraph" w:customStyle="1" w:styleId="Figure">
    <w:name w:val="Figure"/>
    <w:basedOn w:val="Normal"/>
    <w:next w:val="Normal"/>
    <w:rsid w:val="00AD04D0"/>
    <w:pPr>
      <w:keepNext/>
      <w:keepLines/>
      <w:spacing w:before="240" w:after="120"/>
      <w:jc w:val="center"/>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4/relationships/chartEx" Target="charts/chartEx1.xml"/><Relationship Id="rId2" Type="http://schemas.openxmlformats.org/officeDocument/2006/relationships/customXml" Target="../customXml/item2.xml"/><Relationship Id="rId16" Type="http://schemas.microsoft.com/office/2014/relationships/chartEx" Target="charts/chartEx2.xml"/><Relationship Id="rId20" Type="http://schemas.openxmlformats.org/officeDocument/2006/relationships/hyperlink" Target="https://www.itu.int/en/ITU-D/Conferences/CRO/Documents/CHAIRMAN%27S%20REPORT%20D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hub/membership/our-members/exempted-entities/exemption-criteria/"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en/ITU-D/Conferences/CRO/Documents/Outcome%20statement%20IAGDI-CR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1-INF-000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r>
              <a:rPr lang="en-GB" sz="900" b="1">
                <a:solidFill>
                  <a:sysClr val="windowText" lastClr="000000"/>
                </a:solidFill>
                <a:latin typeface="Calibri" panose="020F0502020204030204" pitchFamily="34" charset="0"/>
                <a:cs typeface="Calibri" panose="020F0502020204030204" pitchFamily="34" charset="0"/>
              </a:rPr>
              <a:t>Gráfico 1</a:t>
            </a:r>
            <a:r>
              <a:rPr lang="en-GB" sz="900" b="0">
                <a:solidFill>
                  <a:sysClr val="windowText" lastClr="000000"/>
                </a:solidFill>
                <a:latin typeface="Calibri" panose="020F0502020204030204" pitchFamily="34" charset="0"/>
                <a:cs typeface="Calibri" panose="020F0502020204030204" pitchFamily="34" charset="0"/>
              </a:rPr>
              <a:t>:</a:t>
            </a:r>
            <a:r>
              <a:rPr lang="en-GB" sz="900" b="1">
                <a:solidFill>
                  <a:sysClr val="windowText" lastClr="000000"/>
                </a:solidFill>
                <a:latin typeface="Calibri" panose="020F0502020204030204" pitchFamily="34" charset="0"/>
                <a:cs typeface="Calibri" panose="020F0502020204030204" pitchFamily="34" charset="0"/>
              </a:rPr>
              <a:t> </a:t>
            </a:r>
            <a:r>
              <a:rPr lang="en-GB" sz="900" b="0">
                <a:solidFill>
                  <a:sysClr val="windowText" lastClr="000000"/>
                </a:solidFill>
                <a:latin typeface="Calibri" panose="020F0502020204030204" pitchFamily="34" charset="0"/>
                <a:cs typeface="Calibri" panose="020F0502020204030204" pitchFamily="34" charset="0"/>
              </a:rPr>
              <a:t>Evolución</a:t>
            </a:r>
            <a:r>
              <a:rPr lang="en-GB" sz="900" b="0" baseline="0">
                <a:solidFill>
                  <a:sysClr val="windowText" lastClr="000000"/>
                </a:solidFill>
                <a:latin typeface="Calibri" panose="020F0502020204030204" pitchFamily="34" charset="0"/>
                <a:cs typeface="Calibri" panose="020F0502020204030204" pitchFamily="34" charset="0"/>
              </a:rPr>
              <a:t> de los miembros del UIT-D</a:t>
            </a:r>
            <a:r>
              <a:rPr lang="en-GB" sz="1000" b="0" baseline="0">
                <a:solidFill>
                  <a:sysClr val="windowText" lastClr="000000"/>
                </a:solidFill>
                <a:latin typeface="Calibri" panose="020F0502020204030204" pitchFamily="34" charset="0"/>
                <a:cs typeface="Calibri" panose="020F0502020204030204" pitchFamily="34" charset="0"/>
              </a:rPr>
              <a:t>      </a:t>
            </a:r>
            <a:r>
              <a:rPr lang="en-GB" sz="800">
                <a:solidFill>
                  <a:sysClr val="windowText" lastClr="000000"/>
                </a:solidFill>
                <a:latin typeface="Calibri" panose="020F0502020204030204" pitchFamily="34" charset="0"/>
                <a:cs typeface="Calibri" panose="020F0502020204030204" pitchFamily="34" charset="0"/>
              </a:rPr>
              <a:t>*previsión para junio de 2024</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venir Nxt2 W1G" panose="020B0503020202020204" pitchFamily="34" charset="0"/>
              <a:ea typeface="+mn-ea"/>
              <a:cs typeface="+mn-cs"/>
            </a:defRPr>
          </a:pPr>
          <a:endParaRPr lang="fr-FR"/>
        </a:p>
      </c:txPr>
    </c:title>
    <c:autoTitleDeleted val="0"/>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Intituciones Académicas afiliadas</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0A5-4B3C-ABFB-534374905B50}"/>
                </c:ext>
              </c:extLst>
            </c:dLbl>
            <c:dLbl>
              <c:idx val="4"/>
              <c:delete val="1"/>
              <c:extLst>
                <c:ext xmlns:c15="http://schemas.microsoft.com/office/drawing/2012/chart" uri="{CE6537A1-D6FC-4f65-9D91-7224C49458BB}"/>
                <c:ext xmlns:c16="http://schemas.microsoft.com/office/drawing/2014/chart" uri="{C3380CC4-5D6E-409C-BE32-E72D297353CC}">
                  <c16:uniqueId val="{00000001-90A5-4B3C-ABFB-534374905B50}"/>
                </c:ext>
              </c:extLst>
            </c:dLbl>
            <c:dLbl>
              <c:idx val="8"/>
              <c:delete val="1"/>
              <c:extLst>
                <c:ext xmlns:c15="http://schemas.microsoft.com/office/drawing/2012/chart" uri="{CE6537A1-D6FC-4f65-9D91-7224C49458BB}"/>
                <c:ext xmlns:c16="http://schemas.microsoft.com/office/drawing/2014/chart" uri="{C3380CC4-5D6E-409C-BE32-E72D297353CC}">
                  <c16:uniqueId val="{00000002-90A5-4B3C-ABFB-534374905B5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Sheet1!$D$2:$D$11</c:f>
              <c:numCache>
                <c:formatCode>General</c:formatCode>
                <c:ptCount val="10"/>
                <c:pt idx="0">
                  <c:v>0</c:v>
                </c:pt>
                <c:pt idx="1">
                  <c:v>170</c:v>
                </c:pt>
                <c:pt idx="4">
                  <c:v>0</c:v>
                </c:pt>
                <c:pt idx="5">
                  <c:v>169</c:v>
                </c:pt>
                <c:pt idx="8">
                  <c:v>0</c:v>
                </c:pt>
                <c:pt idx="9">
                  <c:v>169</c:v>
                </c:pt>
              </c:numCache>
            </c:numRef>
          </c:val>
          <c:extLst>
            <c:ext xmlns:c16="http://schemas.microsoft.com/office/drawing/2014/chart" uri="{C3380CC4-5D6E-409C-BE32-E72D297353CC}">
              <c16:uniqueId val="{00000003-90A5-4B3C-ABFB-534374905B50}"/>
            </c:ext>
          </c:extLst>
        </c:ser>
        <c:ser>
          <c:idx val="0"/>
          <c:order val="1"/>
          <c:tx>
            <c:strRef>
              <c:f>Sheet1!$B$1</c:f>
              <c:strCache>
                <c:ptCount val="1"/>
                <c:pt idx="0">
                  <c:v>Miembros de Sector</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5-90A5-4B3C-ABFB-534374905B50}"/>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venir Nxt2 W1G" panose="020B0503020202020204" pitchFamily="34" charset="0"/>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Sheet1!$B$2:$B$11</c:f>
              <c:numCache>
                <c:formatCode>General</c:formatCode>
                <c:ptCount val="10"/>
                <c:pt idx="0">
                  <c:v>303</c:v>
                </c:pt>
                <c:pt idx="4">
                  <c:v>313</c:v>
                </c:pt>
                <c:pt idx="8">
                  <c:v>323</c:v>
                </c:pt>
              </c:numCache>
            </c:numRef>
          </c:val>
          <c:extLst>
            <c:ext xmlns:c16="http://schemas.microsoft.com/office/drawing/2014/chart" uri="{C3380CC4-5D6E-409C-BE32-E72D297353CC}">
              <c16:uniqueId val="{00000006-90A5-4B3C-ABFB-534374905B50}"/>
            </c:ext>
          </c:extLst>
        </c:ser>
        <c:ser>
          <c:idx val="1"/>
          <c:order val="2"/>
          <c:tx>
            <c:v>Asociados</c:v>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8-90A5-4B3C-ABFB-534374905B50}"/>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Sheet1!$C$2:$C$11</c:f>
              <c:numCache>
                <c:formatCode>General</c:formatCode>
                <c:ptCount val="10"/>
                <c:pt idx="0">
                  <c:v>14</c:v>
                </c:pt>
                <c:pt idx="4">
                  <c:v>19</c:v>
                </c:pt>
                <c:pt idx="8">
                  <c:v>21</c:v>
                </c:pt>
              </c:numCache>
            </c:numRef>
          </c:val>
          <c:extLst>
            <c:ext xmlns:c16="http://schemas.microsoft.com/office/drawing/2014/chart" uri="{C3380CC4-5D6E-409C-BE32-E72D297353CC}">
              <c16:uniqueId val="{00000009-90A5-4B3C-ABFB-534374905B50}"/>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Sheet1!$E$2:$E$11</c:f>
              <c:numCache>
                <c:formatCode>General</c:formatCode>
                <c:ptCount val="10"/>
                <c:pt idx="0">
                  <c:v>317</c:v>
                </c:pt>
                <c:pt idx="4">
                  <c:v>332</c:v>
                </c:pt>
                <c:pt idx="8">
                  <c:v>344</c:v>
                </c:pt>
              </c:numCache>
            </c:numRef>
          </c:val>
          <c:smooth val="0"/>
          <c:extLst>
            <c:ext xmlns:c16="http://schemas.microsoft.com/office/drawing/2014/chart" uri="{C3380CC4-5D6E-409C-BE32-E72D297353CC}">
              <c16:uniqueId val="{0000000A-90A5-4B3C-ABFB-534374905B50}"/>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fr-FR"/>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fr-FR"/>
          </a:p>
        </c:txPr>
        <c:crossAx val="2127026784"/>
        <c:crosses val="autoZero"/>
        <c:crossBetween val="between"/>
      </c:valAx>
      <c:spPr>
        <a:noFill/>
        <a:ln>
          <a:noFill/>
        </a:ln>
        <a:effectLst/>
      </c:spPr>
    </c:plotArea>
    <c:legend>
      <c:legendPos val="r"/>
      <c:legendEntry>
        <c:idx val="3"/>
        <c:delete val="1"/>
      </c:legendEntry>
      <c:layout>
        <c:manualLayout>
          <c:xMode val="edge"/>
          <c:yMode val="edge"/>
          <c:x val="0.74089372498323569"/>
          <c:y val="0.26773024191948519"/>
          <c:w val="0.24374192031966155"/>
          <c:h val="0.285107181116790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fr-FR"/>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2021</cx:pt>
          <cx:pt idx="1">new members 2022</cx:pt>
          <cx:pt idx="2">lost members 2022</cx:pt>
          <cx:pt idx="3">members 2022</cx:pt>
          <cx:pt idx="4">new members 2023</cx:pt>
          <cx:pt idx="5">lost members 2023</cx:pt>
          <cx:pt idx="6">members 2023</cx:pt>
          <cx:pt idx="7">new members 2024</cx:pt>
          <cx:pt idx="8">lost members 2024</cx:pt>
          <cx:pt idx="9">members 2024</cx:pt>
        </cx:lvl>
      </cx:strDim>
      <cx:numDim type="val">
        <cx:f>Sheet1!$B$2:$B$11</cx:f>
        <cx:lvl ptCount="10" formatCode="Estándar">
          <cx:pt idx="0">313</cx:pt>
          <cx:pt idx="1">18</cx:pt>
          <cx:pt idx="2">-14</cx:pt>
          <cx:pt idx="3">317</cx:pt>
          <cx:pt idx="4">27</cx:pt>
          <cx:pt idx="5">-12</cx:pt>
          <cx:pt idx="6">332</cx:pt>
          <cx:pt idx="7">15</cx:pt>
          <cx:pt idx="8">-2</cx:pt>
          <cx:pt idx="9">345</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900" b="1" i="0" u="none" strike="noStrike" baseline="0">
                <a:solidFill>
                  <a:sysClr val="windowText" lastClr="000000"/>
                </a:solidFill>
                <a:latin typeface="Calibri" panose="020F0502020204030204" pitchFamily="34" charset="0"/>
                <a:cs typeface="Calibri" panose="020F0502020204030204" pitchFamily="34" charset="0"/>
              </a:rPr>
              <a:t>Gráfico 2: </a:t>
            </a:r>
            <a:r>
              <a:rPr lang="en-US" sz="900" b="0" i="0" u="none" strike="noStrike" baseline="0">
                <a:solidFill>
                  <a:sysClr val="windowText" lastClr="000000"/>
                </a:solidFill>
                <a:latin typeface="Calibri" panose="020F0502020204030204" pitchFamily="34" charset="0"/>
                <a:cs typeface="Calibri" panose="020F0502020204030204" pitchFamily="34" charset="0"/>
              </a:rPr>
              <a:t>Miembros de Sector y Asociados del UIT-D:cifras absolutas  </a:t>
            </a:r>
            <a:r>
              <a:rPr lang="en-US" sz="800" b="0" i="0" u="none" strike="noStrike" baseline="0">
                <a:solidFill>
                  <a:sysClr val="windowText" lastClr="000000"/>
                </a:solidFill>
                <a:latin typeface="+mn-lt"/>
              </a:rPr>
              <a:t>*previsión para junio de 2024</a:t>
            </a:r>
          </a:p>
        </cx:rich>
      </cx:tx>
    </cx:title>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Pt idx="7">
            <cx:spPr>
              <a:solidFill>
                <a:srgbClr val="9BCD7A">
                  <a:alpha val="45000"/>
                </a:srgbClr>
              </a:solidFill>
              <a:ln>
                <a:noFill/>
              </a:ln>
            </cx:spPr>
          </cx:dataPt>
          <cx:dataPt idx="8">
            <cx:spPr>
              <a:solidFill>
                <a:srgbClr val="FA4D55">
                  <a:alpha val="45000"/>
                </a:srgbClr>
              </a:solidFill>
              <a:ln>
                <a:noFill/>
              </a:ln>
            </cx:spPr>
          </cx:dataPt>
          <cx:dataPt idx="9">
            <cx:spPr>
              <a:solidFill>
                <a:srgbClr val="009CD5">
                  <a:alpha val="45000"/>
                </a:srgbClr>
              </a:solidFill>
              <a:ln>
                <a:noFill/>
              </a:ln>
            </cx:spPr>
          </cx:dataPt>
          <cx:dataLabels pos="outEnd">
            <cx:txPr>
              <a:bodyPr spcFirstLastPara="1" vertOverflow="ellipsis" horzOverflow="overflow" wrap="square" lIns="0" tIns="0" rIns="0" bIns="0" anchor="ctr" anchorCtr="1"/>
              <a:lstStyle/>
              <a:p>
                <a:pPr algn="ctr" rtl="0">
                  <a:defRPr sz="800">
                    <a:solidFill>
                      <a:schemeClr val="accent2">
                        <a:lumMod val="75000"/>
                      </a:schemeClr>
                    </a:solidFill>
                    <a:latin typeface="Avenir Nxt2 W1G" panose="020B0503020202020204" pitchFamily="34" charset="0"/>
                    <a:ea typeface="Avenir Nxt2 W1G" panose="020B0503020202020204" pitchFamily="34" charset="0"/>
                    <a:cs typeface="Avenir Nxt2 W1G" panose="020B0503020202020204" pitchFamily="34" charset="0"/>
                  </a:defRPr>
                </a:pPr>
                <a:endParaRPr lang="en-US" sz="800" b="0" i="0" u="none" strike="noStrike" baseline="0">
                  <a:solidFill>
                    <a:schemeClr val="accent2">
                      <a:lumMod val="75000"/>
                    </a:schemeClr>
                  </a:solidFill>
                  <a:latin typeface="Avenir Nxt2 W1G" panose="020B0503020202020204" pitchFamily="34" charset="0"/>
                </a:endParaRPr>
              </a:p>
            </cx:txPr>
            <cx:visibility seriesName="0" categoryName="0" value="1"/>
            <cx:separator>, </cx:separator>
          </cx:dataLabels>
          <cx:dataId val="0"/>
          <cx:layoutPr>
            <cx:subtotals>
              <cx:idx val="0"/>
              <cx:idx val="3"/>
              <cx:idx val="6"/>
              <cx:idx val="9"/>
            </cx:subtotals>
          </cx:layoutPr>
        </cx:series>
      </cx:plotAreaRegion>
      <cx:axis id="0" hidden="1">
        <cx:catScaling gapWidth="0.5"/>
        <cx:tickLabels/>
      </cx:axis>
      <cx:axis id="1">
        <cx:valScaling min="300"/>
        <cx:tickLabels/>
      </cx:axis>
    </cx:plotArea>
  </cx:chart>
  <cx:spPr>
    <a:ln>
      <a:noFill/>
    </a:ln>
  </cx:spPr>
  <cx:fmtOvrs>
    <cx:fmtOvr idx="2">
      <cx:spPr>
        <a:solidFill>
          <a:schemeClr val="accent1"/>
        </a:solidFill>
      </cx:spPr>
    </cx:fmtOvr>
    <cx:fmtOvr idx="0">
      <cx:spPr>
        <a:solidFill>
          <a:srgbClr val="9BCD7A"/>
        </a:solidFill>
      </cx:spPr>
    </cx:fmtOvr>
    <cx:fmtOvr idx="1">
      <cx:spPr>
        <a:solidFill>
          <a:srgbClr val="FA4D55"/>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Sheet1!$A$2:$A$8</cx:f>
        <cx:lvl ptCount="7">
          <cx:pt idx="0">members 2021</cx:pt>
          <cx:pt idx="1">new members 2022</cx:pt>
          <cx:pt idx="2">lost members 2022</cx:pt>
          <cx:pt idx="3">members 2022</cx:pt>
          <cx:pt idx="4">new members 2023</cx:pt>
          <cx:pt idx="5">lost members 2023</cx:pt>
          <cx:pt idx="6">members 2023</cx:pt>
        </cx:lvl>
      </cx:strDim>
      <cx:numDim type="val">
        <cx:f>Sheet1!$B$2:$B$8</cx:f>
        <cx:lvl ptCount="7" formatCode="Standard">
          <cx:pt idx="0">158</cx:pt>
          <cx:pt idx="1">21</cx:pt>
          <cx:pt idx="2">-9</cx:pt>
          <cx:pt idx="3">170</cx:pt>
          <cx:pt idx="4">17</cx:pt>
          <cx:pt idx="5">-18</cx:pt>
          <cx:pt idx="6">169</cx:pt>
        </cx:lvl>
      </cx:numDim>
    </cx:data>
  </cx:chartData>
  <cx:chart>
    <cx:title pos="t" align="ctr" overlay="0">
      <cx:tx>
        <cx:rich>
          <a:bodyPr spcFirstLastPara="1" vertOverflow="ellipsis" horzOverflow="overflow" wrap="square" lIns="0" tIns="0" rIns="0" bIns="0" anchor="ctr" anchorCtr="1"/>
          <a:lstStyle/>
          <a:p>
            <a:pPr algn="ctr" rtl="0">
              <a:defRPr sz="900">
                <a:latin typeface="Calibri" panose="020F0502020204030204" pitchFamily="34" charset="0"/>
                <a:ea typeface="Calibri" panose="020F0502020204030204" pitchFamily="34" charset="0"/>
                <a:cs typeface="Calibri" panose="020F0502020204030204" pitchFamily="34" charset="0"/>
              </a:defRPr>
            </a:pPr>
            <a:r>
              <a:rPr lang="en-US" sz="900" b="1" i="0" u="none" strike="noStrike" baseline="0">
                <a:solidFill>
                  <a:sysClr val="windowText" lastClr="000000"/>
                </a:solidFill>
                <a:latin typeface="Calibri" panose="020F0502020204030204" pitchFamily="34" charset="0"/>
                <a:cs typeface="Calibri" panose="020F0502020204030204" pitchFamily="34" charset="0"/>
              </a:rPr>
              <a:t>Gráfico 3</a:t>
            </a:r>
            <a:r>
              <a:rPr lang="en-US" sz="900" b="0" i="0" u="none" strike="noStrike" baseline="0">
                <a:solidFill>
                  <a:sysClr val="windowText" lastClr="000000"/>
                </a:solidFill>
                <a:latin typeface="Calibri" panose="020F0502020204030204" pitchFamily="34" charset="0"/>
                <a:cs typeface="Calibri" panose="020F0502020204030204" pitchFamily="34" charset="0"/>
              </a:rPr>
              <a:t>: Instituciones Académicas de la UIT: cifras absolutas</a:t>
            </a:r>
          </a:p>
        </cx:rich>
      </cx:tx>
    </cx:title>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Labels pos="outEnd">
            <cx:txPr>
              <a:bodyPr spcFirstLastPara="1" vertOverflow="ellipsis" horzOverflow="overflow" wrap="square" lIns="0" tIns="0" rIns="0" bIns="0" anchor="ctr" anchorCtr="1"/>
              <a:lstStyle/>
              <a:p>
                <a:pPr algn="ctr" rtl="0">
                  <a:defRPr sz="900">
                    <a:latin typeface="Avenir Nxt2 W1G" panose="020B0503020202020204" pitchFamily="34" charset="0"/>
                    <a:ea typeface="Avenir Nxt2 W1G" panose="020B0503020202020204" pitchFamily="34" charset="0"/>
                    <a:cs typeface="Avenir Nxt2 W1G" panose="020B0503020202020204" pitchFamily="34" charset="0"/>
                  </a:defRPr>
                </a:pPr>
                <a:endParaRPr lang="en-US" sz="900" b="0" i="0" u="none" strike="noStrike" baseline="0">
                  <a:solidFill>
                    <a:sysClr val="windowText" lastClr="000000">
                      <a:lumMod val="65000"/>
                      <a:lumOff val="35000"/>
                    </a:sysClr>
                  </a:solidFill>
                  <a:latin typeface="Avenir Nxt2 W1G" panose="020B0503020202020204" pitchFamily="34" charset="0"/>
                </a:endParaRPr>
              </a:p>
            </cx:txPr>
            <cx:visibility seriesName="0" categoryName="0" value="1"/>
            <cx:separator>, </cx:separator>
          </cx:dataLabels>
          <cx:dataId val="0"/>
          <cx:layoutPr>
            <cx:subtotals>
              <cx:idx val="0"/>
              <cx:idx val="3"/>
              <cx:idx val="6"/>
            </cx:subtotals>
          </cx:layoutPr>
        </cx:series>
      </cx:plotAreaRegion>
      <cx:axis id="0" hidden="1">
        <cx:catScaling gapWidth="0.5"/>
        <cx:tickLabels/>
        <cx:txPr>
          <a:bodyPr vertOverflow="overflow" horzOverflow="overflow" wrap="square" lIns="0" tIns="0" rIns="0" bIns="0"/>
          <a:lstStyle/>
          <a:p>
            <a:pPr algn="ctr" rtl="0">
              <a:defRPr sz="9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900"/>
          </a:p>
        </cx:txPr>
      </cx:axis>
      <cx:axis id="1">
        <cx:valScaling max="200" min="150"/>
        <cx:tickLabels/>
        <cx:txPr>
          <a:bodyPr vertOverflow="overflow" horzOverflow="overflow" wrap="square" lIns="0" tIns="0" rIns="0" bIns="0"/>
          <a:lstStyle/>
          <a:p>
            <a:pPr algn="ctr" rtl="0">
              <a:defRPr sz="900" b="0" i="0">
                <a:solidFill>
                  <a:srgbClr val="595959"/>
                </a:solidFill>
                <a:latin typeface="Calibri" panose="020F0502020204030204" pitchFamily="34" charset="0"/>
                <a:ea typeface="Calibri" panose="020F0502020204030204" pitchFamily="34" charset="0"/>
                <a:cs typeface="Calibri" panose="020F0502020204030204" pitchFamily="34" charset="0"/>
              </a:defRPr>
            </a:pPr>
            <a:endParaRPr lang="en-GB" sz="900"/>
          </a:p>
        </cx:txPr>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1DEA1B1C-FD5A-4295-B472-0A8B588A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1915</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2</cp:revision>
  <cp:lastPrinted>2014-11-04T09:22:00Z</cp:lastPrinted>
  <dcterms:created xsi:type="dcterms:W3CDTF">2024-04-22T13:52:00Z</dcterms:created>
  <dcterms:modified xsi:type="dcterms:W3CDTF">2024-04-22T13:52:00Z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