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2B6EC2" w14:paraId="3F0E9EC4" w14:textId="77777777" w:rsidTr="00952667">
        <w:trPr>
          <w:cantSplit/>
          <w:trHeight w:val="1134"/>
        </w:trPr>
        <w:tc>
          <w:tcPr>
            <w:tcW w:w="6379" w:type="dxa"/>
          </w:tcPr>
          <w:p w14:paraId="68FE8375" w14:textId="60D4E501" w:rsidR="00307769" w:rsidRPr="002B6EC2" w:rsidRDefault="001011EB" w:rsidP="00307769">
            <w:pPr>
              <w:tabs>
                <w:tab w:val="clear" w:pos="1191"/>
                <w:tab w:val="clear" w:pos="1588"/>
                <w:tab w:val="clear" w:pos="1985"/>
              </w:tabs>
              <w:ind w:left="34"/>
              <w:rPr>
                <w:b/>
                <w:bCs/>
                <w:sz w:val="32"/>
                <w:szCs w:val="32"/>
                <w:lang w:val="fr-FR"/>
              </w:rPr>
            </w:pPr>
            <w:r w:rsidRPr="002B6EC2">
              <w:rPr>
                <w:b/>
                <w:bCs/>
                <w:sz w:val="32"/>
                <w:szCs w:val="32"/>
                <w:lang w:val="fr-FR"/>
              </w:rPr>
              <w:t xml:space="preserve">Groupe consultatif pour le développement </w:t>
            </w:r>
            <w:r w:rsidR="00307769" w:rsidRPr="002B6EC2">
              <w:rPr>
                <w:b/>
                <w:bCs/>
                <w:sz w:val="32"/>
                <w:szCs w:val="32"/>
                <w:lang w:val="fr-FR"/>
              </w:rPr>
              <w:br/>
            </w:r>
            <w:r w:rsidRPr="002B6EC2">
              <w:rPr>
                <w:b/>
                <w:bCs/>
                <w:sz w:val="32"/>
                <w:szCs w:val="32"/>
                <w:lang w:val="fr-FR"/>
              </w:rPr>
              <w:t>des télécommunications (GCDT</w:t>
            </w:r>
            <w:r w:rsidR="00307769" w:rsidRPr="002B6EC2">
              <w:rPr>
                <w:b/>
                <w:bCs/>
                <w:sz w:val="32"/>
                <w:szCs w:val="32"/>
                <w:lang w:val="fr-FR"/>
              </w:rPr>
              <w:t>)</w:t>
            </w:r>
          </w:p>
          <w:p w14:paraId="5F5F590A" w14:textId="114AEE46" w:rsidR="00307769" w:rsidRPr="002B6EC2" w:rsidRDefault="00307769" w:rsidP="001011EB">
            <w:pPr>
              <w:tabs>
                <w:tab w:val="clear" w:pos="1191"/>
                <w:tab w:val="clear" w:pos="1588"/>
                <w:tab w:val="clear" w:pos="1985"/>
              </w:tabs>
              <w:spacing w:after="120"/>
              <w:ind w:left="34"/>
              <w:rPr>
                <w:rFonts w:ascii="Verdana" w:hAnsi="Verdana"/>
                <w:sz w:val="28"/>
                <w:szCs w:val="28"/>
                <w:lang w:val="fr-FR"/>
              </w:rPr>
            </w:pPr>
            <w:r w:rsidRPr="002B6EC2">
              <w:rPr>
                <w:b/>
                <w:bCs/>
                <w:sz w:val="26"/>
                <w:szCs w:val="26"/>
                <w:lang w:val="fr-FR"/>
              </w:rPr>
              <w:t>3</w:t>
            </w:r>
            <w:r w:rsidR="00873313" w:rsidRPr="002B6EC2">
              <w:rPr>
                <w:b/>
                <w:bCs/>
                <w:sz w:val="26"/>
                <w:szCs w:val="26"/>
                <w:lang w:val="fr-FR"/>
              </w:rPr>
              <w:t>1</w:t>
            </w:r>
            <w:r w:rsidR="001011EB" w:rsidRPr="002B6EC2">
              <w:rPr>
                <w:b/>
                <w:bCs/>
                <w:sz w:val="26"/>
                <w:szCs w:val="26"/>
                <w:lang w:val="fr-FR"/>
              </w:rPr>
              <w:t>ème réunion</w:t>
            </w:r>
            <w:r w:rsidRPr="002B6EC2">
              <w:rPr>
                <w:b/>
                <w:bCs/>
                <w:sz w:val="26"/>
                <w:szCs w:val="26"/>
                <w:lang w:val="fr-FR"/>
              </w:rPr>
              <w:t xml:space="preserve">, </w:t>
            </w:r>
            <w:r w:rsidR="001011EB" w:rsidRPr="002B6EC2">
              <w:rPr>
                <w:b/>
                <w:bCs/>
                <w:sz w:val="26"/>
                <w:szCs w:val="26"/>
                <w:lang w:val="fr-FR"/>
              </w:rPr>
              <w:t>Genève</w:t>
            </w:r>
            <w:r w:rsidR="00D47E23" w:rsidRPr="002B6EC2">
              <w:rPr>
                <w:b/>
                <w:bCs/>
                <w:sz w:val="26"/>
                <w:szCs w:val="26"/>
                <w:lang w:val="fr-FR"/>
              </w:rPr>
              <w:t xml:space="preserve">, </w:t>
            </w:r>
            <w:r w:rsidR="001011EB" w:rsidRPr="002B6EC2">
              <w:rPr>
                <w:b/>
                <w:bCs/>
                <w:sz w:val="26"/>
                <w:szCs w:val="26"/>
                <w:lang w:val="fr-FR"/>
              </w:rPr>
              <w:t>Suisse</w:t>
            </w:r>
            <w:r w:rsidRPr="002B6EC2">
              <w:rPr>
                <w:b/>
                <w:bCs/>
                <w:sz w:val="26"/>
                <w:szCs w:val="26"/>
                <w:lang w:val="fr-FR"/>
              </w:rPr>
              <w:t xml:space="preserve">, </w:t>
            </w:r>
            <w:r w:rsidR="00873313" w:rsidRPr="002B6EC2">
              <w:rPr>
                <w:b/>
                <w:bCs/>
                <w:sz w:val="26"/>
                <w:szCs w:val="26"/>
                <w:lang w:val="fr-FR"/>
              </w:rPr>
              <w:t>20</w:t>
            </w:r>
            <w:r w:rsidRPr="002B6EC2">
              <w:rPr>
                <w:b/>
                <w:bCs/>
                <w:sz w:val="26"/>
                <w:szCs w:val="26"/>
                <w:lang w:val="fr-FR"/>
              </w:rPr>
              <w:t>-</w:t>
            </w:r>
            <w:r w:rsidR="00873313" w:rsidRPr="002B6EC2">
              <w:rPr>
                <w:b/>
                <w:bCs/>
                <w:sz w:val="26"/>
                <w:szCs w:val="26"/>
                <w:lang w:val="fr-FR"/>
              </w:rPr>
              <w:t>2</w:t>
            </w:r>
            <w:r w:rsidR="00930514" w:rsidRPr="002B6EC2">
              <w:rPr>
                <w:b/>
                <w:bCs/>
                <w:sz w:val="26"/>
                <w:szCs w:val="26"/>
                <w:lang w:val="fr-FR"/>
              </w:rPr>
              <w:t>3</w:t>
            </w:r>
            <w:r w:rsidR="00873313" w:rsidRPr="002B6EC2">
              <w:rPr>
                <w:b/>
                <w:bCs/>
                <w:sz w:val="26"/>
                <w:szCs w:val="26"/>
                <w:lang w:val="fr-FR"/>
              </w:rPr>
              <w:t xml:space="preserve"> mai</w:t>
            </w:r>
            <w:r w:rsidRPr="002B6EC2">
              <w:rPr>
                <w:b/>
                <w:bCs/>
                <w:sz w:val="26"/>
                <w:szCs w:val="26"/>
                <w:lang w:val="fr-FR"/>
              </w:rPr>
              <w:t xml:space="preserve"> 202</w:t>
            </w:r>
            <w:r w:rsidR="00873313" w:rsidRPr="002B6EC2">
              <w:rPr>
                <w:b/>
                <w:bCs/>
                <w:sz w:val="26"/>
                <w:szCs w:val="26"/>
                <w:lang w:val="fr-FR"/>
              </w:rPr>
              <w:t>4</w:t>
            </w:r>
          </w:p>
        </w:tc>
        <w:tc>
          <w:tcPr>
            <w:tcW w:w="3509" w:type="dxa"/>
          </w:tcPr>
          <w:p w14:paraId="67E7B4C4" w14:textId="0F52E4CC" w:rsidR="00307769" w:rsidRPr="002B6EC2" w:rsidRDefault="00307769" w:rsidP="00952667">
            <w:pPr>
              <w:spacing w:after="120"/>
              <w:ind w:right="142"/>
              <w:jc w:val="right"/>
              <w:rPr>
                <w:lang w:val="fr-FR"/>
              </w:rPr>
            </w:pPr>
            <w:r w:rsidRPr="002B6EC2">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2B6EC2" w14:paraId="3C13197B" w14:textId="77777777" w:rsidTr="0009076F">
        <w:trPr>
          <w:cantSplit/>
        </w:trPr>
        <w:tc>
          <w:tcPr>
            <w:tcW w:w="6379" w:type="dxa"/>
            <w:tcBorders>
              <w:top w:val="single" w:sz="12" w:space="0" w:color="auto"/>
            </w:tcBorders>
          </w:tcPr>
          <w:p w14:paraId="2EED9DB2" w14:textId="77777777" w:rsidR="00683C32" w:rsidRPr="002B6EC2"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2B6EC2" w:rsidRDefault="00683C32" w:rsidP="00107E85">
            <w:pPr>
              <w:spacing w:before="0"/>
              <w:rPr>
                <w:b/>
                <w:bCs/>
                <w:sz w:val="20"/>
                <w:lang w:val="fr-FR"/>
              </w:rPr>
            </w:pPr>
          </w:p>
        </w:tc>
      </w:tr>
      <w:tr w:rsidR="000C4DAA" w:rsidRPr="002B6EC2" w14:paraId="0BB3FBC4" w14:textId="77777777" w:rsidTr="0009076F">
        <w:trPr>
          <w:cantSplit/>
        </w:trPr>
        <w:tc>
          <w:tcPr>
            <w:tcW w:w="6379" w:type="dxa"/>
          </w:tcPr>
          <w:p w14:paraId="43C54B3D" w14:textId="77777777" w:rsidR="000C4DAA" w:rsidRPr="002B6EC2" w:rsidRDefault="000C4DAA" w:rsidP="000C4DAA">
            <w:pPr>
              <w:pStyle w:val="Committee"/>
              <w:spacing w:before="0"/>
              <w:rPr>
                <w:b w:val="0"/>
                <w:szCs w:val="24"/>
                <w:lang w:val="fr-FR"/>
              </w:rPr>
            </w:pPr>
          </w:p>
        </w:tc>
        <w:tc>
          <w:tcPr>
            <w:tcW w:w="3509" w:type="dxa"/>
          </w:tcPr>
          <w:p w14:paraId="02E44EE9" w14:textId="569FD5AE" w:rsidR="000C4DAA" w:rsidRPr="002B6EC2" w:rsidRDefault="000C4DAA" w:rsidP="000C4DAA">
            <w:pPr>
              <w:spacing w:before="0"/>
              <w:jc w:val="both"/>
              <w:rPr>
                <w:bCs/>
                <w:szCs w:val="24"/>
                <w:lang w:val="fr-FR"/>
              </w:rPr>
            </w:pPr>
            <w:r w:rsidRPr="002B6EC2">
              <w:rPr>
                <w:b/>
                <w:bCs/>
                <w:lang w:val="fr-FR"/>
              </w:rPr>
              <w:t xml:space="preserve">Document </w:t>
            </w:r>
            <w:bookmarkStart w:id="0" w:name="DocRef1"/>
            <w:bookmarkEnd w:id="0"/>
            <w:r w:rsidRPr="002B6EC2">
              <w:rPr>
                <w:b/>
                <w:bCs/>
                <w:lang w:val="fr-FR"/>
              </w:rPr>
              <w:t>TDAG-2</w:t>
            </w:r>
            <w:bookmarkStart w:id="1" w:name="DocNo1"/>
            <w:bookmarkEnd w:id="1"/>
            <w:r w:rsidRPr="002B6EC2">
              <w:rPr>
                <w:b/>
                <w:bCs/>
                <w:lang w:val="fr-FR"/>
              </w:rPr>
              <w:t>4/8-F</w:t>
            </w:r>
          </w:p>
        </w:tc>
      </w:tr>
      <w:tr w:rsidR="000C4DAA" w:rsidRPr="002B6EC2" w14:paraId="24D04936" w14:textId="77777777" w:rsidTr="0009076F">
        <w:trPr>
          <w:cantSplit/>
        </w:trPr>
        <w:tc>
          <w:tcPr>
            <w:tcW w:w="6379" w:type="dxa"/>
          </w:tcPr>
          <w:p w14:paraId="12CE4DBF" w14:textId="77777777" w:rsidR="000C4DAA" w:rsidRPr="002B6EC2" w:rsidRDefault="000C4DAA" w:rsidP="000C4DAA">
            <w:pPr>
              <w:spacing w:before="0"/>
              <w:rPr>
                <w:b/>
                <w:bCs/>
                <w:smallCaps/>
                <w:szCs w:val="24"/>
                <w:lang w:val="fr-FR"/>
              </w:rPr>
            </w:pPr>
          </w:p>
        </w:tc>
        <w:tc>
          <w:tcPr>
            <w:tcW w:w="3509" w:type="dxa"/>
          </w:tcPr>
          <w:p w14:paraId="0F89640F" w14:textId="2FE645F6" w:rsidR="000C4DAA" w:rsidRPr="002B6EC2" w:rsidRDefault="000C4DAA" w:rsidP="000C4DAA">
            <w:pPr>
              <w:spacing w:before="0"/>
              <w:rPr>
                <w:b/>
                <w:szCs w:val="24"/>
                <w:lang w:val="fr-FR"/>
              </w:rPr>
            </w:pPr>
            <w:bookmarkStart w:id="2" w:name="CreationDate"/>
            <w:bookmarkEnd w:id="2"/>
            <w:r w:rsidRPr="002B6EC2">
              <w:rPr>
                <w:b/>
                <w:bCs/>
                <w:szCs w:val="28"/>
                <w:lang w:val="fr-FR"/>
              </w:rPr>
              <w:t>8 avril 2024</w:t>
            </w:r>
          </w:p>
        </w:tc>
      </w:tr>
      <w:tr w:rsidR="000C4DAA" w:rsidRPr="002B6EC2" w14:paraId="7B96545F" w14:textId="77777777" w:rsidTr="0009076F">
        <w:trPr>
          <w:cantSplit/>
        </w:trPr>
        <w:tc>
          <w:tcPr>
            <w:tcW w:w="6379" w:type="dxa"/>
          </w:tcPr>
          <w:p w14:paraId="65956FD3" w14:textId="77777777" w:rsidR="000C4DAA" w:rsidRPr="002B6EC2" w:rsidRDefault="000C4DAA" w:rsidP="000C4DAA">
            <w:pPr>
              <w:spacing w:before="0"/>
              <w:rPr>
                <w:b/>
                <w:bCs/>
                <w:smallCaps/>
                <w:szCs w:val="24"/>
                <w:lang w:val="fr-FR"/>
              </w:rPr>
            </w:pPr>
          </w:p>
        </w:tc>
        <w:tc>
          <w:tcPr>
            <w:tcW w:w="3509" w:type="dxa"/>
          </w:tcPr>
          <w:p w14:paraId="30EFD39F" w14:textId="752269E3" w:rsidR="000C4DAA" w:rsidRPr="002B6EC2" w:rsidRDefault="000C4DAA" w:rsidP="000C4DAA">
            <w:pPr>
              <w:spacing w:before="0"/>
              <w:rPr>
                <w:szCs w:val="24"/>
                <w:lang w:val="fr-FR"/>
              </w:rPr>
            </w:pPr>
            <w:r w:rsidRPr="002B6EC2">
              <w:rPr>
                <w:b/>
                <w:lang w:val="fr-FR"/>
              </w:rPr>
              <w:t>Original:</w:t>
            </w:r>
            <w:bookmarkStart w:id="3" w:name="Original"/>
            <w:bookmarkEnd w:id="3"/>
            <w:r w:rsidRPr="002B6EC2">
              <w:rPr>
                <w:b/>
                <w:lang w:val="fr-FR"/>
              </w:rPr>
              <w:t xml:space="preserve"> anglais</w:t>
            </w:r>
          </w:p>
        </w:tc>
      </w:tr>
      <w:tr w:rsidR="000C4DAA" w:rsidRPr="002B6EC2" w14:paraId="31656E31" w14:textId="77777777" w:rsidTr="00107E85">
        <w:trPr>
          <w:cantSplit/>
          <w:trHeight w:val="852"/>
        </w:trPr>
        <w:tc>
          <w:tcPr>
            <w:tcW w:w="9888" w:type="dxa"/>
            <w:gridSpan w:val="2"/>
          </w:tcPr>
          <w:p w14:paraId="512FCA01" w14:textId="0B050C4B" w:rsidR="000C4DAA" w:rsidRPr="002B6EC2" w:rsidRDefault="000C4DAA" w:rsidP="000C4DAA">
            <w:pPr>
              <w:pStyle w:val="Source"/>
              <w:rPr>
                <w:lang w:val="fr-FR"/>
              </w:rPr>
            </w:pPr>
            <w:bookmarkStart w:id="4" w:name="Source"/>
            <w:bookmarkEnd w:id="4"/>
            <w:r w:rsidRPr="002B6EC2">
              <w:rPr>
                <w:lang w:val="fr-FR"/>
              </w:rPr>
              <w:t>Directeur du Bureau de développement des télécommunications</w:t>
            </w:r>
          </w:p>
        </w:tc>
      </w:tr>
      <w:tr w:rsidR="000C4DAA" w:rsidRPr="002B6EC2" w14:paraId="2CBD3A36" w14:textId="77777777" w:rsidTr="00107E85">
        <w:trPr>
          <w:cantSplit/>
        </w:trPr>
        <w:tc>
          <w:tcPr>
            <w:tcW w:w="9888" w:type="dxa"/>
            <w:gridSpan w:val="2"/>
          </w:tcPr>
          <w:p w14:paraId="1B4121DF" w14:textId="5694D822" w:rsidR="000C4DAA" w:rsidRPr="002B6EC2" w:rsidRDefault="000C4DAA" w:rsidP="000C4DAA">
            <w:pPr>
              <w:pStyle w:val="Title1"/>
              <w:rPr>
                <w:lang w:val="fr-FR"/>
              </w:rPr>
            </w:pPr>
            <w:bookmarkStart w:id="5" w:name="Title"/>
            <w:bookmarkEnd w:id="5"/>
            <w:r w:rsidRPr="002B6EC2">
              <w:rPr>
                <w:lang w:val="fr-FR"/>
              </w:rPr>
              <w:t>Membres du Secteur et Associés de l'UIT-D et établissements</w:t>
            </w:r>
            <w:r w:rsidRPr="002B6EC2">
              <w:rPr>
                <w:lang w:val="fr-FR"/>
              </w:rPr>
              <w:br/>
              <w:t>universitaires participant aux travaux de l'UIT-D</w:t>
            </w:r>
          </w:p>
        </w:tc>
      </w:tr>
      <w:tr w:rsidR="00A721F4" w:rsidRPr="002B6EC2" w14:paraId="23A30231" w14:textId="77777777" w:rsidTr="00A721F4">
        <w:trPr>
          <w:cantSplit/>
        </w:trPr>
        <w:tc>
          <w:tcPr>
            <w:tcW w:w="9888" w:type="dxa"/>
            <w:gridSpan w:val="2"/>
            <w:tcBorders>
              <w:bottom w:val="single" w:sz="4" w:space="0" w:color="auto"/>
            </w:tcBorders>
          </w:tcPr>
          <w:p w14:paraId="726EE70E" w14:textId="77777777" w:rsidR="00A721F4" w:rsidRPr="002B6EC2" w:rsidRDefault="00A721F4" w:rsidP="0030353C">
            <w:pPr>
              <w:rPr>
                <w:lang w:val="fr-FR"/>
              </w:rPr>
            </w:pPr>
          </w:p>
        </w:tc>
      </w:tr>
      <w:tr w:rsidR="00A721F4" w:rsidRPr="002B6EC2"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2B6EC2" w:rsidRDefault="001011EB" w:rsidP="00EA0C51">
            <w:pPr>
              <w:spacing w:after="120"/>
              <w:rPr>
                <w:b/>
                <w:bCs/>
                <w:szCs w:val="24"/>
                <w:lang w:val="fr-FR"/>
              </w:rPr>
            </w:pPr>
            <w:r w:rsidRPr="002B6EC2">
              <w:rPr>
                <w:b/>
                <w:bCs/>
                <w:szCs w:val="24"/>
                <w:lang w:val="fr-FR"/>
              </w:rPr>
              <w:t>Résumé</w:t>
            </w:r>
            <w:r w:rsidR="00A721F4" w:rsidRPr="002B6EC2">
              <w:rPr>
                <w:b/>
                <w:bCs/>
                <w:szCs w:val="24"/>
                <w:lang w:val="fr-FR"/>
              </w:rPr>
              <w:t>:</w:t>
            </w:r>
          </w:p>
          <w:p w14:paraId="4082D7E8" w14:textId="59E8683B" w:rsidR="00A721F4" w:rsidRPr="002B6EC2" w:rsidRDefault="000C4DAA" w:rsidP="00EA0C51">
            <w:pPr>
              <w:spacing w:after="120"/>
              <w:rPr>
                <w:szCs w:val="24"/>
                <w:lang w:val="fr-FR"/>
              </w:rPr>
            </w:pPr>
            <w:r w:rsidRPr="002B6EC2">
              <w:rPr>
                <w:szCs w:val="24"/>
                <w:lang w:val="fr-FR"/>
              </w:rPr>
              <w:t>Le présent document donne un aperçu de l'évolution de la composition de l'UIT-D en 2022-2023 et jusqu'au mois de février 2024. On y trouve également des recommandations concernant les mesures visant à intensifier les efforts pour fidéliser davantage de membres et en attirer de nouveaux, conformément aux résultats de la Conférence mondiale de développement des télécommunications de 2022 (CMDT-22) et de la Conférence de plénipotentiaires de 2022 (PP-22). L'UIT-D comprend des Membres de Secteur, des Associés et des établissements universitaires</w:t>
            </w:r>
            <w:r w:rsidRPr="002B6EC2">
              <w:rPr>
                <w:rStyle w:val="FootnoteReference"/>
                <w:szCs w:val="24"/>
                <w:lang w:val="fr-FR"/>
              </w:rPr>
              <w:footnoteReference w:id="1"/>
            </w:r>
            <w:r w:rsidRPr="002B6EC2">
              <w:rPr>
                <w:szCs w:val="24"/>
                <w:lang w:val="fr-FR"/>
              </w:rPr>
              <w:t>.</w:t>
            </w:r>
          </w:p>
          <w:p w14:paraId="76A1C541" w14:textId="23209CDB" w:rsidR="00A721F4" w:rsidRPr="002B6EC2" w:rsidRDefault="001011EB" w:rsidP="00EA0C51">
            <w:pPr>
              <w:spacing w:after="120"/>
              <w:rPr>
                <w:b/>
                <w:bCs/>
                <w:szCs w:val="24"/>
                <w:lang w:val="fr-FR"/>
              </w:rPr>
            </w:pPr>
            <w:r w:rsidRPr="002B6EC2">
              <w:rPr>
                <w:b/>
                <w:bCs/>
                <w:lang w:val="fr-FR"/>
              </w:rPr>
              <w:t>Suite à donner</w:t>
            </w:r>
            <w:r w:rsidR="00A721F4" w:rsidRPr="002B6EC2">
              <w:rPr>
                <w:b/>
                <w:bCs/>
                <w:lang w:val="fr-FR"/>
              </w:rPr>
              <w:t>:</w:t>
            </w:r>
          </w:p>
          <w:p w14:paraId="371956FC" w14:textId="7B270E1B" w:rsidR="00A721F4" w:rsidRPr="002B6EC2" w:rsidRDefault="000C4DAA" w:rsidP="00EA0C51">
            <w:pPr>
              <w:spacing w:after="120"/>
              <w:rPr>
                <w:szCs w:val="24"/>
                <w:lang w:val="fr-FR"/>
              </w:rPr>
            </w:pPr>
            <w:r w:rsidRPr="002B6EC2">
              <w:rPr>
                <w:szCs w:val="24"/>
                <w:lang w:val="fr-FR"/>
              </w:rPr>
              <w:t>Le GCDT est invité à prendre note du présent document et à fournir les orientations qu'il jugera nécessaires.</w:t>
            </w:r>
          </w:p>
          <w:p w14:paraId="622ACB80" w14:textId="39EE560D" w:rsidR="00A721F4" w:rsidRPr="002B6EC2" w:rsidRDefault="00A721F4" w:rsidP="00EA0C51">
            <w:pPr>
              <w:spacing w:after="120"/>
              <w:rPr>
                <w:b/>
                <w:bCs/>
                <w:szCs w:val="24"/>
                <w:lang w:val="fr-FR"/>
              </w:rPr>
            </w:pPr>
            <w:r w:rsidRPr="002B6EC2">
              <w:rPr>
                <w:b/>
                <w:bCs/>
                <w:szCs w:val="24"/>
                <w:lang w:val="fr-FR"/>
              </w:rPr>
              <w:t>R</w:t>
            </w:r>
            <w:r w:rsidR="001011EB" w:rsidRPr="002B6EC2">
              <w:rPr>
                <w:b/>
                <w:bCs/>
                <w:szCs w:val="24"/>
                <w:lang w:val="fr-FR"/>
              </w:rPr>
              <w:t>é</w:t>
            </w:r>
            <w:r w:rsidRPr="002B6EC2">
              <w:rPr>
                <w:b/>
                <w:bCs/>
                <w:szCs w:val="24"/>
                <w:lang w:val="fr-FR"/>
              </w:rPr>
              <w:t>f</w:t>
            </w:r>
            <w:r w:rsidR="001011EB" w:rsidRPr="002B6EC2">
              <w:rPr>
                <w:b/>
                <w:bCs/>
                <w:szCs w:val="24"/>
                <w:lang w:val="fr-FR"/>
              </w:rPr>
              <w:t>é</w:t>
            </w:r>
            <w:r w:rsidRPr="002B6EC2">
              <w:rPr>
                <w:b/>
                <w:bCs/>
                <w:szCs w:val="24"/>
                <w:lang w:val="fr-FR"/>
              </w:rPr>
              <w:t>rences:</w:t>
            </w:r>
          </w:p>
          <w:p w14:paraId="562FA488" w14:textId="77777777" w:rsidR="000C4DAA" w:rsidRPr="002B6EC2" w:rsidRDefault="000C4DAA" w:rsidP="000C4DAA">
            <w:pPr>
              <w:spacing w:after="120"/>
              <w:rPr>
                <w:lang w:val="fr-FR"/>
              </w:rPr>
            </w:pPr>
            <w:r w:rsidRPr="002B6EC2">
              <w:rPr>
                <w:lang w:val="fr-FR"/>
              </w:rPr>
              <w:t>Résolution 71 (Rév. Kigali, 2022) de la CMDT;</w:t>
            </w:r>
          </w:p>
          <w:p w14:paraId="1ECDD20E" w14:textId="7CC7CDD1" w:rsidR="00A721F4" w:rsidRPr="002B6EC2" w:rsidRDefault="000C4DAA" w:rsidP="000C4DAA">
            <w:pPr>
              <w:spacing w:after="120"/>
              <w:rPr>
                <w:lang w:val="fr-FR"/>
              </w:rPr>
            </w:pPr>
            <w:r w:rsidRPr="002B6EC2">
              <w:rPr>
                <w:lang w:val="fr-FR"/>
              </w:rPr>
              <w:t>Résolutions 169, 205 et 209 (Rév. Bucarest, 2022) de la Conférence de plénipotentiaires.</w:t>
            </w:r>
          </w:p>
        </w:tc>
      </w:tr>
    </w:tbl>
    <w:p w14:paraId="5B29B2A3" w14:textId="77777777" w:rsidR="00923CF1" w:rsidRPr="002B6EC2" w:rsidRDefault="00923CF1">
      <w:pPr>
        <w:tabs>
          <w:tab w:val="clear" w:pos="794"/>
          <w:tab w:val="clear" w:pos="1191"/>
          <w:tab w:val="clear" w:pos="1588"/>
          <w:tab w:val="clear" w:pos="1985"/>
        </w:tabs>
        <w:overflowPunct/>
        <w:autoSpaceDE/>
        <w:autoSpaceDN/>
        <w:adjustRightInd/>
        <w:spacing w:before="0"/>
        <w:textAlignment w:val="auto"/>
        <w:rPr>
          <w:lang w:val="fr-FR"/>
        </w:rPr>
      </w:pPr>
      <w:r w:rsidRPr="002B6EC2">
        <w:rPr>
          <w:lang w:val="fr-FR"/>
        </w:rPr>
        <w:br w:type="page"/>
      </w:r>
    </w:p>
    <w:p w14:paraId="1B6B82D4" w14:textId="77777777" w:rsidR="000C4DAA" w:rsidRPr="002B6EC2" w:rsidRDefault="000C4DAA" w:rsidP="000C4DAA">
      <w:pPr>
        <w:pStyle w:val="Heading1"/>
        <w:rPr>
          <w:lang w:val="fr-FR"/>
        </w:rPr>
      </w:pPr>
      <w:r w:rsidRPr="002B6EC2">
        <w:rPr>
          <w:lang w:val="fr-FR"/>
        </w:rPr>
        <w:lastRenderedPageBreak/>
        <w:t>1</w:t>
      </w:r>
      <w:r w:rsidRPr="002B6EC2">
        <w:rPr>
          <w:lang w:val="fr-FR"/>
        </w:rPr>
        <w:tab/>
        <w:t>Considérations générales</w:t>
      </w:r>
    </w:p>
    <w:p w14:paraId="0686CA66" w14:textId="77777777" w:rsidR="000C4DAA" w:rsidRPr="002B6EC2" w:rsidRDefault="000C4DAA" w:rsidP="000C4DAA">
      <w:pPr>
        <w:rPr>
          <w:lang w:val="fr-FR"/>
        </w:rPr>
      </w:pPr>
      <w:r w:rsidRPr="002B6EC2">
        <w:rPr>
          <w:lang w:val="fr-FR"/>
        </w:rPr>
        <w:t>La Conférence mondiale de développement des télécommunications tenue en 2022 (CMDT-22) a modifié et adopté la Résolution 71 (Rév. Kigali, 2022</w:t>
      </w:r>
      <w:r w:rsidRPr="002B6EC2">
        <w:rPr>
          <w:rStyle w:val="FootnoteReference"/>
          <w:lang w:val="fr-FR"/>
        </w:rPr>
        <w:footnoteReference w:id="2"/>
      </w:r>
      <w:r w:rsidRPr="002B6EC2">
        <w:rPr>
          <w:lang w:val="fr-FR"/>
        </w:rPr>
        <w:t>), afin de promouvoir une participation active des actuels Membres de Secteur, Associés et établissements universitaires participant aux activités de l'UIT-D, y compris la participation aux travaux des commissions d'études de l'UIT-D, et d'attirer de nouveaux membres des secteurs public et privé et des milieux universitaires.</w:t>
      </w:r>
    </w:p>
    <w:p w14:paraId="7C0F5430" w14:textId="77777777" w:rsidR="000C4DAA" w:rsidRPr="002B6EC2" w:rsidRDefault="000C4DAA" w:rsidP="000C4DAA">
      <w:pPr>
        <w:rPr>
          <w:lang w:val="fr-FR"/>
        </w:rPr>
      </w:pPr>
      <w:r w:rsidRPr="002B6EC2">
        <w:rPr>
          <w:lang w:val="fr-FR"/>
        </w:rPr>
        <w:t>La Résolution 71 a mis davantage en lumière le renforcement de la coopération entre les États Membres, les Membres de Secteur et les Associés de l'UIT-D ainsi que les établissements universitaires participant aux travaux de l'UIT-D et, aux termes de cette Résolution, le BDT est chargé de travailler en étroite collaboration avec les Membres du Secteur de l'UIT-D, les Associés et les établissements universitaires, pour qu'ils participent à la mise en œuvre réussie du Plan d'action de Kigali et afin de continuer d'organiser des réunions de hauts dirigeants du secteur, par exemple des réunions du Groupe consultatif de professionnels chargé des questions de développement (IAGDI) et la réunion des Directeurs de la réglementation du secteur privé (IADGI</w:t>
      </w:r>
      <w:r w:rsidRPr="002B6EC2">
        <w:rPr>
          <w:lang w:val="fr-FR"/>
        </w:rPr>
        <w:noBreakHyphen/>
        <w:t>CRO).</w:t>
      </w:r>
    </w:p>
    <w:p w14:paraId="731DAAEC" w14:textId="77777777" w:rsidR="000C4DAA" w:rsidRPr="002B6EC2" w:rsidRDefault="000C4DAA" w:rsidP="000C4DAA">
      <w:pPr>
        <w:pStyle w:val="Heading1"/>
        <w:rPr>
          <w:lang w:val="fr-FR"/>
        </w:rPr>
      </w:pPr>
      <w:r w:rsidRPr="002B6EC2">
        <w:rPr>
          <w:lang w:val="fr-FR"/>
        </w:rPr>
        <w:t>2</w:t>
      </w:r>
      <w:r w:rsidRPr="002B6EC2">
        <w:rPr>
          <w:lang w:val="fr-FR"/>
        </w:rPr>
        <w:tab/>
        <w:t>Évolution de la composition de l'UIT-D</w:t>
      </w:r>
    </w:p>
    <w:p w14:paraId="543318BE" w14:textId="77777777" w:rsidR="000C4DAA" w:rsidRPr="002B6EC2" w:rsidRDefault="000C4DAA" w:rsidP="000C4DAA">
      <w:pPr>
        <w:rPr>
          <w:lang w:val="fr-FR"/>
        </w:rPr>
      </w:pPr>
      <w:r w:rsidRPr="002B6EC2">
        <w:rPr>
          <w:lang w:val="fr-FR"/>
        </w:rPr>
        <w:t xml:space="preserve">Le </w:t>
      </w:r>
      <w:r w:rsidRPr="002B6EC2">
        <w:rPr>
          <w:b/>
          <w:bCs/>
          <w:lang w:val="fr-FR"/>
        </w:rPr>
        <w:t>Graphique 1</w:t>
      </w:r>
      <w:r w:rsidRPr="002B6EC2">
        <w:rPr>
          <w:lang w:val="fr-FR"/>
        </w:rPr>
        <w:t xml:space="preserve"> ci-dessous décrit l'évolution de la composition de l'UIT-D (Membres de Secteur, Associés, établissements universitaires). Le graphique indique les valeurs absolues des Membres de Secteur, des Associés et des établissements universitaires participant aux travaux de l'UIT-D en décembre 2022, en décembre 2023 et en juin 2024 (prévisions).</w:t>
      </w:r>
    </w:p>
    <w:p w14:paraId="47491859" w14:textId="77777777" w:rsidR="000C4DAA" w:rsidRPr="002B6EC2" w:rsidRDefault="000C4DAA" w:rsidP="000C4DAA">
      <w:pPr>
        <w:pStyle w:val="Figure"/>
        <w:keepNext w:val="0"/>
        <w:keepLines w:val="0"/>
        <w:spacing w:before="120" w:after="120"/>
        <w:jc w:val="center"/>
        <w:rPr>
          <w:noProof w:val="0"/>
          <w:lang w:val="fr-FR"/>
        </w:rPr>
      </w:pPr>
      <w:r w:rsidRPr="002B6EC2">
        <w:rPr>
          <w:lang w:val="fr-FR"/>
        </w:rPr>
        <mc:AlternateContent>
          <mc:Choice Requires="wps">
            <w:drawing>
              <wp:anchor distT="45720" distB="45720" distL="114300" distR="114300" simplePos="0" relativeHeight="251661312" behindDoc="0" locked="0" layoutInCell="1" allowOverlap="1" wp14:anchorId="247B7E40" wp14:editId="30A72C00">
                <wp:simplePos x="0" y="0"/>
                <wp:positionH relativeFrom="column">
                  <wp:posOffset>4741849</wp:posOffset>
                </wp:positionH>
                <wp:positionV relativeFrom="paragraph">
                  <wp:posOffset>1253159</wp:posOffset>
                </wp:positionV>
                <wp:extent cx="1929738"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38" cy="1404620"/>
                        </a:xfrm>
                        <a:prstGeom prst="rect">
                          <a:avLst/>
                        </a:prstGeom>
                        <a:solidFill>
                          <a:schemeClr val="bg1"/>
                        </a:solidFill>
                        <a:ln w="9525">
                          <a:noFill/>
                          <a:miter lim="800000"/>
                          <a:headEnd/>
                          <a:tailEnd/>
                        </a:ln>
                      </wps:spPr>
                      <wps:txbx>
                        <w:txbxContent>
                          <w:p w14:paraId="3A97A08E" w14:textId="77777777" w:rsidR="000C4DAA" w:rsidRPr="00C41C2B" w:rsidRDefault="000C4DAA" w:rsidP="000C4DAA">
                            <w:pPr>
                              <w:pStyle w:val="Figurelegend"/>
                              <w:spacing w:before="60" w:after="60"/>
                              <w:rPr>
                                <w:lang w:val="fr-FR"/>
                              </w:rPr>
                            </w:pPr>
                            <w:r w:rsidRPr="00C41C2B">
                              <w:rPr>
                                <w:lang w:val="fr-FR"/>
                              </w:rPr>
                              <w:t>Associés</w:t>
                            </w:r>
                          </w:p>
                          <w:p w14:paraId="65F745D8" w14:textId="77777777" w:rsidR="000C4DAA" w:rsidRPr="00C41C2B" w:rsidRDefault="000C4DAA" w:rsidP="000C4DAA">
                            <w:pPr>
                              <w:pStyle w:val="Figurelegend"/>
                              <w:spacing w:before="80" w:after="80"/>
                              <w:rPr>
                                <w:lang w:val="fr-FR"/>
                              </w:rPr>
                            </w:pPr>
                            <w:r w:rsidRPr="00C41C2B">
                              <w:rPr>
                                <w:lang w:val="fr-FR"/>
                              </w:rPr>
                              <w:t>Membres de Secteur</w:t>
                            </w:r>
                          </w:p>
                          <w:p w14:paraId="5A3F5CA3" w14:textId="77777777" w:rsidR="000C4DAA" w:rsidRPr="00C41C2B" w:rsidRDefault="000C4DAA" w:rsidP="000C4DAA">
                            <w:pPr>
                              <w:pStyle w:val="Figurelegend"/>
                              <w:spacing w:before="60" w:after="60"/>
                              <w:rPr>
                                <w:lang w:val="fr-FR"/>
                              </w:rPr>
                            </w:pPr>
                            <w:r w:rsidRPr="00C41C2B">
                              <w:rPr>
                                <w:lang w:val="fr-FR"/>
                              </w:rPr>
                              <w:t>Établissements universitaires affiliés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B7E40" id="_x0000_t202" coordsize="21600,21600" o:spt="202" path="m,l,21600r21600,l21600,xe">
                <v:stroke joinstyle="miter"/>
                <v:path gradientshapeok="t" o:connecttype="rect"/>
              </v:shapetype>
              <v:shape id="Text Box 2" o:spid="_x0000_s1026" type="#_x0000_t202" style="position:absolute;left:0;text-align:left;margin-left:373.35pt;margin-top:98.65pt;width:151.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" fillcolor="white [3212]" stroked="f">
                <v:textbox style="mso-fit-shape-to-text:t">
                  <w:txbxContent>
                    <w:p w14:paraId="3A97A08E" w14:textId="77777777" w:rsidR="000C4DAA" w:rsidRPr="00C41C2B" w:rsidRDefault="000C4DAA" w:rsidP="000C4DAA">
                      <w:pPr>
                        <w:pStyle w:val="Figurelegend"/>
                        <w:spacing w:before="60" w:after="60"/>
                        <w:rPr>
                          <w:lang w:val="fr-FR"/>
                        </w:rPr>
                      </w:pPr>
                      <w:r w:rsidRPr="00C41C2B">
                        <w:rPr>
                          <w:lang w:val="fr-FR"/>
                        </w:rPr>
                        <w:t>Associés</w:t>
                      </w:r>
                    </w:p>
                    <w:p w14:paraId="65F745D8" w14:textId="77777777" w:rsidR="000C4DAA" w:rsidRPr="00C41C2B" w:rsidRDefault="000C4DAA" w:rsidP="000C4DAA">
                      <w:pPr>
                        <w:pStyle w:val="Figurelegend"/>
                        <w:spacing w:before="80" w:after="80"/>
                        <w:rPr>
                          <w:lang w:val="fr-FR"/>
                        </w:rPr>
                      </w:pPr>
                      <w:r w:rsidRPr="00C41C2B">
                        <w:rPr>
                          <w:lang w:val="fr-FR"/>
                        </w:rPr>
                        <w:t>Membres de Secteur</w:t>
                      </w:r>
                    </w:p>
                    <w:p w14:paraId="5A3F5CA3" w14:textId="77777777" w:rsidR="000C4DAA" w:rsidRPr="00C41C2B" w:rsidRDefault="000C4DAA" w:rsidP="000C4DAA">
                      <w:pPr>
                        <w:pStyle w:val="Figurelegend"/>
                        <w:spacing w:before="60" w:after="60"/>
                        <w:rPr>
                          <w:lang w:val="fr-FR"/>
                        </w:rPr>
                      </w:pPr>
                      <w:r w:rsidRPr="00C41C2B">
                        <w:rPr>
                          <w:lang w:val="fr-FR"/>
                        </w:rPr>
                        <w:t>Établissements universitaires affiliés</w:t>
                      </w:r>
                    </w:p>
                  </w:txbxContent>
                </v:textbox>
              </v:shape>
            </w:pict>
          </mc:Fallback>
        </mc:AlternateContent>
      </w:r>
      <w:r w:rsidRPr="002B6EC2">
        <w:rPr>
          <w:lang w:val="fr-FR"/>
        </w:rPr>
        <mc:AlternateContent>
          <mc:Choice Requires="wps">
            <w:drawing>
              <wp:anchor distT="45720" distB="45720" distL="114300" distR="114300" simplePos="0" relativeHeight="251660288" behindDoc="0" locked="0" layoutInCell="1" allowOverlap="1" wp14:anchorId="184FD22C" wp14:editId="493E911D">
                <wp:simplePos x="0" y="0"/>
                <wp:positionH relativeFrom="column">
                  <wp:posOffset>3741724</wp:posOffset>
                </wp:positionH>
                <wp:positionV relativeFrom="paragraph">
                  <wp:posOffset>116840</wp:posOffset>
                </wp:positionV>
                <wp:extent cx="1316736"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736" cy="1404620"/>
                        </a:xfrm>
                        <a:prstGeom prst="rect">
                          <a:avLst/>
                        </a:prstGeom>
                        <a:solidFill>
                          <a:schemeClr val="bg1"/>
                        </a:solidFill>
                        <a:ln w="9525">
                          <a:noFill/>
                          <a:miter lim="800000"/>
                          <a:headEnd/>
                          <a:tailEnd/>
                        </a:ln>
                      </wps:spPr>
                      <wps:txbx>
                        <w:txbxContent>
                          <w:p w14:paraId="4A8C26B1" w14:textId="77777777" w:rsidR="000C4DAA" w:rsidRPr="00C41C2B" w:rsidRDefault="000C4DAA" w:rsidP="000C4DAA">
                            <w:pPr>
                              <w:pStyle w:val="Figurelegend"/>
                              <w:jc w:val="center"/>
                              <w:rPr>
                                <w:lang w:val="fr-FR"/>
                              </w:rPr>
                            </w:pPr>
                            <w:r w:rsidRPr="00C41C2B">
                              <w:rPr>
                                <w:sz w:val="16"/>
                                <w:szCs w:val="18"/>
                                <w:lang w:val="fr-FR"/>
                              </w:rPr>
                              <w:t>*prévisions pour juin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4FD22C" id="_x0000_s1027" type="#_x0000_t202" style="position:absolute;left:0;text-align:left;margin-left:294.6pt;margin-top:9.2pt;width:103.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" fillcolor="white [3212]" stroked="f">
                <v:textbox style="mso-fit-shape-to-text:t">
                  <w:txbxContent>
                    <w:p w14:paraId="4A8C26B1" w14:textId="77777777" w:rsidR="000C4DAA" w:rsidRPr="00C41C2B" w:rsidRDefault="000C4DAA" w:rsidP="000C4DAA">
                      <w:pPr>
                        <w:pStyle w:val="Figurelegend"/>
                        <w:jc w:val="center"/>
                        <w:rPr>
                          <w:lang w:val="fr-FR"/>
                        </w:rPr>
                      </w:pPr>
                      <w:r w:rsidRPr="00C41C2B">
                        <w:rPr>
                          <w:sz w:val="16"/>
                          <w:szCs w:val="18"/>
                          <w:lang w:val="fr-FR"/>
                        </w:rPr>
                        <w:t>*prévisions pour juin 2024</w:t>
                      </w:r>
                    </w:p>
                  </w:txbxContent>
                </v:textbox>
              </v:shape>
            </w:pict>
          </mc:Fallback>
        </mc:AlternateContent>
      </w:r>
      <w:r w:rsidRPr="002B6EC2">
        <w:rPr>
          <w:lang w:val="fr-FR"/>
        </w:rPr>
        <mc:AlternateContent>
          <mc:Choice Requires="wps">
            <w:drawing>
              <wp:anchor distT="45720" distB="45720" distL="114300" distR="114300" simplePos="0" relativeHeight="251659264" behindDoc="0" locked="0" layoutInCell="1" allowOverlap="1" wp14:anchorId="0051E90B" wp14:editId="616606DD">
                <wp:simplePos x="0" y="0"/>
                <wp:positionH relativeFrom="column">
                  <wp:posOffset>1423213</wp:posOffset>
                </wp:positionH>
                <wp:positionV relativeFrom="paragraph">
                  <wp:posOffset>28651</wp:posOffset>
                </wp:positionV>
                <wp:extent cx="2128723" cy="1404620"/>
                <wp:effectExtent l="0" t="0" r="508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723" cy="1404620"/>
                        </a:xfrm>
                        <a:prstGeom prst="rect">
                          <a:avLst/>
                        </a:prstGeom>
                        <a:solidFill>
                          <a:schemeClr val="bg1"/>
                        </a:solidFill>
                        <a:ln w="9525">
                          <a:noFill/>
                          <a:miter lim="800000"/>
                          <a:headEnd/>
                          <a:tailEnd/>
                        </a:ln>
                      </wps:spPr>
                      <wps:txbx>
                        <w:txbxContent>
                          <w:p w14:paraId="3D8A4514" w14:textId="2719764F" w:rsidR="000C4DAA" w:rsidRPr="00C41C2B" w:rsidRDefault="000C4DAA" w:rsidP="000C4DAA">
                            <w:pPr>
                              <w:pStyle w:val="Figurelegend"/>
                              <w:jc w:val="center"/>
                              <w:rPr>
                                <w:lang w:val="fr-FR"/>
                              </w:rPr>
                            </w:pPr>
                            <w:r w:rsidRPr="002C5A09">
                              <w:rPr>
                                <w:b/>
                                <w:bCs/>
                                <w:lang w:val="fr-FR"/>
                              </w:rPr>
                              <w:t>Graphique 1</w:t>
                            </w:r>
                            <w:r w:rsidRPr="00C41C2B">
                              <w:rPr>
                                <w:lang w:val="fr-FR"/>
                              </w:rPr>
                              <w:t>: Évolution de la composition</w:t>
                            </w:r>
                            <w:r w:rsidR="0036196E">
                              <w:rPr>
                                <w:lang w:val="fr-FR"/>
                              </w:rPr>
                              <w:t xml:space="preserve"> </w:t>
                            </w:r>
                            <w:r w:rsidRPr="00C41C2B">
                              <w:rPr>
                                <w:lang w:val="fr-FR"/>
                              </w:rPr>
                              <w:t>des membres de l'UIT-D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51E90B" id="_x0000_s1028" type="#_x0000_t202" style="position:absolute;left:0;text-align:left;margin-left:112.05pt;margin-top:2.25pt;width:167.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" fillcolor="white [3212]" stroked="f">
                <v:textbox style="mso-fit-shape-to-text:t">
                  <w:txbxContent>
                    <w:p w14:paraId="3D8A4514" w14:textId="2719764F" w:rsidR="000C4DAA" w:rsidRPr="00C41C2B" w:rsidRDefault="000C4DAA" w:rsidP="000C4DAA">
                      <w:pPr>
                        <w:pStyle w:val="Figurelegend"/>
                        <w:jc w:val="center"/>
                        <w:rPr>
                          <w:lang w:val="fr-FR"/>
                        </w:rPr>
                      </w:pPr>
                      <w:r w:rsidRPr="002C5A09">
                        <w:rPr>
                          <w:b/>
                          <w:bCs/>
                          <w:lang w:val="fr-FR"/>
                        </w:rPr>
                        <w:t>Graphique 1</w:t>
                      </w:r>
                      <w:r w:rsidRPr="00C41C2B">
                        <w:rPr>
                          <w:lang w:val="fr-FR"/>
                        </w:rPr>
                        <w:t>: Évolution de la composition</w:t>
                      </w:r>
                      <w:r w:rsidR="0036196E">
                        <w:rPr>
                          <w:lang w:val="fr-FR"/>
                        </w:rPr>
                        <w:t xml:space="preserve"> </w:t>
                      </w:r>
                      <w:r w:rsidRPr="00C41C2B">
                        <w:rPr>
                          <w:lang w:val="fr-FR"/>
                        </w:rPr>
                        <w:t>des membres de l'UIT-D</w:t>
                      </w:r>
                    </w:p>
                  </w:txbxContent>
                </v:textbox>
              </v:shape>
            </w:pict>
          </mc:Fallback>
        </mc:AlternateContent>
      </w:r>
      <w:r w:rsidRPr="002B6EC2">
        <w:rPr>
          <w:lang w:val="fr-FR"/>
        </w:rPr>
        <w:drawing>
          <wp:inline distT="0" distB="0" distL="0" distR="0" wp14:anchorId="22222B26" wp14:editId="13DE1105">
            <wp:extent cx="5786324" cy="2772461"/>
            <wp:effectExtent l="0" t="0" r="5080" b="8890"/>
            <wp:docPr id="1003179272" name="Chart 1">
              <a:extLst xmlns:a="http://schemas.openxmlformats.org/drawingml/2006/main">
                <a:ext uri="{FF2B5EF4-FFF2-40B4-BE49-F238E27FC236}">
                  <a16:creationId xmlns:a16="http://schemas.microsoft.com/office/drawing/2014/main" id="{8F0DB859-0FD5-737B-E176-D22A580F4A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37FAAD" w14:textId="77777777" w:rsidR="000C4DAA" w:rsidRPr="002B6EC2" w:rsidRDefault="000C4DAA" w:rsidP="000C4DAA">
      <w:pPr>
        <w:pStyle w:val="Heading2"/>
        <w:spacing w:after="120"/>
        <w:rPr>
          <w:lang w:val="fr-FR"/>
        </w:rPr>
      </w:pPr>
      <w:r w:rsidRPr="002B6EC2">
        <w:rPr>
          <w:lang w:val="fr-FR"/>
        </w:rPr>
        <w:lastRenderedPageBreak/>
        <w:t>2.1</w:t>
      </w:r>
      <w:r w:rsidRPr="002B6EC2">
        <w:rPr>
          <w:lang w:val="fr-FR"/>
        </w:rPr>
        <w:tab/>
        <w:t>Membres de Secteur et Associés de l'UIT-D</w:t>
      </w:r>
    </w:p>
    <w:p w14:paraId="3098B1B7" w14:textId="5A934EE1" w:rsidR="000C4DAA" w:rsidRPr="002B6EC2" w:rsidRDefault="000C4DAA" w:rsidP="0036196E">
      <w:pPr>
        <w:keepNext/>
        <w:keepLines/>
        <w:spacing w:after="240"/>
        <w:rPr>
          <w:b/>
          <w:bCs/>
          <w:lang w:val="fr-FR"/>
        </w:rPr>
      </w:pPr>
      <w:r w:rsidRPr="002B6EC2">
        <w:rPr>
          <w:noProof/>
          <w:lang w:val="fr-FR"/>
        </w:rPr>
        <mc:AlternateContent>
          <mc:Choice Requires="wps">
            <w:drawing>
              <wp:anchor distT="45720" distB="45720" distL="114300" distR="114300" simplePos="0" relativeHeight="251666432" behindDoc="0" locked="0" layoutInCell="1" allowOverlap="1" wp14:anchorId="493FB9D8" wp14:editId="6045F331">
                <wp:simplePos x="0" y="0"/>
                <wp:positionH relativeFrom="column">
                  <wp:posOffset>3288665</wp:posOffset>
                </wp:positionH>
                <wp:positionV relativeFrom="paragraph">
                  <wp:posOffset>-635</wp:posOffset>
                </wp:positionV>
                <wp:extent cx="1316736" cy="14046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736" cy="1404620"/>
                        </a:xfrm>
                        <a:prstGeom prst="rect">
                          <a:avLst/>
                        </a:prstGeom>
                        <a:solidFill>
                          <a:schemeClr val="bg1"/>
                        </a:solidFill>
                        <a:ln w="9525">
                          <a:noFill/>
                          <a:miter lim="800000"/>
                          <a:headEnd/>
                          <a:tailEnd/>
                        </a:ln>
                      </wps:spPr>
                      <wps:txbx>
                        <w:txbxContent>
                          <w:p w14:paraId="2B5341F0" w14:textId="77777777" w:rsidR="000C4DAA" w:rsidRPr="00C41C2B" w:rsidRDefault="000C4DAA" w:rsidP="000C4DAA">
                            <w:pPr>
                              <w:pStyle w:val="Figurelegend"/>
                              <w:jc w:val="center"/>
                              <w:rPr>
                                <w:lang w:val="fr-FR"/>
                              </w:rPr>
                            </w:pPr>
                            <w:r w:rsidRPr="00C41C2B">
                              <w:rPr>
                                <w:sz w:val="16"/>
                                <w:szCs w:val="18"/>
                                <w:lang w:val="fr-FR"/>
                              </w:rPr>
                              <w:t>*prévisions pour juin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FB9D8" id="_x0000_t202" coordsize="21600,21600" o:spt="202" path="m,l,21600r21600,l21600,xe">
                <v:stroke joinstyle="miter"/>
                <v:path gradientshapeok="t" o:connecttype="rect"/>
              </v:shapetype>
              <v:shape id="_x0000_s1029" type="#_x0000_t202" style="position:absolute;margin-left:258.95pt;margin-top:-.05pt;width:103.7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" fillcolor="white [3212]" stroked="f">
                <v:textbox style="mso-fit-shape-to-text:t">
                  <w:txbxContent>
                    <w:p w14:paraId="2B5341F0" w14:textId="77777777" w:rsidR="000C4DAA" w:rsidRPr="00C41C2B" w:rsidRDefault="000C4DAA" w:rsidP="000C4DAA">
                      <w:pPr>
                        <w:pStyle w:val="Figurelegend"/>
                        <w:jc w:val="center"/>
                        <w:rPr>
                          <w:lang w:val="fr-FR"/>
                        </w:rPr>
                      </w:pPr>
                      <w:r w:rsidRPr="00C41C2B">
                        <w:rPr>
                          <w:sz w:val="16"/>
                          <w:szCs w:val="18"/>
                          <w:lang w:val="fr-FR"/>
                        </w:rPr>
                        <w:t>*prévisions pour juin 2024</w:t>
                      </w:r>
                    </w:p>
                  </w:txbxContent>
                </v:textbox>
              </v:shape>
            </w:pict>
          </mc:Fallback>
        </mc:AlternateContent>
      </w:r>
      <w:r w:rsidRPr="002B6EC2">
        <w:rPr>
          <w:noProof/>
          <w:lang w:val="fr-FR"/>
        </w:rPr>
        <mc:AlternateContent>
          <mc:Choice Requires="wps">
            <w:drawing>
              <wp:anchor distT="45720" distB="45720" distL="114300" distR="114300" simplePos="0" relativeHeight="251665408" behindDoc="0" locked="0" layoutInCell="1" allowOverlap="1" wp14:anchorId="44E0D37A" wp14:editId="001DCA36">
                <wp:simplePos x="0" y="0"/>
                <wp:positionH relativeFrom="column">
                  <wp:posOffset>471805</wp:posOffset>
                </wp:positionH>
                <wp:positionV relativeFrom="paragraph">
                  <wp:posOffset>-37262</wp:posOffset>
                </wp:positionV>
                <wp:extent cx="2750515"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515" cy="1404620"/>
                        </a:xfrm>
                        <a:prstGeom prst="rect">
                          <a:avLst/>
                        </a:prstGeom>
                        <a:solidFill>
                          <a:schemeClr val="bg1"/>
                        </a:solidFill>
                        <a:ln w="9525">
                          <a:noFill/>
                          <a:miter lim="800000"/>
                          <a:headEnd/>
                          <a:tailEnd/>
                        </a:ln>
                      </wps:spPr>
                      <wps:txbx>
                        <w:txbxContent>
                          <w:p w14:paraId="3558D226" w14:textId="77777777" w:rsidR="000C4DAA" w:rsidRPr="00C41C2B" w:rsidRDefault="000C4DAA" w:rsidP="000C4DAA">
                            <w:pPr>
                              <w:pStyle w:val="Figurelegend"/>
                              <w:jc w:val="center"/>
                              <w:rPr>
                                <w:lang w:val="fr-FR"/>
                              </w:rPr>
                            </w:pPr>
                            <w:r w:rsidRPr="002C5A09">
                              <w:rPr>
                                <w:b/>
                                <w:bCs/>
                                <w:lang w:val="fr-FR"/>
                              </w:rPr>
                              <w:t xml:space="preserve">Graphique </w:t>
                            </w:r>
                            <w:r>
                              <w:rPr>
                                <w:b/>
                                <w:bCs/>
                                <w:lang w:val="fr-FR"/>
                              </w:rPr>
                              <w:t>2</w:t>
                            </w:r>
                            <w:r w:rsidRPr="00C41C2B">
                              <w:rPr>
                                <w:lang w:val="fr-FR"/>
                              </w:rPr>
                              <w:t xml:space="preserve">: </w:t>
                            </w:r>
                            <w:r w:rsidRPr="002C5A09">
                              <w:rPr>
                                <w:lang w:val="fr-FR"/>
                              </w:rPr>
                              <w:t>Membres de Secteur et Associés de l'UIT-D: valeurs absolues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E0D37A" id="_x0000_s1032" type="#_x0000_t202" style="position:absolute;margin-left:37.15pt;margin-top:-2.95pt;width:216.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" fillcolor="white [3212]" stroked="f">
                <v:textbox style="mso-fit-shape-to-text:t">
                  <w:txbxContent>
                    <w:p w14:paraId="3558D226" w14:textId="77777777" w:rsidR="000C4DAA" w:rsidRPr="00C41C2B" w:rsidRDefault="000C4DAA" w:rsidP="000C4DAA">
                      <w:pPr>
                        <w:pStyle w:val="Figurelegend"/>
                        <w:jc w:val="center"/>
                        <w:rPr>
                          <w:lang w:val="fr-FR"/>
                        </w:rPr>
                      </w:pPr>
                      <w:r w:rsidRPr="002C5A09">
                        <w:rPr>
                          <w:b/>
                          <w:bCs/>
                          <w:lang w:val="fr-FR"/>
                        </w:rPr>
                        <w:t xml:space="preserve">Graphique </w:t>
                      </w:r>
                      <w:r>
                        <w:rPr>
                          <w:b/>
                          <w:bCs/>
                          <w:lang w:val="fr-FR"/>
                        </w:rPr>
                        <w:t>2</w:t>
                      </w:r>
                      <w:r w:rsidRPr="00C41C2B">
                        <w:rPr>
                          <w:lang w:val="fr-FR"/>
                        </w:rPr>
                        <w:t xml:space="preserve">: </w:t>
                      </w:r>
                      <w:r w:rsidRPr="002C5A09">
                        <w:rPr>
                          <w:lang w:val="fr-FR"/>
                        </w:rPr>
                        <w:t>Membres de Secteur et Associés de l'UIT-D: valeurs absolues</w:t>
                      </w:r>
                    </w:p>
                  </w:txbxContent>
                </v:textbox>
              </v:shape>
            </w:pict>
          </mc:Fallback>
        </mc:AlternateContent>
      </w:r>
      <w:r w:rsidRPr="002B6EC2">
        <w:rPr>
          <w:rFonts w:ascii="Calibri" w:eastAsia="SimSun" w:hAnsi="Calibri" w:cs="Arial"/>
          <w:noProof/>
          <w:lang w:val="fr-FR" w:eastAsia="zh-CN"/>
        </w:rPr>
        <mc:AlternateContent>
          <mc:Choice Requires="wpg">
            <w:drawing>
              <wp:anchor distT="0" distB="0" distL="114300" distR="114300" simplePos="0" relativeHeight="251664384" behindDoc="0" locked="0" layoutInCell="1" allowOverlap="1" wp14:anchorId="11E339C2" wp14:editId="552B8D89">
                <wp:simplePos x="0" y="0"/>
                <wp:positionH relativeFrom="column">
                  <wp:posOffset>362560</wp:posOffset>
                </wp:positionH>
                <wp:positionV relativeFrom="paragraph">
                  <wp:posOffset>2435301</wp:posOffset>
                </wp:positionV>
                <wp:extent cx="4242816" cy="473074"/>
                <wp:effectExtent l="0" t="0" r="0" b="3810"/>
                <wp:wrapNone/>
                <wp:docPr id="8" name="Group 8"/>
                <wp:cNvGraphicFramePr/>
                <a:graphic xmlns:a="http://schemas.openxmlformats.org/drawingml/2006/main">
                  <a:graphicData uri="http://schemas.microsoft.com/office/word/2010/wordprocessingGroup">
                    <wpg:wgp>
                      <wpg:cNvGrpSpPr/>
                      <wpg:grpSpPr>
                        <a:xfrm>
                          <a:off x="0" y="0"/>
                          <a:ext cx="4242816" cy="473074"/>
                          <a:chOff x="0" y="0"/>
                          <a:chExt cx="4136389" cy="473074"/>
                        </a:xfrm>
                      </wpg:grpSpPr>
                      <wps:wsp>
                        <wps:cNvPr id="9" name="Text Box 2"/>
                        <wps:cNvSpPr txBox="1">
                          <a:spLocks noChangeArrowheads="1"/>
                        </wps:cNvSpPr>
                        <wps:spPr bwMode="auto">
                          <a:xfrm>
                            <a:off x="0" y="0"/>
                            <a:ext cx="564514" cy="287019"/>
                          </a:xfrm>
                          <a:prstGeom prst="rect">
                            <a:avLst/>
                          </a:prstGeom>
                          <a:noFill/>
                          <a:ln w="9525">
                            <a:noFill/>
                            <a:miter lim="800000"/>
                            <a:headEnd/>
                            <a:tailEnd/>
                          </a:ln>
                        </wps:spPr>
                        <wps:txbx>
                          <w:txbxContent>
                            <w:p w14:paraId="5117DCFB" w14:textId="77777777" w:rsidR="000C4DAA" w:rsidRPr="00DA3E29" w:rsidRDefault="000C4DAA" w:rsidP="000C4DAA">
                              <w:pPr>
                                <w:spacing w:before="0"/>
                                <w:jc w:val="center"/>
                                <w:rPr>
                                  <w:rFonts w:ascii="Avenir Nxt2 W1G" w:hAnsi="Avenir Nxt2 W1G"/>
                                  <w:sz w:val="20"/>
                                  <w:szCs w:val="16"/>
                                </w:rPr>
                              </w:pPr>
                              <w:r>
                                <w:rPr>
                                  <w:lang w:val="fr-FR"/>
                                </w:rPr>
                                <w:t>2021</w:t>
                              </w:r>
                            </w:p>
                          </w:txbxContent>
                        </wps:txbx>
                        <wps:bodyPr rot="0" vert="horz" wrap="square" lIns="91440" tIns="45720" rIns="91440" bIns="45720" anchor="t" anchorCtr="0">
                          <a:noAutofit/>
                        </wps:bodyPr>
                      </wps:wsp>
                      <wps:wsp>
                        <wps:cNvPr id="10" name="Text Box 2"/>
                        <wps:cNvSpPr txBox="1">
                          <a:spLocks noChangeArrowheads="1"/>
                        </wps:cNvSpPr>
                        <wps:spPr bwMode="auto">
                          <a:xfrm>
                            <a:off x="838200" y="0"/>
                            <a:ext cx="564514" cy="287019"/>
                          </a:xfrm>
                          <a:prstGeom prst="rect">
                            <a:avLst/>
                          </a:prstGeom>
                          <a:noFill/>
                          <a:ln w="9525">
                            <a:noFill/>
                            <a:miter lim="800000"/>
                            <a:headEnd/>
                            <a:tailEnd/>
                          </a:ln>
                        </wps:spPr>
                        <wps:txbx>
                          <w:txbxContent>
                            <w:p w14:paraId="682623FC" w14:textId="77777777" w:rsidR="000C4DAA" w:rsidRPr="00DA3E29" w:rsidRDefault="000C4DAA" w:rsidP="000C4DAA">
                              <w:pPr>
                                <w:spacing w:before="0"/>
                                <w:jc w:val="center"/>
                                <w:rPr>
                                  <w:rFonts w:ascii="Avenir Nxt2 W1G" w:hAnsi="Avenir Nxt2 W1G"/>
                                  <w:sz w:val="20"/>
                                  <w:szCs w:val="16"/>
                                </w:rPr>
                              </w:pPr>
                              <w:r>
                                <w:rPr>
                                  <w:lang w:val="fr-FR"/>
                                </w:rPr>
                                <w:t>2022</w:t>
                              </w:r>
                            </w:p>
                          </w:txbxContent>
                        </wps:txbx>
                        <wps:bodyPr rot="0" vert="horz" wrap="square" lIns="91440" tIns="45720" rIns="91440" bIns="45720" anchor="t" anchorCtr="0">
                          <a:noAutofit/>
                        </wps:bodyPr>
                      </wps:wsp>
                      <wps:wsp>
                        <wps:cNvPr id="11" name="Text Box 2"/>
                        <wps:cNvSpPr txBox="1">
                          <a:spLocks noChangeArrowheads="1"/>
                        </wps:cNvSpPr>
                        <wps:spPr bwMode="auto">
                          <a:xfrm>
                            <a:off x="2181225" y="0"/>
                            <a:ext cx="564514" cy="287019"/>
                          </a:xfrm>
                          <a:prstGeom prst="rect">
                            <a:avLst/>
                          </a:prstGeom>
                          <a:noFill/>
                          <a:ln w="9525">
                            <a:noFill/>
                            <a:miter lim="800000"/>
                            <a:headEnd/>
                            <a:tailEnd/>
                          </a:ln>
                        </wps:spPr>
                        <wps:txbx>
                          <w:txbxContent>
                            <w:p w14:paraId="10212BC1" w14:textId="77777777" w:rsidR="000C4DAA" w:rsidRPr="00DA3E29" w:rsidRDefault="000C4DAA" w:rsidP="000C4DAA">
                              <w:pPr>
                                <w:spacing w:before="0"/>
                                <w:jc w:val="center"/>
                                <w:rPr>
                                  <w:rFonts w:ascii="Avenir Nxt2 W1G" w:hAnsi="Avenir Nxt2 W1G"/>
                                  <w:sz w:val="20"/>
                                  <w:szCs w:val="16"/>
                                </w:rPr>
                              </w:pPr>
                              <w:r>
                                <w:rPr>
                                  <w:lang w:val="fr-FR"/>
                                </w:rPr>
                                <w:t>2023</w:t>
                              </w:r>
                            </w:p>
                          </w:txbxContent>
                        </wps:txbx>
                        <wps:bodyPr rot="0" vert="horz" wrap="square" lIns="91440" tIns="45720" rIns="91440" bIns="45720" anchor="t" anchorCtr="0">
                          <a:noAutofit/>
                        </wps:bodyPr>
                      </wps:wsp>
                      <wps:wsp>
                        <wps:cNvPr id="12" name="Text Box 2"/>
                        <wps:cNvSpPr txBox="1">
                          <a:spLocks noChangeArrowheads="1"/>
                        </wps:cNvSpPr>
                        <wps:spPr bwMode="auto">
                          <a:xfrm>
                            <a:off x="3571875" y="0"/>
                            <a:ext cx="564514" cy="473074"/>
                          </a:xfrm>
                          <a:prstGeom prst="rect">
                            <a:avLst/>
                          </a:prstGeom>
                          <a:noFill/>
                          <a:ln w="9525">
                            <a:noFill/>
                            <a:miter lim="800000"/>
                            <a:headEnd/>
                            <a:tailEnd/>
                          </a:ln>
                        </wps:spPr>
                        <wps:txbx>
                          <w:txbxContent>
                            <w:p w14:paraId="6232FDB3" w14:textId="77777777" w:rsidR="000C4DAA" w:rsidRPr="00DA3E29" w:rsidRDefault="000C4DAA" w:rsidP="000C4DAA">
                              <w:pPr>
                                <w:spacing w:before="0"/>
                                <w:jc w:val="center"/>
                                <w:rPr>
                                  <w:rFonts w:ascii="Avenir Nxt2 W1G" w:hAnsi="Avenir Nxt2 W1G"/>
                                  <w:sz w:val="20"/>
                                  <w:szCs w:val="16"/>
                                </w:rPr>
                              </w:pPr>
                              <w:r>
                                <w:rPr>
                                  <w:lang w:val="fr-FR"/>
                                </w:rPr>
                                <w:t>2024*</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1E339C2" id="Group 8" o:spid="_x0000_s1033" style="position:absolute;margin-left:28.55pt;margin-top:191.75pt;width:334.1pt;height:37.25pt;z-index:251664384;mso-width-relative:margin" coordsize="41363,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">
                <v:shape id="_x0000_s1034" type="#_x0000_t202" style="position:absolute;width:5645;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117DCFB" w14:textId="77777777" w:rsidR="000C4DAA" w:rsidRPr="00DA3E29" w:rsidRDefault="000C4DAA" w:rsidP="000C4DAA">
                        <w:pPr>
                          <w:spacing w:before="0"/>
                          <w:jc w:val="center"/>
                          <w:rPr>
                            <w:rFonts w:ascii="Avenir Nxt2 W1G" w:hAnsi="Avenir Nxt2 W1G"/>
                            <w:sz w:val="20"/>
                            <w:szCs w:val="16"/>
                          </w:rPr>
                        </w:pPr>
                        <w:r>
                          <w:rPr>
                            <w:lang w:val="fr-FR"/>
                          </w:rPr>
                          <w:t>2021</w:t>
                        </w:r>
                      </w:p>
                    </w:txbxContent>
                  </v:textbox>
                </v:shape>
                <v:shape id="_x0000_s1035" type="#_x0000_t202" style="position:absolute;left:8382;width:5645;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82623FC" w14:textId="77777777" w:rsidR="000C4DAA" w:rsidRPr="00DA3E29" w:rsidRDefault="000C4DAA" w:rsidP="000C4DAA">
                        <w:pPr>
                          <w:spacing w:before="0"/>
                          <w:jc w:val="center"/>
                          <w:rPr>
                            <w:rFonts w:ascii="Avenir Nxt2 W1G" w:hAnsi="Avenir Nxt2 W1G"/>
                            <w:sz w:val="20"/>
                            <w:szCs w:val="16"/>
                          </w:rPr>
                        </w:pPr>
                        <w:r>
                          <w:rPr>
                            <w:lang w:val="fr-FR"/>
                          </w:rPr>
                          <w:t>2022</w:t>
                        </w:r>
                      </w:p>
                    </w:txbxContent>
                  </v:textbox>
                </v:shape>
                <v:shape id="_x0000_s1036" type="#_x0000_t202" style="position:absolute;left:21812;width:5645;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0212BC1" w14:textId="77777777" w:rsidR="000C4DAA" w:rsidRPr="00DA3E29" w:rsidRDefault="000C4DAA" w:rsidP="000C4DAA">
                        <w:pPr>
                          <w:spacing w:before="0"/>
                          <w:jc w:val="center"/>
                          <w:rPr>
                            <w:rFonts w:ascii="Avenir Nxt2 W1G" w:hAnsi="Avenir Nxt2 W1G"/>
                            <w:sz w:val="20"/>
                            <w:szCs w:val="16"/>
                          </w:rPr>
                        </w:pPr>
                        <w:r>
                          <w:rPr>
                            <w:lang w:val="fr-FR"/>
                          </w:rPr>
                          <w:t>2023</w:t>
                        </w:r>
                      </w:p>
                    </w:txbxContent>
                  </v:textbox>
                </v:shape>
                <v:shape id="_x0000_s1037" type="#_x0000_t202" style="position:absolute;left:35718;width:5645;height: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232FDB3" w14:textId="77777777" w:rsidR="000C4DAA" w:rsidRPr="00DA3E29" w:rsidRDefault="000C4DAA" w:rsidP="000C4DAA">
                        <w:pPr>
                          <w:spacing w:before="0"/>
                          <w:jc w:val="center"/>
                          <w:rPr>
                            <w:rFonts w:ascii="Avenir Nxt2 W1G" w:hAnsi="Avenir Nxt2 W1G"/>
                            <w:sz w:val="20"/>
                            <w:szCs w:val="16"/>
                          </w:rPr>
                        </w:pPr>
                        <w:r>
                          <w:rPr>
                            <w:lang w:val="fr-FR"/>
                          </w:rPr>
                          <w:t>2024*</w:t>
                        </w:r>
                      </w:p>
                    </w:txbxContent>
                  </v:textbox>
                </v:shape>
              </v:group>
            </w:pict>
          </mc:Fallback>
        </mc:AlternateContent>
      </w:r>
      <w:r w:rsidRPr="002B6EC2">
        <w:rPr>
          <w:rFonts w:ascii="Calibri" w:eastAsia="SimSun" w:hAnsi="Calibri" w:cs="Arial"/>
          <w:noProof/>
          <w:lang w:val="fr-FR" w:eastAsia="zh-CN"/>
        </w:rPr>
        <mc:AlternateContent>
          <mc:Choice Requires="wpg">
            <w:drawing>
              <wp:anchor distT="0" distB="0" distL="114300" distR="114300" simplePos="0" relativeHeight="251663360" behindDoc="0" locked="0" layoutInCell="1" allowOverlap="1" wp14:anchorId="02E1A29C" wp14:editId="2527FE8F">
                <wp:simplePos x="0" y="0"/>
                <wp:positionH relativeFrom="column">
                  <wp:posOffset>5413493</wp:posOffset>
                </wp:positionH>
                <wp:positionV relativeFrom="paragraph">
                  <wp:posOffset>1687195</wp:posOffset>
                </wp:positionV>
                <wp:extent cx="902606" cy="287019"/>
                <wp:effectExtent l="0" t="0" r="0" b="0"/>
                <wp:wrapNone/>
                <wp:docPr id="1521436402" name="Group 3"/>
                <wp:cNvGraphicFramePr/>
                <a:graphic xmlns:a="http://schemas.openxmlformats.org/drawingml/2006/main">
                  <a:graphicData uri="http://schemas.microsoft.com/office/word/2010/wordprocessingGroup">
                    <wpg:wgp>
                      <wpg:cNvGrpSpPr/>
                      <wpg:grpSpPr>
                        <a:xfrm>
                          <a:off x="0" y="0"/>
                          <a:ext cx="902606" cy="287019"/>
                          <a:chOff x="0" y="0"/>
                          <a:chExt cx="903089" cy="287649"/>
                        </a:xfrm>
                      </wpg:grpSpPr>
                      <wps:wsp>
                        <wps:cNvPr id="1401696889" name="Oval 2"/>
                        <wps:cNvSpPr/>
                        <wps:spPr>
                          <a:xfrm>
                            <a:off x="0" y="76200"/>
                            <a:ext cx="129540" cy="129540"/>
                          </a:xfrm>
                          <a:prstGeom prst="ellipse">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959573" name="Text Box 2"/>
                        <wps:cNvSpPr txBox="1">
                          <a:spLocks noChangeArrowheads="1"/>
                        </wps:cNvSpPr>
                        <wps:spPr bwMode="auto">
                          <a:xfrm>
                            <a:off x="133058" y="0"/>
                            <a:ext cx="770031" cy="287649"/>
                          </a:xfrm>
                          <a:prstGeom prst="rect">
                            <a:avLst/>
                          </a:prstGeom>
                          <a:noFill/>
                          <a:ln w="9525">
                            <a:noFill/>
                            <a:miter lim="800000"/>
                            <a:headEnd/>
                            <a:tailEnd/>
                          </a:ln>
                        </wps:spPr>
                        <wps:txbx>
                          <w:txbxContent>
                            <w:p w14:paraId="5F94E470" w14:textId="77777777" w:rsidR="000C4DAA" w:rsidRPr="00A8524C" w:rsidRDefault="000C4DAA" w:rsidP="000C4DAA">
                              <w:pPr>
                                <w:spacing w:before="0"/>
                                <w:rPr>
                                  <w:rFonts w:ascii="Avenir Nxt2 W1G" w:hAnsi="Avenir Nxt2 W1G"/>
                                  <w:sz w:val="20"/>
                                  <w:szCs w:val="16"/>
                                </w:rPr>
                              </w:pPr>
                              <w:r>
                                <w:rPr>
                                  <w:lang w:val="fr-FR"/>
                                </w:rPr>
                                <w:t>Total</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2E1A29C" id="Group 3" o:spid="_x0000_s1038" style="position:absolute;margin-left:426.25pt;margin-top:132.85pt;width:71.05pt;height:22.6pt;z-index:251663360;mso-width-relative:margin;mso-height-relative:margin" coordsize="9030,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">
                <v:oval id="Oval 2" o:spid="_x0000_s1039"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" fillcolor="#4f81bd [3204]" stroked="f" strokeweight="2pt"/>
                <v:shape id="_x0000_s1040" type="#_x0000_t202" style="position:absolute;left:1330;width:770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" filled="f" stroked="f">
                  <v:textbox style="mso-fit-shape-to-text:t">
                    <w:txbxContent>
                      <w:p w14:paraId="5F94E470" w14:textId="77777777" w:rsidR="000C4DAA" w:rsidRPr="00A8524C" w:rsidRDefault="000C4DAA" w:rsidP="000C4DAA">
                        <w:pPr>
                          <w:spacing w:before="0"/>
                          <w:rPr>
                            <w:rFonts w:ascii="Avenir Nxt2 W1G" w:hAnsi="Avenir Nxt2 W1G"/>
                            <w:sz w:val="20"/>
                            <w:szCs w:val="16"/>
                          </w:rPr>
                        </w:pPr>
                        <w:r>
                          <w:rPr>
                            <w:lang w:val="fr-FR"/>
                          </w:rPr>
                          <w:t>Total</w:t>
                        </w:r>
                      </w:p>
                    </w:txbxContent>
                  </v:textbox>
                </v:shape>
              </v:group>
            </w:pict>
          </mc:Fallback>
        </mc:AlternateContent>
      </w:r>
      <w:r w:rsidRPr="002B6EC2">
        <w:rPr>
          <w:rFonts w:ascii="Calibri" w:eastAsia="SimSun" w:hAnsi="Calibri" w:cs="Arial"/>
          <w:noProof/>
          <w:lang w:val="fr-FR" w:eastAsia="zh-CN"/>
        </w:rPr>
        <mc:AlternateContent>
          <mc:Choice Requires="wpg">
            <w:drawing>
              <wp:anchor distT="0" distB="0" distL="114300" distR="114300" simplePos="0" relativeHeight="251662336" behindDoc="0" locked="0" layoutInCell="1" allowOverlap="1" wp14:anchorId="0A5D7D29" wp14:editId="3F9743C5">
                <wp:simplePos x="0" y="0"/>
                <wp:positionH relativeFrom="column">
                  <wp:posOffset>1144988</wp:posOffset>
                </wp:positionH>
                <wp:positionV relativeFrom="paragraph">
                  <wp:posOffset>428873</wp:posOffset>
                </wp:positionV>
                <wp:extent cx="5169582" cy="2072640"/>
                <wp:effectExtent l="0" t="0" r="0" b="22860"/>
                <wp:wrapNone/>
                <wp:docPr id="4" name="Group 4"/>
                <wp:cNvGraphicFramePr/>
                <a:graphic xmlns:a="http://schemas.openxmlformats.org/drawingml/2006/main">
                  <a:graphicData uri="http://schemas.microsoft.com/office/word/2010/wordprocessingGroup">
                    <wpg:wgp>
                      <wpg:cNvGrpSpPr/>
                      <wpg:grpSpPr>
                        <a:xfrm>
                          <a:off x="0" y="0"/>
                          <a:ext cx="5169582" cy="2072640"/>
                          <a:chOff x="0" y="0"/>
                          <a:chExt cx="5169582" cy="2072640"/>
                        </a:xfrm>
                      </wpg:grpSpPr>
                      <wps:wsp>
                        <wps:cNvPr id="614123071" name="Straight Connector 1"/>
                        <wps:cNvCnPr/>
                        <wps:spPr>
                          <a:xfrm>
                            <a:off x="0" y="0"/>
                            <a:ext cx="0" cy="207264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1147080523" name="Straight Connector 1"/>
                        <wps:cNvCnPr/>
                        <wps:spPr>
                          <a:xfrm>
                            <a:off x="1352550" y="0"/>
                            <a:ext cx="0" cy="207264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1757105770" name="Straight Connector 1"/>
                        <wps:cNvCnPr/>
                        <wps:spPr>
                          <a:xfrm>
                            <a:off x="2714625" y="0"/>
                            <a:ext cx="0" cy="2072640"/>
                          </a:xfrm>
                          <a:prstGeom prst="line">
                            <a:avLst/>
                          </a:prstGeom>
                        </wps:spPr>
                        <wps:style>
                          <a:lnRef idx="1">
                            <a:schemeClr val="accent2"/>
                          </a:lnRef>
                          <a:fillRef idx="0">
                            <a:schemeClr val="accent2"/>
                          </a:fillRef>
                          <a:effectRef idx="0">
                            <a:schemeClr val="accent2"/>
                          </a:effectRef>
                          <a:fontRef idx="minor">
                            <a:schemeClr val="tx1"/>
                          </a:fontRef>
                        </wps:style>
                        <wps:bodyPr/>
                      </wps:wsp>
                      <wpg:grpSp>
                        <wpg:cNvPr id="1601017525" name="Group 3"/>
                        <wpg:cNvGrpSpPr/>
                        <wpg:grpSpPr>
                          <a:xfrm>
                            <a:off x="4267200" y="695325"/>
                            <a:ext cx="902382" cy="287019"/>
                            <a:chOff x="0" y="0"/>
                            <a:chExt cx="902865" cy="287649"/>
                          </a:xfrm>
                        </wpg:grpSpPr>
                        <wps:wsp>
                          <wps:cNvPr id="905228046" name="Oval 2"/>
                          <wps:cNvSpPr/>
                          <wps:spPr>
                            <a:xfrm>
                              <a:off x="0" y="76200"/>
                              <a:ext cx="129540" cy="129540"/>
                            </a:xfrm>
                            <a:prstGeom prst="ellipse">
                              <a:avLst/>
                            </a:prstGeom>
                            <a:solidFill>
                              <a:srgbClr val="9BCD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662352" name="Text Box 2"/>
                          <wps:cNvSpPr txBox="1">
                            <a:spLocks noChangeArrowheads="1"/>
                          </wps:cNvSpPr>
                          <wps:spPr bwMode="auto">
                            <a:xfrm>
                              <a:off x="132834" y="0"/>
                              <a:ext cx="770031" cy="287649"/>
                            </a:xfrm>
                            <a:prstGeom prst="rect">
                              <a:avLst/>
                            </a:prstGeom>
                            <a:noFill/>
                            <a:ln w="9525">
                              <a:noFill/>
                              <a:miter lim="800000"/>
                              <a:headEnd/>
                              <a:tailEnd/>
                            </a:ln>
                          </wps:spPr>
                          <wps:txbx>
                            <w:txbxContent>
                              <w:p w14:paraId="70EC568A" w14:textId="77777777" w:rsidR="000C4DAA" w:rsidRPr="00A8524C" w:rsidRDefault="000C4DAA" w:rsidP="000C4DAA">
                                <w:pPr>
                                  <w:spacing w:before="0"/>
                                  <w:rPr>
                                    <w:rFonts w:ascii="Avenir Nxt2 W1G" w:hAnsi="Avenir Nxt2 W1G"/>
                                    <w:sz w:val="20"/>
                                    <w:szCs w:val="16"/>
                                  </w:rPr>
                                </w:pPr>
                                <w:r>
                                  <w:rPr>
                                    <w:lang w:val="fr-FR"/>
                                  </w:rPr>
                                  <w:t>Gain</w:t>
                                </w:r>
                              </w:p>
                            </w:txbxContent>
                          </wps:txbx>
                          <wps:bodyPr rot="0" vert="horz" wrap="square" lIns="91440" tIns="45720" rIns="91440" bIns="45720" anchor="t" anchorCtr="0">
                            <a:spAutoFit/>
                          </wps:bodyPr>
                        </wps:wsp>
                      </wpg:grpSp>
                      <wpg:grpSp>
                        <wpg:cNvPr id="1460462599" name="Group 3"/>
                        <wpg:cNvGrpSpPr/>
                        <wpg:grpSpPr>
                          <a:xfrm>
                            <a:off x="4267200" y="971550"/>
                            <a:ext cx="902382" cy="287019"/>
                            <a:chOff x="0" y="0"/>
                            <a:chExt cx="902865" cy="287649"/>
                          </a:xfrm>
                        </wpg:grpSpPr>
                        <wps:wsp>
                          <wps:cNvPr id="1526782283" name="Oval 2"/>
                          <wps:cNvSpPr/>
                          <wps:spPr>
                            <a:xfrm>
                              <a:off x="0" y="76200"/>
                              <a:ext cx="129540" cy="129540"/>
                            </a:xfrm>
                            <a:prstGeom prst="ellipse">
                              <a:avLst/>
                            </a:prstGeom>
                            <a:solidFill>
                              <a:srgbClr val="FA4D5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9610998" name="Text Box 2"/>
                          <wps:cNvSpPr txBox="1">
                            <a:spLocks noChangeArrowheads="1"/>
                          </wps:cNvSpPr>
                          <wps:spPr bwMode="auto">
                            <a:xfrm>
                              <a:off x="132834" y="0"/>
                              <a:ext cx="770031" cy="287649"/>
                            </a:xfrm>
                            <a:prstGeom prst="rect">
                              <a:avLst/>
                            </a:prstGeom>
                            <a:noFill/>
                            <a:ln w="9525">
                              <a:noFill/>
                              <a:miter lim="800000"/>
                              <a:headEnd/>
                              <a:tailEnd/>
                            </a:ln>
                          </wps:spPr>
                          <wps:txbx>
                            <w:txbxContent>
                              <w:p w14:paraId="40D0A3AF" w14:textId="77777777" w:rsidR="000C4DAA" w:rsidRPr="00A8524C" w:rsidRDefault="000C4DAA" w:rsidP="000C4DAA">
                                <w:pPr>
                                  <w:spacing w:before="0"/>
                                  <w:rPr>
                                    <w:rFonts w:ascii="Avenir Nxt2 W1G" w:hAnsi="Avenir Nxt2 W1G"/>
                                    <w:sz w:val="20"/>
                                    <w:szCs w:val="16"/>
                                  </w:rPr>
                                </w:pPr>
                                <w:r>
                                  <w:rPr>
                                    <w:lang w:val="fr-FR"/>
                                  </w:rPr>
                                  <w:t>Perte</w:t>
                                </w:r>
                              </w:p>
                            </w:txbxContent>
                          </wps:txbx>
                          <wps:bodyPr rot="0" vert="horz" wrap="square" lIns="91440" tIns="45720" rIns="91440" bIns="45720" anchor="t" anchorCtr="0">
                            <a:spAutoFit/>
                          </wps:bodyPr>
                        </wps:wsp>
                      </wpg:grpSp>
                    </wpg:wgp>
                  </a:graphicData>
                </a:graphic>
              </wp:anchor>
            </w:drawing>
          </mc:Choice>
          <mc:Fallback>
            <w:pict>
              <v:group w14:anchorId="0A5D7D29" id="Group 4" o:spid="_x0000_s1041" style="position:absolute;margin-left:90.15pt;margin-top:33.75pt;width:407.05pt;height:163.2pt;z-index:251662336" coordsize="51695,2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">
                <v:line id="Straight Connector 1" o:spid="_x0000_s1042" style="position:absolute;visibility:visible;mso-wrap-style:square" from="0,0" to="0,2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" strokecolor="#bc4542 [3045]"/>
                <v:line id="Straight Connector 1" o:spid="_x0000_s1043" style="position:absolute;visibility:visible;mso-wrap-style:square" from="13525,0" to="13525,2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" strokecolor="#bc4542 [3045]"/>
                <v:line id="Straight Connector 1" o:spid="_x0000_s1044" style="position:absolute;visibility:visible;mso-wrap-style:square" from="27146,0" to="27146,2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" strokecolor="#bc4542 [3045]"/>
                <v:group id="_x0000_s1045" style="position:absolute;left:42672;top:6953;width:9023;height:2870" coordsize="9028,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">
                  <v:oval id="Oval 2" o:spid="_x0000_s1046"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" fillcolor="#9bcd7a" stroked="f" strokeweight="2pt"/>
                  <v:shape id="_x0000_s1047" type="#_x0000_t202" style="position:absolute;left:1328;width:770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" filled="f" stroked="f">
                    <v:textbox style="mso-fit-shape-to-text:t">
                      <w:txbxContent>
                        <w:p w14:paraId="70EC568A" w14:textId="77777777" w:rsidR="000C4DAA" w:rsidRPr="00A8524C" w:rsidRDefault="000C4DAA" w:rsidP="000C4DAA">
                          <w:pPr>
                            <w:spacing w:before="0"/>
                            <w:rPr>
                              <w:rFonts w:ascii="Avenir Nxt2 W1G" w:hAnsi="Avenir Nxt2 W1G"/>
                              <w:sz w:val="20"/>
                              <w:szCs w:val="16"/>
                            </w:rPr>
                          </w:pPr>
                          <w:r>
                            <w:rPr>
                              <w:lang w:val="fr-FR"/>
                            </w:rPr>
                            <w:t>Gain</w:t>
                          </w:r>
                        </w:p>
                      </w:txbxContent>
                    </v:textbox>
                  </v:shape>
                </v:group>
                <v:group id="_x0000_s1048" style="position:absolute;left:42672;top:9715;width:9023;height:2870" coordsize="9028,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">
                  <v:oval id="Oval 2" o:spid="_x0000_s1049"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" fillcolor="#fa4d55" stroked="f" strokeweight="2pt"/>
                  <v:shape id="_x0000_s1050" type="#_x0000_t202" style="position:absolute;left:1328;width:770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" filled="f" stroked="f">
                    <v:textbox style="mso-fit-shape-to-text:t">
                      <w:txbxContent>
                        <w:p w14:paraId="40D0A3AF" w14:textId="77777777" w:rsidR="000C4DAA" w:rsidRPr="00A8524C" w:rsidRDefault="000C4DAA" w:rsidP="000C4DAA">
                          <w:pPr>
                            <w:spacing w:before="0"/>
                            <w:rPr>
                              <w:rFonts w:ascii="Avenir Nxt2 W1G" w:hAnsi="Avenir Nxt2 W1G"/>
                              <w:sz w:val="20"/>
                              <w:szCs w:val="16"/>
                            </w:rPr>
                          </w:pPr>
                          <w:r>
                            <w:rPr>
                              <w:lang w:val="fr-FR"/>
                            </w:rPr>
                            <w:t>Perte</w:t>
                          </w:r>
                        </w:p>
                      </w:txbxContent>
                    </v:textbox>
                  </v:shape>
                </v:group>
              </v:group>
            </w:pict>
          </mc:Fallback>
        </mc:AlternateContent>
      </w:r>
      <w:r w:rsidRPr="002B6EC2">
        <w:rPr>
          <w:rFonts w:ascii="Calibri" w:eastAsia="SimSun" w:hAnsi="Calibri" w:cs="Arial"/>
          <w:b/>
          <w:bCs/>
          <w:noProof/>
          <w:lang w:val="fr-FR" w:eastAsia="zh-CN"/>
        </w:rPr>
        <mc:AlternateContent>
          <mc:Choice Requires="cx4">
            <w:drawing>
              <wp:inline distT="0" distB="0" distL="0" distR="0" wp14:anchorId="290FA70C" wp14:editId="58883FF7">
                <wp:extent cx="4899660" cy="2565400"/>
                <wp:effectExtent l="0" t="0" r="15240" b="6350"/>
                <wp:docPr id="1073594995"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290FA70C" wp14:editId="58883FF7">
                <wp:extent cx="4899660" cy="2565400"/>
                <wp:effectExtent l="0" t="0" r="15240" b="6350"/>
                <wp:docPr id="1073594995"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73594995" name="Chart 1"/>
                        <pic:cNvPicPr>
                          <a:picLocks noGrp="1" noRot="1" noChangeAspect="1" noMove="1" noResize="1" noEditPoints="1" noAdjustHandles="1" noChangeArrowheads="1" noChangeShapeType="1"/>
                        </pic:cNvPicPr>
                      </pic:nvPicPr>
                      <pic:blipFill>
                        <a:blip r:embed="rId15"/>
                        <a:stretch>
                          <a:fillRect/>
                        </a:stretch>
                      </pic:blipFill>
                      <pic:spPr>
                        <a:xfrm>
                          <a:off x="0" y="0"/>
                          <a:ext cx="4899660" cy="2565400"/>
                        </a:xfrm>
                        <a:prstGeom prst="rect">
                          <a:avLst/>
                        </a:prstGeom>
                      </pic:spPr>
                    </pic:pic>
                  </a:graphicData>
                </a:graphic>
              </wp:inline>
            </w:drawing>
          </mc:Fallback>
        </mc:AlternateContent>
      </w:r>
    </w:p>
    <w:p w14:paraId="6CE67E69" w14:textId="77777777" w:rsidR="000C4DAA" w:rsidRPr="002B6EC2" w:rsidRDefault="000C4DAA" w:rsidP="000C4DAA">
      <w:pPr>
        <w:pStyle w:val="Normalaftertitle"/>
        <w:rPr>
          <w:lang w:val="fr-FR"/>
        </w:rPr>
      </w:pPr>
      <w:r w:rsidRPr="002B6EC2">
        <w:rPr>
          <w:lang w:val="fr-FR"/>
        </w:rPr>
        <w:t xml:space="preserve">Le </w:t>
      </w:r>
      <w:r w:rsidRPr="002B6EC2">
        <w:rPr>
          <w:b/>
          <w:bCs/>
          <w:lang w:val="fr-FR"/>
        </w:rPr>
        <w:t>Graphique 2</w:t>
      </w:r>
      <w:r w:rsidRPr="002B6EC2">
        <w:rPr>
          <w:lang w:val="fr-FR"/>
        </w:rPr>
        <w:t xml:space="preserve"> présente en détail l'augmentation soutenue des Membres de Secteur et des Associés de l'UIT-D en 2022 et 2023 et indique les </w:t>
      </w:r>
      <w:r w:rsidRPr="002B6EC2">
        <w:rPr>
          <w:b/>
          <w:bCs/>
          <w:lang w:val="fr-FR"/>
        </w:rPr>
        <w:t>gains</w:t>
      </w:r>
      <w:r w:rsidRPr="002B6EC2">
        <w:rPr>
          <w:lang w:val="fr-FR"/>
        </w:rPr>
        <w:t xml:space="preserve"> et les </w:t>
      </w:r>
      <w:r w:rsidRPr="002B6EC2">
        <w:rPr>
          <w:b/>
          <w:bCs/>
          <w:lang w:val="fr-FR"/>
        </w:rPr>
        <w:t xml:space="preserve">pertes </w:t>
      </w:r>
      <w:r w:rsidRPr="002B6EC2">
        <w:rPr>
          <w:lang w:val="fr-FR"/>
        </w:rPr>
        <w:t>de Membres de Secteur et d'Associés pour ces deux années. Il montre également les chiffres des prévisions pour juin 2024 sur la base des adhésions à activer.</w:t>
      </w:r>
    </w:p>
    <w:p w14:paraId="618C868B" w14:textId="77777777" w:rsidR="000C4DAA" w:rsidRPr="002B6EC2" w:rsidRDefault="000C4DAA" w:rsidP="000C4DAA">
      <w:pPr>
        <w:rPr>
          <w:lang w:val="fr-FR"/>
        </w:rPr>
      </w:pPr>
      <w:r w:rsidRPr="002B6EC2">
        <w:rPr>
          <w:lang w:val="fr-FR"/>
        </w:rPr>
        <w:t xml:space="preserve">En décembre 2023, l'UIT-D comptait au total </w:t>
      </w:r>
      <w:r w:rsidRPr="002B6EC2">
        <w:rPr>
          <w:b/>
          <w:bCs/>
          <w:lang w:val="fr-FR"/>
        </w:rPr>
        <w:t>vingt-sept nouveaux Membres</w:t>
      </w:r>
      <w:r w:rsidRPr="002B6EC2">
        <w:rPr>
          <w:lang w:val="fr-FR"/>
        </w:rPr>
        <w:t>, contre dix-huit en 2022. Pour l'année 2023, on relève une augmentation de 50% du nombre total de nouveaux membres.</w:t>
      </w:r>
    </w:p>
    <w:p w14:paraId="67125AD6" w14:textId="77777777" w:rsidR="000C4DAA" w:rsidRPr="002B6EC2" w:rsidRDefault="000C4DAA" w:rsidP="000C4DAA">
      <w:pPr>
        <w:rPr>
          <w:lang w:val="fr-FR"/>
        </w:rPr>
      </w:pPr>
      <w:r w:rsidRPr="002B6EC2">
        <w:rPr>
          <w:lang w:val="fr-FR"/>
        </w:rPr>
        <w:t xml:space="preserve">Fin février 2024, l'UIT-D comptait déjà </w:t>
      </w:r>
      <w:r w:rsidRPr="002B6EC2">
        <w:rPr>
          <w:b/>
          <w:bCs/>
          <w:lang w:val="fr-FR"/>
        </w:rPr>
        <w:t>huit nouveaux Membres</w:t>
      </w:r>
      <w:r w:rsidRPr="002B6EC2">
        <w:rPr>
          <w:lang w:val="fr-FR"/>
        </w:rPr>
        <w:t xml:space="preserve"> et devrait activer l'adhésion de </w:t>
      </w:r>
      <w:r w:rsidRPr="002B6EC2">
        <w:rPr>
          <w:b/>
          <w:bCs/>
          <w:lang w:val="fr-FR"/>
        </w:rPr>
        <w:t>sept autres Membres</w:t>
      </w:r>
      <w:r w:rsidRPr="002B6EC2">
        <w:rPr>
          <w:lang w:val="fr-FR"/>
        </w:rPr>
        <w:t xml:space="preserve"> d'ici à juin 2024.</w:t>
      </w:r>
    </w:p>
    <w:p w14:paraId="4633A380" w14:textId="77777777" w:rsidR="000C4DAA" w:rsidRPr="002B6EC2" w:rsidRDefault="000C4DAA" w:rsidP="000C4DAA">
      <w:pPr>
        <w:rPr>
          <w:lang w:val="fr-FR"/>
        </w:rPr>
      </w:pPr>
      <w:r w:rsidRPr="002B6EC2">
        <w:rPr>
          <w:lang w:val="fr-FR"/>
        </w:rPr>
        <w:t xml:space="preserve">En outre, en 2023, le total des dénonciations et des exclusions a encore </w:t>
      </w:r>
      <w:r w:rsidRPr="002B6EC2">
        <w:rPr>
          <w:b/>
          <w:bCs/>
          <w:lang w:val="fr-FR"/>
        </w:rPr>
        <w:t>diminué pour atteindre</w:t>
      </w:r>
      <w:r w:rsidRPr="002B6EC2">
        <w:rPr>
          <w:lang w:val="fr-FR"/>
        </w:rPr>
        <w:t xml:space="preserve"> </w:t>
      </w:r>
      <w:r w:rsidRPr="002B6EC2">
        <w:rPr>
          <w:b/>
          <w:bCs/>
          <w:lang w:val="fr-FR"/>
        </w:rPr>
        <w:t>douze Membres</w:t>
      </w:r>
      <w:r w:rsidRPr="002B6EC2">
        <w:rPr>
          <w:lang w:val="fr-FR"/>
        </w:rPr>
        <w:t>, découlant de fusions, de la révision de stratégies commerciales, du non</w:t>
      </w:r>
      <w:r w:rsidRPr="002B6EC2">
        <w:rPr>
          <w:lang w:val="fr-FR"/>
        </w:rPr>
        <w:noBreakHyphen/>
        <w:t>règlement des contributions ou pour des raisons non divulguées. En outre, deux dénonciations devraient prendre effet d'ici juin 2024.</w:t>
      </w:r>
    </w:p>
    <w:p w14:paraId="46144495" w14:textId="77777777" w:rsidR="000C4DAA" w:rsidRPr="002B6EC2" w:rsidRDefault="000C4DAA" w:rsidP="000C4DAA">
      <w:pPr>
        <w:rPr>
          <w:lang w:val="fr-FR"/>
        </w:rPr>
      </w:pPr>
      <w:r w:rsidRPr="002B6EC2">
        <w:rPr>
          <w:lang w:val="fr-FR"/>
        </w:rPr>
        <w:t>L'augmentation soutenue du nombre de membres de l'UIT-D découle de l'intensification des efforts de sensibilisation déployés par le biais de plusieurs catégories de mesures, par exemple la participation d'invités/observateurs à des manifestations thématiques internes, et de l'exploitation de la valeur proposée par le partenariat dans le cadre d'initiatives nouvelles ou existantes de l'UIT-D en vue de créer un ensemble unique d'avantages pour les membres et les partenariats.</w:t>
      </w:r>
    </w:p>
    <w:p w14:paraId="1297F53A" w14:textId="77777777" w:rsidR="000C4DAA" w:rsidRPr="002B6EC2" w:rsidRDefault="000C4DAA" w:rsidP="000C4DAA">
      <w:pPr>
        <w:rPr>
          <w:lang w:val="fr-FR"/>
        </w:rPr>
      </w:pPr>
      <w:r w:rsidRPr="002B6EC2">
        <w:rPr>
          <w:lang w:val="fr-FR"/>
        </w:rPr>
        <w:t>Enfin, l'utilisation accrue d'outils et de tableaux de bord axés sur les données a permis de cibler les comptes de membres à risque et de prendre des mesures de suivi pour une sensibilisation et une réadmission de plus haut niveau, ce qui a entraîné une fidélisation accrue des membres et une augmentation nette de leur nombre.</w:t>
      </w:r>
    </w:p>
    <w:p w14:paraId="6AA77787" w14:textId="77777777" w:rsidR="000C4DAA" w:rsidRPr="002B6EC2" w:rsidRDefault="000C4DAA" w:rsidP="000C4DAA">
      <w:pPr>
        <w:rPr>
          <w:lang w:val="fr-FR"/>
        </w:rPr>
      </w:pPr>
      <w:r w:rsidRPr="002B6EC2">
        <w:rPr>
          <w:lang w:val="fr-FR"/>
        </w:rPr>
        <w:t xml:space="preserve">Les listes des mouvements de membres en 2023 (nouveaux membres et pertes) et les prévisions pour juin 2024 figurent dans le Document </w:t>
      </w:r>
      <w:hyperlink r:id="rId16" w:history="1">
        <w:r w:rsidRPr="002B6EC2">
          <w:rPr>
            <w:rStyle w:val="Hyperlink"/>
            <w:lang w:val="fr-FR"/>
          </w:rPr>
          <w:t>TDAG-24/INF/2</w:t>
        </w:r>
      </w:hyperlink>
      <w:r w:rsidRPr="002B6EC2">
        <w:rPr>
          <w:lang w:val="fr-FR"/>
        </w:rPr>
        <w:t>.</w:t>
      </w:r>
    </w:p>
    <w:p w14:paraId="35A15E7E" w14:textId="77777777" w:rsidR="000C4DAA" w:rsidRPr="002B6EC2" w:rsidRDefault="000C4DAA" w:rsidP="000C4DAA">
      <w:pPr>
        <w:pStyle w:val="Heading2"/>
        <w:rPr>
          <w:lang w:val="fr-FR"/>
        </w:rPr>
      </w:pPr>
      <w:r w:rsidRPr="002B6EC2">
        <w:rPr>
          <w:lang w:val="fr-FR"/>
        </w:rPr>
        <w:lastRenderedPageBreak/>
        <w:t>2.2</w:t>
      </w:r>
      <w:r w:rsidRPr="002B6EC2">
        <w:rPr>
          <w:lang w:val="fr-FR"/>
        </w:rPr>
        <w:tab/>
        <w:t>Demandes d'exonération du paiement des droits</w:t>
      </w:r>
    </w:p>
    <w:p w14:paraId="0AB2E98F" w14:textId="77777777" w:rsidR="000C4DAA" w:rsidRPr="002B6EC2" w:rsidRDefault="000C4DAA" w:rsidP="000C4DAA">
      <w:pPr>
        <w:keepNext/>
        <w:keepLines/>
        <w:rPr>
          <w:lang w:val="fr-FR"/>
        </w:rPr>
      </w:pPr>
      <w:r w:rsidRPr="002B6EC2">
        <w:rPr>
          <w:lang w:val="fr-FR"/>
        </w:rPr>
        <w:t xml:space="preserve">Le BDT a continué d'examiner les demandes d'exonération de droits, conformément au numéro 476 de la Convention et aux critères du Conseil de l'UIT disponibles </w:t>
      </w:r>
      <w:hyperlink r:id="rId17" w:anchor="/fr" w:history="1">
        <w:r w:rsidRPr="002B6EC2">
          <w:rPr>
            <w:rStyle w:val="Hyperlink"/>
            <w:lang w:val="fr-FR"/>
          </w:rPr>
          <w:t>ici</w:t>
        </w:r>
      </w:hyperlink>
      <w:r w:rsidRPr="002B6EC2">
        <w:rPr>
          <w:lang w:val="fr-FR"/>
        </w:rPr>
        <w:t xml:space="preserve">. À sa session de juillet 2023, le Conseil de l'UIT a approuvé l'adhésion de </w:t>
      </w:r>
      <w:r w:rsidRPr="002B6EC2">
        <w:rPr>
          <w:b/>
          <w:bCs/>
          <w:lang w:val="fr-FR"/>
        </w:rPr>
        <w:t>quatre</w:t>
      </w:r>
      <w:r w:rsidRPr="002B6EC2">
        <w:rPr>
          <w:lang w:val="fr-FR"/>
        </w:rPr>
        <w:t xml:space="preserve"> organisations à l'UIT-D en tant que membres exonérés de droits:</w:t>
      </w:r>
    </w:p>
    <w:p w14:paraId="0CB6C800" w14:textId="77777777" w:rsidR="000C4DAA" w:rsidRPr="002B6EC2" w:rsidRDefault="000C4DAA" w:rsidP="000C4DAA">
      <w:pPr>
        <w:pStyle w:val="enumlev1"/>
        <w:rPr>
          <w:lang w:val="fr-FR"/>
        </w:rPr>
      </w:pPr>
      <w:r w:rsidRPr="002B6EC2">
        <w:rPr>
          <w:lang w:val="fr-FR"/>
        </w:rPr>
        <w:t>–</w:t>
      </w:r>
      <w:r w:rsidRPr="002B6EC2">
        <w:rPr>
          <w:lang w:val="fr-FR"/>
        </w:rPr>
        <w:tab/>
        <w:t>Organisation arabe pour l'éducation, la culture et la science (ALECSO)</w:t>
      </w:r>
    </w:p>
    <w:p w14:paraId="5B23728D" w14:textId="77777777" w:rsidR="000C4DAA" w:rsidRPr="002B6EC2" w:rsidRDefault="000C4DAA" w:rsidP="000C4DAA">
      <w:pPr>
        <w:pStyle w:val="enumlev1"/>
        <w:rPr>
          <w:lang w:val="fr-FR"/>
        </w:rPr>
      </w:pPr>
      <w:r w:rsidRPr="002B6EC2">
        <w:rPr>
          <w:lang w:val="fr-FR"/>
        </w:rPr>
        <w:t>–</w:t>
      </w:r>
      <w:r w:rsidRPr="002B6EC2">
        <w:rPr>
          <w:lang w:val="fr-FR"/>
        </w:rPr>
        <w:tab/>
        <w:t>Association des régulateurs des communications d'Afrique australe (CRASA)</w:t>
      </w:r>
    </w:p>
    <w:p w14:paraId="79EE8128" w14:textId="77777777" w:rsidR="000C4DAA" w:rsidRPr="002B6EC2" w:rsidRDefault="000C4DAA" w:rsidP="000C4DAA">
      <w:pPr>
        <w:pStyle w:val="enumlev1"/>
        <w:rPr>
          <w:lang w:val="fr-FR"/>
        </w:rPr>
      </w:pPr>
      <w:r w:rsidRPr="002B6EC2">
        <w:rPr>
          <w:lang w:val="fr-FR"/>
        </w:rPr>
        <w:t>–</w:t>
      </w:r>
      <w:r w:rsidRPr="002B6EC2">
        <w:rPr>
          <w:lang w:val="fr-FR"/>
        </w:rPr>
        <w:tab/>
        <w:t>Global Impact, Partenariat mondial pour l'inclusion numérique (GDIP)</w:t>
      </w:r>
    </w:p>
    <w:p w14:paraId="4DDDD7FD" w14:textId="77777777" w:rsidR="000C4DAA" w:rsidRPr="002B6EC2" w:rsidRDefault="000C4DAA" w:rsidP="000C4DAA">
      <w:pPr>
        <w:pStyle w:val="enumlev1"/>
        <w:rPr>
          <w:lang w:val="fr-FR"/>
        </w:rPr>
      </w:pPr>
      <w:r w:rsidRPr="002B6EC2">
        <w:rPr>
          <w:lang w:val="fr-FR"/>
        </w:rPr>
        <w:t>–</w:t>
      </w:r>
      <w:r w:rsidRPr="002B6EC2">
        <w:rPr>
          <w:lang w:val="fr-FR"/>
        </w:rPr>
        <w:tab/>
        <w:t>Fédération mondiale des organisations d'ingénieurs (FMOI)</w:t>
      </w:r>
    </w:p>
    <w:p w14:paraId="52B3D382" w14:textId="77777777" w:rsidR="000C4DAA" w:rsidRPr="002B6EC2" w:rsidRDefault="000C4DAA" w:rsidP="000C4DAA">
      <w:pPr>
        <w:pStyle w:val="Heading2"/>
        <w:rPr>
          <w:lang w:val="fr-FR"/>
        </w:rPr>
      </w:pPr>
      <w:r w:rsidRPr="002B6EC2">
        <w:rPr>
          <w:lang w:val="fr-FR"/>
        </w:rPr>
        <w:t>2.3</w:t>
      </w:r>
      <w:r w:rsidRPr="002B6EC2">
        <w:rPr>
          <w:lang w:val="fr-FR"/>
        </w:rPr>
        <w:tab/>
        <w:t>Approbations en attente</w:t>
      </w:r>
    </w:p>
    <w:p w14:paraId="57C610D2" w14:textId="77777777" w:rsidR="000C4DAA" w:rsidRPr="002B6EC2" w:rsidRDefault="000C4DAA" w:rsidP="000C4DAA">
      <w:pPr>
        <w:spacing w:after="120"/>
        <w:rPr>
          <w:lang w:val="fr-FR"/>
        </w:rPr>
      </w:pPr>
      <w:r w:rsidRPr="002B6EC2">
        <w:rPr>
          <w:lang w:val="fr-FR"/>
        </w:rPr>
        <w:t xml:space="preserve">En février 2024, </w:t>
      </w:r>
      <w:r w:rsidRPr="002B6EC2">
        <w:rPr>
          <w:b/>
          <w:bCs/>
          <w:lang w:val="fr-FR"/>
        </w:rPr>
        <w:t>neuf entités attendaient l'autorisation</w:t>
      </w:r>
      <w:r w:rsidRPr="002B6EC2">
        <w:rPr>
          <w:lang w:val="fr-FR"/>
        </w:rPr>
        <w:t xml:space="preserve"> de leurs </w:t>
      </w:r>
      <w:r w:rsidRPr="002B6EC2">
        <w:rPr>
          <w:b/>
          <w:bCs/>
          <w:lang w:val="fr-FR"/>
        </w:rPr>
        <w:t>administrations respectives</w:t>
      </w:r>
      <w:r w:rsidRPr="002B6EC2">
        <w:rPr>
          <w:lang w:val="fr-FR"/>
        </w:rPr>
        <w:t xml:space="preserve"> sur la base de la date de la communication de l'UIT. Nous tenons à remercier les administrations des entités du secteur privé, qui, à l'évidence, accordent toute l'attention voulue aux demandes qui leur sont soumises en vue d'examiner les demandes d'adhésion à l'UIT-D, et attendons avec intérêt de recevoir leur approbation ou décision à cet égard.</w:t>
      </w:r>
    </w:p>
    <w:tbl>
      <w:tblPr>
        <w:tblStyle w:val="TableGrid1"/>
        <w:tblW w:w="5000" w:type="pct"/>
        <w:jc w:val="center"/>
        <w:tblLayout w:type="fixed"/>
        <w:tblLook w:val="0420" w:firstRow="1" w:lastRow="0" w:firstColumn="0" w:lastColumn="0" w:noHBand="0" w:noVBand="1"/>
      </w:tblPr>
      <w:tblGrid>
        <w:gridCol w:w="2694"/>
        <w:gridCol w:w="5103"/>
        <w:gridCol w:w="1837"/>
      </w:tblGrid>
      <w:tr w:rsidR="000C4DAA" w:rsidRPr="002B6EC2" w14:paraId="400AF8CA" w14:textId="77777777" w:rsidTr="00E45352">
        <w:trPr>
          <w:cnfStyle w:val="100000000000" w:firstRow="1" w:lastRow="0" w:firstColumn="0" w:lastColumn="0" w:oddVBand="0" w:evenVBand="0" w:oddHBand="0" w:evenHBand="0" w:firstRowFirstColumn="0" w:firstRowLastColumn="0" w:lastRowFirstColumn="0" w:lastRowLastColumn="0"/>
          <w:trHeight w:val="510"/>
          <w:jc w:val="center"/>
        </w:trPr>
        <w:tc>
          <w:tcPr>
            <w:tcW w:w="2694" w:type="dxa"/>
            <w:tcBorders>
              <w:top w:val="nil"/>
              <w:left w:val="nil"/>
              <w:bottom w:val="single" w:sz="4" w:space="0" w:color="FFFFFF"/>
              <w:right w:val="single" w:sz="4" w:space="0" w:color="FFFFFF"/>
            </w:tcBorders>
            <w:vAlign w:val="center"/>
          </w:tcPr>
          <w:p w14:paraId="64802606" w14:textId="77777777" w:rsidR="000C4DAA" w:rsidRPr="002B6EC2" w:rsidRDefault="000C4DAA" w:rsidP="00E45352">
            <w:pPr>
              <w:pStyle w:val="Tablehead"/>
              <w:spacing w:before="20" w:after="20"/>
              <w:jc w:val="left"/>
              <w:rPr>
                <w:rFonts w:eastAsia="SimSun" w:cs="Calibri"/>
                <w:b w:val="0"/>
                <w:bCs/>
                <w:sz w:val="20"/>
                <w:szCs w:val="18"/>
                <w:lang w:val="fr-FR"/>
              </w:rPr>
            </w:pPr>
            <w:bookmarkStart w:id="6" w:name="_Hlk162529062"/>
            <w:r w:rsidRPr="002B6EC2">
              <w:rPr>
                <w:b w:val="0"/>
                <w:bCs/>
                <w:sz w:val="20"/>
                <w:szCs w:val="18"/>
                <w:lang w:val="fr-FR"/>
              </w:rPr>
              <w:t>PAYS</w:t>
            </w:r>
          </w:p>
        </w:tc>
        <w:tc>
          <w:tcPr>
            <w:tcW w:w="5103" w:type="dxa"/>
            <w:tcBorders>
              <w:top w:val="nil"/>
              <w:left w:val="single" w:sz="4" w:space="0" w:color="FFFFFF"/>
              <w:bottom w:val="single" w:sz="4" w:space="0" w:color="FFFFFF"/>
              <w:right w:val="single" w:sz="4" w:space="0" w:color="FFFFFF"/>
            </w:tcBorders>
            <w:vAlign w:val="center"/>
          </w:tcPr>
          <w:p w14:paraId="233F96F0" w14:textId="77777777" w:rsidR="000C4DAA" w:rsidRPr="002B6EC2" w:rsidRDefault="000C4DAA" w:rsidP="00E45352">
            <w:pPr>
              <w:pStyle w:val="Tablehead"/>
              <w:spacing w:before="20" w:after="20"/>
              <w:jc w:val="left"/>
              <w:rPr>
                <w:rFonts w:eastAsia="SimSun" w:cs="Calibri"/>
                <w:b w:val="0"/>
                <w:bCs/>
                <w:sz w:val="20"/>
                <w:szCs w:val="18"/>
                <w:lang w:val="fr-FR"/>
              </w:rPr>
            </w:pPr>
            <w:r w:rsidRPr="002B6EC2">
              <w:rPr>
                <w:b w:val="0"/>
                <w:bCs/>
                <w:sz w:val="20"/>
                <w:szCs w:val="18"/>
                <w:lang w:val="fr-FR"/>
              </w:rPr>
              <w:t>NOM DE L'ENTITÉ</w:t>
            </w:r>
          </w:p>
        </w:tc>
        <w:tc>
          <w:tcPr>
            <w:tcW w:w="1837" w:type="dxa"/>
            <w:tcBorders>
              <w:top w:val="nil"/>
              <w:left w:val="single" w:sz="4" w:space="0" w:color="FFFFFF"/>
              <w:bottom w:val="single" w:sz="4" w:space="0" w:color="FFFFFF"/>
              <w:right w:val="single" w:sz="4" w:space="0" w:color="FFFFFF"/>
            </w:tcBorders>
            <w:vAlign w:val="center"/>
          </w:tcPr>
          <w:p w14:paraId="598E3819" w14:textId="77777777" w:rsidR="000C4DAA" w:rsidRPr="002B6EC2" w:rsidRDefault="000C4DAA" w:rsidP="00E45352">
            <w:pPr>
              <w:pStyle w:val="Tablehead"/>
              <w:spacing w:before="20" w:after="20"/>
              <w:rPr>
                <w:rFonts w:eastAsia="SimSun" w:cs="Calibri"/>
                <w:b w:val="0"/>
                <w:bCs/>
                <w:sz w:val="20"/>
                <w:szCs w:val="18"/>
                <w:lang w:val="fr-FR"/>
              </w:rPr>
            </w:pPr>
            <w:r w:rsidRPr="002B6EC2">
              <w:rPr>
                <w:b w:val="0"/>
                <w:bCs/>
                <w:sz w:val="20"/>
                <w:szCs w:val="18"/>
                <w:lang w:val="fr-FR"/>
              </w:rPr>
              <w:t>TYPE DE MEMBRE</w:t>
            </w:r>
          </w:p>
        </w:tc>
      </w:tr>
      <w:tr w:rsidR="000C4DAA" w:rsidRPr="002B6EC2" w14:paraId="3BB008DB" w14:textId="77777777" w:rsidTr="00E45352">
        <w:trPr>
          <w:cnfStyle w:val="000000100000" w:firstRow="0" w:lastRow="0" w:firstColumn="0" w:lastColumn="0" w:oddVBand="0" w:evenVBand="0" w:oddHBand="1" w:evenHBand="0" w:firstRowFirstColumn="0" w:firstRowLastColumn="0" w:lastRowFirstColumn="0" w:lastRowLastColumn="0"/>
          <w:trHeight w:val="56"/>
          <w:jc w:val="center"/>
        </w:trPr>
        <w:tc>
          <w:tcPr>
            <w:tcW w:w="2694"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FF731D3"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Kenya</w:t>
            </w:r>
          </w:p>
        </w:tc>
        <w:tc>
          <w:tcPr>
            <w:tcW w:w="5103"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493F60B1"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Adanian Labs</w:t>
            </w:r>
          </w:p>
        </w:tc>
        <w:tc>
          <w:tcPr>
            <w:tcW w:w="183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F6D35A7" w14:textId="77777777" w:rsidR="000C4DAA" w:rsidRPr="002B6EC2" w:rsidRDefault="000C4DAA" w:rsidP="00E45352">
            <w:pPr>
              <w:pStyle w:val="Tabletext"/>
              <w:spacing w:before="20" w:after="20"/>
              <w:jc w:val="center"/>
              <w:rPr>
                <w:rFonts w:cs="Calibri"/>
                <w:color w:val="000000"/>
                <w:sz w:val="20"/>
                <w:szCs w:val="18"/>
                <w:lang w:val="fr-FR"/>
              </w:rPr>
            </w:pPr>
            <w:r w:rsidRPr="002B6EC2">
              <w:rPr>
                <w:sz w:val="20"/>
                <w:szCs w:val="18"/>
                <w:lang w:val="fr-FR"/>
              </w:rPr>
              <w:t>Membre de Secteur</w:t>
            </w:r>
          </w:p>
        </w:tc>
      </w:tr>
      <w:tr w:rsidR="000C4DAA" w:rsidRPr="002B6EC2" w14:paraId="55262F6E" w14:textId="77777777" w:rsidTr="00E45352">
        <w:trPr>
          <w:cnfStyle w:val="000000010000" w:firstRow="0" w:lastRow="0" w:firstColumn="0" w:lastColumn="0" w:oddVBand="0" w:evenVBand="0" w:oddHBand="0" w:evenHBand="1" w:firstRowFirstColumn="0" w:firstRowLastColumn="0" w:lastRowFirstColumn="0" w:lastRowLastColumn="0"/>
          <w:trHeight w:val="227"/>
          <w:jc w:val="center"/>
        </w:trPr>
        <w:tc>
          <w:tcPr>
            <w:tcW w:w="2694"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6B509472"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Nigéria</w:t>
            </w:r>
          </w:p>
        </w:tc>
        <w:tc>
          <w:tcPr>
            <w:tcW w:w="5103"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0D5BBFEB"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M-kel Networks Limited</w:t>
            </w:r>
          </w:p>
        </w:tc>
        <w:tc>
          <w:tcPr>
            <w:tcW w:w="183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3DE606F" w14:textId="77777777" w:rsidR="000C4DAA" w:rsidRPr="002B6EC2" w:rsidRDefault="000C4DAA" w:rsidP="00E45352">
            <w:pPr>
              <w:pStyle w:val="Tabletext"/>
              <w:spacing w:before="20" w:after="20"/>
              <w:jc w:val="center"/>
              <w:rPr>
                <w:rFonts w:cs="Calibri"/>
                <w:color w:val="000000"/>
                <w:sz w:val="20"/>
                <w:szCs w:val="18"/>
                <w:lang w:val="fr-FR"/>
              </w:rPr>
            </w:pPr>
            <w:r w:rsidRPr="002B6EC2">
              <w:rPr>
                <w:sz w:val="20"/>
                <w:szCs w:val="18"/>
                <w:lang w:val="fr-FR"/>
              </w:rPr>
              <w:t>Membre de Secteur</w:t>
            </w:r>
          </w:p>
        </w:tc>
      </w:tr>
      <w:tr w:rsidR="000C4DAA" w:rsidRPr="002B6EC2" w14:paraId="28E433C6" w14:textId="77777777" w:rsidTr="00E45352">
        <w:trPr>
          <w:cnfStyle w:val="000000100000" w:firstRow="0" w:lastRow="0" w:firstColumn="0" w:lastColumn="0" w:oddVBand="0" w:evenVBand="0" w:oddHBand="1" w:evenHBand="0" w:firstRowFirstColumn="0" w:firstRowLastColumn="0" w:lastRowFirstColumn="0" w:lastRowLastColumn="0"/>
          <w:trHeight w:val="227"/>
          <w:jc w:val="center"/>
        </w:trPr>
        <w:tc>
          <w:tcPr>
            <w:tcW w:w="2694"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34F67623"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Angola</w:t>
            </w:r>
          </w:p>
        </w:tc>
        <w:tc>
          <w:tcPr>
            <w:tcW w:w="5103"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6E1EFB1F"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ELENGEAFRIKA</w:t>
            </w:r>
          </w:p>
        </w:tc>
        <w:tc>
          <w:tcPr>
            <w:tcW w:w="183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3594CF5F" w14:textId="77777777" w:rsidR="000C4DAA" w:rsidRPr="002B6EC2" w:rsidRDefault="000C4DAA" w:rsidP="00E45352">
            <w:pPr>
              <w:pStyle w:val="Tabletext"/>
              <w:spacing w:before="20" w:after="20"/>
              <w:jc w:val="center"/>
              <w:rPr>
                <w:rFonts w:cs="Calibri"/>
                <w:color w:val="000000"/>
                <w:sz w:val="20"/>
                <w:szCs w:val="18"/>
                <w:lang w:val="fr-FR"/>
              </w:rPr>
            </w:pPr>
            <w:r w:rsidRPr="002B6EC2">
              <w:rPr>
                <w:sz w:val="20"/>
                <w:szCs w:val="18"/>
                <w:lang w:val="fr-FR"/>
              </w:rPr>
              <w:t>Membre de Secteur</w:t>
            </w:r>
          </w:p>
        </w:tc>
      </w:tr>
      <w:tr w:rsidR="000C4DAA" w:rsidRPr="002B6EC2" w14:paraId="2F851CE8" w14:textId="77777777" w:rsidTr="00E45352">
        <w:trPr>
          <w:cnfStyle w:val="000000010000" w:firstRow="0" w:lastRow="0" w:firstColumn="0" w:lastColumn="0" w:oddVBand="0" w:evenVBand="0" w:oddHBand="0" w:evenHBand="1" w:firstRowFirstColumn="0" w:firstRowLastColumn="0" w:lastRowFirstColumn="0" w:lastRowLastColumn="0"/>
          <w:trHeight w:val="227"/>
          <w:jc w:val="center"/>
        </w:trPr>
        <w:tc>
          <w:tcPr>
            <w:tcW w:w="2694"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55A2F89D"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Yémen</w:t>
            </w:r>
          </w:p>
        </w:tc>
        <w:tc>
          <w:tcPr>
            <w:tcW w:w="5103"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68287606"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Yemen Mobile</w:t>
            </w:r>
          </w:p>
        </w:tc>
        <w:tc>
          <w:tcPr>
            <w:tcW w:w="183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7344BFF5" w14:textId="77777777" w:rsidR="000C4DAA" w:rsidRPr="002B6EC2" w:rsidRDefault="000C4DAA" w:rsidP="00E45352">
            <w:pPr>
              <w:pStyle w:val="Tabletext"/>
              <w:spacing w:before="20" w:after="20"/>
              <w:jc w:val="center"/>
              <w:rPr>
                <w:rFonts w:cs="Calibri"/>
                <w:color w:val="000000"/>
                <w:sz w:val="20"/>
                <w:szCs w:val="18"/>
                <w:lang w:val="fr-FR"/>
              </w:rPr>
            </w:pPr>
            <w:r w:rsidRPr="002B6EC2">
              <w:rPr>
                <w:sz w:val="20"/>
                <w:szCs w:val="18"/>
                <w:lang w:val="fr-FR"/>
              </w:rPr>
              <w:t>Membre de Secteur</w:t>
            </w:r>
          </w:p>
        </w:tc>
      </w:tr>
      <w:tr w:rsidR="000C4DAA" w:rsidRPr="002B6EC2" w14:paraId="4494A075" w14:textId="77777777" w:rsidTr="00E45352">
        <w:trPr>
          <w:cnfStyle w:val="000000100000" w:firstRow="0" w:lastRow="0" w:firstColumn="0" w:lastColumn="0" w:oddVBand="0" w:evenVBand="0" w:oddHBand="1" w:evenHBand="0" w:firstRowFirstColumn="0" w:firstRowLastColumn="0" w:lastRowFirstColumn="0" w:lastRowLastColumn="0"/>
          <w:trHeight w:val="227"/>
          <w:jc w:val="center"/>
        </w:trPr>
        <w:tc>
          <w:tcPr>
            <w:tcW w:w="2694"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20B2B059"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Ouganda</w:t>
            </w:r>
          </w:p>
        </w:tc>
        <w:tc>
          <w:tcPr>
            <w:tcW w:w="5103"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0224056D"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Lubcom Tech. Solutions Limited</w:t>
            </w:r>
          </w:p>
        </w:tc>
        <w:tc>
          <w:tcPr>
            <w:tcW w:w="183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3AF0D7D4" w14:textId="77777777" w:rsidR="000C4DAA" w:rsidRPr="002B6EC2" w:rsidRDefault="000C4DAA" w:rsidP="00E45352">
            <w:pPr>
              <w:pStyle w:val="Tabletext"/>
              <w:spacing w:before="20" w:after="20"/>
              <w:jc w:val="center"/>
              <w:rPr>
                <w:rFonts w:cs="Calibri"/>
                <w:color w:val="000000"/>
                <w:sz w:val="20"/>
                <w:szCs w:val="18"/>
                <w:lang w:val="fr-FR"/>
              </w:rPr>
            </w:pPr>
            <w:r w:rsidRPr="002B6EC2">
              <w:rPr>
                <w:sz w:val="20"/>
                <w:szCs w:val="18"/>
                <w:lang w:val="fr-FR"/>
              </w:rPr>
              <w:t>Associé</w:t>
            </w:r>
          </w:p>
        </w:tc>
      </w:tr>
      <w:tr w:rsidR="000C4DAA" w:rsidRPr="002B6EC2" w14:paraId="52EE23A6" w14:textId="77777777" w:rsidTr="00E45352">
        <w:trPr>
          <w:cnfStyle w:val="000000010000" w:firstRow="0" w:lastRow="0" w:firstColumn="0" w:lastColumn="0" w:oddVBand="0" w:evenVBand="0" w:oddHBand="0" w:evenHBand="1" w:firstRowFirstColumn="0" w:firstRowLastColumn="0" w:lastRowFirstColumn="0" w:lastRowLastColumn="0"/>
          <w:trHeight w:val="227"/>
          <w:jc w:val="center"/>
        </w:trPr>
        <w:tc>
          <w:tcPr>
            <w:tcW w:w="2694"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4DC7B14"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Papouasie-Nouvelle-Guinée</w:t>
            </w:r>
          </w:p>
        </w:tc>
        <w:tc>
          <w:tcPr>
            <w:tcW w:w="5103"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696A682F"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South Pacific Systems Private Limited</w:t>
            </w:r>
          </w:p>
        </w:tc>
        <w:tc>
          <w:tcPr>
            <w:tcW w:w="183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322BBC93" w14:textId="77777777" w:rsidR="000C4DAA" w:rsidRPr="002B6EC2" w:rsidRDefault="000C4DAA" w:rsidP="00E45352">
            <w:pPr>
              <w:pStyle w:val="Tabletext"/>
              <w:spacing w:before="20" w:after="20"/>
              <w:jc w:val="center"/>
              <w:rPr>
                <w:rFonts w:cs="Calibri"/>
                <w:color w:val="000000"/>
                <w:sz w:val="20"/>
                <w:szCs w:val="18"/>
                <w:lang w:val="fr-FR"/>
              </w:rPr>
            </w:pPr>
            <w:r w:rsidRPr="002B6EC2">
              <w:rPr>
                <w:sz w:val="20"/>
                <w:szCs w:val="18"/>
                <w:lang w:val="fr-FR"/>
              </w:rPr>
              <w:t>Membre de Secteur</w:t>
            </w:r>
          </w:p>
        </w:tc>
      </w:tr>
      <w:tr w:rsidR="000C4DAA" w:rsidRPr="002B6EC2" w14:paraId="6F4F8115" w14:textId="77777777" w:rsidTr="00E45352">
        <w:trPr>
          <w:cnfStyle w:val="000000100000" w:firstRow="0" w:lastRow="0" w:firstColumn="0" w:lastColumn="0" w:oddVBand="0" w:evenVBand="0" w:oddHBand="1" w:evenHBand="0" w:firstRowFirstColumn="0" w:firstRowLastColumn="0" w:lastRowFirstColumn="0" w:lastRowLastColumn="0"/>
          <w:trHeight w:val="227"/>
          <w:jc w:val="center"/>
        </w:trPr>
        <w:tc>
          <w:tcPr>
            <w:tcW w:w="2694"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4DA85C0"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Yémen</w:t>
            </w:r>
          </w:p>
        </w:tc>
        <w:tc>
          <w:tcPr>
            <w:tcW w:w="5103"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E49E68D"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National Foundation for Development and Humanitarian Response (NFDHR)</w:t>
            </w:r>
          </w:p>
        </w:tc>
        <w:tc>
          <w:tcPr>
            <w:tcW w:w="183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41E73DC" w14:textId="77777777" w:rsidR="000C4DAA" w:rsidRPr="002B6EC2" w:rsidRDefault="000C4DAA" w:rsidP="00E45352">
            <w:pPr>
              <w:pStyle w:val="Tabletext"/>
              <w:spacing w:before="20" w:after="20"/>
              <w:jc w:val="center"/>
              <w:rPr>
                <w:rFonts w:cs="Calibri"/>
                <w:color w:val="000000"/>
                <w:sz w:val="20"/>
                <w:szCs w:val="18"/>
                <w:lang w:val="fr-FR"/>
              </w:rPr>
            </w:pPr>
            <w:r w:rsidRPr="002B6EC2">
              <w:rPr>
                <w:sz w:val="20"/>
                <w:szCs w:val="18"/>
                <w:lang w:val="fr-FR"/>
              </w:rPr>
              <w:t>Associé</w:t>
            </w:r>
          </w:p>
        </w:tc>
      </w:tr>
      <w:tr w:rsidR="000C4DAA" w:rsidRPr="002B6EC2" w14:paraId="76A97613" w14:textId="77777777" w:rsidTr="00E45352">
        <w:trPr>
          <w:cnfStyle w:val="000000010000" w:firstRow="0" w:lastRow="0" w:firstColumn="0" w:lastColumn="0" w:oddVBand="0" w:evenVBand="0" w:oddHBand="0" w:evenHBand="1" w:firstRowFirstColumn="0" w:firstRowLastColumn="0" w:lastRowFirstColumn="0" w:lastRowLastColumn="0"/>
          <w:trHeight w:val="227"/>
          <w:jc w:val="center"/>
        </w:trPr>
        <w:tc>
          <w:tcPr>
            <w:tcW w:w="2694"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5817EB61"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Malawi</w:t>
            </w:r>
          </w:p>
        </w:tc>
        <w:tc>
          <w:tcPr>
            <w:tcW w:w="5103"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28ADBFAE"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Fatha Hi-Tech Ltd</w:t>
            </w:r>
          </w:p>
        </w:tc>
        <w:tc>
          <w:tcPr>
            <w:tcW w:w="183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2C9F4F14" w14:textId="77777777" w:rsidR="000C4DAA" w:rsidRPr="002B6EC2" w:rsidRDefault="000C4DAA" w:rsidP="00E45352">
            <w:pPr>
              <w:pStyle w:val="Tabletext"/>
              <w:spacing w:before="20" w:after="20"/>
              <w:jc w:val="center"/>
              <w:rPr>
                <w:rFonts w:cs="Calibri"/>
                <w:color w:val="000000"/>
                <w:sz w:val="20"/>
                <w:szCs w:val="18"/>
                <w:lang w:val="fr-FR"/>
              </w:rPr>
            </w:pPr>
            <w:r w:rsidRPr="002B6EC2">
              <w:rPr>
                <w:sz w:val="20"/>
                <w:szCs w:val="18"/>
                <w:lang w:val="fr-FR"/>
              </w:rPr>
              <w:t>Membre de Secteur</w:t>
            </w:r>
          </w:p>
        </w:tc>
      </w:tr>
      <w:tr w:rsidR="000C4DAA" w:rsidRPr="002B6EC2" w14:paraId="34473742" w14:textId="77777777" w:rsidTr="00E45352">
        <w:trPr>
          <w:cnfStyle w:val="000000100000" w:firstRow="0" w:lastRow="0" w:firstColumn="0" w:lastColumn="0" w:oddVBand="0" w:evenVBand="0" w:oddHBand="1" w:evenHBand="0" w:firstRowFirstColumn="0" w:firstRowLastColumn="0" w:lastRowFirstColumn="0" w:lastRowLastColumn="0"/>
          <w:trHeight w:val="227"/>
          <w:jc w:val="center"/>
        </w:trPr>
        <w:tc>
          <w:tcPr>
            <w:tcW w:w="2694"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5E239F80"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Venezuela (République bolivarienne du)</w:t>
            </w:r>
          </w:p>
        </w:tc>
        <w:tc>
          <w:tcPr>
            <w:tcW w:w="5103"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7AAE139" w14:textId="77777777" w:rsidR="000C4DAA" w:rsidRPr="002B6EC2" w:rsidRDefault="000C4DAA" w:rsidP="00E45352">
            <w:pPr>
              <w:pStyle w:val="Tabletext"/>
              <w:spacing w:before="20" w:after="20"/>
              <w:rPr>
                <w:rFonts w:eastAsia="SimSun" w:cs="Calibri"/>
                <w:sz w:val="20"/>
                <w:szCs w:val="18"/>
                <w:lang w:val="fr-FR"/>
              </w:rPr>
            </w:pPr>
            <w:r w:rsidRPr="002B6EC2">
              <w:rPr>
                <w:sz w:val="20"/>
                <w:szCs w:val="18"/>
                <w:lang w:val="fr-FR"/>
              </w:rPr>
              <w:t>TELECOMUNICACIONES GRAN CARIBE, S.A.</w:t>
            </w:r>
          </w:p>
        </w:tc>
        <w:tc>
          <w:tcPr>
            <w:tcW w:w="1837" w:type="dxa"/>
            <w:tcBorders>
              <w:top w:val="single" w:sz="4" w:space="0" w:color="FFFFFF"/>
              <w:left w:val="single" w:sz="4" w:space="0" w:color="FFFFFF"/>
              <w:bottom w:val="single" w:sz="4" w:space="0" w:color="FFFFFF"/>
              <w:right w:val="single" w:sz="4" w:space="0" w:color="FFFFFF"/>
            </w:tcBorders>
            <w:tcMar>
              <w:top w:w="0" w:type="dxa"/>
              <w:bottom w:w="0" w:type="dxa"/>
            </w:tcMar>
            <w:vAlign w:val="center"/>
          </w:tcPr>
          <w:p w14:paraId="118EF484" w14:textId="77777777" w:rsidR="000C4DAA" w:rsidRPr="002B6EC2" w:rsidRDefault="000C4DAA" w:rsidP="00E45352">
            <w:pPr>
              <w:pStyle w:val="Tabletext"/>
              <w:spacing w:before="20" w:after="20"/>
              <w:jc w:val="center"/>
              <w:rPr>
                <w:rFonts w:cs="Calibri"/>
                <w:color w:val="000000"/>
                <w:sz w:val="20"/>
                <w:szCs w:val="18"/>
                <w:lang w:val="fr-FR"/>
              </w:rPr>
            </w:pPr>
            <w:r w:rsidRPr="002B6EC2">
              <w:rPr>
                <w:sz w:val="20"/>
                <w:szCs w:val="18"/>
                <w:lang w:val="fr-FR"/>
              </w:rPr>
              <w:t>Membre de Secteur</w:t>
            </w:r>
          </w:p>
        </w:tc>
      </w:tr>
    </w:tbl>
    <w:bookmarkEnd w:id="6"/>
    <w:p w14:paraId="2B1FA782" w14:textId="77777777" w:rsidR="000C4DAA" w:rsidRPr="002B6EC2" w:rsidRDefault="000C4DAA" w:rsidP="000C4DAA">
      <w:pPr>
        <w:pStyle w:val="Heading2"/>
        <w:spacing w:after="240"/>
        <w:rPr>
          <w:lang w:val="fr-FR"/>
        </w:rPr>
      </w:pPr>
      <w:r w:rsidRPr="002B6EC2">
        <w:rPr>
          <w:noProof/>
          <w:lang w:val="fr-FR"/>
        </w:rPr>
        <w:lastRenderedPageBreak/>
        <mc:AlternateContent>
          <mc:Choice Requires="wps">
            <w:drawing>
              <wp:anchor distT="45720" distB="45720" distL="114300" distR="114300" simplePos="0" relativeHeight="251672576" behindDoc="0" locked="0" layoutInCell="1" allowOverlap="1" wp14:anchorId="7E0AC0F1" wp14:editId="7D98D210">
                <wp:simplePos x="0" y="0"/>
                <wp:positionH relativeFrom="column">
                  <wp:posOffset>1322181</wp:posOffset>
                </wp:positionH>
                <wp:positionV relativeFrom="paragraph">
                  <wp:posOffset>242708</wp:posOffset>
                </wp:positionV>
                <wp:extent cx="2798859" cy="1404620"/>
                <wp:effectExtent l="0" t="0" r="1905"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859" cy="1404620"/>
                        </a:xfrm>
                        <a:prstGeom prst="rect">
                          <a:avLst/>
                        </a:prstGeom>
                        <a:solidFill>
                          <a:schemeClr val="bg1"/>
                        </a:solidFill>
                        <a:ln w="9525">
                          <a:noFill/>
                          <a:miter lim="800000"/>
                          <a:headEnd/>
                          <a:tailEnd/>
                        </a:ln>
                      </wps:spPr>
                      <wps:txbx>
                        <w:txbxContent>
                          <w:p w14:paraId="4FE2A3AF" w14:textId="77777777" w:rsidR="000C4DAA" w:rsidRPr="00C41C2B" w:rsidRDefault="000C4DAA" w:rsidP="000C4DAA">
                            <w:pPr>
                              <w:pStyle w:val="Figurelegend"/>
                              <w:jc w:val="center"/>
                              <w:rPr>
                                <w:lang w:val="fr-FR"/>
                              </w:rPr>
                            </w:pPr>
                            <w:r w:rsidRPr="002C5A09">
                              <w:rPr>
                                <w:b/>
                                <w:bCs/>
                                <w:lang w:val="fr-FR"/>
                              </w:rPr>
                              <w:t xml:space="preserve">Graphique </w:t>
                            </w:r>
                            <w:r>
                              <w:rPr>
                                <w:b/>
                                <w:bCs/>
                                <w:lang w:val="fr-FR"/>
                              </w:rPr>
                              <w:t>3</w:t>
                            </w:r>
                            <w:r w:rsidRPr="00C41C2B">
                              <w:rPr>
                                <w:lang w:val="fr-FR"/>
                              </w:rPr>
                              <w:t xml:space="preserve">: </w:t>
                            </w:r>
                            <w:r w:rsidRPr="002C5A09">
                              <w:rPr>
                                <w:lang w:val="fr-FR"/>
                              </w:rPr>
                              <w:t>Établissements universitaires participant aux travaux de l'UIT: valeurs absolues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0AC0F1" id="_x0000_s1051" type="#_x0000_t202" style="position:absolute;left:0;text-align:left;margin-left:104.1pt;margin-top:19.1pt;width:220.4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" fillcolor="white [3212]" stroked="f">
                <v:textbox style="mso-fit-shape-to-text:t">
                  <w:txbxContent>
                    <w:p w14:paraId="4FE2A3AF" w14:textId="77777777" w:rsidR="000C4DAA" w:rsidRPr="00C41C2B" w:rsidRDefault="000C4DAA" w:rsidP="000C4DAA">
                      <w:pPr>
                        <w:pStyle w:val="Figurelegend"/>
                        <w:jc w:val="center"/>
                        <w:rPr>
                          <w:lang w:val="fr-FR"/>
                        </w:rPr>
                      </w:pPr>
                      <w:r w:rsidRPr="002C5A09">
                        <w:rPr>
                          <w:b/>
                          <w:bCs/>
                          <w:lang w:val="fr-FR"/>
                        </w:rPr>
                        <w:t xml:space="preserve">Graphique </w:t>
                      </w:r>
                      <w:r>
                        <w:rPr>
                          <w:b/>
                          <w:bCs/>
                          <w:lang w:val="fr-FR"/>
                        </w:rPr>
                        <w:t>3</w:t>
                      </w:r>
                      <w:r w:rsidRPr="00C41C2B">
                        <w:rPr>
                          <w:lang w:val="fr-FR"/>
                        </w:rPr>
                        <w:t xml:space="preserve">: </w:t>
                      </w:r>
                      <w:r w:rsidRPr="002C5A09">
                        <w:rPr>
                          <w:lang w:val="fr-FR"/>
                        </w:rPr>
                        <w:t>Établissements universitaires participant aux travaux de l'UIT: valeurs absolues</w:t>
                      </w:r>
                    </w:p>
                  </w:txbxContent>
                </v:textbox>
              </v:shape>
            </w:pict>
          </mc:Fallback>
        </mc:AlternateContent>
      </w:r>
      <w:r w:rsidRPr="002B6EC2">
        <w:rPr>
          <w:lang w:val="fr-FR"/>
        </w:rPr>
        <w:t>2.4</w:t>
      </w:r>
      <w:r w:rsidRPr="002B6EC2">
        <w:rPr>
          <w:lang w:val="fr-FR"/>
        </w:rPr>
        <w:tab/>
        <w:t>Affiliation des établissements universitaires</w:t>
      </w:r>
      <w:r w:rsidRPr="002B6EC2">
        <w:rPr>
          <w:rStyle w:val="FootnoteReference"/>
          <w:lang w:val="fr-FR"/>
        </w:rPr>
        <w:footnoteReference w:id="3"/>
      </w:r>
    </w:p>
    <w:p w14:paraId="7869F978" w14:textId="77777777" w:rsidR="000C4DAA" w:rsidRPr="002B6EC2" w:rsidRDefault="000C4DAA" w:rsidP="000C4DAA">
      <w:pPr>
        <w:spacing w:before="360"/>
        <w:rPr>
          <w:lang w:val="fr-FR"/>
        </w:rPr>
      </w:pPr>
      <w:r w:rsidRPr="002B6EC2">
        <w:rPr>
          <w:rFonts w:eastAsia="SimSun"/>
          <w:noProof/>
          <w:lang w:val="fr-FR" w:eastAsia="zh-CN"/>
        </w:rPr>
        <mc:AlternateContent>
          <mc:Choice Requires="wpg">
            <w:drawing>
              <wp:anchor distT="0" distB="0" distL="114300" distR="114300" simplePos="0" relativeHeight="251671552" behindDoc="0" locked="0" layoutInCell="1" allowOverlap="1" wp14:anchorId="6ABF9B08" wp14:editId="53AB7F69">
                <wp:simplePos x="0" y="0"/>
                <wp:positionH relativeFrom="column">
                  <wp:posOffset>937260</wp:posOffset>
                </wp:positionH>
                <wp:positionV relativeFrom="paragraph">
                  <wp:posOffset>306815</wp:posOffset>
                </wp:positionV>
                <wp:extent cx="1971675" cy="1998980"/>
                <wp:effectExtent l="0" t="0" r="28575" b="20320"/>
                <wp:wrapNone/>
                <wp:docPr id="15" name="Group 15"/>
                <wp:cNvGraphicFramePr/>
                <a:graphic xmlns:a="http://schemas.openxmlformats.org/drawingml/2006/main">
                  <a:graphicData uri="http://schemas.microsoft.com/office/word/2010/wordprocessingGroup">
                    <wpg:wgp>
                      <wpg:cNvGrpSpPr/>
                      <wpg:grpSpPr>
                        <a:xfrm>
                          <a:off x="0" y="0"/>
                          <a:ext cx="1971675" cy="1998980"/>
                          <a:chOff x="0" y="0"/>
                          <a:chExt cx="1971675" cy="1998980"/>
                        </a:xfrm>
                      </wpg:grpSpPr>
                      <wps:wsp>
                        <wps:cNvPr id="16" name="Straight Connector 1"/>
                        <wps:cNvCnPr/>
                        <wps:spPr>
                          <a:xfrm>
                            <a:off x="0" y="19050"/>
                            <a:ext cx="0" cy="1979930"/>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17" name="Straight Connector 1"/>
                        <wps:cNvCnPr/>
                        <wps:spPr>
                          <a:xfrm>
                            <a:off x="1971675" y="0"/>
                            <a:ext cx="0" cy="1979930"/>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w14:anchorId="75CEDE3D" id="Group 15" o:spid="_x0000_s1026" style="position:absolute;margin-left:73.8pt;margin-top:24.15pt;width:155.25pt;height:157.4pt;z-index:251671552" coordsize="19716,1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">
                <v:line id="Straight Connector 1" o:spid="_x0000_s1027" style="position:absolute;visibility:visible;mso-wrap-style:square" from="0,190" to="0,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" strokecolor="#bc4542 [3045]"/>
                <v:line id="Straight Connector 1" o:spid="_x0000_s1028" style="position:absolute;visibility:visible;mso-wrap-style:square" from="19716,0" to="19716,1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" strokecolor="#bc4542 [3045]"/>
              </v:group>
            </w:pict>
          </mc:Fallback>
        </mc:AlternateContent>
      </w:r>
      <w:r w:rsidRPr="002B6EC2">
        <w:rPr>
          <w:rFonts w:eastAsia="SimSun"/>
          <w:noProof/>
          <w:lang w:val="fr-FR" w:eastAsia="zh-CN"/>
        </w:rPr>
        <mc:AlternateContent>
          <mc:Choice Requires="wps">
            <w:drawing>
              <wp:anchor distT="45720" distB="45720" distL="114300" distR="114300" simplePos="0" relativeHeight="251670528" behindDoc="0" locked="0" layoutInCell="1" allowOverlap="1" wp14:anchorId="7543C27F" wp14:editId="43897CCB">
                <wp:simplePos x="0" y="0"/>
                <wp:positionH relativeFrom="margin">
                  <wp:posOffset>3603625</wp:posOffset>
                </wp:positionH>
                <wp:positionV relativeFrom="paragraph">
                  <wp:posOffset>2361758</wp:posOffset>
                </wp:positionV>
                <wp:extent cx="563880" cy="1404620"/>
                <wp:effectExtent l="0" t="0" r="0" b="0"/>
                <wp:wrapNone/>
                <wp:docPr id="19094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71044CAA" w14:textId="77777777" w:rsidR="000C4DAA" w:rsidRPr="0057040A" w:rsidRDefault="000C4DAA" w:rsidP="000C4DAA">
                            <w:pPr>
                              <w:spacing w:before="0"/>
                              <w:jc w:val="center"/>
                              <w:rPr>
                                <w:rFonts w:ascii="Avenir Nxt2 W1G" w:hAnsi="Avenir Nxt2 W1G"/>
                                <w:sz w:val="18"/>
                                <w:szCs w:val="14"/>
                              </w:rPr>
                            </w:pPr>
                            <w:r>
                              <w:rPr>
                                <w:lang w:val="fr-FR"/>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43C27F" id="_x0000_s1052" type="#_x0000_t202" style="position:absolute;margin-left:283.75pt;margin-top:185.95pt;width:44.4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" filled="f" stroked="f">
                <v:textbox style="mso-fit-shape-to-text:t">
                  <w:txbxContent>
                    <w:p w14:paraId="71044CAA" w14:textId="77777777" w:rsidR="000C4DAA" w:rsidRPr="0057040A" w:rsidRDefault="000C4DAA" w:rsidP="000C4DAA">
                      <w:pPr>
                        <w:spacing w:before="0"/>
                        <w:jc w:val="center"/>
                        <w:rPr>
                          <w:rFonts w:ascii="Avenir Nxt2 W1G" w:hAnsi="Avenir Nxt2 W1G"/>
                          <w:sz w:val="18"/>
                          <w:szCs w:val="14"/>
                        </w:rPr>
                      </w:pPr>
                      <w:r>
                        <w:rPr>
                          <w:lang w:val="fr-FR"/>
                        </w:rPr>
                        <w:t>2023</w:t>
                      </w:r>
                    </w:p>
                  </w:txbxContent>
                </v:textbox>
                <w10:wrap anchorx="margin"/>
              </v:shape>
            </w:pict>
          </mc:Fallback>
        </mc:AlternateContent>
      </w:r>
      <w:r w:rsidRPr="002B6EC2">
        <w:rPr>
          <w:rFonts w:eastAsia="SimSun"/>
          <w:noProof/>
          <w:lang w:val="fr-FR" w:eastAsia="zh-CN"/>
        </w:rPr>
        <mc:AlternateContent>
          <mc:Choice Requires="wps">
            <w:drawing>
              <wp:anchor distT="45720" distB="45720" distL="114300" distR="114300" simplePos="0" relativeHeight="251669504" behindDoc="0" locked="0" layoutInCell="1" allowOverlap="1" wp14:anchorId="0C855EED" wp14:editId="73976224">
                <wp:simplePos x="0" y="0"/>
                <wp:positionH relativeFrom="column">
                  <wp:posOffset>1645920</wp:posOffset>
                </wp:positionH>
                <wp:positionV relativeFrom="paragraph">
                  <wp:posOffset>2361758</wp:posOffset>
                </wp:positionV>
                <wp:extent cx="563880" cy="1404620"/>
                <wp:effectExtent l="0" t="0" r="0" b="0"/>
                <wp:wrapNone/>
                <wp:docPr id="1419100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47C610E8" w14:textId="77777777" w:rsidR="000C4DAA" w:rsidRPr="0057040A" w:rsidRDefault="000C4DAA" w:rsidP="000C4DAA">
                            <w:pPr>
                              <w:spacing w:before="0"/>
                              <w:jc w:val="center"/>
                              <w:rPr>
                                <w:rFonts w:ascii="Avenir Nxt2 W1G" w:hAnsi="Avenir Nxt2 W1G"/>
                                <w:sz w:val="18"/>
                                <w:szCs w:val="14"/>
                              </w:rPr>
                            </w:pPr>
                            <w:r>
                              <w:rPr>
                                <w:lang w:val="fr-FR"/>
                              </w:rPr>
                              <w:t>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855EED" id="_x0000_s1053" type="#_x0000_t202" style="position:absolute;margin-left:129.6pt;margin-top:185.95pt;width:44.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" filled="f" stroked="f">
                <v:textbox style="mso-fit-shape-to-text:t">
                  <w:txbxContent>
                    <w:p w14:paraId="47C610E8" w14:textId="77777777" w:rsidR="000C4DAA" w:rsidRPr="0057040A" w:rsidRDefault="000C4DAA" w:rsidP="000C4DAA">
                      <w:pPr>
                        <w:spacing w:before="0"/>
                        <w:jc w:val="center"/>
                        <w:rPr>
                          <w:rFonts w:ascii="Avenir Nxt2 W1G" w:hAnsi="Avenir Nxt2 W1G"/>
                          <w:sz w:val="18"/>
                          <w:szCs w:val="14"/>
                        </w:rPr>
                      </w:pPr>
                      <w:r>
                        <w:rPr>
                          <w:lang w:val="fr-FR"/>
                        </w:rPr>
                        <w:t>2022</w:t>
                      </w:r>
                    </w:p>
                  </w:txbxContent>
                </v:textbox>
              </v:shape>
            </w:pict>
          </mc:Fallback>
        </mc:AlternateContent>
      </w:r>
      <w:r w:rsidRPr="002B6EC2">
        <w:rPr>
          <w:rFonts w:eastAsia="SimSun"/>
          <w:noProof/>
          <w:lang w:val="fr-FR" w:eastAsia="zh-CN"/>
        </w:rPr>
        <mc:AlternateContent>
          <mc:Choice Requires="wps">
            <w:drawing>
              <wp:anchor distT="45720" distB="45720" distL="114300" distR="114300" simplePos="0" relativeHeight="251668480" behindDoc="0" locked="0" layoutInCell="1" allowOverlap="1" wp14:anchorId="119CFA30" wp14:editId="4E36C7B2">
                <wp:simplePos x="0" y="0"/>
                <wp:positionH relativeFrom="column">
                  <wp:posOffset>373711</wp:posOffset>
                </wp:positionH>
                <wp:positionV relativeFrom="paragraph">
                  <wp:posOffset>2353642</wp:posOffset>
                </wp:positionV>
                <wp:extent cx="563880" cy="1404620"/>
                <wp:effectExtent l="0" t="0" r="0" b="0"/>
                <wp:wrapNone/>
                <wp:docPr id="362620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404620"/>
                        </a:xfrm>
                        <a:prstGeom prst="rect">
                          <a:avLst/>
                        </a:prstGeom>
                        <a:noFill/>
                        <a:ln w="9525">
                          <a:noFill/>
                          <a:miter lim="800000"/>
                          <a:headEnd/>
                          <a:tailEnd/>
                        </a:ln>
                      </wps:spPr>
                      <wps:txbx>
                        <w:txbxContent>
                          <w:p w14:paraId="142F69E4" w14:textId="77777777" w:rsidR="000C4DAA" w:rsidRPr="00EC3B94" w:rsidRDefault="000C4DAA" w:rsidP="000C4DAA">
                            <w:pPr>
                              <w:spacing w:before="0"/>
                              <w:jc w:val="center"/>
                              <w:rPr>
                                <w:rFonts w:ascii="Avenir Nxt2 W1G" w:hAnsi="Avenir Nxt2 W1G"/>
                                <w:sz w:val="18"/>
                                <w:szCs w:val="14"/>
                              </w:rPr>
                            </w:pPr>
                            <w:r>
                              <w:rPr>
                                <w:lang w:val="fr-FR"/>
                              </w:rPr>
                              <w:t>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9CFA30" id="_x0000_s1054" type="#_x0000_t202" style="position:absolute;margin-left:29.45pt;margin-top:185.35pt;width:44.4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" filled="f" stroked="f">
                <v:textbox style="mso-fit-shape-to-text:t">
                  <w:txbxContent>
                    <w:p w14:paraId="142F69E4" w14:textId="77777777" w:rsidR="000C4DAA" w:rsidRPr="00EC3B94" w:rsidRDefault="000C4DAA" w:rsidP="000C4DAA">
                      <w:pPr>
                        <w:spacing w:before="0"/>
                        <w:jc w:val="center"/>
                        <w:rPr>
                          <w:rFonts w:ascii="Avenir Nxt2 W1G" w:hAnsi="Avenir Nxt2 W1G"/>
                          <w:sz w:val="18"/>
                          <w:szCs w:val="14"/>
                        </w:rPr>
                      </w:pPr>
                      <w:r>
                        <w:rPr>
                          <w:lang w:val="fr-FR"/>
                        </w:rPr>
                        <w:t>2021</w:t>
                      </w:r>
                    </w:p>
                  </w:txbxContent>
                </v:textbox>
              </v:shape>
            </w:pict>
          </mc:Fallback>
        </mc:AlternateContent>
      </w:r>
      <w:r w:rsidRPr="002B6EC2">
        <w:rPr>
          <w:rFonts w:eastAsia="SimSun"/>
          <w:noProof/>
          <w:lang w:val="fr-FR" w:eastAsia="zh-CN"/>
        </w:rPr>
        <mc:AlternateContent>
          <mc:Choice Requires="wpg">
            <w:drawing>
              <wp:anchor distT="0" distB="0" distL="114300" distR="114300" simplePos="0" relativeHeight="251667456" behindDoc="0" locked="0" layoutInCell="1" allowOverlap="1" wp14:anchorId="2697E3B6" wp14:editId="2C07941C">
                <wp:simplePos x="0" y="0"/>
                <wp:positionH relativeFrom="column">
                  <wp:posOffset>5271135</wp:posOffset>
                </wp:positionH>
                <wp:positionV relativeFrom="paragraph">
                  <wp:posOffset>1227455</wp:posOffset>
                </wp:positionV>
                <wp:extent cx="960628" cy="848558"/>
                <wp:effectExtent l="0" t="0" r="0" b="0"/>
                <wp:wrapNone/>
                <wp:docPr id="18" name="Group 18"/>
                <wp:cNvGraphicFramePr/>
                <a:graphic xmlns:a="http://schemas.openxmlformats.org/drawingml/2006/main">
                  <a:graphicData uri="http://schemas.microsoft.com/office/word/2010/wordprocessingGroup">
                    <wpg:wgp>
                      <wpg:cNvGrpSpPr/>
                      <wpg:grpSpPr>
                        <a:xfrm>
                          <a:off x="0" y="0"/>
                          <a:ext cx="960628" cy="848558"/>
                          <a:chOff x="0" y="0"/>
                          <a:chExt cx="960628" cy="848558"/>
                        </a:xfrm>
                      </wpg:grpSpPr>
                      <wpg:grpSp>
                        <wpg:cNvPr id="19" name="Group 3"/>
                        <wpg:cNvGrpSpPr/>
                        <wpg:grpSpPr>
                          <a:xfrm>
                            <a:off x="0" y="561539"/>
                            <a:ext cx="960628" cy="287019"/>
                            <a:chOff x="0" y="-436"/>
                            <a:chExt cx="960628" cy="287019"/>
                          </a:xfrm>
                        </wpg:grpSpPr>
                        <wps:wsp>
                          <wps:cNvPr id="20" name="Oval 2"/>
                          <wps:cNvSpPr/>
                          <wps:spPr>
                            <a:xfrm>
                              <a:off x="0" y="76200"/>
                              <a:ext cx="129540" cy="129540"/>
                            </a:xfrm>
                            <a:prstGeom prst="ellipse">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
                          <wps:cNvSpPr txBox="1">
                            <a:spLocks noChangeArrowheads="1"/>
                          </wps:cNvSpPr>
                          <wps:spPr bwMode="auto">
                            <a:xfrm>
                              <a:off x="190374" y="-436"/>
                              <a:ext cx="770254" cy="287019"/>
                            </a:xfrm>
                            <a:prstGeom prst="rect">
                              <a:avLst/>
                            </a:prstGeom>
                            <a:noFill/>
                            <a:ln w="9525">
                              <a:noFill/>
                              <a:miter lim="800000"/>
                              <a:headEnd/>
                              <a:tailEnd/>
                            </a:ln>
                          </wps:spPr>
                          <wps:txbx>
                            <w:txbxContent>
                              <w:p w14:paraId="201C8128" w14:textId="77777777" w:rsidR="000C4DAA" w:rsidRPr="00A8524C" w:rsidRDefault="000C4DAA" w:rsidP="000C4DAA">
                                <w:pPr>
                                  <w:spacing w:before="0"/>
                                  <w:rPr>
                                    <w:rFonts w:ascii="Avenir Nxt2 W1G" w:hAnsi="Avenir Nxt2 W1G"/>
                                    <w:sz w:val="20"/>
                                    <w:szCs w:val="16"/>
                                  </w:rPr>
                                </w:pPr>
                                <w:r>
                                  <w:rPr>
                                    <w:lang w:val="fr-FR"/>
                                  </w:rPr>
                                  <w:t>Total</w:t>
                                </w:r>
                              </w:p>
                            </w:txbxContent>
                          </wps:txbx>
                          <wps:bodyPr rot="0" vert="horz" wrap="square" lIns="91440" tIns="45720" rIns="91440" bIns="45720" anchor="t" anchorCtr="0">
                            <a:spAutoFit/>
                          </wps:bodyPr>
                        </wps:wsp>
                      </wpg:grpSp>
                      <wpg:grpSp>
                        <wpg:cNvPr id="22" name="Group 3"/>
                        <wpg:cNvGrpSpPr/>
                        <wpg:grpSpPr>
                          <a:xfrm>
                            <a:off x="0" y="0"/>
                            <a:ext cx="960628" cy="287019"/>
                            <a:chOff x="0" y="0"/>
                            <a:chExt cx="960628" cy="287019"/>
                          </a:xfrm>
                        </wpg:grpSpPr>
                        <wps:wsp>
                          <wps:cNvPr id="23" name="Oval 2"/>
                          <wps:cNvSpPr/>
                          <wps:spPr>
                            <a:xfrm>
                              <a:off x="0" y="76200"/>
                              <a:ext cx="129540" cy="129540"/>
                            </a:xfrm>
                            <a:prstGeom prst="ellipse">
                              <a:avLst/>
                            </a:prstGeom>
                            <a:solidFill>
                              <a:srgbClr val="FFE9A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a:spLocks noChangeArrowheads="1"/>
                          </wps:cNvSpPr>
                          <wps:spPr bwMode="auto">
                            <a:xfrm>
                              <a:off x="190374" y="0"/>
                              <a:ext cx="770254" cy="287019"/>
                            </a:xfrm>
                            <a:prstGeom prst="rect">
                              <a:avLst/>
                            </a:prstGeom>
                            <a:noFill/>
                            <a:ln w="9525">
                              <a:noFill/>
                              <a:miter lim="800000"/>
                              <a:headEnd/>
                              <a:tailEnd/>
                            </a:ln>
                          </wps:spPr>
                          <wps:txbx>
                            <w:txbxContent>
                              <w:p w14:paraId="3C3D5F38" w14:textId="77777777" w:rsidR="000C4DAA" w:rsidRPr="00A8524C" w:rsidRDefault="000C4DAA" w:rsidP="000C4DAA">
                                <w:pPr>
                                  <w:spacing w:before="0"/>
                                  <w:rPr>
                                    <w:rFonts w:ascii="Avenir Nxt2 W1G" w:hAnsi="Avenir Nxt2 W1G"/>
                                    <w:sz w:val="20"/>
                                    <w:szCs w:val="16"/>
                                  </w:rPr>
                                </w:pPr>
                                <w:r>
                                  <w:rPr>
                                    <w:lang w:val="fr-FR"/>
                                  </w:rPr>
                                  <w:t>Gain</w:t>
                                </w:r>
                              </w:p>
                            </w:txbxContent>
                          </wps:txbx>
                          <wps:bodyPr rot="0" vert="horz" wrap="square" lIns="91440" tIns="45720" rIns="91440" bIns="45720" anchor="t" anchorCtr="0">
                            <a:spAutoFit/>
                          </wps:bodyPr>
                        </wps:wsp>
                      </wpg:grpSp>
                      <wpg:grpSp>
                        <wpg:cNvPr id="25" name="Group 3"/>
                        <wpg:cNvGrpSpPr/>
                        <wpg:grpSpPr>
                          <a:xfrm>
                            <a:off x="0" y="276161"/>
                            <a:ext cx="959791" cy="287019"/>
                            <a:chOff x="0" y="-64"/>
                            <a:chExt cx="959791" cy="287019"/>
                          </a:xfrm>
                        </wpg:grpSpPr>
                        <wps:wsp>
                          <wps:cNvPr id="26" name="Oval 2"/>
                          <wps:cNvSpPr/>
                          <wps:spPr>
                            <a:xfrm>
                              <a:off x="0" y="76200"/>
                              <a:ext cx="129540" cy="129540"/>
                            </a:xfrm>
                            <a:prstGeom prst="ellipse">
                              <a:avLst/>
                            </a:prstGeom>
                            <a:solidFill>
                              <a:srgbClr val="C3720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a:off x="190172" y="-64"/>
                              <a:ext cx="769619" cy="287019"/>
                            </a:xfrm>
                            <a:prstGeom prst="rect">
                              <a:avLst/>
                            </a:prstGeom>
                            <a:noFill/>
                            <a:ln w="9525">
                              <a:noFill/>
                              <a:miter lim="800000"/>
                              <a:headEnd/>
                              <a:tailEnd/>
                            </a:ln>
                          </wps:spPr>
                          <wps:txbx>
                            <w:txbxContent>
                              <w:p w14:paraId="171830C8" w14:textId="77777777" w:rsidR="000C4DAA" w:rsidRPr="00A8524C" w:rsidRDefault="000C4DAA" w:rsidP="000C4DAA">
                                <w:pPr>
                                  <w:spacing w:before="0"/>
                                  <w:rPr>
                                    <w:rFonts w:ascii="Avenir Nxt2 W1G" w:hAnsi="Avenir Nxt2 W1G"/>
                                    <w:sz w:val="20"/>
                                    <w:szCs w:val="16"/>
                                  </w:rPr>
                                </w:pPr>
                                <w:r>
                                  <w:rPr>
                                    <w:lang w:val="fr-FR"/>
                                  </w:rPr>
                                  <w:t>Perte</w:t>
                                </w:r>
                              </w:p>
                            </w:txbxContent>
                          </wps:txbx>
                          <wps:bodyPr rot="0" vert="horz" wrap="square" lIns="91440" tIns="45720" rIns="91440" bIns="45720" anchor="t" anchorCtr="0">
                            <a:spAutoFit/>
                          </wps:bodyPr>
                        </wps:wsp>
                      </wpg:grpSp>
                    </wpg:wgp>
                  </a:graphicData>
                </a:graphic>
              </wp:anchor>
            </w:drawing>
          </mc:Choice>
          <mc:Fallback>
            <w:pict>
              <v:group w14:anchorId="2697E3B6" id="Group 18" o:spid="_x0000_s1055" style="position:absolute;margin-left:415.05pt;margin-top:96.65pt;width:75.65pt;height:66.8pt;z-index:251667456" coordsize="9606,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">
                <v:group id="_x0000_s1056" style="position:absolute;top:5615;width:9606;height:2870" coordorigin=",-4" coordsize="9606,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2" o:spid="_x0000_s1057"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" fillcolor="#ffc000" stroked="f" strokeweight="2pt"/>
                  <v:shape id="_x0000_s1058" type="#_x0000_t202" style="position:absolute;left:1903;top:-4;width:7703;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201C8128" w14:textId="77777777" w:rsidR="000C4DAA" w:rsidRPr="00A8524C" w:rsidRDefault="000C4DAA" w:rsidP="000C4DAA">
                          <w:pPr>
                            <w:spacing w:before="0"/>
                            <w:rPr>
                              <w:rFonts w:ascii="Avenir Nxt2 W1G" w:hAnsi="Avenir Nxt2 W1G"/>
                              <w:sz w:val="20"/>
                              <w:szCs w:val="16"/>
                            </w:rPr>
                          </w:pPr>
                          <w:r>
                            <w:rPr>
                              <w:lang w:val="fr-FR"/>
                            </w:rPr>
                            <w:t>Total</w:t>
                          </w:r>
                        </w:p>
                      </w:txbxContent>
                    </v:textbox>
                  </v:shape>
                </v:group>
                <v:group id="_x0000_s1059" style="position:absolute;width:9606;height:2870" coordsize="9606,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2" o:spid="_x0000_s1060"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" fillcolor="#ffe9a9" stroked="f" strokeweight="2pt"/>
                  <v:shape id="_x0000_s1061" type="#_x0000_t202" style="position:absolute;left:1903;width:7703;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3C3D5F38" w14:textId="77777777" w:rsidR="000C4DAA" w:rsidRPr="00A8524C" w:rsidRDefault="000C4DAA" w:rsidP="000C4DAA">
                          <w:pPr>
                            <w:spacing w:before="0"/>
                            <w:rPr>
                              <w:rFonts w:ascii="Avenir Nxt2 W1G" w:hAnsi="Avenir Nxt2 W1G"/>
                              <w:sz w:val="20"/>
                              <w:szCs w:val="16"/>
                            </w:rPr>
                          </w:pPr>
                          <w:r>
                            <w:rPr>
                              <w:lang w:val="fr-FR"/>
                            </w:rPr>
                            <w:t>Gain</w:t>
                          </w:r>
                        </w:p>
                      </w:txbxContent>
                    </v:textbox>
                  </v:shape>
                </v:group>
                <v:group id="_x0000_s1062" style="position:absolute;top:2761;width:9597;height:2870" coordorigin="" coordsize="9597,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2" o:spid="_x0000_s1063" style="position:absolute;top:762;width:1295;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" fillcolor="#c37205" stroked="f" strokeweight="2pt"/>
                  <v:shape id="_x0000_s1064" type="#_x0000_t202" style="position:absolute;left:1901;width:7696;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171830C8" w14:textId="77777777" w:rsidR="000C4DAA" w:rsidRPr="00A8524C" w:rsidRDefault="000C4DAA" w:rsidP="000C4DAA">
                          <w:pPr>
                            <w:spacing w:before="0"/>
                            <w:rPr>
                              <w:rFonts w:ascii="Avenir Nxt2 W1G" w:hAnsi="Avenir Nxt2 W1G"/>
                              <w:sz w:val="20"/>
                              <w:szCs w:val="16"/>
                            </w:rPr>
                          </w:pPr>
                          <w:r>
                            <w:rPr>
                              <w:lang w:val="fr-FR"/>
                            </w:rPr>
                            <w:t>Perte</w:t>
                          </w:r>
                        </w:p>
                      </w:txbxContent>
                    </v:textbox>
                  </v:shape>
                </v:group>
              </v:group>
            </w:pict>
          </mc:Fallback>
        </mc:AlternateContent>
      </w:r>
      <w:r w:rsidRPr="002B6EC2">
        <w:rPr>
          <w:rFonts w:eastAsia="SimSun"/>
          <w:noProof/>
          <w:lang w:val="fr-FR" w:eastAsia="zh-CN"/>
        </w:rPr>
        <mc:AlternateContent>
          <mc:Choice Requires="cx4">
            <w:drawing>
              <wp:inline distT="0" distB="0" distL="0" distR="0" wp14:anchorId="39C9CB97" wp14:editId="0D943C65">
                <wp:extent cx="5006340" cy="2428647"/>
                <wp:effectExtent l="0" t="0" r="3810" b="10160"/>
                <wp:docPr id="86320703" name="Chart 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39C9CB97" wp14:editId="0D943C65">
                <wp:extent cx="5006340" cy="2428647"/>
                <wp:effectExtent l="0" t="0" r="3810" b="10160"/>
                <wp:docPr id="86320703"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6320703" name="Chart 1"/>
                        <pic:cNvPicPr>
                          <a:picLocks noGrp="1" noRot="1" noChangeAspect="1" noMove="1" noResize="1" noEditPoints="1" noAdjustHandles="1" noChangeArrowheads="1" noChangeShapeType="1"/>
                        </pic:cNvPicPr>
                      </pic:nvPicPr>
                      <pic:blipFill>
                        <a:blip r:embed="rId19"/>
                        <a:stretch>
                          <a:fillRect/>
                        </a:stretch>
                      </pic:blipFill>
                      <pic:spPr>
                        <a:xfrm>
                          <a:off x="0" y="0"/>
                          <a:ext cx="5006340" cy="2428240"/>
                        </a:xfrm>
                        <a:prstGeom prst="rect">
                          <a:avLst/>
                        </a:prstGeom>
                      </pic:spPr>
                    </pic:pic>
                  </a:graphicData>
                </a:graphic>
              </wp:inline>
            </w:drawing>
          </mc:Fallback>
        </mc:AlternateContent>
      </w:r>
    </w:p>
    <w:p w14:paraId="1494693B" w14:textId="77777777" w:rsidR="000C4DAA" w:rsidRPr="002B6EC2" w:rsidRDefault="000C4DAA" w:rsidP="000C4DAA">
      <w:pPr>
        <w:pStyle w:val="Normalaftertitle"/>
        <w:rPr>
          <w:lang w:val="fr-FR"/>
        </w:rPr>
      </w:pPr>
      <w:r w:rsidRPr="002B6EC2">
        <w:rPr>
          <w:lang w:val="fr-FR"/>
        </w:rPr>
        <w:t xml:space="preserve">Le </w:t>
      </w:r>
      <w:r w:rsidRPr="002B6EC2">
        <w:rPr>
          <w:b/>
          <w:bCs/>
          <w:lang w:val="fr-FR"/>
        </w:rPr>
        <w:t>Graphique 3</w:t>
      </w:r>
      <w:r w:rsidRPr="002B6EC2">
        <w:rPr>
          <w:lang w:val="fr-FR"/>
        </w:rPr>
        <w:t xml:space="preserve"> décrit en détail les gains et les pertes concernant le nombre d'adhésions d'établissements universitaires en 2022 et 2023. Tandis que l'année 2022 a été marquée par une croissance significative, l'année 2023 a enregistré un plus grand nombre de pertes. Les établissements universitaires sont admis à participer aux travaux des trois Secteurs moyennant une contribution unique ce qui leur permet de participer aux travaux des commissions d'études des trois Secteurs. Néanmoins, ces établissements universitaires ont fait état de difficultés à renouveler leur adhésion pendant une longue période en raison de contraintes budgétaires.</w:t>
      </w:r>
    </w:p>
    <w:p w14:paraId="1C95C0FF" w14:textId="77777777" w:rsidR="000C4DAA" w:rsidRPr="002B6EC2" w:rsidRDefault="000C4DAA" w:rsidP="000C4DAA">
      <w:pPr>
        <w:rPr>
          <w:lang w:val="fr-FR"/>
        </w:rPr>
      </w:pPr>
      <w:r w:rsidRPr="002B6EC2">
        <w:rPr>
          <w:lang w:val="fr-FR"/>
        </w:rPr>
        <w:t>Pour compenser les pertes, de gros efforts de sensibilisation sont déployés en permanence, notamment en organisant des visites et des séances d'information à l'intention des États Membres désireux de promouvoir et d'appuyer l'adhésion d'établissements universitaires. Les avantages offerts aux établissements universitaires participant aux travaux de tous les Secteurs de l'UIT ont été mis à jour sur la page web correspondante et une page dédiée est en cours de construction.</w:t>
      </w:r>
    </w:p>
    <w:p w14:paraId="3819B1D5" w14:textId="77777777" w:rsidR="000C4DAA" w:rsidRPr="002B6EC2" w:rsidRDefault="000C4DAA" w:rsidP="000C4DAA">
      <w:pPr>
        <w:rPr>
          <w:lang w:val="fr-FR"/>
        </w:rPr>
      </w:pPr>
      <w:r w:rsidRPr="002B6EC2">
        <w:rPr>
          <w:lang w:val="fr-FR"/>
        </w:rPr>
        <w:t>S'agissant de la participation spécifique aux activités de l'UIT-D, des arrangements de collaboration conclus avec des établissements universitaires (membres et non-membres) ont été mis en œuvre en vue de procéder à des études et à des travaux de recherche conjoints. En outre, l'Académie de l'UIT continue d'offrir des possibilités de partenariat avec des établissements universitaires, afin de dispenser les programmes de formation de l'UIT ou de proposer conjointement des cours sur des sujets donnés. On trouvera dans l'Annexe 1 de plus amples informations sur les possibilités de reproduction auprès des établissements universitaires participant ou non aux travaux de l'UIT et l'intérêt que suscite actuellement ces possibilités.</w:t>
      </w:r>
    </w:p>
    <w:p w14:paraId="4CC7FEE3" w14:textId="77777777" w:rsidR="000C4DAA" w:rsidRPr="002B6EC2" w:rsidRDefault="000C4DAA" w:rsidP="000C4DAA">
      <w:pPr>
        <w:pStyle w:val="Heading1"/>
        <w:rPr>
          <w:lang w:val="fr-FR"/>
        </w:rPr>
      </w:pPr>
      <w:r w:rsidRPr="002B6EC2">
        <w:rPr>
          <w:lang w:val="fr-FR"/>
        </w:rPr>
        <w:lastRenderedPageBreak/>
        <w:t>3</w:t>
      </w:r>
      <w:r w:rsidRPr="002B6EC2">
        <w:rPr>
          <w:lang w:val="fr-FR"/>
        </w:rPr>
        <w:tab/>
        <w:t>Mobilisation, fidélisation, promotion et sensibilisation</w:t>
      </w:r>
    </w:p>
    <w:p w14:paraId="2F8A2162" w14:textId="77777777" w:rsidR="000C4DAA" w:rsidRPr="002B6EC2" w:rsidRDefault="000C4DAA" w:rsidP="000C4DAA">
      <w:pPr>
        <w:pStyle w:val="enumlev1"/>
        <w:rPr>
          <w:lang w:val="fr-FR"/>
        </w:rPr>
      </w:pPr>
      <w:r w:rsidRPr="002B6EC2">
        <w:rPr>
          <w:lang w:val="fr-FR"/>
        </w:rPr>
        <w:t>–</w:t>
      </w:r>
      <w:r w:rsidRPr="002B6EC2">
        <w:rPr>
          <w:lang w:val="fr-FR"/>
        </w:rPr>
        <w:tab/>
        <w:t xml:space="preserve">Le BDT a pris plusieurs mesures visant à renforcer les </w:t>
      </w:r>
      <w:r w:rsidRPr="002B6EC2">
        <w:rPr>
          <w:b/>
          <w:bCs/>
          <w:lang w:val="fr-FR"/>
        </w:rPr>
        <w:t xml:space="preserve">efforts de sensibilisation et de mobilisation </w:t>
      </w:r>
      <w:r w:rsidRPr="002B6EC2">
        <w:rPr>
          <w:lang w:val="fr-FR"/>
        </w:rPr>
        <w:t>par le biais de campagnes de promotion et de prospection ciblée menées auprès d'un public plus large lors d'expositions technologiques mondiales. Le BDT s'est également efforcé de transformer les plates-formes existantes de la gamme de produits et services de l'UIT-D en canaux efficaces de sensibilisation des membres. Un nombre accru de séances d'information ont été organisées tout au long de l'année 2023 et ont réuni des experts thématiques et des membres de l'UIT-D (physiquement et virtuellement), ce qui a permis de mieux faire connaître les domaines d'activité.</w:t>
      </w:r>
    </w:p>
    <w:p w14:paraId="612F7B0D" w14:textId="77777777" w:rsidR="000C4DAA" w:rsidRPr="002B6EC2" w:rsidRDefault="000C4DAA" w:rsidP="000C4DAA">
      <w:pPr>
        <w:pStyle w:val="enumlev1"/>
        <w:rPr>
          <w:lang w:val="fr-FR"/>
        </w:rPr>
      </w:pPr>
      <w:r w:rsidRPr="002B6EC2">
        <w:rPr>
          <w:lang w:val="fr-FR"/>
        </w:rPr>
        <w:t>–</w:t>
      </w:r>
      <w:r w:rsidRPr="002B6EC2">
        <w:rPr>
          <w:lang w:val="fr-FR"/>
        </w:rPr>
        <w:tab/>
        <w:t xml:space="preserve">En particulier, la réunion du </w:t>
      </w:r>
      <w:r w:rsidRPr="002B6EC2">
        <w:rPr>
          <w:b/>
          <w:bCs/>
          <w:lang w:val="fr-FR"/>
        </w:rPr>
        <w:t>Groupe consultatif de professionnels chargé des questions de développement et des Directeurs de la réglementation du secteur privé (IAGDI-CRO)</w:t>
      </w:r>
      <w:r w:rsidRPr="002B6EC2">
        <w:rPr>
          <w:lang w:val="fr-FR"/>
        </w:rPr>
        <w:t xml:space="preserve"> s'est tenue pendant le Colloque mondial des régulateurs (GSR-23) à Charm el-Cheikh (Égypte). L'intérêt et l'engagement des Membres du Secteur de l'UIT-D se traduisent par un nombre record de participants et par une augmentation des contributions du secteur privé et des entreprises à la consultation sur les lignes directrices relatives aux bonnes pratiques du GSR. La </w:t>
      </w:r>
      <w:hyperlink r:id="rId20" w:history="1">
        <w:r w:rsidRPr="002B6EC2">
          <w:rPr>
            <w:rStyle w:val="Hyperlink"/>
            <w:lang w:val="fr-FR"/>
          </w:rPr>
          <w:t>Déclaration finale</w:t>
        </w:r>
      </w:hyperlink>
      <w:r w:rsidRPr="002B6EC2">
        <w:rPr>
          <w:lang w:val="fr-FR"/>
        </w:rPr>
        <w:t xml:space="preserve"> de la réunion et le rapport du Président sont disponibles </w:t>
      </w:r>
      <w:hyperlink r:id="rId21" w:history="1">
        <w:r w:rsidRPr="002B6EC2">
          <w:rPr>
            <w:rStyle w:val="Hyperlink"/>
            <w:lang w:val="fr-FR"/>
          </w:rPr>
          <w:t>ici</w:t>
        </w:r>
      </w:hyperlink>
      <w:r w:rsidRPr="002B6EC2">
        <w:rPr>
          <w:lang w:val="fr-FR"/>
        </w:rPr>
        <w:t xml:space="preserve">. La prochaine réunion du Groupe IAGDI-CRO aura lieu le </w:t>
      </w:r>
      <w:r w:rsidRPr="002B6EC2">
        <w:rPr>
          <w:b/>
          <w:bCs/>
          <w:lang w:val="fr-FR"/>
        </w:rPr>
        <w:t xml:space="preserve">2 juillet 2024 </w:t>
      </w:r>
      <w:r w:rsidRPr="002B6EC2">
        <w:rPr>
          <w:lang w:val="fr-FR"/>
        </w:rPr>
        <w:t>à Kampala (Ouganda) pendant le GSR-24.</w:t>
      </w:r>
    </w:p>
    <w:p w14:paraId="75908261" w14:textId="77777777" w:rsidR="000C4DAA" w:rsidRPr="002B6EC2" w:rsidRDefault="000C4DAA" w:rsidP="000C4DAA">
      <w:pPr>
        <w:pStyle w:val="enumlev1"/>
        <w:rPr>
          <w:lang w:val="fr-FR"/>
        </w:rPr>
      </w:pPr>
      <w:r w:rsidRPr="002B6EC2">
        <w:rPr>
          <w:lang w:val="fr-FR"/>
        </w:rPr>
        <w:t>–</w:t>
      </w:r>
      <w:r w:rsidRPr="002B6EC2">
        <w:rPr>
          <w:lang w:val="fr-FR"/>
        </w:rPr>
        <w:tab/>
        <w:t>La série de manifestations "</w:t>
      </w:r>
      <w:r w:rsidRPr="002B6EC2">
        <w:rPr>
          <w:b/>
          <w:bCs/>
          <w:lang w:val="fr-FR"/>
        </w:rPr>
        <w:t>Know Your Members</w:t>
      </w:r>
      <w:r w:rsidRPr="002B6EC2">
        <w:rPr>
          <w:lang w:val="fr-FR"/>
        </w:rPr>
        <w:t xml:space="preserve">" continuera de servir de plate-forme pour favoriser les consultations avec la direction et l'échange de connaissances entre les membres de l'UIT-D et les fonctionnaires de l'UIT. En outre, la </w:t>
      </w:r>
      <w:r w:rsidRPr="002B6EC2">
        <w:rPr>
          <w:b/>
          <w:bCs/>
          <w:lang w:val="fr-FR"/>
        </w:rPr>
        <w:t>série de discussions sur les technologies</w:t>
      </w:r>
      <w:r w:rsidRPr="002B6EC2">
        <w:rPr>
          <w:lang w:val="fr-FR"/>
        </w:rPr>
        <w:t xml:space="preserve"> offrira aux membres de l'UIT-D l'occasion de présenter leurs orientations technologiques et leurs approches innovantes et de partager leurs bonnes pratiques concernant l'application et l'utilisation de ces technologies au service du développement numérique.</w:t>
      </w:r>
    </w:p>
    <w:p w14:paraId="43E6A937" w14:textId="77777777" w:rsidR="000C4DAA" w:rsidRPr="002B6EC2" w:rsidRDefault="000C4DAA" w:rsidP="000C4DAA">
      <w:pPr>
        <w:pStyle w:val="enumlev1"/>
        <w:rPr>
          <w:lang w:val="fr-FR"/>
        </w:rPr>
      </w:pPr>
      <w:r w:rsidRPr="002B6EC2">
        <w:rPr>
          <w:lang w:val="fr-FR"/>
        </w:rPr>
        <w:t>–</w:t>
      </w:r>
      <w:r w:rsidRPr="002B6EC2">
        <w:rPr>
          <w:lang w:val="fr-FR"/>
        </w:rPr>
        <w:tab/>
        <w:t xml:space="preserve">Les </w:t>
      </w:r>
      <w:r w:rsidRPr="002B6EC2">
        <w:rPr>
          <w:b/>
          <w:bCs/>
          <w:lang w:val="fr-FR"/>
        </w:rPr>
        <w:t>témoignages</w:t>
      </w:r>
      <w:r w:rsidRPr="002B6EC2">
        <w:rPr>
          <w:lang w:val="fr-FR"/>
        </w:rPr>
        <w:t xml:space="preserve"> des membres de l'UIT-D, dans le cadre desquels des représentants de haut niveau font valoir la valeur des membres de l'UIT-D, donnent de la visibilité à nos membres et permettent d'attirer de nouveaux membres potentiels.</w:t>
      </w:r>
    </w:p>
    <w:p w14:paraId="02F68511" w14:textId="77777777" w:rsidR="000C4DAA" w:rsidRPr="002B6EC2" w:rsidRDefault="000C4DAA" w:rsidP="000C4DAA">
      <w:pPr>
        <w:pStyle w:val="enumlev1"/>
        <w:rPr>
          <w:lang w:val="fr-FR"/>
        </w:rPr>
      </w:pPr>
      <w:r w:rsidRPr="002B6EC2">
        <w:rPr>
          <w:lang w:val="fr-FR"/>
        </w:rPr>
        <w:t>–</w:t>
      </w:r>
      <w:r w:rsidRPr="002B6EC2">
        <w:rPr>
          <w:lang w:val="fr-FR"/>
        </w:rPr>
        <w:tab/>
        <w:t xml:space="preserve">La </w:t>
      </w:r>
      <w:r w:rsidRPr="002B6EC2">
        <w:rPr>
          <w:b/>
          <w:bCs/>
          <w:lang w:val="fr-FR"/>
        </w:rPr>
        <w:t>Coalition pour le numérique Partner2Connect</w:t>
      </w:r>
      <w:r w:rsidRPr="002B6EC2">
        <w:rPr>
          <w:rStyle w:val="FootnoteReference"/>
          <w:lang w:val="fr-FR"/>
        </w:rPr>
        <w:footnoteReference w:id="4"/>
      </w:r>
      <w:r w:rsidRPr="002B6EC2">
        <w:rPr>
          <w:lang w:val="fr-FR"/>
        </w:rPr>
        <w:t xml:space="preserve"> est à l'origine d'un grand nombre d'engagements pris par les membres de l'UIT-D. Les participants aux sessions du Forum régional sur le développement ont reconnu ces engagements et se sont attachés à les traduire en actions concrètes en faveur d'une connectivité significative.</w:t>
      </w:r>
    </w:p>
    <w:p w14:paraId="465B87BC" w14:textId="77777777" w:rsidR="000C4DAA" w:rsidRPr="002B6EC2" w:rsidRDefault="000C4DAA" w:rsidP="000C4DAA">
      <w:pPr>
        <w:pStyle w:val="Heading1"/>
        <w:rPr>
          <w:lang w:val="fr-FR"/>
        </w:rPr>
      </w:pPr>
      <w:r w:rsidRPr="002B6EC2">
        <w:rPr>
          <w:lang w:val="fr-FR"/>
        </w:rPr>
        <w:t>4</w:t>
      </w:r>
      <w:r w:rsidRPr="002B6EC2">
        <w:rPr>
          <w:lang w:val="fr-FR"/>
        </w:rPr>
        <w:tab/>
        <w:t>Amélioration des outils et des processus en 2024</w:t>
      </w:r>
    </w:p>
    <w:p w14:paraId="407317BB" w14:textId="77777777" w:rsidR="000C4DAA" w:rsidRPr="002B6EC2" w:rsidRDefault="000C4DAA" w:rsidP="000C4DAA">
      <w:pPr>
        <w:rPr>
          <w:lang w:val="fr-FR"/>
        </w:rPr>
      </w:pPr>
      <w:r w:rsidRPr="002B6EC2">
        <w:rPr>
          <w:lang w:val="fr-FR"/>
        </w:rPr>
        <w:t>Le BDT continue d'améliorer les outils et les processus pour attirer et fidéliser de nouveaux membres:</w:t>
      </w:r>
    </w:p>
    <w:p w14:paraId="1A624903" w14:textId="77777777" w:rsidR="000C4DAA" w:rsidRPr="002B6EC2" w:rsidRDefault="000C4DAA" w:rsidP="000C4DAA">
      <w:pPr>
        <w:pStyle w:val="enumlev1"/>
        <w:rPr>
          <w:lang w:val="fr-FR"/>
        </w:rPr>
      </w:pPr>
      <w:r w:rsidRPr="002B6EC2">
        <w:rPr>
          <w:lang w:val="fr-FR"/>
        </w:rPr>
        <w:t>–</w:t>
      </w:r>
      <w:r w:rsidRPr="002B6EC2">
        <w:rPr>
          <w:lang w:val="fr-FR"/>
        </w:rPr>
        <w:tab/>
      </w:r>
      <w:r w:rsidRPr="002B6EC2">
        <w:rPr>
          <w:b/>
          <w:bCs/>
          <w:lang w:val="fr-FR"/>
        </w:rPr>
        <w:t>Examen et réalignement des processus</w:t>
      </w:r>
      <w:r w:rsidRPr="002B6EC2">
        <w:rPr>
          <w:lang w:val="fr-FR"/>
        </w:rPr>
        <w:t xml:space="preserve"> en tirant parti des méthodes de données modernes, en rationalisant les processus internes et en améliorant l'utilisation d'outils remaniés.</w:t>
      </w:r>
    </w:p>
    <w:p w14:paraId="4797B708" w14:textId="77777777" w:rsidR="000C4DAA" w:rsidRPr="002B6EC2" w:rsidRDefault="000C4DAA" w:rsidP="000C4DAA">
      <w:pPr>
        <w:pStyle w:val="enumlev1"/>
        <w:rPr>
          <w:lang w:val="fr-FR"/>
        </w:rPr>
      </w:pPr>
      <w:r w:rsidRPr="002B6EC2">
        <w:rPr>
          <w:lang w:val="fr-FR"/>
        </w:rPr>
        <w:lastRenderedPageBreak/>
        <w:t>–</w:t>
      </w:r>
      <w:r w:rsidRPr="002B6EC2">
        <w:rPr>
          <w:lang w:val="fr-FR"/>
        </w:rPr>
        <w:tab/>
      </w:r>
      <w:r w:rsidRPr="002B6EC2">
        <w:rPr>
          <w:b/>
          <w:bCs/>
          <w:lang w:val="fr-FR"/>
        </w:rPr>
        <w:t>Harmonisation de l'expérience d'intégration</w:t>
      </w:r>
      <w:r w:rsidRPr="002B6EC2">
        <w:rPr>
          <w:lang w:val="fr-FR"/>
        </w:rPr>
        <w:t xml:space="preserve"> grâce à l'élaboration d'un nouveau kit de bienvenue pour une intégration plus efficace des nouveaux membres et une meilleure sensibilisation aux possibilités de collaboration avec l'UIT-D.</w:t>
      </w:r>
    </w:p>
    <w:p w14:paraId="22557790" w14:textId="77777777" w:rsidR="000C4DAA" w:rsidRPr="002B6EC2" w:rsidRDefault="000C4DAA" w:rsidP="000C4DAA">
      <w:pPr>
        <w:pStyle w:val="Heading1"/>
        <w:rPr>
          <w:lang w:val="fr-FR"/>
        </w:rPr>
      </w:pPr>
      <w:r w:rsidRPr="002B6EC2">
        <w:rPr>
          <w:lang w:val="fr-FR"/>
        </w:rPr>
        <w:t>5</w:t>
      </w:r>
      <w:r w:rsidRPr="002B6EC2">
        <w:rPr>
          <w:lang w:val="fr-FR"/>
        </w:rPr>
        <w:tab/>
        <w:t>Création d'un nouveau site web pour les membres de l'UIT-D</w:t>
      </w:r>
      <w:r w:rsidRPr="002B6EC2">
        <w:rPr>
          <w:b w:val="0"/>
          <w:bCs/>
          <w:lang w:val="fr-FR"/>
        </w:rPr>
        <w:t>, pour offrir aux membres une expérience transparente avec un contenu actualisé, une meilleure présentation des avantages et des processus de candidature simplifiés pour inciter les visiteurs à devenir membres.</w:t>
      </w:r>
    </w:p>
    <w:p w14:paraId="43D897FE" w14:textId="77777777" w:rsidR="000C4DAA" w:rsidRPr="002B6EC2" w:rsidRDefault="000C4DAA" w:rsidP="000C4DAA">
      <w:pPr>
        <w:pStyle w:val="Heading1"/>
        <w:rPr>
          <w:lang w:val="fr-FR"/>
        </w:rPr>
      </w:pPr>
      <w:r w:rsidRPr="002B6EC2">
        <w:rPr>
          <w:lang w:val="fr-FR"/>
        </w:rPr>
        <w:t>6</w:t>
      </w:r>
      <w:r w:rsidRPr="002B6EC2">
        <w:rPr>
          <w:lang w:val="fr-FR"/>
        </w:rPr>
        <w:tab/>
        <w:t>Conclusions</w:t>
      </w:r>
    </w:p>
    <w:p w14:paraId="674BCC74" w14:textId="77777777" w:rsidR="000C4DAA" w:rsidRPr="002B6EC2" w:rsidRDefault="000C4DAA" w:rsidP="000C4DAA">
      <w:pPr>
        <w:rPr>
          <w:lang w:val="fr-FR"/>
        </w:rPr>
      </w:pPr>
      <w:r w:rsidRPr="002B6EC2">
        <w:rPr>
          <w:lang w:val="fr-FR"/>
        </w:rPr>
        <w:t>Le BDT est déterminé à:</w:t>
      </w:r>
    </w:p>
    <w:p w14:paraId="61EF6E88" w14:textId="77777777" w:rsidR="000C4DAA" w:rsidRPr="002B6EC2" w:rsidRDefault="000C4DAA" w:rsidP="000C4DAA">
      <w:pPr>
        <w:pStyle w:val="enumlev1"/>
        <w:rPr>
          <w:lang w:val="fr-FR"/>
        </w:rPr>
      </w:pPr>
      <w:r w:rsidRPr="002B6EC2">
        <w:rPr>
          <w:lang w:val="fr-FR"/>
        </w:rPr>
        <w:t>a)</w:t>
      </w:r>
      <w:r w:rsidRPr="002B6EC2">
        <w:rPr>
          <w:lang w:val="fr-FR"/>
        </w:rPr>
        <w:tab/>
        <w:t>renforcer la collaboration avec les membres de l'UIT-D dans le cadre de la mise en œuvre du Plan d'action de Kigali, au moyen de séances d'information et de missions officielles, en démontrant les avantages de la participation à ces travaux et en établissant des partenariats permettant de dégager des ressources pour financer des projets et des initiatives à fort impact;</w:t>
      </w:r>
    </w:p>
    <w:p w14:paraId="397042EE" w14:textId="77777777" w:rsidR="000C4DAA" w:rsidRPr="002B6EC2" w:rsidRDefault="000C4DAA" w:rsidP="000C4DAA">
      <w:pPr>
        <w:pStyle w:val="enumlev1"/>
        <w:rPr>
          <w:lang w:val="fr-FR"/>
        </w:rPr>
      </w:pPr>
      <w:r w:rsidRPr="002B6EC2">
        <w:rPr>
          <w:lang w:val="fr-FR"/>
        </w:rPr>
        <w:t>b)</w:t>
      </w:r>
      <w:r w:rsidRPr="002B6EC2">
        <w:rPr>
          <w:lang w:val="fr-FR"/>
        </w:rPr>
        <w:tab/>
        <w:t>cibler les membres non actifs de l'UIT-D afin qu'ils participent davantage aux activités de l'UIT-D, notamment à des manifestations telles que les réunions des commissions d'études de l'UIT-D, le Colloque mondial des régulateurs, les forums régionaux sur le développement, etc.;</w:t>
      </w:r>
    </w:p>
    <w:p w14:paraId="22C4710A" w14:textId="77777777" w:rsidR="000C4DAA" w:rsidRPr="002B6EC2" w:rsidRDefault="000C4DAA" w:rsidP="000C4DAA">
      <w:pPr>
        <w:pStyle w:val="enumlev1"/>
        <w:rPr>
          <w:lang w:val="fr-FR"/>
        </w:rPr>
      </w:pPr>
      <w:r w:rsidRPr="002B6EC2">
        <w:rPr>
          <w:lang w:val="fr-FR"/>
        </w:rPr>
        <w:t>c)</w:t>
      </w:r>
      <w:r w:rsidRPr="002B6EC2">
        <w:rPr>
          <w:lang w:val="fr-FR"/>
        </w:rPr>
        <w:tab/>
        <w:t>continuer de recueillir les avis et les réactions des membres de l'UIT-D et des établissements universitaires concernant l'amélioration des outils, des processus et des services.</w:t>
      </w:r>
    </w:p>
    <w:p w14:paraId="65315889" w14:textId="77777777" w:rsidR="000C4DAA" w:rsidRPr="002B6EC2" w:rsidRDefault="000C4DAA" w:rsidP="000C4DAA">
      <w:pPr>
        <w:pStyle w:val="Heading1"/>
        <w:rPr>
          <w:lang w:val="fr-FR"/>
        </w:rPr>
      </w:pPr>
      <w:r w:rsidRPr="002B6EC2">
        <w:rPr>
          <w:lang w:val="fr-FR"/>
        </w:rPr>
        <w:t>7</w:t>
      </w:r>
      <w:r w:rsidRPr="002B6EC2">
        <w:rPr>
          <w:lang w:val="fr-FR"/>
        </w:rPr>
        <w:tab/>
        <w:t>Invitation à fournir un appui</w:t>
      </w:r>
    </w:p>
    <w:p w14:paraId="311E59AF" w14:textId="77777777" w:rsidR="000C4DAA" w:rsidRPr="002B6EC2" w:rsidRDefault="000C4DAA" w:rsidP="000C4DAA">
      <w:pPr>
        <w:rPr>
          <w:lang w:val="fr-FR"/>
        </w:rPr>
      </w:pPr>
      <w:r w:rsidRPr="002B6EC2">
        <w:rPr>
          <w:lang w:val="fr-FR"/>
        </w:rPr>
        <w:t>Les États Membres sont invités à nouer des contacts avec les acteurs du secteur privé, les entreprises et les universités au niveau national, afin de faire connaître les avantages qu'offre la participation aux travaux de l'UIT-D. Les États Membres sont encouragés à traiter rapidement les nouvelles demandes en faisant preuve de diligence due, afin que les entités qui présentent une demande d'adhésion demeurent désireuses de mener à bien le processus d'adhésion.</w:t>
      </w:r>
    </w:p>
    <w:p w14:paraId="2EC2844A" w14:textId="77777777" w:rsidR="00821996" w:rsidRPr="002B6EC2" w:rsidRDefault="003C58BF" w:rsidP="00A50CA0">
      <w:pPr>
        <w:tabs>
          <w:tab w:val="clear" w:pos="794"/>
          <w:tab w:val="clear" w:pos="1191"/>
          <w:tab w:val="clear" w:pos="1588"/>
          <w:tab w:val="clear" w:pos="1985"/>
        </w:tabs>
        <w:spacing w:after="120"/>
        <w:jc w:val="center"/>
        <w:rPr>
          <w:lang w:val="fr-FR"/>
        </w:rPr>
      </w:pPr>
      <w:bookmarkStart w:id="7" w:name="Proposal"/>
      <w:bookmarkEnd w:id="7"/>
      <w:r w:rsidRPr="002B6EC2">
        <w:rPr>
          <w:lang w:val="fr-FR"/>
        </w:rPr>
        <w:t>_____________</w:t>
      </w:r>
      <w:r w:rsidR="004122C5" w:rsidRPr="002B6EC2">
        <w:rPr>
          <w:lang w:val="fr-FR"/>
        </w:rPr>
        <w:t>_</w:t>
      </w:r>
      <w:r w:rsidR="00922EC1" w:rsidRPr="002B6EC2">
        <w:rPr>
          <w:lang w:val="fr-FR"/>
        </w:rPr>
        <w:t>_</w:t>
      </w:r>
    </w:p>
    <w:sectPr w:rsidR="00821996" w:rsidRPr="002B6EC2" w:rsidSect="00473791">
      <w:headerReference w:type="default" r:id="rId22"/>
      <w:footerReference w:type="first" r:id="rId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venir Nxt2 W1G">
    <w:altName w:val="Cambria"/>
    <w:panose1 w:val="00000000000000000000"/>
    <w:charset w:val="00"/>
    <w:family w:val="swiss"/>
    <w:notTrueType/>
    <w:pitch w:val="variable"/>
    <w:sig w:usb0="A00002EF" w:usb1="00000003" w:usb2="00000000" w:usb3="00000000" w:csb0="0000019F" w:csb1="00000000"/>
  </w:font>
  <w:font w:name="Avenir Nxt2 W1G Demi">
    <w:altName w:val="Cambria"/>
    <w:panose1 w:val="00000000000000000000"/>
    <w:charset w:val="00"/>
    <w:family w:val="swiss"/>
    <w:notTrueType/>
    <w:pitch w:val="variable"/>
    <w:sig w:usb0="A00002EF"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0C4DAA" w:rsidRPr="00575857" w14:paraId="695D1810" w14:textId="77777777" w:rsidTr="000C4DAA">
      <w:tc>
        <w:tcPr>
          <w:tcW w:w="1526" w:type="dxa"/>
          <w:tcBorders>
            <w:top w:val="single" w:sz="4" w:space="0" w:color="000000"/>
          </w:tcBorders>
          <w:shd w:val="clear" w:color="auto" w:fill="auto"/>
        </w:tcPr>
        <w:p w14:paraId="746E5A61" w14:textId="77777777" w:rsidR="000C4DAA" w:rsidRPr="001011EB" w:rsidRDefault="000C4DAA" w:rsidP="000C4DAA">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0C4DAA" w:rsidRPr="001011EB" w:rsidRDefault="000C4DAA" w:rsidP="000C4DAA">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B12B48A" w14:textId="191DC09A" w:rsidR="000C4DAA" w:rsidRPr="001011EB" w:rsidRDefault="000C4DAA" w:rsidP="000C4DAA">
          <w:pPr>
            <w:pStyle w:val="FirstFooter"/>
            <w:tabs>
              <w:tab w:val="left" w:pos="2302"/>
            </w:tabs>
            <w:rPr>
              <w:sz w:val="18"/>
              <w:szCs w:val="18"/>
              <w:lang w:val="fr-CH"/>
            </w:rPr>
          </w:pPr>
          <w:r w:rsidRPr="00C41C2B">
            <w:rPr>
              <w:sz w:val="18"/>
              <w:szCs w:val="22"/>
            </w:rPr>
            <w:t>M. Marco Obiso, Chef a.i. du Département des partenariats pour le développement numérique, Bureau de développement des télécommunications</w:t>
          </w:r>
        </w:p>
      </w:tc>
      <w:bookmarkStart w:id="8" w:name="OrgName"/>
      <w:bookmarkEnd w:id="8"/>
    </w:tr>
    <w:tr w:rsidR="000C4DAA" w:rsidRPr="001011EB" w14:paraId="61167678" w14:textId="77777777" w:rsidTr="000C4DAA">
      <w:tc>
        <w:tcPr>
          <w:tcW w:w="1526" w:type="dxa"/>
          <w:shd w:val="clear" w:color="auto" w:fill="auto"/>
        </w:tcPr>
        <w:p w14:paraId="33710823" w14:textId="77777777" w:rsidR="000C4DAA" w:rsidRPr="001011EB" w:rsidRDefault="000C4DAA" w:rsidP="000C4DAA">
          <w:pPr>
            <w:pStyle w:val="FirstFooter"/>
            <w:tabs>
              <w:tab w:val="left" w:pos="1559"/>
              <w:tab w:val="left" w:pos="3828"/>
            </w:tabs>
            <w:rPr>
              <w:sz w:val="20"/>
              <w:lang w:val="fr-CH"/>
            </w:rPr>
          </w:pPr>
        </w:p>
      </w:tc>
      <w:tc>
        <w:tcPr>
          <w:tcW w:w="2410" w:type="dxa"/>
          <w:shd w:val="clear" w:color="auto" w:fill="auto"/>
        </w:tcPr>
        <w:p w14:paraId="1251F6E4" w14:textId="7949FD7A" w:rsidR="000C4DAA" w:rsidRPr="001011EB" w:rsidRDefault="000C4DAA" w:rsidP="000C4DAA">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48E73034" w14:textId="2572A3BF" w:rsidR="000C4DAA" w:rsidRPr="001011EB" w:rsidRDefault="000C4DAA" w:rsidP="000C4DAA">
          <w:pPr>
            <w:pStyle w:val="FirstFooter"/>
            <w:tabs>
              <w:tab w:val="left" w:pos="2302"/>
            </w:tabs>
            <w:rPr>
              <w:sz w:val="18"/>
              <w:szCs w:val="18"/>
              <w:lang w:val="fr-CH"/>
            </w:rPr>
          </w:pPr>
          <w:r w:rsidRPr="00C41C2B">
            <w:rPr>
              <w:sz w:val="18"/>
              <w:szCs w:val="22"/>
            </w:rPr>
            <w:t>+41 22 730 6760</w:t>
          </w:r>
        </w:p>
      </w:tc>
      <w:bookmarkStart w:id="9" w:name="PhoneNo"/>
      <w:bookmarkEnd w:id="9"/>
    </w:tr>
    <w:tr w:rsidR="000C4DAA" w:rsidRPr="001011EB" w14:paraId="0299A231" w14:textId="77777777" w:rsidTr="000C4DAA">
      <w:tc>
        <w:tcPr>
          <w:tcW w:w="1526" w:type="dxa"/>
          <w:shd w:val="clear" w:color="auto" w:fill="auto"/>
        </w:tcPr>
        <w:p w14:paraId="35CBC438" w14:textId="77777777" w:rsidR="000C4DAA" w:rsidRPr="001011EB" w:rsidRDefault="000C4DAA" w:rsidP="000C4DAA">
          <w:pPr>
            <w:pStyle w:val="FirstFooter"/>
            <w:tabs>
              <w:tab w:val="left" w:pos="1559"/>
              <w:tab w:val="left" w:pos="3828"/>
            </w:tabs>
            <w:rPr>
              <w:sz w:val="20"/>
              <w:lang w:val="fr-CH"/>
            </w:rPr>
          </w:pPr>
        </w:p>
      </w:tc>
      <w:tc>
        <w:tcPr>
          <w:tcW w:w="2410" w:type="dxa"/>
          <w:shd w:val="clear" w:color="auto" w:fill="auto"/>
        </w:tcPr>
        <w:p w14:paraId="65335E06" w14:textId="490F0FC2" w:rsidR="000C4DAA" w:rsidRPr="001011EB" w:rsidRDefault="000C4DAA" w:rsidP="000C4DAA">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3E7955A8" w14:textId="3A009B06" w:rsidR="000C4DAA" w:rsidRPr="001011EB" w:rsidRDefault="002B6EC2" w:rsidP="000C4DAA">
          <w:pPr>
            <w:pStyle w:val="FirstFooter"/>
            <w:tabs>
              <w:tab w:val="left" w:pos="2302"/>
            </w:tabs>
            <w:rPr>
              <w:sz w:val="18"/>
              <w:szCs w:val="18"/>
              <w:lang w:val="fr-CH"/>
            </w:rPr>
          </w:pPr>
          <w:hyperlink r:id="rId1" w:history="1">
            <w:r w:rsidR="000C4DAA" w:rsidRPr="00C41C2B">
              <w:rPr>
                <w:rStyle w:val="Hyperlink"/>
                <w:sz w:val="18"/>
                <w:szCs w:val="22"/>
              </w:rPr>
              <w:t>marco.obiso@itu.int</w:t>
            </w:r>
          </w:hyperlink>
        </w:p>
      </w:tc>
      <w:bookmarkStart w:id="10" w:name="Email"/>
      <w:bookmarkEnd w:id="10"/>
    </w:tr>
  </w:tbl>
  <w:p w14:paraId="5AEFE7F9" w14:textId="77777777" w:rsidR="0059420B" w:rsidRPr="001011EB" w:rsidRDefault="0059420B" w:rsidP="00B80157">
    <w:pPr>
      <w:pStyle w:val="Footer"/>
      <w:jc w:val="center"/>
      <w:rPr>
        <w:lang w:val="fr-CH"/>
      </w:rPr>
    </w:pPr>
  </w:p>
  <w:p w14:paraId="40A321D0" w14:textId="50FEB05F" w:rsidR="00721657" w:rsidRPr="001011EB" w:rsidRDefault="002B6EC2"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43F3766D" w14:textId="77777777" w:rsidR="000C4DAA" w:rsidRPr="00A73A2F" w:rsidRDefault="000C4DAA" w:rsidP="000C4DAA">
      <w:pPr>
        <w:pStyle w:val="FootnoteText"/>
        <w:spacing w:after="120"/>
        <w:rPr>
          <w:lang w:val="fr-FR"/>
        </w:rPr>
      </w:pPr>
      <w:r w:rsidRPr="00A73A2F">
        <w:rPr>
          <w:rStyle w:val="FootnoteReference"/>
          <w:lang w:val="fr-FR"/>
        </w:rPr>
        <w:footnoteRef/>
      </w:r>
      <w:r w:rsidRPr="00A73A2F">
        <w:rPr>
          <w:lang w:val="fr-FR"/>
        </w:rPr>
        <w:tab/>
        <w:t>Voir la Résolution 169 (Guadalajara, 2010) de la Conférence de plénipotentiaires, qui a créé une nouvelle catégorie de membres permettant aux établissements universitaires de participer aux travaux de l'UIT.</w:t>
      </w:r>
    </w:p>
  </w:footnote>
  <w:footnote w:id="2">
    <w:p w14:paraId="4396B360" w14:textId="77777777" w:rsidR="000C4DAA" w:rsidRPr="00A73A2F" w:rsidRDefault="000C4DAA" w:rsidP="000C4DAA">
      <w:pPr>
        <w:pStyle w:val="FootnoteText"/>
        <w:rPr>
          <w:lang w:val="fr-FR"/>
        </w:rPr>
      </w:pPr>
      <w:r w:rsidRPr="00A73A2F">
        <w:rPr>
          <w:rStyle w:val="FootnoteReference"/>
          <w:lang w:val="fr-FR"/>
        </w:rPr>
        <w:footnoteRef/>
      </w:r>
      <w:r w:rsidRPr="00A73A2F">
        <w:rPr>
          <w:lang w:val="fr-FR"/>
        </w:rPr>
        <w:tab/>
        <w:t>Résolution 71 (Rév. Kigali, 2022) "Renforcement de la coopération entre les États Membres, les Membres de Secteur, les Associés et les établissements universitaires participant aux travaux du Secteur du développement des télécommunications de l'UIT et évolution du rôle du secteur privé au sein du Secteur du développement des télécommunications de l'UIT".</w:t>
      </w:r>
    </w:p>
  </w:footnote>
  <w:footnote w:id="3">
    <w:p w14:paraId="076C504E" w14:textId="77777777" w:rsidR="000C4DAA" w:rsidRPr="00A73A2F" w:rsidRDefault="000C4DAA" w:rsidP="000C4DAA">
      <w:pPr>
        <w:pStyle w:val="FootnoteText"/>
        <w:rPr>
          <w:lang w:val="fr-FR"/>
        </w:rPr>
      </w:pPr>
      <w:r w:rsidRPr="00A73A2F">
        <w:rPr>
          <w:rStyle w:val="FootnoteReference"/>
          <w:lang w:val="fr-FR"/>
        </w:rPr>
        <w:footnoteRef/>
      </w:r>
      <w:r w:rsidRPr="00A73A2F">
        <w:rPr>
          <w:lang w:val="fr-FR"/>
        </w:rPr>
        <w:tab/>
        <w:t xml:space="preserve">Les établissements universitaires sont admis à participer aux travaux des trois Secteurs de l'UIT, y compris à ceux des groupes consultatifs des trois Secteurs. Ils participent également à d'autres </w:t>
      </w:r>
      <w:r>
        <w:rPr>
          <w:lang w:val="fr-FR"/>
        </w:rPr>
        <w:t>c</w:t>
      </w:r>
      <w:r w:rsidRPr="00A73A2F">
        <w:rPr>
          <w:lang w:val="fr-FR"/>
        </w:rPr>
        <w:t>onférences mondiales ou régionales, ateliers et activités de l'Union, sauf aux Conférences de plénipotentiaires, aux Conférences mondiales des radiocommunications, aux Conférences mondiales des télécommunications internationales et au Conseil de l'UIT, conformément au Règlement intérieur des différents Secteurs.</w:t>
      </w:r>
    </w:p>
  </w:footnote>
  <w:footnote w:id="4">
    <w:p w14:paraId="61517F6D" w14:textId="77777777" w:rsidR="000C4DAA" w:rsidRPr="00A73A2F" w:rsidRDefault="000C4DAA" w:rsidP="000C4DAA">
      <w:pPr>
        <w:pStyle w:val="FootnoteText"/>
        <w:rPr>
          <w:lang w:val="fr-FR"/>
        </w:rPr>
      </w:pPr>
      <w:r w:rsidRPr="00A73A2F">
        <w:rPr>
          <w:rStyle w:val="FootnoteReference"/>
          <w:lang w:val="fr-FR"/>
        </w:rPr>
        <w:footnoteRef/>
      </w:r>
      <w:r w:rsidRPr="00A73A2F">
        <w:rPr>
          <w:lang w:val="fr-FR"/>
        </w:rPr>
        <w:tab/>
        <w:t>En février 2024, 170 engagements, d'une valeur totale estimée à plus de 25 milliards USD, ont été pris par les Membres de Secteur de l'UIT-D, dont des organisations régionales, internationales et du secteur privé.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888EC1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0C4DAA">
      <w:rPr>
        <w:sz w:val="22"/>
        <w:szCs w:val="22"/>
        <w:lang w:val="de-CH"/>
      </w:rPr>
      <w:t>8</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41624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4DAA"/>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6EC2"/>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6196E"/>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2A9"/>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75857"/>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47DC5"/>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670EB"/>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70C4B"/>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Figure">
    <w:name w:val="Figure"/>
    <w:basedOn w:val="Figurelegend"/>
    <w:rsid w:val="000C4DAA"/>
    <w:rPr>
      <w:rFonts w:eastAsia="SimSun"/>
      <w:noProof/>
      <w:lang w:eastAsia="zh-CN"/>
    </w:rPr>
  </w:style>
  <w:style w:type="table" w:customStyle="1" w:styleId="TableGrid1">
    <w:name w:val="Table Grid1"/>
    <w:basedOn w:val="TableNormal"/>
    <w:next w:val="TableGrid"/>
    <w:uiPriority w:val="59"/>
    <w:rsid w:val="000C4DAA"/>
    <w:rPr>
      <w:rFonts w:ascii="Avenir Nxt2 W1G" w:hAnsi="Avenir Nxt2 W1G"/>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venir Nxt2 W1G Demi" w:hAnsi="Avenir Nxt2 W1G Demi"/>
        <w:color w:val="FFFFFF"/>
      </w:rPr>
      <w:tblPr/>
      <w:tcPr>
        <w:shd w:val="clear" w:color="auto" w:fill="0076A1"/>
      </w:tcPr>
    </w:tblStylePr>
    <w:tblStylePr w:type="band1Horz">
      <w:tblPr/>
      <w:tcPr>
        <w:shd w:val="clear" w:color="auto" w:fill="CBDEF0"/>
      </w:tcPr>
    </w:tblStylePr>
    <w:tblStylePr w:type="band2Horz">
      <w:tblPr/>
      <w:tcPr>
        <w:shd w:val="clear" w:color="auto" w:fill="E7EFF8"/>
      </w:tcPr>
    </w:tblStylePr>
  </w:style>
  <w:style w:type="character" w:styleId="CommentReference">
    <w:name w:val="annotation reference"/>
    <w:basedOn w:val="DefaultParagraphFont"/>
    <w:semiHidden/>
    <w:unhideWhenUsed/>
    <w:rsid w:val="000C4DAA"/>
    <w:rPr>
      <w:sz w:val="16"/>
      <w:szCs w:val="16"/>
    </w:rPr>
  </w:style>
  <w:style w:type="paragraph" w:styleId="CommentText">
    <w:name w:val="annotation text"/>
    <w:basedOn w:val="Normal"/>
    <w:link w:val="CommentTextChar"/>
    <w:unhideWhenUsed/>
    <w:rsid w:val="000C4DAA"/>
    <w:rPr>
      <w:sz w:val="20"/>
    </w:rPr>
  </w:style>
  <w:style w:type="character" w:customStyle="1" w:styleId="CommentTextChar">
    <w:name w:val="Comment Text Char"/>
    <w:basedOn w:val="DefaultParagraphFont"/>
    <w:link w:val="CommentText"/>
    <w:rsid w:val="000C4DAA"/>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microsoft.com/office/2014/relationships/chartEx" Target="charts/chartEx2.xml"/><Relationship Id="rId3" Type="http://schemas.openxmlformats.org/officeDocument/2006/relationships/customXml" Target="../customXml/item3.xml"/><Relationship Id="rId21" Type="http://schemas.openxmlformats.org/officeDocument/2006/relationships/hyperlink" Target="https://www.itu.int/en/ITU-D/Conferences/CRO/Documents/CHAIRMAN%27S%20REPORT%20D3.pdf" TargetMode="External"/><Relationship Id="rId7" Type="http://schemas.openxmlformats.org/officeDocument/2006/relationships/webSettings" Target="webSettings.xml"/><Relationship Id="rId12" Type="http://schemas.microsoft.com/office/2014/relationships/chartEx" Target="charts/chartEx1.xml"/><Relationship Id="rId17" Type="http://schemas.openxmlformats.org/officeDocument/2006/relationships/hyperlink" Target="https://www.itu.int/hub/membership/our-members/exempted-entities/exemption-criteri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meetingdoc.asp?lang=fr&amp;parent=" TargetMode="External"/><Relationship Id="rId20" Type="http://schemas.openxmlformats.org/officeDocument/2006/relationships/hyperlink" Target="https://www.itu.int/en/ITU-D/Conferences/CRO/Documents/Outcome%20statement%20IAGDI-CRO.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marco.obiso@itu.in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 Id="rId4"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761325323566373E-2"/>
          <c:y val="9.0135287143161158E-2"/>
          <c:w val="0.65543641294390753"/>
          <c:h val="0.77166377879645265"/>
        </c:manualLayout>
      </c:layout>
      <c:barChart>
        <c:barDir val="col"/>
        <c:grouping val="stacked"/>
        <c:varyColors val="0"/>
        <c:ser>
          <c:idx val="3"/>
          <c:order val="0"/>
          <c:tx>
            <c:strRef>
              <c:f>Sheet1!$D$1</c:f>
              <c:strCache>
                <c:ptCount val="1"/>
                <c:pt idx="0">
                  <c:v>Affiliated Academia</c:v>
                </c:pt>
              </c:strCache>
            </c:strRef>
          </c:tx>
          <c:spPr>
            <a:solidFill>
              <a:srgbClr val="F5BB64"/>
            </a:solidFill>
            <a:ln w="2540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6FBF-474E-B38B-3F1F9B4FEE2C}"/>
                </c:ext>
              </c:extLst>
            </c:dLbl>
            <c:dLbl>
              <c:idx val="4"/>
              <c:delete val="1"/>
              <c:extLst>
                <c:ext xmlns:c15="http://schemas.microsoft.com/office/drawing/2012/chart" uri="{CE6537A1-D6FC-4f65-9D91-7224C49458BB}"/>
                <c:ext xmlns:c16="http://schemas.microsoft.com/office/drawing/2014/chart" uri="{C3380CC4-5D6E-409C-BE32-E72D297353CC}">
                  <c16:uniqueId val="{00000001-6FBF-474E-B38B-3F1F9B4FEE2C}"/>
                </c:ext>
              </c:extLst>
            </c:dLbl>
            <c:dLbl>
              <c:idx val="8"/>
              <c:delete val="1"/>
              <c:extLst>
                <c:ext xmlns:c15="http://schemas.microsoft.com/office/drawing/2012/chart" uri="{CE6537A1-D6FC-4f65-9D91-7224C49458BB}"/>
                <c:ext xmlns:c16="http://schemas.microsoft.com/office/drawing/2014/chart" uri="{C3380CC4-5D6E-409C-BE32-E72D297353CC}">
                  <c16:uniqueId val="{00000002-6FBF-474E-B38B-3F1F9B4FEE2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Avenir Nxt2 W1G" panose="020B0503020202020204" pitchFamily="34" charset="0"/>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2022</c:v>
                </c:pt>
                <c:pt idx="4">
                  <c:v>2023</c:v>
                </c:pt>
                <c:pt idx="8">
                  <c:v>2024*</c:v>
                </c:pt>
              </c:strCache>
            </c:strRef>
          </c:cat>
          <c:val>
            <c:numRef>
              <c:f>Sheet1!$D$2:$D$11</c:f>
              <c:numCache>
                <c:formatCode>General</c:formatCode>
                <c:ptCount val="10"/>
                <c:pt idx="0">
                  <c:v>0</c:v>
                </c:pt>
                <c:pt idx="1">
                  <c:v>170</c:v>
                </c:pt>
                <c:pt idx="4">
                  <c:v>0</c:v>
                </c:pt>
                <c:pt idx="5">
                  <c:v>169</c:v>
                </c:pt>
                <c:pt idx="8">
                  <c:v>0</c:v>
                </c:pt>
                <c:pt idx="9">
                  <c:v>169</c:v>
                </c:pt>
              </c:numCache>
            </c:numRef>
          </c:val>
          <c:extLst>
            <c:ext xmlns:c16="http://schemas.microsoft.com/office/drawing/2014/chart" uri="{C3380CC4-5D6E-409C-BE32-E72D297353CC}">
              <c16:uniqueId val="{00000003-6FBF-474E-B38B-3F1F9B4FEE2C}"/>
            </c:ext>
          </c:extLst>
        </c:ser>
        <c:ser>
          <c:idx val="0"/>
          <c:order val="1"/>
          <c:tx>
            <c:strRef>
              <c:f>Sheet1!$B$1</c:f>
              <c:strCache>
                <c:ptCount val="1"/>
                <c:pt idx="0">
                  <c:v>Sector Members</c:v>
                </c:pt>
              </c:strCache>
            </c:strRef>
          </c:tx>
          <c:spPr>
            <a:solidFill>
              <a:schemeClr val="accent1"/>
            </a:solidFill>
            <a:ln>
              <a:noFill/>
            </a:ln>
            <a:effectLst/>
          </c:spPr>
          <c:invertIfNegative val="0"/>
          <c:dPt>
            <c:idx val="2"/>
            <c:invertIfNegative val="0"/>
            <c:bubble3D val="0"/>
            <c:spPr>
              <a:solidFill>
                <a:srgbClr val="009CD6">
                  <a:alpha val="33000"/>
                </a:srgbClr>
              </a:solidFill>
              <a:ln>
                <a:noFill/>
              </a:ln>
              <a:effectLst/>
            </c:spPr>
            <c:extLst>
              <c:ext xmlns:c16="http://schemas.microsoft.com/office/drawing/2014/chart" uri="{C3380CC4-5D6E-409C-BE32-E72D297353CC}">
                <c16:uniqueId val="{00000005-6FBF-474E-B38B-3F1F9B4FEE2C}"/>
              </c:ext>
            </c:extLst>
          </c:dPt>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venir Nxt2 W1G" panose="020B0503020202020204" pitchFamily="34" charset="0"/>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2022</c:v>
                </c:pt>
                <c:pt idx="4">
                  <c:v>2023</c:v>
                </c:pt>
                <c:pt idx="8">
                  <c:v>2024*</c:v>
                </c:pt>
              </c:strCache>
            </c:strRef>
          </c:cat>
          <c:val>
            <c:numRef>
              <c:f>Sheet1!$B$2:$B$11</c:f>
              <c:numCache>
                <c:formatCode>General</c:formatCode>
                <c:ptCount val="10"/>
                <c:pt idx="0">
                  <c:v>303</c:v>
                </c:pt>
                <c:pt idx="4">
                  <c:v>313</c:v>
                </c:pt>
                <c:pt idx="8">
                  <c:v>323</c:v>
                </c:pt>
              </c:numCache>
            </c:numRef>
          </c:val>
          <c:extLst>
            <c:ext xmlns:c16="http://schemas.microsoft.com/office/drawing/2014/chart" uri="{C3380CC4-5D6E-409C-BE32-E72D297353CC}">
              <c16:uniqueId val="{00000006-6FBF-474E-B38B-3F1F9B4FEE2C}"/>
            </c:ext>
          </c:extLst>
        </c:ser>
        <c:ser>
          <c:idx val="1"/>
          <c:order val="2"/>
          <c:tx>
            <c:strRef>
              <c:f>Sheet1!$C$1</c:f>
              <c:strCache>
                <c:ptCount val="1"/>
                <c:pt idx="0">
                  <c:v>Associates</c:v>
                </c:pt>
              </c:strCache>
            </c:strRef>
          </c:tx>
          <c:spPr>
            <a:solidFill>
              <a:schemeClr val="accent2"/>
            </a:solidFill>
            <a:ln>
              <a:noFill/>
            </a:ln>
            <a:effectLst/>
          </c:spPr>
          <c:invertIfNegative val="0"/>
          <c:dPt>
            <c:idx val="2"/>
            <c:invertIfNegative val="0"/>
            <c:bubble3D val="0"/>
            <c:spPr>
              <a:solidFill>
                <a:schemeClr val="accent2">
                  <a:alpha val="75000"/>
                </a:schemeClr>
              </a:solidFill>
              <a:ln>
                <a:noFill/>
              </a:ln>
              <a:effectLst/>
            </c:spPr>
            <c:extLst>
              <c:ext xmlns:c16="http://schemas.microsoft.com/office/drawing/2014/chart" uri="{C3380CC4-5D6E-409C-BE32-E72D297353CC}">
                <c16:uniqueId val="{00000008-6FBF-474E-B38B-3F1F9B4FEE2C}"/>
              </c:ext>
            </c:extLst>
          </c:dPt>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venir Nxt2 W1G" panose="020B0503020202020204" pitchFamily="34" charset="0"/>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2022</c:v>
                </c:pt>
                <c:pt idx="4">
                  <c:v>2023</c:v>
                </c:pt>
                <c:pt idx="8">
                  <c:v>2024*</c:v>
                </c:pt>
              </c:strCache>
            </c:strRef>
          </c:cat>
          <c:val>
            <c:numRef>
              <c:f>Sheet1!$C$2:$C$11</c:f>
              <c:numCache>
                <c:formatCode>General</c:formatCode>
                <c:ptCount val="10"/>
                <c:pt idx="0">
                  <c:v>14</c:v>
                </c:pt>
                <c:pt idx="4">
                  <c:v>19</c:v>
                </c:pt>
                <c:pt idx="8">
                  <c:v>21</c:v>
                </c:pt>
              </c:numCache>
            </c:numRef>
          </c:val>
          <c:extLst>
            <c:ext xmlns:c16="http://schemas.microsoft.com/office/drawing/2014/chart" uri="{C3380CC4-5D6E-409C-BE32-E72D297353CC}">
              <c16:uniqueId val="{00000009-6FBF-474E-B38B-3F1F9B4FEE2C}"/>
            </c:ext>
          </c:extLst>
        </c:ser>
        <c:dLbls>
          <c:showLegendKey val="0"/>
          <c:showVal val="0"/>
          <c:showCatName val="0"/>
          <c:showSerName val="0"/>
          <c:showPercent val="0"/>
          <c:showBubbleSize val="0"/>
        </c:dLbls>
        <c:gapWidth val="7"/>
        <c:overlap val="100"/>
        <c:axId val="2127026784"/>
        <c:axId val="692711344"/>
      </c:barChart>
      <c:lineChart>
        <c:grouping val="standard"/>
        <c:varyColors val="0"/>
        <c:ser>
          <c:idx val="2"/>
          <c:order val="3"/>
          <c:tx>
            <c:strRef>
              <c:f>Sheet1!$E$1</c:f>
              <c:strCache>
                <c:ptCount val="1"/>
                <c:pt idx="0">
                  <c:v>Sum</c:v>
                </c:pt>
              </c:strCache>
            </c:strRef>
          </c:tx>
          <c:spPr>
            <a:ln w="28575" cap="rnd">
              <a:noFill/>
              <a:round/>
            </a:ln>
            <a:effectLst/>
          </c:spPr>
          <c:marker>
            <c:symbol val="none"/>
          </c:marker>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Avenir Nxt2 W1G" panose="020B0503020202020204" pitchFamily="34" charset="0"/>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9"/>
                <c:pt idx="0">
                  <c:v>2022</c:v>
                </c:pt>
                <c:pt idx="4">
                  <c:v>2023</c:v>
                </c:pt>
                <c:pt idx="8">
                  <c:v>2024*</c:v>
                </c:pt>
              </c:strCache>
            </c:strRef>
          </c:cat>
          <c:val>
            <c:numRef>
              <c:f>Sheet1!$E$2:$E$11</c:f>
              <c:numCache>
                <c:formatCode>General</c:formatCode>
                <c:ptCount val="10"/>
                <c:pt idx="0">
                  <c:v>317</c:v>
                </c:pt>
                <c:pt idx="4">
                  <c:v>332</c:v>
                </c:pt>
                <c:pt idx="8">
                  <c:v>344</c:v>
                </c:pt>
              </c:numCache>
            </c:numRef>
          </c:val>
          <c:smooth val="0"/>
          <c:extLst>
            <c:ext xmlns:c16="http://schemas.microsoft.com/office/drawing/2014/chart" uri="{C3380CC4-5D6E-409C-BE32-E72D297353CC}">
              <c16:uniqueId val="{0000000A-6FBF-474E-B38B-3F1F9B4FEE2C}"/>
            </c:ext>
          </c:extLst>
        </c:ser>
        <c:dLbls>
          <c:showLegendKey val="0"/>
          <c:showVal val="0"/>
          <c:showCatName val="0"/>
          <c:showSerName val="0"/>
          <c:showPercent val="0"/>
          <c:showBubbleSize val="0"/>
        </c:dLbls>
        <c:marker val="1"/>
        <c:smooth val="0"/>
        <c:axId val="2127026784"/>
        <c:axId val="692711344"/>
      </c:lineChart>
      <c:catAx>
        <c:axId val="2127026784"/>
        <c:scaling>
          <c:orientation val="minMax"/>
        </c:scaling>
        <c:delete val="0"/>
        <c:axPos val="b"/>
        <c:numFmt formatCode="General" sourceLinked="1"/>
        <c:majorTickMark val="none"/>
        <c:minorTickMark val="none"/>
        <c:tickLblPos val="nextTo"/>
        <c:spPr>
          <a:noFill/>
          <a:ln w="9525" cap="flat" cmpd="sng" algn="ctr">
            <a:solidFill>
              <a:srgbClr val="6F6F6E"/>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fr-FR"/>
          </a:p>
        </c:txPr>
        <c:crossAx val="692711344"/>
        <c:crosses val="autoZero"/>
        <c:auto val="1"/>
        <c:lblAlgn val="ctr"/>
        <c:lblOffset val="100"/>
        <c:noMultiLvlLbl val="0"/>
      </c:catAx>
      <c:valAx>
        <c:axId val="692711344"/>
        <c:scaling>
          <c:orientation val="minMax"/>
          <c:max val="450"/>
          <c:min val="0"/>
        </c:scaling>
        <c:delete val="0"/>
        <c:axPos val="l"/>
        <c:numFmt formatCode="General" sourceLinked="1"/>
        <c:majorTickMark val="none"/>
        <c:minorTickMark val="none"/>
        <c:tickLblPos val="nextTo"/>
        <c:spPr>
          <a:noFill/>
          <a:ln>
            <a:solidFill>
              <a:srgbClr val="6F6F6E"/>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venir Nxt2 W1G" panose="020B0503020202020204" pitchFamily="34" charset="0"/>
                <a:ea typeface="+mn-ea"/>
                <a:cs typeface="+mn-cs"/>
              </a:defRPr>
            </a:pPr>
            <a:endParaRPr lang="fr-FR"/>
          </a:p>
        </c:txPr>
        <c:crossAx val="2127026784"/>
        <c:crosses val="autoZero"/>
        <c:crossBetween val="between"/>
      </c:valAx>
      <c:spPr>
        <a:noFill/>
        <a:ln>
          <a:noFill/>
        </a:ln>
        <a:effectLst/>
      </c:spPr>
    </c:plotArea>
    <c:legend>
      <c:legendPos val="r"/>
      <c:legendEntry>
        <c:idx val="3"/>
        <c:delete val="1"/>
      </c:legendEntry>
      <c:layout>
        <c:manualLayout>
          <c:xMode val="edge"/>
          <c:yMode val="edge"/>
          <c:x val="0.76647546196760519"/>
          <c:y val="0.44549471398530521"/>
          <c:w val="0.17206711924398388"/>
          <c:h val="0.2153090632337929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venir Nxt2 W1G" panose="020B0503020202020204" pitchFamily="34" charset="0"/>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venir Nxt2 W1G" panose="020B0503020202020204" pitchFamily="34" charset="0"/>
        </a:defRPr>
      </a:pPr>
      <a:endParaRPr lang="fr-FR"/>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Sheet1!$A$2:$A$11</cx:f>
        <cx:lvl ptCount="10">
          <cx:pt idx="0">members 2021</cx:pt>
          <cx:pt idx="1">new members 2022</cx:pt>
          <cx:pt idx="2">lost members 2022</cx:pt>
          <cx:pt idx="3">members 2022</cx:pt>
          <cx:pt idx="4">new members 2023</cx:pt>
          <cx:pt idx="5">lost members 2023</cx:pt>
          <cx:pt idx="6">members 2023</cx:pt>
          <cx:pt idx="7">new members 2024</cx:pt>
          <cx:pt idx="8">lost members 2024</cx:pt>
          <cx:pt idx="9">members 2024</cx:pt>
        </cx:lvl>
      </cx:strDim>
      <cx:numDim type="val">
        <cx:f>Sheet1!$B$2:$B$11</cx:f>
        <cx:lvl ptCount="10" formatCode="Standard">
          <cx:pt idx="0">313</cx:pt>
          <cx:pt idx="1">18</cx:pt>
          <cx:pt idx="2">-14</cx:pt>
          <cx:pt idx="3">317</cx:pt>
          <cx:pt idx="4">27</cx:pt>
          <cx:pt idx="5">-12</cx:pt>
          <cx:pt idx="6">332</cx:pt>
          <cx:pt idx="7">15</cx:pt>
          <cx:pt idx="8">-2</cx:pt>
          <cx:pt idx="9">345</cx:pt>
        </cx:lvl>
      </cx:numDim>
    </cx:data>
  </cx:chartData>
  <cx:chart>
    <cx:title pos="t" align="ctr" overlay="0">
      <cx:tx>
        <cx:rich>
          <a:bodyPr spcFirstLastPara="1" vertOverflow="ellipsis" horzOverflow="overflow" wrap="square" lIns="0" tIns="0" rIns="0" bIns="0" anchor="ctr" anchorCtr="1"/>
          <a:lstStyle/>
          <a:p>
            <a:pPr algn="ctr" rtl="0">
              <a:defRPr>
                <a:latin typeface="Avenir Nxt2 W1G" panose="020B0503020202020204" pitchFamily="34" charset="0"/>
                <a:ea typeface="Avenir Nxt2 W1G" panose="020B0503020202020204" pitchFamily="34" charset="0"/>
                <a:cs typeface="Avenir Nxt2 W1G" panose="020B0503020202020204" pitchFamily="34" charset="0"/>
              </a:defRPr>
            </a:pPr>
            <a:r>
              <a:rPr lang="en-US" sz="800" b="1" i="0" u="none" strike="noStrike" baseline="0">
                <a:solidFill>
                  <a:sysClr val="windowText" lastClr="000000"/>
                </a:solidFill>
                <a:latin typeface="Avenir Nxt2 W1G" panose="020B0503020202020204" pitchFamily="34" charset="0"/>
              </a:rPr>
              <a:t>Chart 2.</a:t>
            </a:r>
            <a:r>
              <a:rPr lang="en-US" sz="800" b="0" i="0" u="none" strike="noStrike" baseline="0">
                <a:solidFill>
                  <a:sysClr val="windowText" lastClr="000000"/>
                </a:solidFill>
                <a:latin typeface="Avenir Nxt2 W1G" panose="020B0503020202020204" pitchFamily="34" charset="0"/>
              </a:rPr>
              <a:t> ITU-D Sector Members and Associates: absolute figures               </a:t>
            </a:r>
            <a:r>
              <a:rPr lang="en-US" sz="700" b="0" i="0" u="none" strike="noStrike" baseline="0">
                <a:solidFill>
                  <a:sysClr val="windowText" lastClr="000000"/>
                </a:solidFill>
                <a:latin typeface="Avenir Nxt2 W1G" panose="020B0503020202020204" pitchFamily="34" charset="0"/>
              </a:rPr>
              <a:t>*projection by June 2024</a:t>
            </a:r>
            <a:endParaRPr lang="en-US" sz="800" b="0" i="0" u="none" strike="noStrike" baseline="0">
              <a:solidFill>
                <a:sysClr val="windowText" lastClr="000000"/>
              </a:solidFill>
              <a:latin typeface="Avenir Nxt2 W1G" panose="020B0503020202020204" pitchFamily="34" charset="0"/>
            </a:endParaRPr>
          </a:p>
        </cx:rich>
      </cx:tx>
    </cx:title>
    <cx:plotArea>
      <cx:plotAreaRegion>
        <cx:series layoutId="waterfall" uniqueId="{6FD8591F-C76C-4E3C-A6B5-27E97EA2D21C}">
          <cx:tx>
            <cx:txData>
              <cx:f>Sheet1!$B$1</cx:f>
              <cx:v>Series1</cx:v>
            </cx:txData>
          </cx:tx>
          <cx:dataPt idx="0">
            <cx:spPr>
              <a:ln>
                <a:noFill/>
              </a:ln>
            </cx:spPr>
          </cx:dataPt>
          <cx:dataPt idx="1">
            <cx:spPr>
              <a:ln>
                <a:noFill/>
              </a:ln>
            </cx:spPr>
          </cx:dataPt>
          <cx:dataPt idx="2">
            <cx:spPr>
              <a:ln>
                <a:noFill/>
              </a:ln>
            </cx:spPr>
          </cx:dataPt>
          <cx:dataPt idx="3">
            <cx:spPr>
              <a:ln>
                <a:noFill/>
              </a:ln>
            </cx:spPr>
          </cx:dataPt>
          <cx:dataPt idx="4">
            <cx:spPr>
              <a:ln>
                <a:noFill/>
              </a:ln>
            </cx:spPr>
          </cx:dataPt>
          <cx:dataPt idx="5">
            <cx:spPr>
              <a:ln>
                <a:noFill/>
              </a:ln>
            </cx:spPr>
          </cx:dataPt>
          <cx:dataPt idx="6">
            <cx:spPr>
              <a:ln>
                <a:noFill/>
              </a:ln>
            </cx:spPr>
          </cx:dataPt>
          <cx:dataPt idx="7">
            <cx:spPr>
              <a:solidFill>
                <a:srgbClr val="9BCD7A">
                  <a:alpha val="45000"/>
                </a:srgbClr>
              </a:solidFill>
              <a:ln>
                <a:noFill/>
              </a:ln>
            </cx:spPr>
          </cx:dataPt>
          <cx:dataPt idx="8">
            <cx:spPr>
              <a:solidFill>
                <a:srgbClr val="FA4D55">
                  <a:alpha val="45000"/>
                </a:srgbClr>
              </a:solidFill>
              <a:ln>
                <a:noFill/>
              </a:ln>
            </cx:spPr>
          </cx:dataPt>
          <cx:dataPt idx="9">
            <cx:spPr>
              <a:solidFill>
                <a:srgbClr val="009CD5">
                  <a:alpha val="45000"/>
                </a:srgbClr>
              </a:solidFill>
              <a:ln>
                <a:noFill/>
              </a:ln>
            </cx:spPr>
          </cx:dataPt>
          <cx:dataLabels pos="outEnd">
            <cx:txPr>
              <a:bodyPr spcFirstLastPara="1" vertOverflow="ellipsis" horzOverflow="overflow" wrap="square" lIns="0" tIns="0" rIns="0" bIns="0" anchor="ctr" anchorCtr="1"/>
              <a:lstStyle/>
              <a:p>
                <a:pPr algn="ctr" rtl="0">
                  <a:defRPr sz="800">
                    <a:solidFill>
                      <a:schemeClr val="accent2">
                        <a:lumMod val="75000"/>
                      </a:schemeClr>
                    </a:solidFill>
                    <a:latin typeface="Avenir Nxt2 W1G" panose="020B0503020202020204" pitchFamily="34" charset="0"/>
                    <a:ea typeface="Avenir Nxt2 W1G" panose="020B0503020202020204" pitchFamily="34" charset="0"/>
                    <a:cs typeface="Avenir Nxt2 W1G" panose="020B0503020202020204" pitchFamily="34" charset="0"/>
                  </a:defRPr>
                </a:pPr>
                <a:endParaRPr lang="en-US" sz="800" b="0" i="0" u="none" strike="noStrike" baseline="0">
                  <a:solidFill>
                    <a:schemeClr val="accent2">
                      <a:lumMod val="75000"/>
                    </a:schemeClr>
                  </a:solidFill>
                  <a:latin typeface="Avenir Nxt2 W1G" panose="020B0503020202020204" pitchFamily="34" charset="0"/>
                </a:endParaRPr>
              </a:p>
            </cx:txPr>
            <cx:visibility seriesName="0" categoryName="0" value="1"/>
            <cx:separator>, </cx:separator>
          </cx:dataLabels>
          <cx:dataId val="0"/>
          <cx:layoutPr>
            <cx:subtotals>
              <cx:idx val="0"/>
              <cx:idx val="3"/>
              <cx:idx val="6"/>
              <cx:idx val="9"/>
            </cx:subtotals>
          </cx:layoutPr>
        </cx:series>
      </cx:plotAreaRegion>
      <cx:axis id="0" hidden="1">
        <cx:catScaling gapWidth="0.5"/>
        <cx:tickLabels/>
      </cx:axis>
      <cx:axis id="1">
        <cx:valScaling min="300"/>
        <cx:tickLabels/>
      </cx:axis>
    </cx:plotArea>
  </cx:chart>
  <cx:spPr>
    <a:ln>
      <a:noFill/>
    </a:ln>
  </cx:spPr>
  <cx:fmtOvrs>
    <cx:fmtOvr idx="2">
      <cx:spPr>
        <a:solidFill>
          <a:schemeClr val="accent1"/>
        </a:solidFill>
      </cx:spPr>
    </cx:fmtOvr>
    <cx:fmtOvr idx="0">
      <cx:spPr>
        <a:solidFill>
          <a:srgbClr val="9BCD7A"/>
        </a:solidFill>
      </cx:spPr>
    </cx:fmtOvr>
    <cx:fmtOvr idx="1">
      <cx:spPr>
        <a:solidFill>
          <a:srgbClr val="FA4D55"/>
        </a:solidFill>
      </cx:spPr>
    </cx:fmtOvr>
  </cx:fmtOvrs>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Sheet1!$A$2:$A$8</cx:f>
        <cx:lvl ptCount="7">
          <cx:pt idx="0">members 2021</cx:pt>
          <cx:pt idx="1">new members 2022</cx:pt>
          <cx:pt idx="2">lost members 2022</cx:pt>
          <cx:pt idx="3">members 2022</cx:pt>
          <cx:pt idx="4">new members 2023</cx:pt>
          <cx:pt idx="5">lost members 2023</cx:pt>
          <cx:pt idx="6">members 2023</cx:pt>
        </cx:lvl>
      </cx:strDim>
      <cx:numDim type="val">
        <cx:f>Sheet1!$B$2:$B$8</cx:f>
        <cx:lvl ptCount="7" formatCode="General">
          <cx:pt idx="0">158</cx:pt>
          <cx:pt idx="1">21</cx:pt>
          <cx:pt idx="2">-9</cx:pt>
          <cx:pt idx="3">170</cx:pt>
          <cx:pt idx="4">17</cx:pt>
          <cx:pt idx="5">-18</cx:pt>
          <cx:pt idx="6">169</cx:pt>
        </cx:lvl>
      </cx:numDim>
    </cx:data>
  </cx:chartData>
  <cx:chart>
    <cx:plotArea>
      <cx:plotAreaRegion>
        <cx:series layoutId="waterfall" uniqueId="{6FD8591F-C76C-4E3C-A6B5-27E97EA2D21C}">
          <cx:tx>
            <cx:txData>
              <cx:f>Sheet1!$B$1</cx:f>
              <cx:v>Series1</cx:v>
            </cx:txData>
          </cx:tx>
          <cx:dataPt idx="0">
            <cx:spPr>
              <a:ln>
                <a:noFill/>
              </a:ln>
            </cx:spPr>
          </cx:dataPt>
          <cx:dataPt idx="1">
            <cx:spPr>
              <a:ln>
                <a:noFill/>
              </a:ln>
            </cx:spPr>
          </cx:dataPt>
          <cx:dataPt idx="2">
            <cx:spPr>
              <a:ln>
                <a:noFill/>
              </a:ln>
            </cx:spPr>
          </cx:dataPt>
          <cx:dataPt idx="3">
            <cx:spPr>
              <a:ln>
                <a:noFill/>
              </a:ln>
            </cx:spPr>
          </cx:dataPt>
          <cx:dataPt idx="4">
            <cx:spPr>
              <a:ln>
                <a:noFill/>
              </a:ln>
            </cx:spPr>
          </cx:dataPt>
          <cx:dataPt idx="5">
            <cx:spPr>
              <a:ln>
                <a:noFill/>
              </a:ln>
            </cx:spPr>
          </cx:dataPt>
          <cx:dataPt idx="6">
            <cx:spPr>
              <a:ln>
                <a:noFill/>
              </a:ln>
            </cx:spPr>
          </cx:dataPt>
          <cx:dataLabels pos="outEnd">
            <cx:txPr>
              <a:bodyPr spcFirstLastPara="1" vertOverflow="ellipsis" horzOverflow="overflow" wrap="square" lIns="0" tIns="0" rIns="0" bIns="0" anchor="ctr" anchorCtr="1"/>
              <a:lstStyle/>
              <a:p>
                <a:pPr algn="ctr" rtl="0">
                  <a:defRPr sz="800">
                    <a:latin typeface="Avenir Nxt2 W1G" panose="020B0503020202020204" pitchFamily="34" charset="0"/>
                    <a:ea typeface="Avenir Nxt2 W1G" panose="020B0503020202020204" pitchFamily="34" charset="0"/>
                    <a:cs typeface="Avenir Nxt2 W1G" panose="020B0503020202020204" pitchFamily="34" charset="0"/>
                  </a:defRPr>
                </a:pPr>
                <a:endParaRPr lang="en-US" sz="800" b="0" i="0" u="none" strike="noStrike" baseline="0">
                  <a:solidFill>
                    <a:sysClr val="windowText" lastClr="000000">
                      <a:lumMod val="65000"/>
                      <a:lumOff val="35000"/>
                    </a:sysClr>
                  </a:solidFill>
                  <a:latin typeface="Avenir Nxt2 W1G" panose="020B0503020202020204" pitchFamily="34" charset="0"/>
                </a:endParaRPr>
              </a:p>
            </cx:txPr>
            <cx:visibility seriesName="0" categoryName="0" value="1"/>
            <cx:separator>, </cx:separator>
          </cx:dataLabels>
          <cx:dataId val="0"/>
          <cx:layoutPr>
            <cx:subtotals>
              <cx:idx val="0"/>
              <cx:idx val="3"/>
              <cx:idx val="6"/>
            </cx:subtotals>
          </cx:layoutPr>
        </cx:series>
      </cx:plotAreaRegion>
      <cx:axis id="0" hidden="1">
        <cx:catScaling gapWidth="0.5"/>
        <cx:tickLabels/>
      </cx:axis>
      <cx:axis id="1">
        <cx:valScaling max="200" min="150"/>
        <cx:tickLabels/>
      </cx:axis>
    </cx:plotArea>
  </cx:chart>
  <cx:spPr>
    <a:ln>
      <a:noFill/>
    </a:ln>
  </cx:spPr>
  <cx:clrMapOvr bg1="lt1" tx1="dk1" bg2="lt2" tx2="dk2" accent1="accent1" accent2="accent2" accent3="accent3" accent4="accent4" accent5="accent5" accent6="accent6" hlink="hlink" folHlink="folHlink"/>
  <cx:fmtOvrs>
    <cx:fmtOvr idx="2">
      <cx:spPr>
        <a:solidFill>
          <a:srgbClr val="FFC000"/>
        </a:solidFill>
      </cx:spPr>
    </cx:fmtOvr>
    <cx:fmtOvr idx="0">
      <cx:spPr>
        <a:solidFill>
          <a:srgbClr val="FFE9A9"/>
        </a:solidFill>
      </cx:spPr>
    </cx:fmtOvr>
    <cx:fmtOvr idx="1">
      <cx:spPr>
        <a:solidFill>
          <a:srgbClr val="C37205"/>
        </a:solidFill>
      </cx:spPr>
    </cx:fmtOvr>
  </cx:fmtOvrs>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ITU Template">
    <a:dk1>
      <a:sysClr val="windowText" lastClr="000000"/>
    </a:dk1>
    <a:lt1>
      <a:sysClr val="window" lastClr="FFFFFF"/>
    </a:lt1>
    <a:dk2>
      <a:srgbClr val="3A3838"/>
    </a:dk2>
    <a:lt2>
      <a:srgbClr val="F5FAFC"/>
    </a:lt2>
    <a:accent1>
      <a:srgbClr val="009CD6"/>
    </a:accent1>
    <a:accent2>
      <a:srgbClr val="757070"/>
    </a:accent2>
    <a:accent3>
      <a:srgbClr val="A5A5A5"/>
    </a:accent3>
    <a:accent4>
      <a:srgbClr val="595959"/>
    </a:accent4>
    <a:accent5>
      <a:srgbClr val="0083B3"/>
    </a:accent5>
    <a:accent6>
      <a:srgbClr val="E5F5FB"/>
    </a:accent6>
    <a:hlink>
      <a:srgbClr val="0083B3"/>
    </a:hlink>
    <a:folHlink>
      <a:srgbClr val="757070"/>
    </a:folHlink>
  </a:clrScheme>
  <a:fontScheme name="ITU Powerpoint Tempo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TU (Thomas Frost)">
    <a:dk1>
      <a:sysClr val="windowText" lastClr="000000"/>
    </a:dk1>
    <a:lt1>
      <a:sysClr val="window" lastClr="FFFFFF"/>
    </a:lt1>
    <a:dk2>
      <a:srgbClr val="44546A"/>
    </a:dk2>
    <a:lt2>
      <a:srgbClr val="E7E6E6"/>
    </a:lt2>
    <a:accent1>
      <a:srgbClr val="009CD5"/>
    </a:accent1>
    <a:accent2>
      <a:srgbClr val="6F6F6E"/>
    </a:accent2>
    <a:accent3>
      <a:srgbClr val="E5F5FB"/>
    </a:accent3>
    <a:accent4>
      <a:srgbClr val="F5FAFC"/>
    </a:accent4>
    <a:accent5>
      <a:srgbClr val="5B9BD5"/>
    </a:accent5>
    <a:accent6>
      <a:srgbClr val="0083B3"/>
    </a:accent6>
    <a:hlink>
      <a:srgbClr val="0083B3"/>
    </a:hlink>
    <a:folHlink>
      <a:srgbClr val="0083B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2.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3.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1939</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3</cp:revision>
  <cp:lastPrinted>2014-11-04T09:22:00Z</cp:lastPrinted>
  <dcterms:created xsi:type="dcterms:W3CDTF">2024-04-22T13:36:00Z</dcterms:created>
  <dcterms:modified xsi:type="dcterms:W3CDTF">2024-04-22T13:36:00Z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