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465CBC42" w14:textId="77777777" w:rsidTr="00F77022">
        <w:trPr>
          <w:cantSplit/>
          <w:trHeight w:val="1310"/>
          <w:jc w:val="center"/>
        </w:trPr>
        <w:tc>
          <w:tcPr>
            <w:tcW w:w="6548" w:type="dxa"/>
            <w:tcBorders>
              <w:bottom w:val="single" w:sz="12" w:space="0" w:color="auto"/>
            </w:tcBorders>
          </w:tcPr>
          <w:p w14:paraId="53915484"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09643D19" w14:textId="485FB39A"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6588A632"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66AC0680" wp14:editId="708237C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4A094DFE" w14:textId="77777777" w:rsidTr="00F77022">
        <w:trPr>
          <w:cantSplit/>
          <w:jc w:val="center"/>
        </w:trPr>
        <w:tc>
          <w:tcPr>
            <w:tcW w:w="6548" w:type="dxa"/>
            <w:tcBorders>
              <w:top w:val="single" w:sz="12" w:space="0" w:color="auto"/>
            </w:tcBorders>
          </w:tcPr>
          <w:p w14:paraId="6EAEFF9F"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4A917A30" w14:textId="77777777" w:rsidR="00CA08BA" w:rsidRPr="00C85CB5" w:rsidRDefault="00CA08BA" w:rsidP="00B93B7B">
            <w:pPr>
              <w:spacing w:before="20" w:after="20" w:line="300" w:lineRule="exact"/>
              <w:rPr>
                <w:b/>
                <w:bCs/>
                <w:highlight w:val="yellow"/>
                <w:rtl/>
                <w:lang w:bidi="ar-EG"/>
              </w:rPr>
            </w:pPr>
          </w:p>
        </w:tc>
      </w:tr>
      <w:tr w:rsidR="00783A69" w:rsidRPr="00783A69" w14:paraId="2DF09CA0" w14:textId="77777777" w:rsidTr="00F77022">
        <w:trPr>
          <w:cantSplit/>
          <w:jc w:val="center"/>
        </w:trPr>
        <w:tc>
          <w:tcPr>
            <w:tcW w:w="6548" w:type="dxa"/>
          </w:tcPr>
          <w:p w14:paraId="6201D8D8" w14:textId="77777777" w:rsidR="00783A69" w:rsidRPr="00783A69" w:rsidRDefault="00783A69" w:rsidP="00B93B7B">
            <w:pPr>
              <w:spacing w:before="20" w:after="20" w:line="300" w:lineRule="exact"/>
              <w:rPr>
                <w:b/>
                <w:bCs/>
                <w:rtl/>
                <w:lang w:bidi="ar-EG"/>
              </w:rPr>
            </w:pPr>
          </w:p>
        </w:tc>
        <w:tc>
          <w:tcPr>
            <w:tcW w:w="3091" w:type="dxa"/>
          </w:tcPr>
          <w:p w14:paraId="7BE8D2EC" w14:textId="3B5C8311"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EA5C51">
              <w:rPr>
                <w:b/>
                <w:bCs/>
                <w:lang w:bidi="ar-EG"/>
              </w:rPr>
              <w:t>8</w:t>
            </w:r>
            <w:r w:rsidRPr="00153471">
              <w:rPr>
                <w:b/>
                <w:bCs/>
                <w:lang w:bidi="ar-EG"/>
              </w:rPr>
              <w:t>-A</w:t>
            </w:r>
          </w:p>
        </w:tc>
      </w:tr>
      <w:tr w:rsidR="00783A69" w:rsidRPr="00783A69" w14:paraId="77E0B4AB" w14:textId="77777777" w:rsidTr="00F77022">
        <w:trPr>
          <w:cantSplit/>
          <w:jc w:val="center"/>
        </w:trPr>
        <w:tc>
          <w:tcPr>
            <w:tcW w:w="6548" w:type="dxa"/>
          </w:tcPr>
          <w:p w14:paraId="02B56764" w14:textId="77777777" w:rsidR="00783A69" w:rsidRPr="00783A69" w:rsidRDefault="00783A69" w:rsidP="00B93B7B">
            <w:pPr>
              <w:spacing w:before="20" w:after="20" w:line="300" w:lineRule="exact"/>
              <w:rPr>
                <w:b/>
                <w:bCs/>
                <w:lang w:bidi="ar-EG"/>
              </w:rPr>
            </w:pPr>
          </w:p>
        </w:tc>
        <w:tc>
          <w:tcPr>
            <w:tcW w:w="3091" w:type="dxa"/>
          </w:tcPr>
          <w:p w14:paraId="044C22D3" w14:textId="573BA209" w:rsidR="00783A69" w:rsidRPr="00C85CB5" w:rsidRDefault="00EA5C51" w:rsidP="00B93B7B">
            <w:pPr>
              <w:spacing w:before="20" w:after="20" w:line="300" w:lineRule="exact"/>
              <w:rPr>
                <w:b/>
                <w:bCs/>
                <w:highlight w:val="yellow"/>
                <w:rtl/>
                <w:lang w:bidi="ar-SY"/>
              </w:rPr>
            </w:pPr>
            <w:r w:rsidRPr="00EA5C51">
              <w:rPr>
                <w:rFonts w:hint="cs"/>
                <w:b/>
                <w:bCs/>
                <w:rtl/>
                <w:lang w:bidi="ar-EG"/>
              </w:rPr>
              <w:t>8 أبريل</w:t>
            </w:r>
            <w:r w:rsidR="00783A69" w:rsidRPr="00EA5C51">
              <w:rPr>
                <w:rFonts w:hint="cs"/>
                <w:b/>
                <w:bCs/>
                <w:rtl/>
                <w:lang w:bidi="ar-EG"/>
              </w:rPr>
              <w:t xml:space="preserve"> </w:t>
            </w:r>
            <w:r w:rsidR="00457D22" w:rsidRPr="00EA5C51">
              <w:rPr>
                <w:b/>
                <w:bCs/>
                <w:lang w:bidi="ar-EG"/>
              </w:rPr>
              <w:t>2024</w:t>
            </w:r>
          </w:p>
        </w:tc>
      </w:tr>
      <w:tr w:rsidR="00783A69" w:rsidRPr="00783A69" w14:paraId="47E3127B" w14:textId="77777777" w:rsidTr="00F77022">
        <w:trPr>
          <w:cantSplit/>
          <w:jc w:val="center"/>
        </w:trPr>
        <w:tc>
          <w:tcPr>
            <w:tcW w:w="6548" w:type="dxa"/>
          </w:tcPr>
          <w:p w14:paraId="028007EA" w14:textId="77777777" w:rsidR="00783A69" w:rsidRPr="00783A69" w:rsidRDefault="00783A69" w:rsidP="00B93B7B">
            <w:pPr>
              <w:spacing w:before="20" w:after="20" w:line="300" w:lineRule="exact"/>
              <w:rPr>
                <w:b/>
                <w:bCs/>
                <w:lang w:bidi="ar-EG"/>
              </w:rPr>
            </w:pPr>
          </w:p>
        </w:tc>
        <w:tc>
          <w:tcPr>
            <w:tcW w:w="3091" w:type="dxa"/>
          </w:tcPr>
          <w:p w14:paraId="04BC53AF"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B4B50AA" w14:textId="77777777" w:rsidTr="00EE5CF2">
        <w:trPr>
          <w:cantSplit/>
          <w:jc w:val="center"/>
        </w:trPr>
        <w:tc>
          <w:tcPr>
            <w:tcW w:w="9639" w:type="dxa"/>
            <w:gridSpan w:val="2"/>
          </w:tcPr>
          <w:p w14:paraId="6D48C21A" w14:textId="53010FAD" w:rsidR="00783A69" w:rsidRPr="00783A69" w:rsidRDefault="00EA5C51" w:rsidP="00AF471A">
            <w:pPr>
              <w:pStyle w:val="Source"/>
            </w:pPr>
            <w:r w:rsidRPr="00EA5C51">
              <w:rPr>
                <w:rtl/>
              </w:rPr>
              <w:t>مدير مكتب تنمية الاتصالات بالاتحاد</w:t>
            </w:r>
          </w:p>
        </w:tc>
      </w:tr>
      <w:tr w:rsidR="00783A69" w:rsidRPr="00783A69" w14:paraId="5D7A59F2" w14:textId="77777777" w:rsidTr="00EE5CF2">
        <w:trPr>
          <w:cantSplit/>
          <w:jc w:val="center"/>
        </w:trPr>
        <w:tc>
          <w:tcPr>
            <w:tcW w:w="9639" w:type="dxa"/>
            <w:gridSpan w:val="2"/>
          </w:tcPr>
          <w:p w14:paraId="33624EEB" w14:textId="4FA22203" w:rsidR="00783A69" w:rsidRPr="00783A69" w:rsidRDefault="00B4085D" w:rsidP="00AF471A">
            <w:pPr>
              <w:pStyle w:val="Title1"/>
              <w:rPr>
                <w:lang w:bidi="ar-EG"/>
              </w:rPr>
            </w:pPr>
            <w:r w:rsidRPr="00B4085D">
              <w:rPr>
                <w:rtl/>
              </w:rPr>
              <w:t xml:space="preserve">أعضاء قطاع تنمية الاتصالات والمنتسبون إليه </w:t>
            </w:r>
            <w:r>
              <w:rPr>
                <w:rtl/>
              </w:rPr>
              <w:br/>
            </w:r>
            <w:r w:rsidRPr="00B4085D">
              <w:rPr>
                <w:rtl/>
              </w:rPr>
              <w:t>والهيئات الأكاديمية المنضمة إليه</w:t>
            </w:r>
          </w:p>
        </w:tc>
      </w:tr>
    </w:tbl>
    <w:p w14:paraId="39D98B2E"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2A65B2C" w14:textId="77777777" w:rsidTr="00B4085D">
        <w:trPr>
          <w:cantSplit/>
          <w:jc w:val="center"/>
        </w:trPr>
        <w:tc>
          <w:tcPr>
            <w:tcW w:w="9638" w:type="dxa"/>
            <w:tcBorders>
              <w:top w:val="single" w:sz="6" w:space="0" w:color="auto"/>
              <w:left w:val="single" w:sz="6" w:space="0" w:color="auto"/>
              <w:bottom w:val="single" w:sz="6" w:space="0" w:color="auto"/>
              <w:right w:val="single" w:sz="6" w:space="0" w:color="auto"/>
            </w:tcBorders>
          </w:tcPr>
          <w:p w14:paraId="69BD3D9F"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597AB541" w14:textId="77777777" w:rsidR="00B4085D" w:rsidRDefault="00B4085D" w:rsidP="00B4085D">
            <w:pPr>
              <w:spacing w:after="120"/>
              <w:rPr>
                <w:sz w:val="20"/>
                <w:rtl/>
              </w:rPr>
            </w:pPr>
            <w:r w:rsidRPr="00277DD2">
              <w:rPr>
                <w:sz w:val="20"/>
                <w:rtl/>
              </w:rPr>
              <w:t xml:space="preserve">تقدم هذه الوثيقة لمحة عامة عن تطور عضوية قطاع تنمية الاتصالات في 2022-2023 وحتى فبراير 2024. وتوصي أيضاً بإجراءات تهدف إلى مواصلة تعزيز الجهود المبذولة لاجتذاب مزيد من الأعضاء والاحتفاظ بهم وفقاً لنتائج المؤتمر العالمي لتنمية الاتصالات لعام 2022 (WTDC-22) ومؤتمر المندوبين المفوضين لعام 2022. </w:t>
            </w:r>
          </w:p>
          <w:p w14:paraId="538873A7" w14:textId="77777777" w:rsidR="00B4085D" w:rsidRPr="00277DD2" w:rsidRDefault="00B4085D" w:rsidP="00B4085D">
            <w:pPr>
              <w:spacing w:after="120"/>
              <w:rPr>
                <w:rFonts w:eastAsia="SimSun"/>
                <w:sz w:val="20"/>
                <w:lang w:val="ar-SA" w:eastAsia="zh-TW" w:bidi="en-GB"/>
              </w:rPr>
            </w:pPr>
            <w:r w:rsidRPr="00277DD2">
              <w:rPr>
                <w:sz w:val="20"/>
                <w:rtl/>
              </w:rPr>
              <w:t>أعضاء قطاع تنمية الاتصالات والمنتسبون إليه والهيئات الأكاديمية المنضمة إليه</w:t>
            </w:r>
            <w:r w:rsidRPr="00277DD2">
              <w:rPr>
                <w:rStyle w:val="FootnoteReference"/>
                <w:rFonts w:eastAsia="SimSun"/>
                <w:sz w:val="20"/>
                <w:rtl/>
              </w:rPr>
              <w:footnoteReference w:id="1"/>
            </w:r>
          </w:p>
          <w:p w14:paraId="2D546379"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47A3594F" w14:textId="77777777" w:rsidR="00B4085D" w:rsidRPr="00277DD2" w:rsidRDefault="00B4085D" w:rsidP="00B4085D">
            <w:pPr>
              <w:spacing w:after="120"/>
              <w:rPr>
                <w:sz w:val="20"/>
                <w:lang w:val="ar-SA" w:eastAsia="zh-TW" w:bidi="en-GB"/>
              </w:rPr>
            </w:pPr>
            <w:r w:rsidRPr="00277DD2">
              <w:rPr>
                <w:sz w:val="20"/>
                <w:rtl/>
              </w:rPr>
              <w:t xml:space="preserve">يُدعى الفريق الاستشاري لتنمية الاتصالات </w:t>
            </w:r>
            <w:r w:rsidRPr="00277DD2">
              <w:rPr>
                <w:sz w:val="20"/>
              </w:rPr>
              <w:t>(TDAG</w:t>
            </w:r>
            <w:r w:rsidRPr="00277DD2">
              <w:rPr>
                <w:sz w:val="20"/>
                <w:rtl/>
              </w:rPr>
              <w:t>) إلى الإحاطة علماً بهذه الوثيقة وتقديم التوجيهات التي يراها مناسبة.</w:t>
            </w:r>
          </w:p>
          <w:p w14:paraId="4E58212E"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0964E240" w14:textId="5C49B7CF" w:rsidR="00B4085D" w:rsidRPr="00277DD2" w:rsidRDefault="00B4085D" w:rsidP="00B4085D">
            <w:pPr>
              <w:spacing w:after="120"/>
              <w:rPr>
                <w:sz w:val="20"/>
                <w:lang w:val="ar-SA" w:eastAsia="zh-TW" w:bidi="en-GB"/>
              </w:rPr>
            </w:pPr>
            <w:r w:rsidRPr="00277DD2">
              <w:rPr>
                <w:sz w:val="20"/>
                <w:rtl/>
              </w:rPr>
              <w:t xml:space="preserve">القرار </w:t>
            </w:r>
            <w:r>
              <w:rPr>
                <w:rFonts w:hint="cs"/>
                <w:sz w:val="20"/>
                <w:rtl/>
              </w:rPr>
              <w:t>71</w:t>
            </w:r>
            <w:r w:rsidRPr="00277DD2">
              <w:rPr>
                <w:sz w:val="20"/>
                <w:rtl/>
              </w:rPr>
              <w:t xml:space="preserve"> (المراجَع في كيغالي، 2022) للمؤتمر العالمي لتنمية الاتصالات.</w:t>
            </w:r>
          </w:p>
          <w:p w14:paraId="25FDBF73" w14:textId="7E485CC8" w:rsidR="00783A69" w:rsidRPr="00153471" w:rsidRDefault="00B4085D" w:rsidP="00B4085D">
            <w:pPr>
              <w:spacing w:after="120"/>
              <w:rPr>
                <w:rtl/>
              </w:rPr>
            </w:pPr>
            <w:r w:rsidRPr="00277DD2">
              <w:rPr>
                <w:sz w:val="20"/>
                <w:rtl/>
              </w:rPr>
              <w:t>القرارات 169 و205 و209 (المراجعة في بوخارست، 2022) لمؤتمر المندوبين المفوضين.</w:t>
            </w:r>
          </w:p>
        </w:tc>
      </w:tr>
    </w:tbl>
    <w:p w14:paraId="5F5032F9" w14:textId="77777777" w:rsidR="0006468A" w:rsidRDefault="0006468A" w:rsidP="0006468A">
      <w:pPr>
        <w:rPr>
          <w:rtl/>
          <w:lang w:bidi="ar-EG"/>
        </w:rPr>
      </w:pPr>
    </w:p>
    <w:p w14:paraId="22C05D97" w14:textId="77777777" w:rsidR="00882A17" w:rsidRDefault="00882A17">
      <w:pPr>
        <w:tabs>
          <w:tab w:val="clear" w:pos="794"/>
        </w:tabs>
        <w:bidi w:val="0"/>
        <w:spacing w:before="0" w:after="160" w:line="259" w:lineRule="auto"/>
        <w:jc w:val="left"/>
        <w:rPr>
          <w:lang w:bidi="ar-EG"/>
        </w:rPr>
      </w:pPr>
      <w:r>
        <w:rPr>
          <w:rtl/>
          <w:lang w:bidi="ar-EG"/>
        </w:rPr>
        <w:br w:type="page"/>
      </w:r>
    </w:p>
    <w:p w14:paraId="551578F9" w14:textId="77777777" w:rsidR="00B4085D" w:rsidRPr="00C55734" w:rsidRDefault="00B4085D" w:rsidP="00B4085D">
      <w:pPr>
        <w:pStyle w:val="Heading1"/>
        <w:rPr>
          <w:lang w:val="ar-SA" w:bidi="ar-EG"/>
        </w:rPr>
      </w:pPr>
      <w:r w:rsidRPr="00C55734">
        <w:lastRenderedPageBreak/>
        <w:t>1</w:t>
      </w:r>
      <w:r w:rsidRPr="00C55734">
        <w:tab/>
      </w:r>
      <w:r w:rsidRPr="00C55734">
        <w:rPr>
          <w:rtl/>
        </w:rPr>
        <w:t>معلومات أساسية</w:t>
      </w:r>
    </w:p>
    <w:p w14:paraId="33CEC36C" w14:textId="77777777" w:rsidR="00B4085D" w:rsidRDefault="00B4085D" w:rsidP="00B4085D">
      <w:pPr>
        <w:rPr>
          <w:rtl/>
          <w:lang w:bidi="ar-EG"/>
        </w:rPr>
      </w:pPr>
      <w:r w:rsidRPr="00C20A94">
        <w:rPr>
          <w:rtl/>
        </w:rPr>
        <w:t>راجع المؤتمر العالمي لتنمية الاتصالات لعام 2022 (WTDC-22) القرار 71 (المراجَع في كيغالي، 2022</w:t>
      </w:r>
      <w:r w:rsidRPr="00C20A94">
        <w:rPr>
          <w:vertAlign w:val="superscript"/>
          <w:rtl/>
        </w:rPr>
        <w:footnoteReference w:id="2"/>
      </w:r>
      <w:r w:rsidRPr="00C20A94">
        <w:rPr>
          <w:rtl/>
        </w:rPr>
        <w:t>) واعتمده بغية تعزيز المشاركة الفعّالة لأعضاء قطاع تنمية الاتصالات بالاتحاد (</w:t>
      </w:r>
      <w:r w:rsidRPr="00C20A94">
        <w:rPr>
          <w:lang w:bidi="ar-EG"/>
        </w:rPr>
        <w:t>ITU-D</w:t>
      </w:r>
      <w:r w:rsidRPr="00C20A94">
        <w:rPr>
          <w:rtl/>
        </w:rPr>
        <w:t>) الحاليين والمنتسبين إليه والهيئات الأكاديمية المنضمة إليه في أنشطة القطاع، بما في ذلك المشاركة في أعمال لجان دراسات القطاع واجتذاب أعضاء جدد من القطاعين العام والخاص والهيئات الأكاديمية.</w:t>
      </w:r>
    </w:p>
    <w:p w14:paraId="1E2BCD58" w14:textId="77777777" w:rsidR="00B4085D" w:rsidRPr="00C20A94" w:rsidRDefault="00B4085D" w:rsidP="00B4085D">
      <w:pPr>
        <w:rPr>
          <w:lang w:val="ar-SA" w:bidi="ar-EG"/>
        </w:rPr>
      </w:pPr>
      <w:r w:rsidRPr="00C20A94">
        <w:rPr>
          <w:rtl/>
        </w:rPr>
        <w:t xml:space="preserve">وقد أدى القرار 71 إلى زيادة التركيز على تعزيز التعاون بين الدول الأعضاء وأعضاء قطاع تنمية الاتصالات والمنتسبين إليه والهيئات الأكاديمية المنضمة إليه، من خلال توجيه تعليمات لمكتب تنمية الاتصالات بالعمل عن كثب مع أعضاء القطاع والمنتسبين إليه والهيئات الأكاديمية المنضمة إليه ليشاركوا في تنفيذ خطة عمل كيغالي تنفيذاً ناجحاً ولمواصلة تنظيم اجتماعات للمديرين التنفيذيين رفيعي المستوى للصناعة مثل الفريق الاستشاري للصناعة المعني بقضايا التنمية واجتماع كبار مسؤولي التنظيم من القطاع الخاص </w:t>
      </w:r>
      <w:r w:rsidRPr="00C20A94">
        <w:rPr>
          <w:lang w:bidi="ar-EG"/>
        </w:rPr>
        <w:t>(IAGDI-CRO</w:t>
      </w:r>
      <w:r w:rsidRPr="00C20A94">
        <w:t>)</w:t>
      </w:r>
      <w:r w:rsidRPr="00C20A94">
        <w:rPr>
          <w:rtl/>
        </w:rPr>
        <w:t>.</w:t>
      </w:r>
    </w:p>
    <w:p w14:paraId="11716AE9" w14:textId="77777777" w:rsidR="00B4085D" w:rsidRPr="00C55734" w:rsidRDefault="00B4085D" w:rsidP="00B4085D">
      <w:pPr>
        <w:pStyle w:val="Heading1"/>
        <w:rPr>
          <w:lang w:val="ar-SA" w:bidi="ar-EG"/>
        </w:rPr>
      </w:pPr>
      <w:r w:rsidRPr="00C55734">
        <w:t>2</w:t>
      </w:r>
      <w:r w:rsidRPr="00C55734">
        <w:tab/>
      </w:r>
      <w:r w:rsidRPr="00C55734">
        <w:rPr>
          <w:rtl/>
        </w:rPr>
        <w:t>تطور عضوية قطاع تنمية الاتصالات بالاتحاد</w:t>
      </w:r>
    </w:p>
    <w:p w14:paraId="471F1A20" w14:textId="77777777" w:rsidR="00B4085D" w:rsidRPr="00C20A94" w:rsidRDefault="00B4085D" w:rsidP="00B4085D">
      <w:pPr>
        <w:rPr>
          <w:lang w:val="ar-SA" w:bidi="ar-EG"/>
        </w:rPr>
      </w:pPr>
      <w:r w:rsidRPr="00C20A94">
        <w:rPr>
          <w:rtl/>
        </w:rPr>
        <w:t xml:space="preserve">يبين </w:t>
      </w:r>
      <w:r w:rsidRPr="00C20A94">
        <w:rPr>
          <w:b/>
          <w:bCs/>
          <w:rtl/>
        </w:rPr>
        <w:t>الشكل 1</w:t>
      </w:r>
      <w:r w:rsidRPr="00C20A94">
        <w:rPr>
          <w:rtl/>
        </w:rPr>
        <w:t xml:space="preserve"> أدناه تطور حالة عضوية قطاع تنمية الاتصالات بالاتحاد (أعضاء القطاع والمنتسبون إليه والهيئات الأكاديمية المنضمة إليه). ويبين الشكل العدد المطلق لأعضاء قطاع تنمية الاتصالات والمنتسبين إليه والهيئات الأكاديمية المنضمة إليه بحلول ديسمبر 2022 وديسمبر 2023 وبحلول يونيو 2024 (التوقعات).</w:t>
      </w:r>
    </w:p>
    <w:p w14:paraId="0F3A2148" w14:textId="77777777" w:rsidR="00B4085D" w:rsidRPr="00C55734" w:rsidRDefault="00B4085D" w:rsidP="00B4085D">
      <w:pPr>
        <w:pStyle w:val="Figure"/>
      </w:pPr>
      <w:r>
        <w:drawing>
          <wp:inline distT="0" distB="0" distL="0" distR="0" wp14:anchorId="20386AF9" wp14:editId="2F6C9EF6">
            <wp:extent cx="5791835" cy="2773680"/>
            <wp:effectExtent l="0" t="0" r="0" b="7620"/>
            <wp:docPr id="1765506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835" cy="2773680"/>
                    </a:xfrm>
                    <a:prstGeom prst="rect">
                      <a:avLst/>
                    </a:prstGeom>
                    <a:noFill/>
                  </pic:spPr>
                </pic:pic>
              </a:graphicData>
            </a:graphic>
          </wp:inline>
        </w:drawing>
      </w:r>
    </w:p>
    <w:p w14:paraId="441B90F6" w14:textId="77777777" w:rsidR="00B4085D" w:rsidRPr="00C55734" w:rsidRDefault="00B4085D" w:rsidP="00B4085D">
      <w:pPr>
        <w:pStyle w:val="Heading2"/>
        <w:rPr>
          <w:lang w:val="ar-SA" w:bidi="ar-EG"/>
        </w:rPr>
      </w:pPr>
      <w:r w:rsidRPr="00C55734">
        <w:lastRenderedPageBreak/>
        <w:t>1.2</w:t>
      </w:r>
      <w:r w:rsidRPr="00C55734">
        <w:tab/>
      </w:r>
      <w:r w:rsidRPr="00C55734">
        <w:rPr>
          <w:rtl/>
        </w:rPr>
        <w:t>أعضاء قطاع تنمية الاتصالات بالاتحاد والمنتسبون إليه</w:t>
      </w:r>
    </w:p>
    <w:p w14:paraId="709503FB" w14:textId="331D6280" w:rsidR="00B4085D" w:rsidRPr="00C55734" w:rsidRDefault="00AF471A" w:rsidP="00B4085D">
      <w:pPr>
        <w:pStyle w:val="Figure"/>
        <w:rPr>
          <w:lang w:bidi="ar-SA"/>
        </w:rPr>
      </w:pPr>
      <w:r>
        <w:rPr>
          <w:lang w:bidi="ar-SA"/>
        </w:rPr>
        <w:drawing>
          <wp:inline distT="0" distB="0" distL="0" distR="0" wp14:anchorId="0CBDD760" wp14:editId="6F1927EB">
            <wp:extent cx="6334125" cy="2798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2798445"/>
                    </a:xfrm>
                    <a:prstGeom prst="rect">
                      <a:avLst/>
                    </a:prstGeom>
                    <a:noFill/>
                  </pic:spPr>
                </pic:pic>
              </a:graphicData>
            </a:graphic>
          </wp:inline>
        </w:drawing>
      </w:r>
    </w:p>
    <w:p w14:paraId="1FC6B37D" w14:textId="788C8A64" w:rsidR="00B4085D" w:rsidRDefault="00B4085D" w:rsidP="00B4085D">
      <w:pPr>
        <w:rPr>
          <w:rtl/>
        </w:rPr>
      </w:pPr>
      <w:r w:rsidRPr="00C20A94">
        <w:rPr>
          <w:rtl/>
        </w:rPr>
        <w:t xml:space="preserve">يبين </w:t>
      </w:r>
      <w:r w:rsidRPr="00C20A94">
        <w:rPr>
          <w:b/>
          <w:bCs/>
          <w:rtl/>
        </w:rPr>
        <w:t>الشكل 2</w:t>
      </w:r>
      <w:r w:rsidRPr="00C20A94">
        <w:rPr>
          <w:rtl/>
        </w:rPr>
        <w:t xml:space="preserve"> بالتفصيل النمو المستدام لأعضاء قطاع تنمية الاتصالات والمنتسبين إليه في عامي 2022 و2023، مما يجسد </w:t>
      </w:r>
      <w:r w:rsidRPr="00C20A94">
        <w:rPr>
          <w:b/>
          <w:bCs/>
          <w:rtl/>
        </w:rPr>
        <w:t>انضمام وفقدان</w:t>
      </w:r>
      <w:r w:rsidRPr="00C20A94">
        <w:rPr>
          <w:rtl/>
        </w:rPr>
        <w:t xml:space="preserve"> أعضاء القطاع والمنتسبين إليه خلال العامين. كما يبين الأرقام المتوقعة بحلول يونيو 2024 استناداً إلى</w:t>
      </w:r>
      <w:r>
        <w:rPr>
          <w:rFonts w:hint="cs"/>
          <w:rtl/>
        </w:rPr>
        <w:t> </w:t>
      </w:r>
      <w:r w:rsidRPr="00C20A94">
        <w:rPr>
          <w:rtl/>
        </w:rPr>
        <w:t>الحسابات التي يتعين تفعيلها.</w:t>
      </w:r>
    </w:p>
    <w:p w14:paraId="24E08D44" w14:textId="77777777" w:rsidR="00B4085D" w:rsidRDefault="00B4085D" w:rsidP="00B4085D">
      <w:pPr>
        <w:rPr>
          <w:rtl/>
        </w:rPr>
      </w:pPr>
      <w:r w:rsidRPr="00C20A94">
        <w:rPr>
          <w:rtl/>
        </w:rPr>
        <w:t xml:space="preserve">وبحلول ديسمبر 2023، اجتذب قطاع تنمية الاتصالات ما مجموعه </w:t>
      </w:r>
      <w:r w:rsidRPr="00C20A94">
        <w:rPr>
          <w:b/>
          <w:bCs/>
          <w:rtl/>
        </w:rPr>
        <w:t>سبعة وعشرين عضواً جديداً</w:t>
      </w:r>
      <w:r w:rsidRPr="00C20A94">
        <w:rPr>
          <w:rtl/>
        </w:rPr>
        <w:t>، مقارنة بثمانية عشر عضواً في</w:t>
      </w:r>
      <w:r>
        <w:rPr>
          <w:rFonts w:hint="cs"/>
          <w:rtl/>
        </w:rPr>
        <w:t> </w:t>
      </w:r>
      <w:r w:rsidRPr="00C20A94">
        <w:rPr>
          <w:rtl/>
        </w:rPr>
        <w:t xml:space="preserve">عام 2022. ويبين عام 2023 زيادة بنسبة </w:t>
      </w:r>
      <w:r w:rsidRPr="00C20A94">
        <w:rPr>
          <w:lang w:bidi="ar-EG"/>
        </w:rPr>
        <w:t>%50</w:t>
      </w:r>
      <w:r w:rsidRPr="00C20A94">
        <w:rPr>
          <w:rtl/>
        </w:rPr>
        <w:t xml:space="preserve"> في العدد </w:t>
      </w:r>
      <w:r w:rsidRPr="00C55734">
        <w:rPr>
          <w:rtl/>
        </w:rPr>
        <w:t>الإجمالي</w:t>
      </w:r>
      <w:r w:rsidRPr="00C20A94">
        <w:rPr>
          <w:rtl/>
        </w:rPr>
        <w:t xml:space="preserve"> للأعضاء الجدد.</w:t>
      </w:r>
    </w:p>
    <w:p w14:paraId="55982EC9" w14:textId="3F9FC154" w:rsidR="00B4085D" w:rsidRDefault="00B4085D" w:rsidP="00B4085D">
      <w:pPr>
        <w:rPr>
          <w:rtl/>
        </w:rPr>
      </w:pPr>
      <w:r w:rsidRPr="00C20A94">
        <w:rPr>
          <w:rtl/>
        </w:rPr>
        <w:t xml:space="preserve">وبحلول نهاية فبراير 2024، كان قطاع تنمية الاتصالات قد اكتسب بالفعل </w:t>
      </w:r>
      <w:r w:rsidRPr="00C20A94">
        <w:rPr>
          <w:b/>
          <w:bCs/>
          <w:rtl/>
        </w:rPr>
        <w:t>ثمانية أعضاء جدد</w:t>
      </w:r>
      <w:r w:rsidRPr="00C20A94">
        <w:rPr>
          <w:rtl/>
        </w:rPr>
        <w:t xml:space="preserve"> ويتوقع تفعيل </w:t>
      </w:r>
      <w:r w:rsidRPr="00C20A94">
        <w:rPr>
          <w:b/>
          <w:bCs/>
          <w:rtl/>
        </w:rPr>
        <w:t xml:space="preserve">عضوية </w:t>
      </w:r>
      <w:r w:rsidR="00410D14">
        <w:rPr>
          <w:rFonts w:hint="cs"/>
          <w:b/>
          <w:bCs/>
          <w:rtl/>
          <w:lang w:bidi="ar-EG"/>
        </w:rPr>
        <w:t>سبعة</w:t>
      </w:r>
      <w:r w:rsidRPr="00C20A94">
        <w:rPr>
          <w:b/>
          <w:bCs/>
          <w:rtl/>
        </w:rPr>
        <w:t xml:space="preserve"> أعضاء إضافيين</w:t>
      </w:r>
      <w:r w:rsidRPr="00C20A94">
        <w:rPr>
          <w:rtl/>
        </w:rPr>
        <w:t xml:space="preserve"> بحلول يونيو 2024.</w:t>
      </w:r>
    </w:p>
    <w:p w14:paraId="4A47C0FE" w14:textId="77777777" w:rsidR="00B4085D" w:rsidRDefault="00B4085D" w:rsidP="00B4085D">
      <w:pPr>
        <w:rPr>
          <w:rtl/>
        </w:rPr>
      </w:pPr>
      <w:r w:rsidRPr="00C20A94">
        <w:rPr>
          <w:rtl/>
        </w:rPr>
        <w:t xml:space="preserve">وعلاوة على ذلك، تم في عام 2023 </w:t>
      </w:r>
      <w:r w:rsidRPr="00C20A94">
        <w:rPr>
          <w:b/>
          <w:bCs/>
          <w:rtl/>
        </w:rPr>
        <w:t>تخفيض</w:t>
      </w:r>
      <w:r w:rsidRPr="00C20A94">
        <w:rPr>
          <w:rtl/>
        </w:rPr>
        <w:t xml:space="preserve"> مجموع حالات الانسحاب والاستبعاد إلى </w:t>
      </w:r>
      <w:r w:rsidRPr="00C20A94">
        <w:rPr>
          <w:b/>
          <w:bCs/>
          <w:rtl/>
        </w:rPr>
        <w:t>اثني عشر عضواً</w:t>
      </w:r>
      <w:r w:rsidRPr="00C20A94">
        <w:rPr>
          <w:rtl/>
        </w:rPr>
        <w:t xml:space="preserve"> بسبب عمليات </w:t>
      </w:r>
      <w:proofErr w:type="gramStart"/>
      <w:r w:rsidRPr="00C20A94">
        <w:rPr>
          <w:rtl/>
        </w:rPr>
        <w:t>الدمج</w:t>
      </w:r>
      <w:proofErr w:type="gramEnd"/>
      <w:r w:rsidRPr="00C20A94">
        <w:rPr>
          <w:rtl/>
        </w:rPr>
        <w:t xml:space="preserve"> أو مراجعة استراتيجية العمل أو عدم تسوية الرسوم أو لأسباب غير معلنة. وبالإضافة إلى ذلك، من المتوقع أن يسري مفعول انسحابين بحلول يونيو 2024.</w:t>
      </w:r>
    </w:p>
    <w:p w14:paraId="3DC3A04C" w14:textId="77777777" w:rsidR="00B4085D" w:rsidRPr="00C20A94" w:rsidRDefault="00B4085D" w:rsidP="00B4085D">
      <w:pPr>
        <w:rPr>
          <w:lang w:val="ar-SA" w:bidi="ar-EG"/>
        </w:rPr>
      </w:pPr>
      <w:r w:rsidRPr="00C20A94">
        <w:rPr>
          <w:rtl/>
        </w:rPr>
        <w:t xml:space="preserve">وينشأ النمو المستدام لعضوية قطاع تنمية الاتصالات عن تعزيز جهود التواصل من خلال عدة مسارات من الإجراءات مثل: جلب ضيوف/مراقبين إلى الأحداث </w:t>
      </w:r>
      <w:proofErr w:type="spellStart"/>
      <w:r w:rsidRPr="00C20A94">
        <w:rPr>
          <w:rtl/>
        </w:rPr>
        <w:t>المواضيعية</w:t>
      </w:r>
      <w:proofErr w:type="spellEnd"/>
      <w:r w:rsidRPr="00C20A94">
        <w:rPr>
          <w:rtl/>
        </w:rPr>
        <w:t xml:space="preserve"> الداخلية؛ والاستفادة من عرض قيمة الشراكة في مبادرات قطاع تنمية الاتصالات القائمة والمطلقة حديثاً في حزمة فوائد واحدة للعضوية والشراكة‎.</w:t>
      </w:r>
    </w:p>
    <w:p w14:paraId="14E95D27" w14:textId="77777777" w:rsidR="00B4085D" w:rsidRDefault="00B4085D" w:rsidP="00B4085D">
      <w:pPr>
        <w:rPr>
          <w:rtl/>
        </w:rPr>
      </w:pPr>
      <w:r w:rsidRPr="00C20A94">
        <w:rPr>
          <w:rtl/>
        </w:rPr>
        <w:t>وأخيراً، أتاح الاستخدام المكثف للأدوات القائمة على البيانات ولوحات المعلومات استهداف حسابات الأعضاء المعرضة للخطر، وإجراءات المتابعة لزيادة مستوى الوعي وإعادة المشاركة مما أدى إلى زيادة الاحتفاظ بالأعضاء ونمو صافي العضوية.</w:t>
      </w:r>
    </w:p>
    <w:p w14:paraId="57A756F7" w14:textId="77777777" w:rsidR="00B4085D" w:rsidRPr="00C20A94" w:rsidRDefault="00B4085D" w:rsidP="00B4085D">
      <w:pPr>
        <w:rPr>
          <w:lang w:val="ar-SA" w:bidi="ar-EG"/>
        </w:rPr>
      </w:pPr>
      <w:r w:rsidRPr="00C20A94">
        <w:rPr>
          <w:rtl/>
        </w:rPr>
        <w:t xml:space="preserve">ويمكن الاطلاع في الوثيقة </w:t>
      </w:r>
      <w:hyperlink r:id="rId11" w:history="1">
        <w:r w:rsidRPr="00C20A94">
          <w:rPr>
            <w:rStyle w:val="Hyperlink"/>
            <w:rtl/>
          </w:rPr>
          <w:t>TDAG-24/INF/2</w:t>
        </w:r>
      </w:hyperlink>
      <w:r w:rsidRPr="00C20A94">
        <w:rPr>
          <w:rtl/>
        </w:rPr>
        <w:t xml:space="preserve"> على قوائم حركة العضوية في عام 2023 (الأعضاء الجدد وفقدان الأعضاء) والتوقعات بحلول يونيو 2024.</w:t>
      </w:r>
    </w:p>
    <w:p w14:paraId="49C02B9B" w14:textId="77777777" w:rsidR="00B4085D" w:rsidRPr="00C55734" w:rsidRDefault="00B4085D" w:rsidP="00B4085D">
      <w:pPr>
        <w:pStyle w:val="Heading2"/>
        <w:rPr>
          <w:lang w:val="ar-SA" w:bidi="ar-EG"/>
        </w:rPr>
      </w:pPr>
      <w:r w:rsidRPr="00C55734">
        <w:t>2.2</w:t>
      </w:r>
      <w:r w:rsidRPr="00C55734">
        <w:tab/>
      </w:r>
      <w:r w:rsidRPr="00C55734">
        <w:rPr>
          <w:rtl/>
        </w:rPr>
        <w:t>طلبات الإعفاء من الرسوم</w:t>
      </w:r>
    </w:p>
    <w:p w14:paraId="6C55A608" w14:textId="77777777" w:rsidR="00B4085D" w:rsidRPr="00C20A94" w:rsidRDefault="00B4085D" w:rsidP="00B4085D">
      <w:pPr>
        <w:rPr>
          <w:lang w:val="ar-SA" w:bidi="ar-EG"/>
        </w:rPr>
      </w:pPr>
      <w:r w:rsidRPr="00C20A94">
        <w:rPr>
          <w:rtl/>
        </w:rPr>
        <w:t xml:space="preserve">واصل مكتب تنمية الاتصالات استعراض طلبات الإعفاء من الرسوم وفقاً للرقم 476 من الاتفاقية ووفقاً لمعايير مجلس الاتحاد التي يمكن الاطلاع عليها </w:t>
      </w:r>
      <w:hyperlink r:id="rId12" w:history="1">
        <w:r w:rsidRPr="00C20A94">
          <w:rPr>
            <w:rStyle w:val="Hyperlink"/>
            <w:rtl/>
          </w:rPr>
          <w:t>هنا</w:t>
        </w:r>
      </w:hyperlink>
      <w:r w:rsidRPr="00C20A94">
        <w:rPr>
          <w:rtl/>
        </w:rPr>
        <w:t xml:space="preserve">. ووافق مجلس الاتحاد في دورته لعام 2023 في يوليو على انضمام </w:t>
      </w:r>
      <w:r w:rsidRPr="00C20A94">
        <w:rPr>
          <w:b/>
          <w:bCs/>
          <w:rtl/>
        </w:rPr>
        <w:t>أربع</w:t>
      </w:r>
      <w:r w:rsidRPr="00C20A94">
        <w:rPr>
          <w:rtl/>
        </w:rPr>
        <w:t xml:space="preserve"> منظمات إلى قطاع تنمية الاتصالات كأعضاء معفيين كما يلي:</w:t>
      </w:r>
    </w:p>
    <w:p w14:paraId="2CCF811C" w14:textId="77777777" w:rsidR="00B4085D" w:rsidRPr="00C55734" w:rsidRDefault="00B4085D" w:rsidP="00B4085D">
      <w:pPr>
        <w:pStyle w:val="enumlev1"/>
        <w:rPr>
          <w:lang w:val="ar-SA" w:bidi="ar-EG"/>
        </w:rPr>
      </w:pPr>
      <w:r w:rsidRPr="00C55734">
        <w:t>-</w:t>
      </w:r>
      <w:r w:rsidRPr="00C55734">
        <w:tab/>
      </w:r>
      <w:r w:rsidRPr="00C55734">
        <w:rPr>
          <w:rtl/>
        </w:rPr>
        <w:t xml:space="preserve">المنظمة العربية للتربية والثقافة والعلوم </w:t>
      </w:r>
      <w:r w:rsidRPr="00C55734">
        <w:rPr>
          <w:lang w:bidi="ar-EG"/>
        </w:rPr>
        <w:t>(ALESCO</w:t>
      </w:r>
      <w:r w:rsidRPr="00C55734">
        <w:t>)</w:t>
      </w:r>
    </w:p>
    <w:p w14:paraId="2F98E0EC" w14:textId="77777777" w:rsidR="00B4085D" w:rsidRPr="00C55734" w:rsidRDefault="00B4085D" w:rsidP="00B4085D">
      <w:pPr>
        <w:pStyle w:val="enumlev1"/>
        <w:rPr>
          <w:lang w:val="ar-SA" w:bidi="ar-EG"/>
        </w:rPr>
      </w:pPr>
      <w:r w:rsidRPr="00C55734">
        <w:t>-</w:t>
      </w:r>
      <w:r w:rsidRPr="00C55734">
        <w:tab/>
      </w:r>
      <w:r w:rsidRPr="00C55734">
        <w:rPr>
          <w:rtl/>
        </w:rPr>
        <w:t xml:space="preserve">رابطة منظمي الاتصالات في الجنوب الإفريقي </w:t>
      </w:r>
      <w:r w:rsidRPr="00C55734">
        <w:rPr>
          <w:lang w:bidi="ar-EG"/>
        </w:rPr>
        <w:t>(CRASA</w:t>
      </w:r>
      <w:r w:rsidRPr="00C55734">
        <w:t>)</w:t>
      </w:r>
    </w:p>
    <w:p w14:paraId="16F977BB" w14:textId="77777777" w:rsidR="00B4085D" w:rsidRPr="00C55734" w:rsidRDefault="00B4085D" w:rsidP="00B4085D">
      <w:pPr>
        <w:pStyle w:val="enumlev1"/>
        <w:rPr>
          <w:lang w:val="ar-SA" w:bidi="ar-EG"/>
        </w:rPr>
      </w:pPr>
      <w:r w:rsidRPr="00C55734">
        <w:t>-</w:t>
      </w:r>
      <w:r w:rsidRPr="00C55734">
        <w:tab/>
      </w:r>
      <w:proofErr w:type="spellStart"/>
      <w:r w:rsidRPr="00C55734">
        <w:rPr>
          <w:rtl/>
        </w:rPr>
        <w:t>Global</w:t>
      </w:r>
      <w:proofErr w:type="spellEnd"/>
      <w:r w:rsidRPr="00C55734">
        <w:rPr>
          <w:rtl/>
        </w:rPr>
        <w:t xml:space="preserve"> </w:t>
      </w:r>
      <w:proofErr w:type="spellStart"/>
      <w:r w:rsidRPr="00C55734">
        <w:rPr>
          <w:rtl/>
        </w:rPr>
        <w:t>Impact</w:t>
      </w:r>
      <w:proofErr w:type="spellEnd"/>
      <w:r w:rsidRPr="00C55734">
        <w:rPr>
          <w:rtl/>
        </w:rPr>
        <w:t xml:space="preserve"> (الشراكة العالمية من أجل الشمول الرقمي)</w:t>
      </w:r>
    </w:p>
    <w:p w14:paraId="7B730B09" w14:textId="77777777" w:rsidR="00B4085D" w:rsidRPr="00C55734" w:rsidRDefault="00B4085D" w:rsidP="00B4085D">
      <w:pPr>
        <w:pStyle w:val="enumlev1"/>
        <w:rPr>
          <w:lang w:val="ar-SA" w:bidi="ar-EG"/>
        </w:rPr>
      </w:pPr>
      <w:r w:rsidRPr="00C55734">
        <w:t>-</w:t>
      </w:r>
      <w:r w:rsidRPr="00C55734">
        <w:tab/>
      </w:r>
      <w:r w:rsidRPr="00C55734">
        <w:rPr>
          <w:rtl/>
        </w:rPr>
        <w:t xml:space="preserve">الاتحاد العالمي للمنظمات الهندسية </w:t>
      </w:r>
      <w:r w:rsidRPr="00C55734">
        <w:rPr>
          <w:lang w:bidi="ar-EG"/>
        </w:rPr>
        <w:t>(WFEO</w:t>
      </w:r>
      <w:r w:rsidRPr="00C55734">
        <w:t>)</w:t>
      </w:r>
    </w:p>
    <w:p w14:paraId="077B4AC4" w14:textId="77777777" w:rsidR="00B4085D" w:rsidRPr="00C55734" w:rsidRDefault="00B4085D" w:rsidP="00B4085D">
      <w:pPr>
        <w:pStyle w:val="Heading2"/>
        <w:rPr>
          <w:lang w:val="ar-SA" w:bidi="ar-EG"/>
        </w:rPr>
      </w:pPr>
      <w:r w:rsidRPr="00C55734">
        <w:lastRenderedPageBreak/>
        <w:t>3.2</w:t>
      </w:r>
      <w:r w:rsidRPr="00C55734">
        <w:tab/>
      </w:r>
      <w:r w:rsidRPr="00C55734">
        <w:rPr>
          <w:rtl/>
        </w:rPr>
        <w:t>كيانات بانتظار الحصول على الموافقة</w:t>
      </w:r>
    </w:p>
    <w:p w14:paraId="1FEFE34C" w14:textId="436F69F6" w:rsidR="00B4085D" w:rsidRPr="00C55734" w:rsidRDefault="00B4085D" w:rsidP="00B4085D">
      <w:pPr>
        <w:spacing w:after="120"/>
      </w:pPr>
      <w:r w:rsidRPr="00C20A94">
        <w:rPr>
          <w:rtl/>
        </w:rPr>
        <w:t xml:space="preserve">بحلول فبراير 2024، كان </w:t>
      </w:r>
      <w:r w:rsidR="00410D14">
        <w:rPr>
          <w:rFonts w:hint="cs"/>
          <w:b/>
          <w:bCs/>
          <w:rtl/>
        </w:rPr>
        <w:t>تسعة</w:t>
      </w:r>
      <w:r w:rsidRPr="00C20A94">
        <w:rPr>
          <w:b/>
          <w:bCs/>
          <w:rtl/>
        </w:rPr>
        <w:t xml:space="preserve"> كياناً بانتظار الحصول على الموافقة </w:t>
      </w:r>
      <w:r w:rsidRPr="00C20A94">
        <w:rPr>
          <w:rtl/>
        </w:rPr>
        <w:t>من</w:t>
      </w:r>
      <w:r w:rsidRPr="00C20A94">
        <w:rPr>
          <w:b/>
          <w:bCs/>
          <w:rtl/>
        </w:rPr>
        <w:t xml:space="preserve"> إداراتها المعنية</w:t>
      </w:r>
      <w:r w:rsidRPr="00C20A94">
        <w:rPr>
          <w:rtl/>
        </w:rPr>
        <w:t xml:space="preserve"> بناء على تاريخ مراسلة الاتحاد. ونود أن نشكر إدارات كيانات القطاع الخاص التي نفهم أنها تولي الاهتمام الواجب للطلبات المقدمة إليها لاستعراض طلبات العضوية في القطاع، ونتطلع إلى الحصول على موافقتها أو قرارها بهذا الشأن.</w:t>
      </w:r>
    </w:p>
    <w:tbl>
      <w:tblPr>
        <w:tblStyle w:val="TableGrid1"/>
        <w:bidiVisual/>
        <w:tblW w:w="5006" w:type="pct"/>
        <w:jc w:val="center"/>
        <w:tblLayout w:type="fixed"/>
        <w:tblLook w:val="0420" w:firstRow="1" w:lastRow="0" w:firstColumn="0" w:lastColumn="0" w:noHBand="0" w:noVBand="1"/>
      </w:tblPr>
      <w:tblGrid>
        <w:gridCol w:w="2842"/>
        <w:gridCol w:w="5343"/>
        <w:gridCol w:w="1461"/>
      </w:tblGrid>
      <w:tr w:rsidR="00B4085D" w:rsidRPr="00C55734" w14:paraId="79A9E524" w14:textId="77777777" w:rsidTr="00410D14">
        <w:trPr>
          <w:cnfStyle w:val="100000000000" w:firstRow="1" w:lastRow="0" w:firstColumn="0" w:lastColumn="0" w:oddVBand="0" w:evenVBand="0" w:oddHBand="0" w:evenHBand="0" w:firstRowFirstColumn="0" w:firstRowLastColumn="0" w:lastRowFirstColumn="0" w:lastRowLastColumn="0"/>
          <w:trHeight w:val="510"/>
          <w:jc w:val="center"/>
        </w:trPr>
        <w:tc>
          <w:tcPr>
            <w:tcW w:w="2840" w:type="dxa"/>
            <w:tcBorders>
              <w:top w:val="nil"/>
              <w:left w:val="nil"/>
              <w:bottom w:val="single" w:sz="4" w:space="0" w:color="FFFFFF"/>
              <w:right w:val="single" w:sz="4" w:space="0" w:color="FFFFFF"/>
            </w:tcBorders>
            <w:vAlign w:val="center"/>
          </w:tcPr>
          <w:p w14:paraId="50EFA6E3" w14:textId="77777777" w:rsidR="00B4085D" w:rsidRPr="002D2CE8" w:rsidRDefault="00B4085D" w:rsidP="00227749">
            <w:pPr>
              <w:pStyle w:val="TableHead"/>
              <w:jc w:val="left"/>
              <w:rPr>
                <w:rFonts w:eastAsia="SimSun"/>
                <w:lang w:val="ar-SA" w:eastAsia="zh-TW" w:bidi="en-GB"/>
              </w:rPr>
            </w:pPr>
            <w:r w:rsidRPr="002D2CE8">
              <w:rPr>
                <w:rtl/>
              </w:rPr>
              <w:t>البلد</w:t>
            </w:r>
          </w:p>
        </w:tc>
        <w:tc>
          <w:tcPr>
            <w:tcW w:w="5340" w:type="dxa"/>
            <w:tcBorders>
              <w:top w:val="nil"/>
              <w:left w:val="single" w:sz="4" w:space="0" w:color="FFFFFF"/>
              <w:bottom w:val="single" w:sz="4" w:space="0" w:color="FFFFFF"/>
              <w:right w:val="single" w:sz="4" w:space="0" w:color="FFFFFF"/>
            </w:tcBorders>
            <w:vAlign w:val="center"/>
          </w:tcPr>
          <w:p w14:paraId="14E228DC" w14:textId="77777777" w:rsidR="00B4085D" w:rsidRPr="002D2CE8" w:rsidRDefault="00B4085D" w:rsidP="00227749">
            <w:pPr>
              <w:pStyle w:val="TableHead"/>
              <w:jc w:val="left"/>
              <w:rPr>
                <w:rFonts w:eastAsia="SimSun"/>
                <w:lang w:val="ar-SA" w:eastAsia="zh-TW" w:bidi="en-GB"/>
              </w:rPr>
            </w:pPr>
            <w:r w:rsidRPr="002D2CE8">
              <w:rPr>
                <w:rtl/>
              </w:rPr>
              <w:t>اسم الكيان</w:t>
            </w:r>
          </w:p>
        </w:tc>
        <w:tc>
          <w:tcPr>
            <w:tcW w:w="1460" w:type="dxa"/>
            <w:tcBorders>
              <w:top w:val="nil"/>
              <w:left w:val="single" w:sz="4" w:space="0" w:color="FFFFFF"/>
              <w:bottom w:val="single" w:sz="4" w:space="0" w:color="FFFFFF"/>
              <w:right w:val="single" w:sz="4" w:space="0" w:color="FFFFFF"/>
            </w:tcBorders>
            <w:vAlign w:val="center"/>
          </w:tcPr>
          <w:p w14:paraId="434643F5" w14:textId="77777777" w:rsidR="00B4085D" w:rsidRPr="002D2CE8" w:rsidRDefault="00B4085D" w:rsidP="00227749">
            <w:pPr>
              <w:pStyle w:val="TableHead"/>
              <w:jc w:val="left"/>
              <w:rPr>
                <w:rFonts w:eastAsia="SimSun"/>
                <w:lang w:val="ar-SA" w:eastAsia="zh-TW" w:bidi="en-GB"/>
              </w:rPr>
            </w:pPr>
            <w:r w:rsidRPr="002D2CE8">
              <w:rPr>
                <w:rtl/>
              </w:rPr>
              <w:t>نوع العضوية</w:t>
            </w:r>
          </w:p>
        </w:tc>
      </w:tr>
      <w:tr w:rsidR="00B4085D" w:rsidRPr="00C55734" w14:paraId="654108B0" w14:textId="77777777" w:rsidTr="00410D14">
        <w:trPr>
          <w:cnfStyle w:val="000000100000" w:firstRow="0" w:lastRow="0" w:firstColumn="0" w:lastColumn="0" w:oddVBand="0" w:evenVBand="0" w:oddHBand="1" w:evenHBand="0" w:firstRowFirstColumn="0" w:firstRowLastColumn="0" w:lastRowFirstColumn="0" w:lastRowLastColumn="0"/>
          <w:trHeight w:val="227"/>
          <w:jc w:val="center"/>
        </w:trPr>
        <w:tc>
          <w:tcPr>
            <w:tcW w:w="28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5C89FCD" w14:textId="77777777" w:rsidR="00B4085D" w:rsidRPr="002D2CE8" w:rsidRDefault="00B4085D" w:rsidP="00227749">
            <w:pPr>
              <w:pStyle w:val="Tabletexte"/>
              <w:rPr>
                <w:rFonts w:eastAsia="SimSun"/>
                <w:lang w:val="ar-SA" w:eastAsia="zh-TW" w:bidi="en-GB"/>
              </w:rPr>
            </w:pPr>
            <w:r w:rsidRPr="002D2CE8">
              <w:rPr>
                <w:rtl/>
              </w:rPr>
              <w:t>كينيا</w:t>
            </w:r>
          </w:p>
        </w:tc>
        <w:tc>
          <w:tcPr>
            <w:tcW w:w="53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CA7298D" w14:textId="77777777" w:rsidR="00B4085D" w:rsidRPr="002D2CE8" w:rsidRDefault="00B4085D" w:rsidP="00227749">
            <w:pPr>
              <w:pStyle w:val="Tabletexte"/>
              <w:rPr>
                <w:rFonts w:eastAsia="SimSun"/>
                <w:lang w:val="ar-SA" w:eastAsia="zh-TW" w:bidi="en-GB"/>
              </w:rPr>
            </w:pPr>
            <w:proofErr w:type="spellStart"/>
            <w:r w:rsidRPr="002D2CE8">
              <w:t>Adanian</w:t>
            </w:r>
            <w:proofErr w:type="spellEnd"/>
            <w:r w:rsidRPr="002D2CE8">
              <w:t xml:space="preserve"> Labs</w:t>
            </w:r>
          </w:p>
        </w:tc>
        <w:tc>
          <w:tcPr>
            <w:tcW w:w="146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3F1FB43" w14:textId="77777777" w:rsidR="00B4085D" w:rsidRPr="002D2CE8" w:rsidRDefault="00B4085D" w:rsidP="00227749">
            <w:pPr>
              <w:pStyle w:val="Tabletexte"/>
              <w:rPr>
                <w:color w:val="000000"/>
                <w:lang w:val="ar-SA" w:eastAsia="zh-TW" w:bidi="en-GB"/>
              </w:rPr>
            </w:pPr>
            <w:r w:rsidRPr="002D2CE8">
              <w:rPr>
                <w:rtl/>
              </w:rPr>
              <w:t>عضو قطاع</w:t>
            </w:r>
          </w:p>
        </w:tc>
      </w:tr>
      <w:tr w:rsidR="00B4085D" w:rsidRPr="00C55734" w14:paraId="25F6B198" w14:textId="77777777" w:rsidTr="00410D14">
        <w:trPr>
          <w:cnfStyle w:val="000000010000" w:firstRow="0" w:lastRow="0" w:firstColumn="0" w:lastColumn="0" w:oddVBand="0" w:evenVBand="0" w:oddHBand="0" w:evenHBand="1" w:firstRowFirstColumn="0" w:firstRowLastColumn="0" w:lastRowFirstColumn="0" w:lastRowLastColumn="0"/>
          <w:trHeight w:val="227"/>
          <w:jc w:val="center"/>
        </w:trPr>
        <w:tc>
          <w:tcPr>
            <w:tcW w:w="28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AF72F7E" w14:textId="77777777" w:rsidR="00B4085D" w:rsidRPr="002D2CE8" w:rsidRDefault="00B4085D" w:rsidP="00227749">
            <w:pPr>
              <w:pStyle w:val="Tabletexte"/>
              <w:rPr>
                <w:rFonts w:eastAsia="SimSun"/>
                <w:lang w:val="ar-SA" w:eastAsia="zh-TW" w:bidi="en-GB"/>
              </w:rPr>
            </w:pPr>
            <w:r w:rsidRPr="002D2CE8">
              <w:rPr>
                <w:rtl/>
              </w:rPr>
              <w:t>نيجيريا</w:t>
            </w:r>
          </w:p>
        </w:tc>
        <w:tc>
          <w:tcPr>
            <w:tcW w:w="53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7E5A94C" w14:textId="77777777" w:rsidR="00B4085D" w:rsidRPr="002D2CE8" w:rsidRDefault="00B4085D" w:rsidP="00227749">
            <w:pPr>
              <w:pStyle w:val="Tabletexte"/>
              <w:rPr>
                <w:rFonts w:eastAsia="SimSun"/>
                <w:lang w:val="ar-SA" w:eastAsia="zh-TW" w:bidi="en-GB"/>
              </w:rPr>
            </w:pPr>
            <w:r w:rsidRPr="002D2CE8">
              <w:t>M-</w:t>
            </w:r>
            <w:proofErr w:type="spellStart"/>
            <w:r w:rsidRPr="002D2CE8">
              <w:t>kel</w:t>
            </w:r>
            <w:proofErr w:type="spellEnd"/>
            <w:r w:rsidRPr="002D2CE8">
              <w:t xml:space="preserve"> Networks Limited</w:t>
            </w:r>
          </w:p>
        </w:tc>
        <w:tc>
          <w:tcPr>
            <w:tcW w:w="146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509CAF1C" w14:textId="77777777" w:rsidR="00B4085D" w:rsidRPr="002D2CE8" w:rsidRDefault="00B4085D" w:rsidP="00227749">
            <w:pPr>
              <w:pStyle w:val="Tabletexte"/>
              <w:rPr>
                <w:color w:val="000000"/>
                <w:lang w:val="ar-SA" w:eastAsia="zh-TW" w:bidi="en-GB"/>
              </w:rPr>
            </w:pPr>
            <w:r w:rsidRPr="002D2CE8">
              <w:rPr>
                <w:rtl/>
              </w:rPr>
              <w:t>عضو قطاع</w:t>
            </w:r>
          </w:p>
        </w:tc>
      </w:tr>
      <w:tr w:rsidR="00B4085D" w:rsidRPr="00C55734" w14:paraId="6E56F8A8" w14:textId="77777777" w:rsidTr="00410D14">
        <w:trPr>
          <w:cnfStyle w:val="000000100000" w:firstRow="0" w:lastRow="0" w:firstColumn="0" w:lastColumn="0" w:oddVBand="0" w:evenVBand="0" w:oddHBand="1" w:evenHBand="0" w:firstRowFirstColumn="0" w:firstRowLastColumn="0" w:lastRowFirstColumn="0" w:lastRowLastColumn="0"/>
          <w:trHeight w:val="227"/>
          <w:jc w:val="center"/>
        </w:trPr>
        <w:tc>
          <w:tcPr>
            <w:tcW w:w="28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407E7B1" w14:textId="77777777" w:rsidR="00B4085D" w:rsidRPr="002D2CE8" w:rsidRDefault="00B4085D" w:rsidP="00227749">
            <w:pPr>
              <w:pStyle w:val="Tabletexte"/>
              <w:rPr>
                <w:rFonts w:eastAsia="SimSun"/>
                <w:lang w:val="ar-SA" w:eastAsia="zh-TW" w:bidi="en-GB"/>
              </w:rPr>
            </w:pPr>
            <w:r w:rsidRPr="002D2CE8">
              <w:rPr>
                <w:rtl/>
              </w:rPr>
              <w:t>أنغولا</w:t>
            </w:r>
          </w:p>
        </w:tc>
        <w:tc>
          <w:tcPr>
            <w:tcW w:w="53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E50321D" w14:textId="77777777" w:rsidR="00B4085D" w:rsidRPr="002D2CE8" w:rsidRDefault="00B4085D" w:rsidP="00227749">
            <w:pPr>
              <w:pStyle w:val="Tabletexte"/>
              <w:rPr>
                <w:rFonts w:eastAsia="SimSun"/>
                <w:lang w:val="ar-SA" w:eastAsia="zh-TW" w:bidi="en-GB"/>
              </w:rPr>
            </w:pPr>
            <w:r w:rsidRPr="002D2CE8">
              <w:t>ELENGEAFRIKA</w:t>
            </w:r>
          </w:p>
        </w:tc>
        <w:tc>
          <w:tcPr>
            <w:tcW w:w="146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59F60F2" w14:textId="77777777" w:rsidR="00B4085D" w:rsidRPr="002D2CE8" w:rsidRDefault="00B4085D" w:rsidP="00227749">
            <w:pPr>
              <w:pStyle w:val="Tabletexte"/>
              <w:rPr>
                <w:color w:val="000000"/>
                <w:lang w:val="ar-SA" w:eastAsia="zh-TW" w:bidi="en-GB"/>
              </w:rPr>
            </w:pPr>
            <w:r w:rsidRPr="002D2CE8">
              <w:rPr>
                <w:rtl/>
              </w:rPr>
              <w:t>عضو قطاع</w:t>
            </w:r>
          </w:p>
        </w:tc>
      </w:tr>
      <w:tr w:rsidR="00B4085D" w:rsidRPr="00C55734" w14:paraId="7FE5BF1A" w14:textId="77777777" w:rsidTr="00410D14">
        <w:trPr>
          <w:cnfStyle w:val="000000010000" w:firstRow="0" w:lastRow="0" w:firstColumn="0" w:lastColumn="0" w:oddVBand="0" w:evenVBand="0" w:oddHBand="0" w:evenHBand="1" w:firstRowFirstColumn="0" w:firstRowLastColumn="0" w:lastRowFirstColumn="0" w:lastRowLastColumn="0"/>
          <w:trHeight w:val="227"/>
          <w:jc w:val="center"/>
        </w:trPr>
        <w:tc>
          <w:tcPr>
            <w:tcW w:w="28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98E2F95" w14:textId="77777777" w:rsidR="00B4085D" w:rsidRPr="002D2CE8" w:rsidRDefault="00B4085D" w:rsidP="00227749">
            <w:pPr>
              <w:pStyle w:val="Tabletexte"/>
              <w:rPr>
                <w:rFonts w:eastAsia="SimSun"/>
                <w:lang w:val="ar-SA" w:eastAsia="zh-TW" w:bidi="en-GB"/>
              </w:rPr>
            </w:pPr>
            <w:r w:rsidRPr="002D2CE8">
              <w:rPr>
                <w:rtl/>
              </w:rPr>
              <w:t>اليمن</w:t>
            </w:r>
          </w:p>
        </w:tc>
        <w:tc>
          <w:tcPr>
            <w:tcW w:w="53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EC425FE" w14:textId="77777777" w:rsidR="00B4085D" w:rsidRPr="002D2CE8" w:rsidRDefault="00B4085D" w:rsidP="00227749">
            <w:pPr>
              <w:pStyle w:val="Tabletexte"/>
              <w:rPr>
                <w:rFonts w:eastAsia="SimSun"/>
                <w:lang w:val="ar-SA" w:eastAsia="zh-TW" w:bidi="en-GB"/>
              </w:rPr>
            </w:pPr>
            <w:r w:rsidRPr="002D2CE8">
              <w:t>Yemen Mobile</w:t>
            </w:r>
          </w:p>
        </w:tc>
        <w:tc>
          <w:tcPr>
            <w:tcW w:w="146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5F26A53" w14:textId="77777777" w:rsidR="00B4085D" w:rsidRPr="002D2CE8" w:rsidRDefault="00B4085D" w:rsidP="00227749">
            <w:pPr>
              <w:pStyle w:val="Tabletexte"/>
              <w:rPr>
                <w:color w:val="000000"/>
                <w:lang w:val="ar-SA" w:eastAsia="zh-TW" w:bidi="en-GB"/>
              </w:rPr>
            </w:pPr>
            <w:r w:rsidRPr="002D2CE8">
              <w:rPr>
                <w:rtl/>
              </w:rPr>
              <w:t>عضو قطاع</w:t>
            </w:r>
          </w:p>
        </w:tc>
      </w:tr>
      <w:tr w:rsidR="00B4085D" w:rsidRPr="00C55734" w14:paraId="373F2B88" w14:textId="77777777" w:rsidTr="00410D14">
        <w:trPr>
          <w:cnfStyle w:val="000000100000" w:firstRow="0" w:lastRow="0" w:firstColumn="0" w:lastColumn="0" w:oddVBand="0" w:evenVBand="0" w:oddHBand="1" w:evenHBand="0" w:firstRowFirstColumn="0" w:firstRowLastColumn="0" w:lastRowFirstColumn="0" w:lastRowLastColumn="0"/>
          <w:trHeight w:val="227"/>
          <w:jc w:val="center"/>
        </w:trPr>
        <w:tc>
          <w:tcPr>
            <w:tcW w:w="28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BE13731" w14:textId="77777777" w:rsidR="00B4085D" w:rsidRPr="002D2CE8" w:rsidRDefault="00B4085D" w:rsidP="00227749">
            <w:pPr>
              <w:pStyle w:val="Tabletexte"/>
              <w:rPr>
                <w:rFonts w:eastAsia="SimSun"/>
                <w:lang w:val="ar-SA" w:eastAsia="zh-TW" w:bidi="en-GB"/>
              </w:rPr>
            </w:pPr>
            <w:r w:rsidRPr="002D2CE8">
              <w:rPr>
                <w:rtl/>
              </w:rPr>
              <w:t>أوغندا</w:t>
            </w:r>
          </w:p>
        </w:tc>
        <w:tc>
          <w:tcPr>
            <w:tcW w:w="53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A0F1842" w14:textId="77777777" w:rsidR="00B4085D" w:rsidRPr="002D2CE8" w:rsidRDefault="00B4085D" w:rsidP="00227749">
            <w:pPr>
              <w:pStyle w:val="Tabletexte"/>
              <w:rPr>
                <w:rFonts w:eastAsia="SimSun"/>
                <w:lang w:val="ar-SA" w:eastAsia="zh-TW" w:bidi="en-GB"/>
              </w:rPr>
            </w:pPr>
            <w:proofErr w:type="spellStart"/>
            <w:r w:rsidRPr="002D2CE8">
              <w:t>Lubcom</w:t>
            </w:r>
            <w:proofErr w:type="spellEnd"/>
            <w:r w:rsidRPr="002D2CE8">
              <w:t xml:space="preserve"> Tech. Solutions Limited</w:t>
            </w:r>
          </w:p>
        </w:tc>
        <w:tc>
          <w:tcPr>
            <w:tcW w:w="146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022846E" w14:textId="77777777" w:rsidR="00B4085D" w:rsidRPr="002D2CE8" w:rsidRDefault="00B4085D" w:rsidP="00227749">
            <w:pPr>
              <w:pStyle w:val="Tabletexte"/>
              <w:rPr>
                <w:color w:val="000000"/>
                <w:lang w:val="ar-SA" w:eastAsia="zh-TW" w:bidi="en-GB"/>
              </w:rPr>
            </w:pPr>
            <w:r w:rsidRPr="002D2CE8">
              <w:rPr>
                <w:rtl/>
              </w:rPr>
              <w:t>منتسب</w:t>
            </w:r>
          </w:p>
        </w:tc>
      </w:tr>
      <w:tr w:rsidR="00B4085D" w:rsidRPr="00C55734" w14:paraId="13FD28FD" w14:textId="77777777" w:rsidTr="00410D14">
        <w:trPr>
          <w:cnfStyle w:val="000000010000" w:firstRow="0" w:lastRow="0" w:firstColumn="0" w:lastColumn="0" w:oddVBand="0" w:evenVBand="0" w:oddHBand="0" w:evenHBand="1" w:firstRowFirstColumn="0" w:firstRowLastColumn="0" w:lastRowFirstColumn="0" w:lastRowLastColumn="0"/>
          <w:trHeight w:val="227"/>
          <w:jc w:val="center"/>
        </w:trPr>
        <w:tc>
          <w:tcPr>
            <w:tcW w:w="28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D75C365" w14:textId="77777777" w:rsidR="00B4085D" w:rsidRPr="002D2CE8" w:rsidRDefault="00B4085D" w:rsidP="00227749">
            <w:pPr>
              <w:pStyle w:val="Tabletexte"/>
              <w:rPr>
                <w:rFonts w:eastAsia="SimSun"/>
                <w:lang w:val="ar-SA" w:eastAsia="zh-TW" w:bidi="en-GB"/>
              </w:rPr>
            </w:pPr>
            <w:r w:rsidRPr="002D2CE8">
              <w:rPr>
                <w:rtl/>
              </w:rPr>
              <w:t>بابوا غينيا الجديدة</w:t>
            </w:r>
          </w:p>
        </w:tc>
        <w:tc>
          <w:tcPr>
            <w:tcW w:w="53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9D5BC00" w14:textId="77777777" w:rsidR="00B4085D" w:rsidRPr="002D2CE8" w:rsidRDefault="00B4085D" w:rsidP="00227749">
            <w:pPr>
              <w:pStyle w:val="Tabletexte"/>
              <w:rPr>
                <w:rFonts w:eastAsia="SimSun"/>
                <w:lang w:val="en-GB" w:eastAsia="zh-TW" w:bidi="en-GB"/>
              </w:rPr>
            </w:pPr>
            <w:r w:rsidRPr="002D2CE8">
              <w:t>South Pacific Systems Private Limited</w:t>
            </w:r>
          </w:p>
        </w:tc>
        <w:tc>
          <w:tcPr>
            <w:tcW w:w="146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79A42B0" w14:textId="77777777" w:rsidR="00B4085D" w:rsidRPr="002D2CE8" w:rsidRDefault="00B4085D" w:rsidP="00227749">
            <w:pPr>
              <w:pStyle w:val="Tabletexte"/>
              <w:rPr>
                <w:color w:val="000000"/>
                <w:lang w:val="ar-SA" w:eastAsia="zh-TW" w:bidi="en-GB"/>
              </w:rPr>
            </w:pPr>
            <w:r w:rsidRPr="002D2CE8">
              <w:rPr>
                <w:rtl/>
              </w:rPr>
              <w:t>عضو قطاع</w:t>
            </w:r>
          </w:p>
        </w:tc>
      </w:tr>
      <w:tr w:rsidR="00B4085D" w:rsidRPr="00C55734" w14:paraId="2C9D398A" w14:textId="77777777" w:rsidTr="00410D14">
        <w:trPr>
          <w:cnfStyle w:val="000000100000" w:firstRow="0" w:lastRow="0" w:firstColumn="0" w:lastColumn="0" w:oddVBand="0" w:evenVBand="0" w:oddHBand="1" w:evenHBand="0" w:firstRowFirstColumn="0" w:firstRowLastColumn="0" w:lastRowFirstColumn="0" w:lastRowLastColumn="0"/>
          <w:trHeight w:val="227"/>
          <w:jc w:val="center"/>
        </w:trPr>
        <w:tc>
          <w:tcPr>
            <w:tcW w:w="28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671E95C" w14:textId="77777777" w:rsidR="00B4085D" w:rsidRPr="002D2CE8" w:rsidRDefault="00B4085D" w:rsidP="00227749">
            <w:pPr>
              <w:pStyle w:val="Tabletexte"/>
              <w:rPr>
                <w:rFonts w:eastAsia="SimSun"/>
                <w:lang w:val="ar-SA" w:eastAsia="zh-TW" w:bidi="en-GB"/>
              </w:rPr>
            </w:pPr>
            <w:r w:rsidRPr="002D2CE8">
              <w:rPr>
                <w:rtl/>
              </w:rPr>
              <w:t>اليمن</w:t>
            </w:r>
          </w:p>
        </w:tc>
        <w:tc>
          <w:tcPr>
            <w:tcW w:w="53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B123C93" w14:textId="77777777" w:rsidR="00B4085D" w:rsidRPr="002D2CE8" w:rsidRDefault="00B4085D" w:rsidP="00227749">
            <w:pPr>
              <w:pStyle w:val="Tabletexte"/>
              <w:rPr>
                <w:rFonts w:eastAsia="SimSun"/>
                <w:lang w:val="ar-SA" w:eastAsia="zh-TW" w:bidi="en-GB"/>
              </w:rPr>
            </w:pPr>
            <w:r w:rsidRPr="002D2CE8">
              <w:rPr>
                <w:rtl/>
              </w:rPr>
              <w:t xml:space="preserve">المؤسسة الوطنية للتنمية والاستجابة الإنسانية </w:t>
            </w:r>
            <w:r w:rsidRPr="002D2CE8">
              <w:t>(NFDHR)</w:t>
            </w:r>
          </w:p>
        </w:tc>
        <w:tc>
          <w:tcPr>
            <w:tcW w:w="146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5AA982F" w14:textId="77777777" w:rsidR="00B4085D" w:rsidRPr="002D2CE8" w:rsidRDefault="00B4085D" w:rsidP="00227749">
            <w:pPr>
              <w:pStyle w:val="Tabletexte"/>
              <w:rPr>
                <w:color w:val="000000"/>
                <w:lang w:val="ar-SA" w:eastAsia="zh-TW" w:bidi="en-GB"/>
              </w:rPr>
            </w:pPr>
            <w:r w:rsidRPr="002D2CE8">
              <w:rPr>
                <w:rtl/>
              </w:rPr>
              <w:t>منتسب</w:t>
            </w:r>
          </w:p>
        </w:tc>
      </w:tr>
      <w:tr w:rsidR="00B4085D" w:rsidRPr="00C55734" w14:paraId="2CC8BEE6" w14:textId="77777777" w:rsidTr="00410D14">
        <w:trPr>
          <w:cnfStyle w:val="000000010000" w:firstRow="0" w:lastRow="0" w:firstColumn="0" w:lastColumn="0" w:oddVBand="0" w:evenVBand="0" w:oddHBand="0" w:evenHBand="1" w:firstRowFirstColumn="0" w:firstRowLastColumn="0" w:lastRowFirstColumn="0" w:lastRowLastColumn="0"/>
          <w:trHeight w:val="227"/>
          <w:jc w:val="center"/>
        </w:trPr>
        <w:tc>
          <w:tcPr>
            <w:tcW w:w="28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6B51D5B" w14:textId="77777777" w:rsidR="00B4085D" w:rsidRPr="002D2CE8" w:rsidRDefault="00B4085D" w:rsidP="00227749">
            <w:pPr>
              <w:pStyle w:val="Tabletexte"/>
              <w:rPr>
                <w:rFonts w:eastAsia="SimSun"/>
                <w:lang w:val="ar-SA" w:eastAsia="zh-TW" w:bidi="en-GB"/>
              </w:rPr>
            </w:pPr>
            <w:r w:rsidRPr="002D2CE8">
              <w:rPr>
                <w:rtl/>
              </w:rPr>
              <w:t>ملاوي</w:t>
            </w:r>
          </w:p>
        </w:tc>
        <w:tc>
          <w:tcPr>
            <w:tcW w:w="53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D33E4B5" w14:textId="77777777" w:rsidR="00B4085D" w:rsidRPr="002D2CE8" w:rsidRDefault="00B4085D" w:rsidP="00227749">
            <w:pPr>
              <w:pStyle w:val="Tabletexte"/>
              <w:rPr>
                <w:rFonts w:eastAsia="SimSun"/>
                <w:lang w:val="ar-SA" w:eastAsia="zh-TW" w:bidi="en-GB"/>
              </w:rPr>
            </w:pPr>
            <w:r w:rsidRPr="002D2CE8">
              <w:t>Fatha Hi-Tech Ltd</w:t>
            </w:r>
          </w:p>
        </w:tc>
        <w:tc>
          <w:tcPr>
            <w:tcW w:w="146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AD9B385" w14:textId="77777777" w:rsidR="00B4085D" w:rsidRPr="002D2CE8" w:rsidRDefault="00B4085D" w:rsidP="00227749">
            <w:pPr>
              <w:pStyle w:val="Tabletexte"/>
              <w:rPr>
                <w:color w:val="000000"/>
                <w:lang w:val="ar-SA" w:eastAsia="zh-TW" w:bidi="en-GB"/>
              </w:rPr>
            </w:pPr>
            <w:r w:rsidRPr="002D2CE8">
              <w:rPr>
                <w:rtl/>
              </w:rPr>
              <w:t>عضو قطاع</w:t>
            </w:r>
          </w:p>
        </w:tc>
      </w:tr>
      <w:tr w:rsidR="00B4085D" w:rsidRPr="00C55734" w14:paraId="1647F749" w14:textId="77777777" w:rsidTr="00410D14">
        <w:trPr>
          <w:cnfStyle w:val="000000100000" w:firstRow="0" w:lastRow="0" w:firstColumn="0" w:lastColumn="0" w:oddVBand="0" w:evenVBand="0" w:oddHBand="1" w:evenHBand="0" w:firstRowFirstColumn="0" w:firstRowLastColumn="0" w:lastRowFirstColumn="0" w:lastRowLastColumn="0"/>
          <w:trHeight w:val="227"/>
          <w:jc w:val="center"/>
        </w:trPr>
        <w:tc>
          <w:tcPr>
            <w:tcW w:w="28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C503F45" w14:textId="77777777" w:rsidR="00B4085D" w:rsidRPr="002D2CE8" w:rsidRDefault="00B4085D" w:rsidP="00227749">
            <w:pPr>
              <w:pStyle w:val="Tabletexte"/>
              <w:rPr>
                <w:rFonts w:eastAsia="SimSun"/>
                <w:lang w:val="ar-SA" w:eastAsia="zh-TW" w:bidi="en-GB"/>
              </w:rPr>
            </w:pPr>
            <w:r w:rsidRPr="002D2CE8">
              <w:rPr>
                <w:rtl/>
              </w:rPr>
              <w:t xml:space="preserve">جمهورية فنزويلا </w:t>
            </w:r>
            <w:proofErr w:type="spellStart"/>
            <w:r w:rsidRPr="002D2CE8">
              <w:rPr>
                <w:rtl/>
              </w:rPr>
              <w:t>البوليفارية</w:t>
            </w:r>
            <w:proofErr w:type="spellEnd"/>
          </w:p>
        </w:tc>
        <w:tc>
          <w:tcPr>
            <w:tcW w:w="534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D97F902" w14:textId="77777777" w:rsidR="00B4085D" w:rsidRPr="00B4085D" w:rsidRDefault="00B4085D" w:rsidP="00227749">
            <w:pPr>
              <w:pStyle w:val="Tabletexte"/>
              <w:rPr>
                <w:rFonts w:eastAsia="SimSun"/>
                <w:lang w:val="es-ES" w:eastAsia="zh-TW" w:bidi="en-GB"/>
              </w:rPr>
            </w:pPr>
            <w:r w:rsidRPr="00B4085D">
              <w:rPr>
                <w:lang w:val="es-ES"/>
              </w:rPr>
              <w:t>TELECOMUNICACIONES GRAN CARIBE, S.A.</w:t>
            </w:r>
          </w:p>
        </w:tc>
        <w:tc>
          <w:tcPr>
            <w:tcW w:w="1460"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A388B61" w14:textId="77777777" w:rsidR="00B4085D" w:rsidRPr="002D2CE8" w:rsidRDefault="00B4085D" w:rsidP="00227749">
            <w:pPr>
              <w:pStyle w:val="Tabletexte"/>
              <w:rPr>
                <w:color w:val="000000"/>
                <w:lang w:val="ar-SA" w:eastAsia="zh-TW" w:bidi="en-GB"/>
              </w:rPr>
            </w:pPr>
            <w:r w:rsidRPr="002D2CE8">
              <w:rPr>
                <w:rtl/>
              </w:rPr>
              <w:t>عضو قطاع</w:t>
            </w:r>
          </w:p>
        </w:tc>
      </w:tr>
    </w:tbl>
    <w:p w14:paraId="61E66656" w14:textId="77777777" w:rsidR="00B4085D" w:rsidRPr="00C55734" w:rsidRDefault="00B4085D" w:rsidP="00B4085D">
      <w:pPr>
        <w:pStyle w:val="Heading2"/>
        <w:spacing w:after="120"/>
        <w:rPr>
          <w:lang w:val="ar-SA" w:bidi="ar-EG"/>
        </w:rPr>
      </w:pPr>
      <w:r w:rsidRPr="00C55734">
        <w:rPr>
          <w:rtl/>
        </w:rPr>
        <w:t>4.2</w:t>
      </w:r>
      <w:r w:rsidRPr="00C55734">
        <w:rPr>
          <w:rtl/>
        </w:rPr>
        <w:tab/>
        <w:t>انضمام الهيئات الأكاديمية</w:t>
      </w:r>
      <w:r w:rsidRPr="00C55734">
        <w:rPr>
          <w:vertAlign w:val="superscript"/>
          <w:rtl/>
        </w:rPr>
        <w:footnoteReference w:id="3"/>
      </w:r>
    </w:p>
    <w:p w14:paraId="5EF0E1A2" w14:textId="77777777" w:rsidR="00B4085D" w:rsidRPr="00C55734" w:rsidRDefault="00B4085D" w:rsidP="00B4085D">
      <w:pPr>
        <w:pStyle w:val="Figure"/>
      </w:pPr>
      <w:r>
        <w:drawing>
          <wp:inline distT="0" distB="0" distL="0" distR="0" wp14:anchorId="717C3510" wp14:editId="450CACEF">
            <wp:extent cx="6047740" cy="2554605"/>
            <wp:effectExtent l="0" t="0" r="0" b="0"/>
            <wp:docPr id="5347944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740" cy="2554605"/>
                    </a:xfrm>
                    <a:prstGeom prst="rect">
                      <a:avLst/>
                    </a:prstGeom>
                    <a:noFill/>
                  </pic:spPr>
                </pic:pic>
              </a:graphicData>
            </a:graphic>
          </wp:inline>
        </w:drawing>
      </w:r>
    </w:p>
    <w:p w14:paraId="2B0D3748" w14:textId="1C459C15" w:rsidR="00410D14" w:rsidRPr="00410D14" w:rsidRDefault="00410D14" w:rsidP="00410D14">
      <w:r w:rsidRPr="00410D14">
        <w:rPr>
          <w:rtl/>
        </w:rPr>
        <w:t xml:space="preserve">يوضح </w:t>
      </w:r>
      <w:r w:rsidRPr="001407D5">
        <w:rPr>
          <w:bCs/>
          <w:rtl/>
        </w:rPr>
        <w:t>الشكل 3</w:t>
      </w:r>
      <w:r w:rsidRPr="00410D14">
        <w:rPr>
          <w:rtl/>
        </w:rPr>
        <w:t xml:space="preserve"> بالتفصيل انضمام وفقدان الهيئات الأكاديمية في عامي 2022 و2023. وبينما أظهر عام 2022 نمواً مناسباً، شهد عام 2023 عدداً أكبر من فقدان الهيئات الأكاديمية. ويمكن للهيئات الأكاديمية المشاركة في عمل القطاعات الثلاثة برسم واحد، بتمكنها من المساهمة في لجان الدراسات التابعة لجميع القطاعات. ومع ذلك، فقد أبلغت عن صعوبة في الحفاظ على الانضمام لفترة طويلة بسبب قيود الميزانية.</w:t>
      </w:r>
    </w:p>
    <w:p w14:paraId="350E8871" w14:textId="77777777" w:rsidR="00410D14" w:rsidRPr="00410D14" w:rsidRDefault="00410D14" w:rsidP="00410D14">
      <w:pPr>
        <w:rPr>
          <w:rtl/>
        </w:rPr>
      </w:pPr>
      <w:r w:rsidRPr="00410D14">
        <w:rPr>
          <w:rtl/>
        </w:rPr>
        <w:t xml:space="preserve">وللتعويض عن هذا الفقدان، تُبذل جهود توعية قوية باستمرار، بما في ذلك عن طريق تنظيم زيارات وجلسات إحاطة مع الدول الأعضاء المهتمة بتعزيز ودعم عضوية الهيئات الأكاديمية.‎ وجرى </w:t>
      </w:r>
      <w:r w:rsidRPr="00410D14">
        <w:rPr>
          <w:rFonts w:hint="eastAsia"/>
          <w:rtl/>
        </w:rPr>
        <w:t>تحديث</w:t>
      </w:r>
      <w:r w:rsidRPr="00410D14">
        <w:rPr>
          <w:rtl/>
        </w:rPr>
        <w:t xml:space="preserve"> </w:t>
      </w:r>
      <w:r w:rsidRPr="00410D14">
        <w:rPr>
          <w:rFonts w:hint="eastAsia"/>
          <w:rtl/>
        </w:rPr>
        <w:t>مزايا</w:t>
      </w:r>
      <w:r w:rsidRPr="00410D14">
        <w:rPr>
          <w:rtl/>
        </w:rPr>
        <w:t xml:space="preserve"> </w:t>
      </w:r>
      <w:r w:rsidRPr="00410D14">
        <w:rPr>
          <w:rFonts w:hint="eastAsia"/>
          <w:rtl/>
        </w:rPr>
        <w:t>الهيئات</w:t>
      </w:r>
      <w:r w:rsidRPr="00410D14">
        <w:rPr>
          <w:rtl/>
        </w:rPr>
        <w:t xml:space="preserve"> </w:t>
      </w:r>
      <w:r w:rsidRPr="00410D14">
        <w:rPr>
          <w:rFonts w:hint="eastAsia"/>
          <w:rtl/>
        </w:rPr>
        <w:t>الأكاديمية</w:t>
      </w:r>
      <w:r w:rsidRPr="00410D14">
        <w:rPr>
          <w:rtl/>
        </w:rPr>
        <w:t xml:space="preserve"> </w:t>
      </w:r>
      <w:r w:rsidRPr="00410D14">
        <w:rPr>
          <w:rFonts w:hint="eastAsia"/>
          <w:rtl/>
        </w:rPr>
        <w:t>على</w:t>
      </w:r>
      <w:r w:rsidRPr="00410D14">
        <w:rPr>
          <w:rtl/>
        </w:rPr>
        <w:t xml:space="preserve"> </w:t>
      </w:r>
      <w:r w:rsidRPr="00410D14">
        <w:rPr>
          <w:rFonts w:hint="eastAsia"/>
          <w:rtl/>
        </w:rPr>
        <w:t>نطاق</w:t>
      </w:r>
      <w:r w:rsidRPr="00410D14">
        <w:rPr>
          <w:rtl/>
        </w:rPr>
        <w:t xml:space="preserve"> </w:t>
      </w:r>
      <w:r w:rsidRPr="00410D14">
        <w:rPr>
          <w:rFonts w:hint="eastAsia"/>
          <w:rtl/>
        </w:rPr>
        <w:t>الاتحاد</w:t>
      </w:r>
      <w:r w:rsidRPr="00410D14">
        <w:rPr>
          <w:rtl/>
        </w:rPr>
        <w:t xml:space="preserve"> </w:t>
      </w:r>
      <w:r w:rsidRPr="00410D14">
        <w:rPr>
          <w:rFonts w:hint="eastAsia"/>
          <w:rtl/>
        </w:rPr>
        <w:t>في</w:t>
      </w:r>
      <w:r w:rsidRPr="00410D14">
        <w:rPr>
          <w:rtl/>
        </w:rPr>
        <w:t xml:space="preserve"> </w:t>
      </w:r>
      <w:r w:rsidRPr="00410D14">
        <w:rPr>
          <w:rFonts w:hint="eastAsia"/>
          <w:rtl/>
        </w:rPr>
        <w:t>الصفحة</w:t>
      </w:r>
      <w:r w:rsidRPr="00410D14">
        <w:rPr>
          <w:rtl/>
        </w:rPr>
        <w:t xml:space="preserve"> </w:t>
      </w:r>
      <w:r w:rsidRPr="00410D14">
        <w:rPr>
          <w:rFonts w:hint="eastAsia"/>
          <w:rtl/>
        </w:rPr>
        <w:t>الإلكترونية</w:t>
      </w:r>
      <w:r w:rsidRPr="00410D14">
        <w:rPr>
          <w:rtl/>
        </w:rPr>
        <w:t xml:space="preserve"> </w:t>
      </w:r>
      <w:r w:rsidRPr="00410D14">
        <w:rPr>
          <w:rFonts w:hint="eastAsia"/>
          <w:rtl/>
        </w:rPr>
        <w:t>ويجري</w:t>
      </w:r>
      <w:r w:rsidRPr="00410D14">
        <w:rPr>
          <w:rtl/>
        </w:rPr>
        <w:t xml:space="preserve"> </w:t>
      </w:r>
      <w:r w:rsidRPr="00410D14">
        <w:rPr>
          <w:rFonts w:hint="eastAsia"/>
          <w:rtl/>
        </w:rPr>
        <w:t>إنشاء</w:t>
      </w:r>
      <w:r w:rsidRPr="00410D14">
        <w:rPr>
          <w:rtl/>
        </w:rPr>
        <w:t xml:space="preserve"> </w:t>
      </w:r>
      <w:r w:rsidRPr="00410D14">
        <w:rPr>
          <w:rFonts w:hint="eastAsia"/>
          <w:rtl/>
        </w:rPr>
        <w:t>صفحة</w:t>
      </w:r>
      <w:r w:rsidRPr="00410D14">
        <w:rPr>
          <w:rtl/>
        </w:rPr>
        <w:t xml:space="preserve"> </w:t>
      </w:r>
      <w:r w:rsidRPr="00410D14">
        <w:rPr>
          <w:rFonts w:hint="eastAsia"/>
          <w:rtl/>
        </w:rPr>
        <w:t>مخصصة</w:t>
      </w:r>
      <w:r w:rsidRPr="00410D14">
        <w:rPr>
          <w:rtl/>
        </w:rPr>
        <w:t xml:space="preserve"> لمزايا </w:t>
      </w:r>
      <w:r w:rsidRPr="00410D14">
        <w:rPr>
          <w:rFonts w:hint="eastAsia"/>
          <w:rtl/>
        </w:rPr>
        <w:t>الهيئات</w:t>
      </w:r>
      <w:r w:rsidRPr="00410D14">
        <w:rPr>
          <w:rtl/>
        </w:rPr>
        <w:t xml:space="preserve"> </w:t>
      </w:r>
      <w:r w:rsidRPr="00410D14">
        <w:rPr>
          <w:rFonts w:hint="eastAsia"/>
          <w:rtl/>
        </w:rPr>
        <w:t>الأكاديمية</w:t>
      </w:r>
      <w:r w:rsidRPr="00410D14">
        <w:rPr>
          <w:rtl/>
        </w:rPr>
        <w:t>.</w:t>
      </w:r>
    </w:p>
    <w:p w14:paraId="0995353D" w14:textId="77777777" w:rsidR="00410D14" w:rsidRPr="00410D14" w:rsidRDefault="00410D14" w:rsidP="00410D14">
      <w:pPr>
        <w:rPr>
          <w:rtl/>
        </w:rPr>
      </w:pPr>
      <w:r w:rsidRPr="00410D14">
        <w:rPr>
          <w:rtl/>
        </w:rPr>
        <w:lastRenderedPageBreak/>
        <w:t xml:space="preserve">وفيما يتعلق بالمشاركة المحددة مع قطاع تنمية الاتصالات، جُرِّبت </w:t>
      </w:r>
      <w:r w:rsidRPr="00410D14">
        <w:rPr>
          <w:rFonts w:hint="eastAsia"/>
          <w:rtl/>
        </w:rPr>
        <w:t>ترتيبات</w:t>
      </w:r>
      <w:r w:rsidRPr="00410D14">
        <w:rPr>
          <w:rtl/>
        </w:rPr>
        <w:t xml:space="preserve"> </w:t>
      </w:r>
      <w:r w:rsidRPr="00410D14">
        <w:rPr>
          <w:rFonts w:hint="eastAsia"/>
          <w:rtl/>
        </w:rPr>
        <w:t>تعاونية</w:t>
      </w:r>
      <w:r w:rsidRPr="00410D14">
        <w:rPr>
          <w:rtl/>
        </w:rPr>
        <w:t xml:space="preserve"> </w:t>
      </w:r>
      <w:r w:rsidRPr="00410D14">
        <w:rPr>
          <w:rFonts w:hint="eastAsia"/>
          <w:rtl/>
        </w:rPr>
        <w:t>مع</w:t>
      </w:r>
      <w:r w:rsidRPr="00410D14">
        <w:rPr>
          <w:rtl/>
        </w:rPr>
        <w:t xml:space="preserve"> </w:t>
      </w:r>
      <w:r w:rsidRPr="00410D14">
        <w:rPr>
          <w:rFonts w:hint="eastAsia"/>
          <w:rtl/>
        </w:rPr>
        <w:t>الهيئات</w:t>
      </w:r>
      <w:r w:rsidRPr="00410D14">
        <w:rPr>
          <w:rtl/>
        </w:rPr>
        <w:t xml:space="preserve"> </w:t>
      </w:r>
      <w:r w:rsidRPr="00410D14">
        <w:rPr>
          <w:rFonts w:hint="eastAsia"/>
          <w:rtl/>
        </w:rPr>
        <w:t>الأكاديمية</w:t>
      </w:r>
      <w:r w:rsidRPr="00410D14">
        <w:rPr>
          <w:rtl/>
        </w:rPr>
        <w:t xml:space="preserve"> (</w:t>
      </w:r>
      <w:r w:rsidRPr="00410D14">
        <w:rPr>
          <w:rFonts w:hint="eastAsia"/>
          <w:rtl/>
        </w:rPr>
        <w:t>الأعضاء</w:t>
      </w:r>
      <w:r w:rsidRPr="00410D14">
        <w:rPr>
          <w:rtl/>
        </w:rPr>
        <w:t xml:space="preserve"> </w:t>
      </w:r>
      <w:r w:rsidRPr="00410D14">
        <w:rPr>
          <w:rFonts w:hint="eastAsia"/>
          <w:rtl/>
        </w:rPr>
        <w:t>وغير</w:t>
      </w:r>
      <w:r w:rsidRPr="00410D14">
        <w:rPr>
          <w:rtl/>
        </w:rPr>
        <w:t xml:space="preserve"> </w:t>
      </w:r>
      <w:r w:rsidRPr="00410D14">
        <w:rPr>
          <w:rFonts w:hint="eastAsia"/>
          <w:rtl/>
        </w:rPr>
        <w:t>الأعضاء</w:t>
      </w:r>
      <w:r w:rsidRPr="00410D14">
        <w:rPr>
          <w:rtl/>
        </w:rPr>
        <w:t xml:space="preserve"> </w:t>
      </w:r>
      <w:r w:rsidRPr="00410D14">
        <w:rPr>
          <w:rFonts w:hint="eastAsia"/>
          <w:rtl/>
        </w:rPr>
        <w:t>على</w:t>
      </w:r>
      <w:r w:rsidRPr="00410D14">
        <w:rPr>
          <w:rtl/>
        </w:rPr>
        <w:t xml:space="preserve"> </w:t>
      </w:r>
      <w:r w:rsidRPr="00410D14">
        <w:rPr>
          <w:rFonts w:hint="eastAsia"/>
          <w:rtl/>
        </w:rPr>
        <w:t>حد</w:t>
      </w:r>
      <w:r w:rsidRPr="00410D14">
        <w:rPr>
          <w:rtl/>
        </w:rPr>
        <w:t xml:space="preserve"> </w:t>
      </w:r>
      <w:r w:rsidRPr="00410D14">
        <w:rPr>
          <w:rFonts w:hint="eastAsia"/>
          <w:rtl/>
        </w:rPr>
        <w:t>سواء</w:t>
      </w:r>
      <w:r w:rsidRPr="00410D14">
        <w:rPr>
          <w:rtl/>
        </w:rPr>
        <w:t xml:space="preserve">) </w:t>
      </w:r>
      <w:r w:rsidRPr="00410D14">
        <w:rPr>
          <w:rFonts w:hint="eastAsia"/>
          <w:rtl/>
        </w:rPr>
        <w:t>لتطوير</w:t>
      </w:r>
      <w:r w:rsidRPr="00410D14">
        <w:rPr>
          <w:rtl/>
        </w:rPr>
        <w:t xml:space="preserve"> </w:t>
      </w:r>
      <w:r w:rsidRPr="00410D14">
        <w:rPr>
          <w:rFonts w:hint="eastAsia"/>
          <w:rtl/>
        </w:rPr>
        <w:t>الدراسات</w:t>
      </w:r>
      <w:r w:rsidRPr="00410D14">
        <w:rPr>
          <w:rtl/>
        </w:rPr>
        <w:t xml:space="preserve"> </w:t>
      </w:r>
      <w:r w:rsidRPr="00410D14">
        <w:rPr>
          <w:rFonts w:hint="eastAsia"/>
          <w:rtl/>
        </w:rPr>
        <w:t>والبحوث</w:t>
      </w:r>
      <w:r w:rsidRPr="00410D14">
        <w:rPr>
          <w:rtl/>
        </w:rPr>
        <w:t xml:space="preserve"> </w:t>
      </w:r>
      <w:r w:rsidRPr="00410D14">
        <w:rPr>
          <w:rFonts w:hint="eastAsia"/>
          <w:rtl/>
        </w:rPr>
        <w:t>المشتركة</w:t>
      </w:r>
      <w:r w:rsidRPr="00410D14">
        <w:rPr>
          <w:rtl/>
        </w:rPr>
        <w:t xml:space="preserve">. </w:t>
      </w:r>
      <w:r w:rsidRPr="00410D14">
        <w:rPr>
          <w:rFonts w:hint="eastAsia"/>
          <w:rtl/>
        </w:rPr>
        <w:t>وعلاوة</w:t>
      </w:r>
      <w:r w:rsidRPr="00410D14">
        <w:rPr>
          <w:rtl/>
        </w:rPr>
        <w:t xml:space="preserve"> </w:t>
      </w:r>
      <w:r w:rsidRPr="00410D14">
        <w:rPr>
          <w:rFonts w:hint="eastAsia"/>
          <w:rtl/>
        </w:rPr>
        <w:t>على</w:t>
      </w:r>
      <w:r w:rsidRPr="00410D14">
        <w:rPr>
          <w:rtl/>
        </w:rPr>
        <w:t xml:space="preserve"> </w:t>
      </w:r>
      <w:r w:rsidRPr="00410D14">
        <w:rPr>
          <w:rFonts w:hint="eastAsia"/>
          <w:rtl/>
        </w:rPr>
        <w:t>ذلك،</w:t>
      </w:r>
      <w:r w:rsidRPr="00410D14">
        <w:rPr>
          <w:rtl/>
        </w:rPr>
        <w:t xml:space="preserve"> </w:t>
      </w:r>
      <w:r w:rsidRPr="00410D14">
        <w:rPr>
          <w:rFonts w:hint="eastAsia"/>
          <w:rtl/>
        </w:rPr>
        <w:t>تواصل</w:t>
      </w:r>
      <w:r w:rsidRPr="00410D14">
        <w:rPr>
          <w:rtl/>
        </w:rPr>
        <w:t xml:space="preserve"> </w:t>
      </w:r>
      <w:r w:rsidRPr="00410D14">
        <w:rPr>
          <w:rFonts w:hint="eastAsia"/>
          <w:rtl/>
        </w:rPr>
        <w:t>أكاديمية</w:t>
      </w:r>
      <w:r w:rsidRPr="00410D14">
        <w:rPr>
          <w:rtl/>
        </w:rPr>
        <w:t xml:space="preserve"> </w:t>
      </w:r>
      <w:r w:rsidRPr="00410D14">
        <w:rPr>
          <w:rFonts w:hint="eastAsia"/>
          <w:rtl/>
        </w:rPr>
        <w:t>الاتحاد</w:t>
      </w:r>
      <w:r w:rsidRPr="00410D14">
        <w:rPr>
          <w:rtl/>
        </w:rPr>
        <w:t xml:space="preserve"> إتاحة </w:t>
      </w:r>
      <w:r w:rsidRPr="00410D14">
        <w:rPr>
          <w:rFonts w:hint="eastAsia"/>
          <w:rtl/>
        </w:rPr>
        <w:t>فرص</w:t>
      </w:r>
      <w:r w:rsidRPr="00410D14">
        <w:rPr>
          <w:rtl/>
        </w:rPr>
        <w:t xml:space="preserve"> </w:t>
      </w:r>
      <w:r w:rsidRPr="00410D14">
        <w:rPr>
          <w:rFonts w:hint="eastAsia"/>
          <w:rtl/>
        </w:rPr>
        <w:t>الشراكة</w:t>
      </w:r>
      <w:r w:rsidRPr="00410D14">
        <w:rPr>
          <w:rtl/>
        </w:rPr>
        <w:t xml:space="preserve"> </w:t>
      </w:r>
      <w:r w:rsidRPr="00410D14">
        <w:rPr>
          <w:rFonts w:hint="eastAsia"/>
          <w:rtl/>
        </w:rPr>
        <w:t>مع</w:t>
      </w:r>
      <w:r w:rsidRPr="00410D14">
        <w:rPr>
          <w:rtl/>
        </w:rPr>
        <w:t xml:space="preserve"> </w:t>
      </w:r>
      <w:r w:rsidRPr="00410D14">
        <w:rPr>
          <w:rFonts w:hint="eastAsia"/>
          <w:rtl/>
        </w:rPr>
        <w:t>الهيئات</w:t>
      </w:r>
      <w:r w:rsidRPr="00410D14">
        <w:rPr>
          <w:rtl/>
        </w:rPr>
        <w:t xml:space="preserve"> </w:t>
      </w:r>
      <w:r w:rsidRPr="00410D14">
        <w:rPr>
          <w:rFonts w:hint="eastAsia"/>
          <w:rtl/>
        </w:rPr>
        <w:t>الأكاديمية</w:t>
      </w:r>
      <w:r w:rsidRPr="00410D14">
        <w:rPr>
          <w:rtl/>
        </w:rPr>
        <w:t xml:space="preserve"> </w:t>
      </w:r>
      <w:r w:rsidRPr="00410D14">
        <w:rPr>
          <w:rFonts w:hint="eastAsia"/>
          <w:rtl/>
        </w:rPr>
        <w:t>لتقديم</w:t>
      </w:r>
      <w:r w:rsidRPr="00410D14">
        <w:rPr>
          <w:rtl/>
        </w:rPr>
        <w:t xml:space="preserve"> </w:t>
      </w:r>
      <w:r w:rsidRPr="00410D14">
        <w:rPr>
          <w:rFonts w:hint="eastAsia"/>
          <w:rtl/>
        </w:rPr>
        <w:t>برامج</w:t>
      </w:r>
      <w:r w:rsidRPr="00410D14">
        <w:rPr>
          <w:rtl/>
        </w:rPr>
        <w:t xml:space="preserve"> </w:t>
      </w:r>
      <w:r w:rsidRPr="00410D14">
        <w:rPr>
          <w:rFonts w:hint="eastAsia"/>
          <w:rtl/>
        </w:rPr>
        <w:t>التدريب</w:t>
      </w:r>
      <w:r w:rsidRPr="00410D14">
        <w:rPr>
          <w:rtl/>
        </w:rPr>
        <w:t xml:space="preserve"> </w:t>
      </w:r>
      <w:r w:rsidRPr="00410D14">
        <w:rPr>
          <w:rFonts w:hint="eastAsia"/>
          <w:rtl/>
        </w:rPr>
        <w:t>التي</w:t>
      </w:r>
      <w:r w:rsidRPr="00410D14">
        <w:rPr>
          <w:rtl/>
        </w:rPr>
        <w:t xml:space="preserve"> </w:t>
      </w:r>
      <w:r w:rsidRPr="00410D14">
        <w:rPr>
          <w:rFonts w:hint="eastAsia"/>
          <w:rtl/>
        </w:rPr>
        <w:t>ينظمها</w:t>
      </w:r>
      <w:r w:rsidRPr="00410D14">
        <w:rPr>
          <w:rtl/>
        </w:rPr>
        <w:t xml:space="preserve"> </w:t>
      </w:r>
      <w:r w:rsidRPr="00410D14">
        <w:rPr>
          <w:rFonts w:hint="eastAsia"/>
          <w:rtl/>
        </w:rPr>
        <w:t>الاتحاد</w:t>
      </w:r>
      <w:r w:rsidRPr="00410D14">
        <w:rPr>
          <w:rtl/>
        </w:rPr>
        <w:t xml:space="preserve"> </w:t>
      </w:r>
      <w:r w:rsidRPr="00410D14">
        <w:rPr>
          <w:rFonts w:hint="eastAsia"/>
          <w:rtl/>
        </w:rPr>
        <w:t>أو</w:t>
      </w:r>
      <w:r w:rsidRPr="00410D14">
        <w:rPr>
          <w:rtl/>
        </w:rPr>
        <w:t xml:space="preserve"> </w:t>
      </w:r>
      <w:r w:rsidRPr="00410D14">
        <w:rPr>
          <w:rFonts w:hint="eastAsia"/>
          <w:rtl/>
        </w:rPr>
        <w:t>المشاركة</w:t>
      </w:r>
      <w:r w:rsidRPr="00410D14">
        <w:rPr>
          <w:rtl/>
        </w:rPr>
        <w:t xml:space="preserve"> </w:t>
      </w:r>
      <w:r w:rsidRPr="00410D14">
        <w:rPr>
          <w:rFonts w:hint="eastAsia"/>
          <w:rtl/>
        </w:rPr>
        <w:t>في</w:t>
      </w:r>
      <w:r w:rsidRPr="00410D14">
        <w:rPr>
          <w:rtl/>
        </w:rPr>
        <w:t xml:space="preserve"> </w:t>
      </w:r>
      <w:r w:rsidRPr="00410D14">
        <w:rPr>
          <w:rFonts w:hint="eastAsia"/>
          <w:rtl/>
        </w:rPr>
        <w:t>تقديم</w:t>
      </w:r>
      <w:r w:rsidRPr="00410D14">
        <w:rPr>
          <w:rtl/>
        </w:rPr>
        <w:t xml:space="preserve"> </w:t>
      </w:r>
      <w:r w:rsidRPr="00410D14">
        <w:rPr>
          <w:rFonts w:hint="eastAsia"/>
          <w:rtl/>
        </w:rPr>
        <w:t>دورات</w:t>
      </w:r>
      <w:r w:rsidRPr="00410D14">
        <w:rPr>
          <w:rtl/>
        </w:rPr>
        <w:t xml:space="preserve"> </w:t>
      </w:r>
      <w:r w:rsidRPr="00410D14">
        <w:rPr>
          <w:rFonts w:hint="eastAsia"/>
          <w:rtl/>
        </w:rPr>
        <w:t>محددة</w:t>
      </w:r>
      <w:r w:rsidRPr="00410D14">
        <w:rPr>
          <w:rtl/>
        </w:rPr>
        <w:t xml:space="preserve">. </w:t>
      </w:r>
      <w:r w:rsidRPr="00410D14">
        <w:rPr>
          <w:rFonts w:hint="eastAsia"/>
          <w:rtl/>
        </w:rPr>
        <w:t>ويمكن</w:t>
      </w:r>
      <w:r w:rsidRPr="00410D14">
        <w:rPr>
          <w:rtl/>
        </w:rPr>
        <w:t xml:space="preserve"> </w:t>
      </w:r>
      <w:r w:rsidRPr="00410D14">
        <w:rPr>
          <w:rFonts w:hint="eastAsia"/>
          <w:rtl/>
        </w:rPr>
        <w:t>الاطلاع في</w:t>
      </w:r>
      <w:r w:rsidRPr="00410D14">
        <w:rPr>
          <w:rtl/>
        </w:rPr>
        <w:t xml:space="preserve"> </w:t>
      </w:r>
      <w:r w:rsidRPr="00410D14">
        <w:rPr>
          <w:rFonts w:hint="eastAsia"/>
          <w:rtl/>
        </w:rPr>
        <w:t>الملحق</w:t>
      </w:r>
      <w:r w:rsidRPr="00410D14">
        <w:rPr>
          <w:rtl/>
        </w:rPr>
        <w:t xml:space="preserve"> 1 </w:t>
      </w:r>
      <w:r w:rsidRPr="00410D14">
        <w:rPr>
          <w:rFonts w:hint="eastAsia"/>
          <w:rtl/>
        </w:rPr>
        <w:t>على</w:t>
      </w:r>
      <w:r w:rsidRPr="00410D14">
        <w:rPr>
          <w:rtl/>
        </w:rPr>
        <w:t xml:space="preserve"> </w:t>
      </w:r>
      <w:r w:rsidRPr="00410D14">
        <w:rPr>
          <w:rFonts w:hint="eastAsia"/>
          <w:rtl/>
        </w:rPr>
        <w:t>تفاصيل</w:t>
      </w:r>
      <w:r w:rsidRPr="00410D14">
        <w:rPr>
          <w:rtl/>
        </w:rPr>
        <w:t xml:space="preserve"> أوفى </w:t>
      </w:r>
      <w:r w:rsidRPr="00410D14">
        <w:rPr>
          <w:rFonts w:hint="eastAsia"/>
          <w:rtl/>
        </w:rPr>
        <w:t>بشأن</w:t>
      </w:r>
      <w:r w:rsidRPr="00410D14">
        <w:rPr>
          <w:rtl/>
        </w:rPr>
        <w:t xml:space="preserve"> </w:t>
      </w:r>
      <w:r w:rsidRPr="00410D14">
        <w:rPr>
          <w:rFonts w:hint="eastAsia"/>
          <w:rtl/>
        </w:rPr>
        <w:t>الفرص</w:t>
      </w:r>
      <w:r w:rsidRPr="00410D14">
        <w:rPr>
          <w:rtl/>
        </w:rPr>
        <w:t xml:space="preserve"> </w:t>
      </w:r>
      <w:r w:rsidRPr="00410D14">
        <w:rPr>
          <w:rFonts w:hint="eastAsia"/>
          <w:rtl/>
        </w:rPr>
        <w:t>والمشاركة</w:t>
      </w:r>
      <w:r w:rsidRPr="00410D14">
        <w:rPr>
          <w:rtl/>
        </w:rPr>
        <w:t xml:space="preserve"> </w:t>
      </w:r>
      <w:r w:rsidRPr="00410D14">
        <w:rPr>
          <w:rFonts w:hint="eastAsia"/>
          <w:rtl/>
        </w:rPr>
        <w:t>الحالية</w:t>
      </w:r>
      <w:r w:rsidRPr="00410D14">
        <w:rPr>
          <w:rtl/>
        </w:rPr>
        <w:t xml:space="preserve"> </w:t>
      </w:r>
      <w:r w:rsidRPr="00410D14">
        <w:rPr>
          <w:rFonts w:hint="eastAsia"/>
          <w:rtl/>
        </w:rPr>
        <w:t>للتكرار</w:t>
      </w:r>
      <w:r w:rsidRPr="00410D14">
        <w:rPr>
          <w:rtl/>
        </w:rPr>
        <w:t xml:space="preserve"> </w:t>
      </w:r>
      <w:r w:rsidRPr="00410D14">
        <w:rPr>
          <w:rFonts w:hint="eastAsia"/>
          <w:rtl/>
        </w:rPr>
        <w:t>مع</w:t>
      </w:r>
      <w:r w:rsidRPr="00410D14">
        <w:rPr>
          <w:rtl/>
        </w:rPr>
        <w:t xml:space="preserve"> </w:t>
      </w:r>
      <w:r w:rsidRPr="00410D14">
        <w:rPr>
          <w:rFonts w:hint="eastAsia"/>
          <w:rtl/>
        </w:rPr>
        <w:t>الهيئات</w:t>
      </w:r>
      <w:r w:rsidRPr="00410D14">
        <w:rPr>
          <w:rtl/>
        </w:rPr>
        <w:t xml:space="preserve"> </w:t>
      </w:r>
      <w:r w:rsidRPr="00410D14">
        <w:rPr>
          <w:rFonts w:hint="eastAsia"/>
          <w:rtl/>
        </w:rPr>
        <w:t>الأكاديمية</w:t>
      </w:r>
      <w:r w:rsidRPr="00410D14">
        <w:rPr>
          <w:rtl/>
        </w:rPr>
        <w:t xml:space="preserve"> </w:t>
      </w:r>
      <w:r w:rsidRPr="00410D14">
        <w:rPr>
          <w:rFonts w:hint="eastAsia"/>
          <w:rtl/>
        </w:rPr>
        <w:t xml:space="preserve">المنتسبة </w:t>
      </w:r>
      <w:r w:rsidRPr="00410D14">
        <w:rPr>
          <w:rtl/>
        </w:rPr>
        <w:t xml:space="preserve">وتلك </w:t>
      </w:r>
      <w:r w:rsidRPr="00410D14">
        <w:rPr>
          <w:rFonts w:hint="eastAsia"/>
          <w:rtl/>
        </w:rPr>
        <w:t>غير</w:t>
      </w:r>
      <w:r w:rsidRPr="00410D14">
        <w:rPr>
          <w:rtl/>
        </w:rPr>
        <w:t xml:space="preserve"> </w:t>
      </w:r>
      <w:r w:rsidRPr="00410D14">
        <w:rPr>
          <w:rFonts w:hint="eastAsia"/>
          <w:rtl/>
        </w:rPr>
        <w:t>المنتسبة</w:t>
      </w:r>
      <w:r w:rsidRPr="00410D14">
        <w:rPr>
          <w:rtl/>
        </w:rPr>
        <w:t xml:space="preserve"> </w:t>
      </w:r>
      <w:r w:rsidRPr="00410D14">
        <w:rPr>
          <w:rFonts w:hint="eastAsia"/>
          <w:rtl/>
        </w:rPr>
        <w:t>للاتحاد</w:t>
      </w:r>
      <w:r w:rsidRPr="00410D14">
        <w:rPr>
          <w:rtl/>
        </w:rPr>
        <w:t>.</w:t>
      </w:r>
    </w:p>
    <w:p w14:paraId="34DCC7E9" w14:textId="77777777" w:rsidR="00B4085D" w:rsidRPr="00C55734" w:rsidRDefault="00B4085D" w:rsidP="00B4085D">
      <w:pPr>
        <w:pStyle w:val="Heading1"/>
        <w:rPr>
          <w:lang w:val="ar-SA" w:bidi="ar-EG"/>
        </w:rPr>
      </w:pPr>
      <w:r w:rsidRPr="00C55734">
        <w:t>3</w:t>
      </w:r>
      <w:r w:rsidRPr="00C55734">
        <w:tab/>
      </w:r>
      <w:r w:rsidRPr="00C55734">
        <w:rPr>
          <w:rtl/>
        </w:rPr>
        <w:t>المشاركة والاحتفاظ والترويج والتواصل</w:t>
      </w:r>
    </w:p>
    <w:p w14:paraId="14EE0E4A" w14:textId="77777777" w:rsidR="00B4085D" w:rsidRDefault="00B4085D" w:rsidP="00B4085D">
      <w:pPr>
        <w:pStyle w:val="enumlev1"/>
        <w:rPr>
          <w:rtl/>
        </w:rPr>
      </w:pPr>
      <w:r w:rsidRPr="00C55734">
        <w:rPr>
          <w:rtl/>
        </w:rPr>
        <w:t>-</w:t>
      </w:r>
      <w:r w:rsidRPr="00C55734">
        <w:rPr>
          <w:rtl/>
        </w:rPr>
        <w:tab/>
        <w:t xml:space="preserve">نفذ مكتب تنمية الاتصالات عدة إجراءات ترمي إلى تعزيز </w:t>
      </w:r>
      <w:r w:rsidRPr="00506C53">
        <w:rPr>
          <w:b/>
          <w:bCs/>
          <w:rtl/>
        </w:rPr>
        <w:t>جهود التواصل والمشاركة</w:t>
      </w:r>
      <w:r w:rsidRPr="00C55734">
        <w:rPr>
          <w:rtl/>
        </w:rPr>
        <w:t xml:space="preserve"> من خلال الحملات الترويجية والتواصل المستهدف مع جماهير أوسع في المعارض التكنولوجية العالمية. ‏ وركز المكتب أيضاً على تحويل المنصات القائمة ضمن حافظة منتجات وخدمات قطاع تنمية الاتصالات إلى قنوات فعالة للتواصل مع الأعضاء. وعقد عدد متزايد من جلسات الإحاطة مع خبراء متخصصين وأعضاء قطاع تنمية الاتصالات (حضورياً وافتراضياً) طوال عام</w:t>
      </w:r>
      <w:r>
        <w:rPr>
          <w:rFonts w:hint="cs"/>
          <w:rtl/>
        </w:rPr>
        <w:t> </w:t>
      </w:r>
      <w:r w:rsidRPr="00C55734">
        <w:rPr>
          <w:rtl/>
        </w:rPr>
        <w:t>2023، مما أدى إلى زيادة الوعي بمجالات المشاركة.</w:t>
      </w:r>
    </w:p>
    <w:p w14:paraId="0BA6DBCB" w14:textId="77777777" w:rsidR="00B4085D" w:rsidRDefault="00B4085D" w:rsidP="00B4085D">
      <w:pPr>
        <w:pStyle w:val="enumlev1"/>
        <w:rPr>
          <w:rtl/>
        </w:rPr>
      </w:pPr>
      <w:r w:rsidRPr="00C55734">
        <w:rPr>
          <w:rtl/>
        </w:rPr>
        <w:t>-</w:t>
      </w:r>
      <w:r w:rsidRPr="00C55734">
        <w:rPr>
          <w:rtl/>
        </w:rPr>
        <w:tab/>
        <w:t xml:space="preserve">وعلى وجه الخصوص، </w:t>
      </w:r>
      <w:r w:rsidRPr="00363411">
        <w:rPr>
          <w:rtl/>
        </w:rPr>
        <w:t>عقد اجتماع</w:t>
      </w:r>
      <w:r w:rsidRPr="00363411">
        <w:rPr>
          <w:b/>
          <w:bCs/>
          <w:rtl/>
        </w:rPr>
        <w:t xml:space="preserve"> الفريق الاستشاري للصناعة المعني بقضايا التنمية واجتماع كبار مسؤولي التنظيم في القطاع الخاص </w:t>
      </w:r>
      <w:r w:rsidRPr="00363411">
        <w:rPr>
          <w:b/>
          <w:bCs/>
          <w:lang w:bidi="ar-EG"/>
        </w:rPr>
        <w:t>(IAGDI-CRO</w:t>
      </w:r>
      <w:r w:rsidRPr="00363411">
        <w:rPr>
          <w:b/>
          <w:bCs/>
        </w:rPr>
        <w:t>)</w:t>
      </w:r>
      <w:r w:rsidRPr="00C55734">
        <w:rPr>
          <w:rtl/>
        </w:rPr>
        <w:t xml:space="preserve"> أثناء الندوة العالمية لمنظمي الاتصالات (GSR-23) في شرم الشيخ، مصر. ويظهر اهتمام والتزام أعضاء قطاع تنمية الاتصالات من خلال عدد قياسي من المشاركين، كما يظهر عدد أكبر من</w:t>
      </w:r>
      <w:r>
        <w:rPr>
          <w:rFonts w:hint="cs"/>
          <w:rtl/>
        </w:rPr>
        <w:t> </w:t>
      </w:r>
      <w:r w:rsidRPr="00C55734">
        <w:rPr>
          <w:rtl/>
        </w:rPr>
        <w:t>مساهمات دوائر الصناعة والقطاع الخاص في عملية التشاور بشأن المبادئ التوجيهية لأفضل الممارسات في</w:t>
      </w:r>
      <w:r>
        <w:rPr>
          <w:rFonts w:hint="cs"/>
          <w:rtl/>
        </w:rPr>
        <w:t> </w:t>
      </w:r>
      <w:r w:rsidRPr="00C55734">
        <w:rPr>
          <w:rtl/>
        </w:rPr>
        <w:t xml:space="preserve">الندوة العالمية لمنظمي الاتصالات. ويمكن الاطلاع على </w:t>
      </w:r>
      <w:hyperlink r:id="rId14" w:history="1">
        <w:r w:rsidRPr="00363411">
          <w:rPr>
            <w:rStyle w:val="Hyperlink"/>
            <w:rtl/>
          </w:rPr>
          <w:t>البيان الختامي</w:t>
        </w:r>
      </w:hyperlink>
      <w:r w:rsidRPr="00C55734">
        <w:rPr>
          <w:rtl/>
        </w:rPr>
        <w:t xml:space="preserve"> وتقرير الرئيس </w:t>
      </w:r>
      <w:hyperlink r:id="rId15" w:history="1">
        <w:r w:rsidRPr="00363411">
          <w:rPr>
            <w:rStyle w:val="Hyperlink"/>
            <w:rtl/>
          </w:rPr>
          <w:t>هنا</w:t>
        </w:r>
      </w:hyperlink>
      <w:r w:rsidRPr="00C55734">
        <w:rPr>
          <w:rtl/>
        </w:rPr>
        <w:t xml:space="preserve">. وسيعقد الاجتماع المقبل للفريق </w:t>
      </w:r>
      <w:r w:rsidRPr="00C55734">
        <w:rPr>
          <w:lang w:bidi="ar-EG"/>
        </w:rPr>
        <w:t>IAGDI-CRO</w:t>
      </w:r>
      <w:r w:rsidRPr="00C55734">
        <w:rPr>
          <w:rtl/>
        </w:rPr>
        <w:t xml:space="preserve"> في </w:t>
      </w:r>
      <w:r w:rsidRPr="00700BEA">
        <w:rPr>
          <w:b/>
          <w:bCs/>
          <w:rtl/>
        </w:rPr>
        <w:t>2 يوليو 2024</w:t>
      </w:r>
      <w:r w:rsidRPr="00C55734">
        <w:rPr>
          <w:rtl/>
        </w:rPr>
        <w:t xml:space="preserve"> في كمبالا، أوغندا خلال الندوة العالمية لمنظمي الاتصالات لعام 2024.</w:t>
      </w:r>
    </w:p>
    <w:p w14:paraId="1B4AA2FC" w14:textId="77777777" w:rsidR="00B4085D" w:rsidRPr="00C55734" w:rsidRDefault="00B4085D" w:rsidP="00B4085D">
      <w:pPr>
        <w:pStyle w:val="enumlev1"/>
        <w:rPr>
          <w:lang w:val="ar-SA" w:bidi="ar-EG"/>
        </w:rPr>
      </w:pPr>
      <w:r w:rsidRPr="00C55734">
        <w:rPr>
          <w:rtl/>
        </w:rPr>
        <w:t>-</w:t>
      </w:r>
      <w:r w:rsidRPr="00C55734">
        <w:rPr>
          <w:rtl/>
        </w:rPr>
        <w:tab/>
        <w:t>ستظل </w:t>
      </w:r>
      <w:r w:rsidRPr="00C55734">
        <w:rPr>
          <w:b/>
          <w:bCs/>
          <w:rtl/>
        </w:rPr>
        <w:t>سلسلة تعرَّف على الأعضاء</w:t>
      </w:r>
      <w:r w:rsidRPr="00C55734">
        <w:rPr>
          <w:rtl/>
        </w:rPr>
        <w:t xml:space="preserve"> بمثابة منصة لإجراء مشاورات مع الإدارة وتبادل المعارف بين أعضاء قطاع تنمية الاتصالات وموظفي الاتحاد. وبالإضافة إلى ذلك، ستتيح </w:t>
      </w:r>
      <w:r w:rsidRPr="00C55734">
        <w:rPr>
          <w:b/>
          <w:bCs/>
          <w:rtl/>
        </w:rPr>
        <w:t>سلسلة المحادثات التكنولوجية</w:t>
      </w:r>
      <w:r w:rsidRPr="00C55734">
        <w:rPr>
          <w:rtl/>
        </w:rPr>
        <w:t xml:space="preserve"> لأعضاء قطاع تنمية الاتصالات فرصة لعرض اتجاهاتهم التكنولوجية ونهجهم المبتكرة وتبادل أفضل ممارساتهم في تطبيق هذه</w:t>
      </w:r>
      <w:r>
        <w:rPr>
          <w:rFonts w:hint="cs"/>
          <w:rtl/>
        </w:rPr>
        <w:t> </w:t>
      </w:r>
      <w:r w:rsidRPr="00C55734">
        <w:rPr>
          <w:rtl/>
        </w:rPr>
        <w:t>التكنولوجيات واستعمالها من أجل التنمية الرقمية.</w:t>
      </w:r>
    </w:p>
    <w:p w14:paraId="195B65C8" w14:textId="77777777" w:rsidR="00B4085D" w:rsidRDefault="00B4085D" w:rsidP="00B4085D">
      <w:pPr>
        <w:pStyle w:val="enumlev1"/>
        <w:rPr>
          <w:rtl/>
        </w:rPr>
      </w:pPr>
      <w:r w:rsidRPr="00C55734">
        <w:rPr>
          <w:rtl/>
        </w:rPr>
        <w:t>-</w:t>
      </w:r>
      <w:r w:rsidRPr="00C55734">
        <w:rPr>
          <w:rtl/>
        </w:rPr>
        <w:tab/>
        <w:t xml:space="preserve">تعزيز الاعتراف بعضوية قطاع تنمية الاتصالات من خلال </w:t>
      </w:r>
      <w:r w:rsidRPr="00C55734">
        <w:rPr>
          <w:b/>
          <w:bCs/>
          <w:rtl/>
        </w:rPr>
        <w:t>شهادات</w:t>
      </w:r>
      <w:r w:rsidRPr="00C55734">
        <w:rPr>
          <w:rtl/>
        </w:rPr>
        <w:t xml:space="preserve"> أعضاء قطاع تنمية الاتصالات حيث يروج الممثلون رفيعو المستوى لقيمة عضوية القطاع، هو بمثابة اعتراف بأعضائنا ووسيلة لجذب آفاق جديدة.</w:t>
      </w:r>
    </w:p>
    <w:p w14:paraId="625C6107" w14:textId="42192D84" w:rsidR="00B4085D" w:rsidRDefault="00B4085D" w:rsidP="00B4085D">
      <w:pPr>
        <w:pStyle w:val="enumlev1"/>
        <w:rPr>
          <w:rtl/>
        </w:rPr>
      </w:pPr>
      <w:r w:rsidRPr="00C55734">
        <w:rPr>
          <w:rtl/>
        </w:rPr>
        <w:t>-</w:t>
      </w:r>
      <w:r w:rsidRPr="00C55734">
        <w:rPr>
          <w:rtl/>
        </w:rPr>
        <w:tab/>
        <w:t xml:space="preserve">يجتذب </w:t>
      </w:r>
      <w:r w:rsidRPr="00700BEA">
        <w:rPr>
          <w:b/>
          <w:bCs/>
          <w:rtl/>
        </w:rPr>
        <w:t>التحالف الرقمي Partner2Connect</w:t>
      </w:r>
      <w:r w:rsidRPr="00C55734">
        <w:rPr>
          <w:rtl/>
        </w:rPr>
        <w:t xml:space="preserve"> عدداً كبيراً من التعهدات من أعضاء قطاع تنمية الاتصالات.</w:t>
      </w:r>
      <w:r w:rsidR="00410D14" w:rsidRPr="00410D14">
        <w:rPr>
          <w:rStyle w:val="FootnoteReference"/>
          <w:rtl/>
        </w:rPr>
        <w:footnoteReference w:id="4"/>
      </w:r>
      <w:r>
        <w:rPr>
          <w:rtl/>
        </w:rPr>
        <w:t xml:space="preserve"> </w:t>
      </w:r>
      <w:r w:rsidRPr="00C55734">
        <w:rPr>
          <w:rtl/>
        </w:rPr>
        <w:t>وأقرت</w:t>
      </w:r>
      <w:r>
        <w:rPr>
          <w:rFonts w:hint="cs"/>
          <w:rtl/>
        </w:rPr>
        <w:t> </w:t>
      </w:r>
      <w:r w:rsidRPr="00C55734">
        <w:rPr>
          <w:rtl/>
        </w:rPr>
        <w:t>جلسات منتديات التنمية الإقليمية بهذه الالتزامات وركزت على ترجمتها إلى إجراءات ملموسة نحو تحقيق توصيلية هادفة.</w:t>
      </w:r>
    </w:p>
    <w:p w14:paraId="0D032C4D" w14:textId="77777777" w:rsidR="00B4085D" w:rsidRDefault="00B4085D" w:rsidP="00B4085D">
      <w:pPr>
        <w:pStyle w:val="Heading1"/>
        <w:rPr>
          <w:rtl/>
        </w:rPr>
      </w:pPr>
      <w:r w:rsidRPr="00C55734">
        <w:t>4</w:t>
      </w:r>
      <w:r w:rsidRPr="00C55734">
        <w:tab/>
      </w:r>
      <w:r w:rsidRPr="00C55734">
        <w:rPr>
          <w:rtl/>
        </w:rPr>
        <w:t>تحسين الأدوات والعمليات في عام 2024</w:t>
      </w:r>
    </w:p>
    <w:p w14:paraId="4DC748E2" w14:textId="77777777" w:rsidR="00B4085D" w:rsidRPr="00C20A94" w:rsidRDefault="00B4085D" w:rsidP="00B4085D">
      <w:pPr>
        <w:rPr>
          <w:lang w:val="ar-SA" w:bidi="ar-EG"/>
        </w:rPr>
      </w:pPr>
      <w:r w:rsidRPr="00C20A94">
        <w:rPr>
          <w:rtl/>
        </w:rPr>
        <w:t>يواصل مكتب تنمية الاتصالات تعزيز الأدوات والعمليات لاجتذاب أعضاء جدد والاحتفاظ بهم:</w:t>
      </w:r>
    </w:p>
    <w:p w14:paraId="7143E7CE" w14:textId="77777777" w:rsidR="00B4085D" w:rsidRPr="00C55734" w:rsidRDefault="00B4085D" w:rsidP="00B4085D">
      <w:pPr>
        <w:pStyle w:val="enumlev1"/>
        <w:rPr>
          <w:lang w:val="ar-SA" w:bidi="ar-EG"/>
        </w:rPr>
      </w:pPr>
      <w:r w:rsidRPr="00C55734">
        <w:rPr>
          <w:rtl/>
        </w:rPr>
        <w:t>-</w:t>
      </w:r>
      <w:r w:rsidRPr="00C55734">
        <w:rPr>
          <w:b/>
          <w:bCs/>
        </w:rPr>
        <w:tab/>
      </w:r>
      <w:r w:rsidRPr="00C55734">
        <w:rPr>
          <w:b/>
          <w:bCs/>
          <w:rtl/>
        </w:rPr>
        <w:t>استعراض العمليات وإعادة مواءمتها</w:t>
      </w:r>
      <w:r w:rsidRPr="00C55734">
        <w:rPr>
          <w:rtl/>
        </w:rPr>
        <w:t xml:space="preserve"> للاستفادة من أساليب البيانات الحديثة وتبسيط العمليات الداخلية وتعزيز استخدام الأدوات المجددة.</w:t>
      </w:r>
    </w:p>
    <w:p w14:paraId="5520C4A4" w14:textId="77777777" w:rsidR="00B4085D" w:rsidRPr="00C55734" w:rsidRDefault="00B4085D" w:rsidP="00B4085D">
      <w:pPr>
        <w:pStyle w:val="enumlev1"/>
        <w:rPr>
          <w:lang w:val="ar-SA" w:bidi="ar-EG"/>
        </w:rPr>
      </w:pPr>
      <w:r w:rsidRPr="00C55734">
        <w:t>-</w:t>
      </w:r>
      <w:r w:rsidRPr="00C55734">
        <w:rPr>
          <w:b/>
          <w:bCs/>
        </w:rPr>
        <w:tab/>
      </w:r>
      <w:r w:rsidRPr="00C55734">
        <w:rPr>
          <w:b/>
          <w:bCs/>
          <w:rtl/>
        </w:rPr>
        <w:t>تنسيق تجربة الانضمام</w:t>
      </w:r>
      <w:r w:rsidRPr="00C55734">
        <w:rPr>
          <w:rtl/>
        </w:rPr>
        <w:t> من خلال إعداد مجموعة جديدة للترحيب بالأعضاء الجدد لتحقيق انضمام أكثر فعالية للأعضاء الجدد وتوسيع الوعي بفرص التعاون مع قطاع تنمية الاتصالات.</w:t>
      </w:r>
    </w:p>
    <w:p w14:paraId="6524BCB0" w14:textId="77777777" w:rsidR="00B4085D" w:rsidRDefault="00B4085D" w:rsidP="00B4085D">
      <w:pPr>
        <w:rPr>
          <w:rtl/>
        </w:rPr>
      </w:pPr>
      <w:r w:rsidRPr="00C55734">
        <w:rPr>
          <w:b/>
          <w:bCs/>
        </w:rPr>
        <w:t>5</w:t>
      </w:r>
      <w:r w:rsidRPr="00C55734">
        <w:rPr>
          <w:b/>
          <w:bCs/>
        </w:rPr>
        <w:tab/>
      </w:r>
      <w:r w:rsidRPr="00C55734">
        <w:rPr>
          <w:b/>
          <w:bCs/>
          <w:rtl/>
        </w:rPr>
        <w:t xml:space="preserve">موقع إلكتروني جديد لأعضاء قطاع تنمية الاتصالات </w:t>
      </w:r>
      <w:r w:rsidRPr="00C55734">
        <w:rPr>
          <w:rtl/>
        </w:rPr>
        <w:t>من أجل تجربة عضوية سلسة مع محتوى محدث، وتجسيد أفضل للفوائد، وتبسيط عمليات التطبيق لإقناع الزوار بالانضمام كأعضاء.</w:t>
      </w:r>
    </w:p>
    <w:p w14:paraId="4D67A878" w14:textId="77777777" w:rsidR="00B4085D" w:rsidRPr="00C55734" w:rsidRDefault="00B4085D" w:rsidP="00B4085D">
      <w:pPr>
        <w:pStyle w:val="Heading1"/>
        <w:rPr>
          <w:lang w:val="ar-SA" w:bidi="ar-EG"/>
        </w:rPr>
      </w:pPr>
      <w:r w:rsidRPr="00C55734">
        <w:t>6</w:t>
      </w:r>
      <w:r w:rsidRPr="00C55734">
        <w:tab/>
      </w:r>
      <w:r w:rsidRPr="00C55734">
        <w:rPr>
          <w:rtl/>
        </w:rPr>
        <w:t>الاستنتاجات</w:t>
      </w:r>
    </w:p>
    <w:p w14:paraId="1CB6D917" w14:textId="77777777" w:rsidR="00B4085D" w:rsidRPr="00C20A94" w:rsidRDefault="00B4085D" w:rsidP="00B4085D">
      <w:pPr>
        <w:keepNext/>
        <w:keepLines/>
        <w:rPr>
          <w:lang w:val="ar-SA" w:bidi="ar-EG"/>
        </w:rPr>
      </w:pPr>
      <w:r w:rsidRPr="00C20A94">
        <w:rPr>
          <w:rtl/>
        </w:rPr>
        <w:t>يعقد مكتب تنمية الاتصالات العزم على الاضطلاع بما يلي:</w:t>
      </w:r>
    </w:p>
    <w:p w14:paraId="2DB30480" w14:textId="77777777" w:rsidR="00B4085D" w:rsidRPr="00C55734" w:rsidRDefault="00B4085D" w:rsidP="00B4085D">
      <w:pPr>
        <w:pStyle w:val="enumlev1"/>
        <w:rPr>
          <w:lang w:val="ar-SA" w:bidi="ar-EG"/>
        </w:rPr>
      </w:pPr>
      <w:r w:rsidRPr="00C55734">
        <w:rPr>
          <w:rtl/>
        </w:rPr>
        <w:t xml:space="preserve"> أ )</w:t>
      </w:r>
      <w:r w:rsidRPr="00C55734">
        <w:rPr>
          <w:rtl/>
        </w:rPr>
        <w:tab/>
        <w:t>زيادة إشراك أعضاء قطاع تنمية الاتصالات في تنفيذ خطة عمل كيغالي من خلال جلسات الإحاطة والبعثات الرسمية ومن خلال إظهار القيمة وإقامة شراكات من شأنها توفير الموارد اللازمة لتمويل المشاريع والمبادرات قوية التأثير.</w:t>
      </w:r>
    </w:p>
    <w:p w14:paraId="47C05E5E" w14:textId="77777777" w:rsidR="00B4085D" w:rsidRPr="00700BEA" w:rsidRDefault="00B4085D" w:rsidP="00B4085D">
      <w:pPr>
        <w:pStyle w:val="enumlev1"/>
        <w:rPr>
          <w:spacing w:val="-4"/>
          <w:rtl/>
        </w:rPr>
      </w:pPr>
      <w:r w:rsidRPr="00700BEA">
        <w:rPr>
          <w:spacing w:val="-4"/>
          <w:rtl/>
        </w:rPr>
        <w:lastRenderedPageBreak/>
        <w:t>ب)</w:t>
      </w:r>
      <w:r w:rsidRPr="00700BEA">
        <w:rPr>
          <w:spacing w:val="-4"/>
          <w:rtl/>
        </w:rPr>
        <w:tab/>
        <w:t>استهداف أعضاء قطاع تنمية الاتصالات غير النشطين لتعزيز مستوى مشاركتهم في أنشطة القطاع، بما في ذلك أحداث مثل: لجان دراسات قطاع تنمية الاتصالات، والندوة العالمية لمنظمي الاتصالات، ومنتديات التنمية الإقليمية، وما إلى ذلك.</w:t>
      </w:r>
      <w:r w:rsidRPr="00700BEA">
        <w:rPr>
          <w:rFonts w:ascii="Arial" w:hAnsi="Arial" w:cs="Arial" w:hint="cs"/>
          <w:spacing w:val="-4"/>
          <w:rtl/>
        </w:rPr>
        <w:t>‬</w:t>
      </w:r>
    </w:p>
    <w:p w14:paraId="39F11B02" w14:textId="77777777" w:rsidR="00B4085D" w:rsidRDefault="00B4085D" w:rsidP="00B4085D">
      <w:pPr>
        <w:pStyle w:val="enumlev1"/>
        <w:rPr>
          <w:rtl/>
        </w:rPr>
      </w:pPr>
      <w:r w:rsidRPr="00C55734">
        <w:rPr>
          <w:rtl/>
          <w:lang w:bidi="ar-EG"/>
        </w:rPr>
        <w:t>ج)</w:t>
      </w:r>
      <w:r w:rsidRPr="00C55734">
        <w:rPr>
          <w:rtl/>
          <w:lang w:bidi="ar-EG"/>
        </w:rPr>
        <w:tab/>
      </w:r>
      <w:r w:rsidRPr="00C55734">
        <w:rPr>
          <w:rtl/>
        </w:rPr>
        <w:t>مواصلة جمع الأفكار والتعليقات من أعضاء قطاع تنمية الاتصالات والهيئات الأكاديمية فيما يتعلق بتحسين الأدوات والعمليات والخدمات.</w:t>
      </w:r>
    </w:p>
    <w:p w14:paraId="71A5F3EA" w14:textId="77777777" w:rsidR="00B4085D" w:rsidRPr="00C55734" w:rsidRDefault="00B4085D" w:rsidP="00B4085D">
      <w:pPr>
        <w:pStyle w:val="Heading1"/>
        <w:rPr>
          <w:lang w:val="ar-SA" w:bidi="ar-EG"/>
        </w:rPr>
      </w:pPr>
      <w:r w:rsidRPr="00C55734">
        <w:t>7</w:t>
      </w:r>
      <w:r w:rsidRPr="00C55734">
        <w:tab/>
      </w:r>
      <w:r w:rsidRPr="00C55734">
        <w:rPr>
          <w:rtl/>
        </w:rPr>
        <w:t>دعوة إلى تقديم الدعم</w:t>
      </w:r>
    </w:p>
    <w:p w14:paraId="068B5032" w14:textId="77777777" w:rsidR="00B4085D" w:rsidRPr="00C20A94" w:rsidRDefault="00B4085D" w:rsidP="00B4085D">
      <w:pPr>
        <w:rPr>
          <w:lang w:val="ar-SA" w:bidi="ar-EG"/>
        </w:rPr>
      </w:pPr>
      <w:r w:rsidRPr="00C20A94">
        <w:rPr>
          <w:rtl/>
        </w:rPr>
        <w:t>تُدعى الدول الأعضاء إلى التواصل والتفاعل مع القطاع الخاص ودوائر الصناعة والجامعات على المستوى الوطني للتعريف ‏بفوائد المشاركة في أعمال قطاع تنمية الاتصالات. وتُشجع الدول الأعضاء على استكمال الطلبات الجديدة على النحو ‏الواجب وفي</w:t>
      </w:r>
      <w:r>
        <w:rPr>
          <w:rFonts w:hint="cs"/>
          <w:rtl/>
        </w:rPr>
        <w:t> </w:t>
      </w:r>
      <w:r w:rsidRPr="00C20A94">
        <w:rPr>
          <w:rtl/>
        </w:rPr>
        <w:t>الوقت المناسب حتى تظل الكيانات المتقدمة بطلب العضوية متحمسة لإكمال عملية الانضمام.‏</w:t>
      </w:r>
    </w:p>
    <w:p w14:paraId="69651A3A"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6EFA" w14:textId="77777777" w:rsidR="00457D22" w:rsidRDefault="00457D22" w:rsidP="006C3242">
      <w:pPr>
        <w:spacing w:before="0" w:line="240" w:lineRule="auto"/>
      </w:pPr>
      <w:r>
        <w:separator/>
      </w:r>
    </w:p>
  </w:endnote>
  <w:endnote w:type="continuationSeparator" w:id="0">
    <w:p w14:paraId="387393FD" w14:textId="77777777" w:rsidR="00457D22" w:rsidRDefault="00457D2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Avenir Nxt2 W1G">
    <w:altName w:val="Cambria"/>
    <w:panose1 w:val="00000000000000000000"/>
    <w:charset w:val="00"/>
    <w:family w:val="swiss"/>
    <w:notTrueType/>
    <w:pitch w:val="variable"/>
    <w:sig w:usb0="A00002EF" w:usb1="00000003" w:usb2="00000000" w:usb3="00000000" w:csb0="0000019F" w:csb1="00000000"/>
  </w:font>
  <w:font w:name="Avenir Nxt2 W1G Demi">
    <w:altName w:val="Cambria"/>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553E" w14:textId="77777777" w:rsidR="00410D14" w:rsidRDefault="00410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4DF2" w14:textId="77777777" w:rsidR="00410D14" w:rsidRDefault="00410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EA5C51" w:rsidRPr="005874F2" w14:paraId="4013A05E" w14:textId="77777777" w:rsidTr="00EA5C51">
      <w:tc>
        <w:tcPr>
          <w:tcW w:w="991" w:type="dxa"/>
          <w:tcBorders>
            <w:top w:val="single" w:sz="4" w:space="0" w:color="auto"/>
            <w:left w:val="nil"/>
            <w:bottom w:val="nil"/>
            <w:right w:val="nil"/>
          </w:tcBorders>
          <w:shd w:val="clear" w:color="auto" w:fill="FFFFFF" w:themeFill="background1"/>
          <w:hideMark/>
        </w:tcPr>
        <w:p w14:paraId="77C208DE" w14:textId="77777777" w:rsidR="00EA5C51" w:rsidRPr="005874F2" w:rsidRDefault="00EA5C51" w:rsidP="00EA5C51">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9DB2E33" w14:textId="77777777" w:rsidR="00EA5C51" w:rsidRPr="005874F2" w:rsidRDefault="00EA5C51" w:rsidP="00EA5C51">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0C32553" w14:textId="32B2ABBA" w:rsidR="00EA5C51" w:rsidRPr="005874F2" w:rsidRDefault="00EA5C51" w:rsidP="00EA5C51">
          <w:pPr>
            <w:spacing w:before="60" w:after="40" w:line="260" w:lineRule="exact"/>
            <w:rPr>
              <w:position w:val="2"/>
              <w:sz w:val="18"/>
              <w:szCs w:val="18"/>
              <w:rtl/>
              <w:lang w:val="en-GB" w:bidi="ar-EG"/>
            </w:rPr>
          </w:pPr>
          <w:r w:rsidRPr="00280B82">
            <w:rPr>
              <w:szCs w:val="20"/>
              <w:rtl/>
            </w:rPr>
            <w:t xml:space="preserve">السيد ماركو </w:t>
          </w:r>
          <w:proofErr w:type="spellStart"/>
          <w:r w:rsidRPr="00280B82">
            <w:rPr>
              <w:szCs w:val="20"/>
              <w:rtl/>
            </w:rPr>
            <w:t>أوبيسو</w:t>
          </w:r>
          <w:proofErr w:type="spellEnd"/>
          <w:r w:rsidRPr="00280B82">
            <w:rPr>
              <w:szCs w:val="20"/>
              <w:rtl/>
            </w:rPr>
            <w:t>، القائم بأعمال رئيس دائرة الشراكات من أجل التنمية الرقمية بمكتب تنمية الاتصالات</w:t>
          </w:r>
        </w:p>
      </w:tc>
    </w:tr>
    <w:tr w:rsidR="00EA5C51" w:rsidRPr="005874F2" w14:paraId="16054898" w14:textId="77777777" w:rsidTr="00EA5C51">
      <w:tc>
        <w:tcPr>
          <w:tcW w:w="991" w:type="dxa"/>
        </w:tcPr>
        <w:p w14:paraId="4BFC0BF1" w14:textId="77777777" w:rsidR="00EA5C51" w:rsidRPr="005874F2" w:rsidRDefault="00EA5C51" w:rsidP="00EA5C51">
          <w:pPr>
            <w:spacing w:before="60" w:after="40" w:line="260" w:lineRule="exact"/>
            <w:rPr>
              <w:position w:val="2"/>
              <w:sz w:val="18"/>
              <w:szCs w:val="18"/>
              <w:lang w:val="en-GB"/>
            </w:rPr>
          </w:pPr>
        </w:p>
      </w:tc>
      <w:tc>
        <w:tcPr>
          <w:tcW w:w="2411" w:type="dxa"/>
          <w:hideMark/>
        </w:tcPr>
        <w:p w14:paraId="1F62F591" w14:textId="77777777" w:rsidR="00EA5C51" w:rsidRPr="005874F2" w:rsidRDefault="00EA5C51" w:rsidP="00EA5C51">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8E4496B" w14:textId="0FE5DE5A" w:rsidR="00EA5C51" w:rsidRPr="00B4085D" w:rsidRDefault="00B4085D" w:rsidP="00B4085D">
          <w:pPr>
            <w:spacing w:before="60" w:after="40" w:line="260" w:lineRule="exact"/>
            <w:rPr>
              <w:position w:val="2"/>
              <w:sz w:val="20"/>
              <w:szCs w:val="18"/>
              <w:lang w:val="en-GB"/>
            </w:rPr>
          </w:pPr>
          <w:r w:rsidRPr="00B4085D">
            <w:rPr>
              <w:sz w:val="20"/>
              <w:szCs w:val="20"/>
            </w:rPr>
            <w:t>+41 22 730 6760</w:t>
          </w:r>
        </w:p>
      </w:tc>
    </w:tr>
    <w:tr w:rsidR="00EA5C51" w:rsidRPr="005874F2" w14:paraId="0CBE1651" w14:textId="77777777" w:rsidTr="00EA5C51">
      <w:tc>
        <w:tcPr>
          <w:tcW w:w="991" w:type="dxa"/>
        </w:tcPr>
        <w:p w14:paraId="63BEB952" w14:textId="77777777" w:rsidR="00EA5C51" w:rsidRPr="005874F2" w:rsidRDefault="00EA5C51" w:rsidP="00EA5C51">
          <w:pPr>
            <w:spacing w:before="60" w:after="40" w:line="260" w:lineRule="exact"/>
            <w:rPr>
              <w:position w:val="2"/>
              <w:sz w:val="18"/>
              <w:szCs w:val="18"/>
              <w:lang w:val="en-GB"/>
            </w:rPr>
          </w:pPr>
        </w:p>
      </w:tc>
      <w:tc>
        <w:tcPr>
          <w:tcW w:w="2411" w:type="dxa"/>
          <w:hideMark/>
        </w:tcPr>
        <w:p w14:paraId="26D87148" w14:textId="77777777" w:rsidR="00EA5C51" w:rsidRPr="005874F2" w:rsidRDefault="00EA5C51" w:rsidP="00EA5C51">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38C50E7" w14:textId="50666B7F" w:rsidR="00EA5C51" w:rsidRPr="00EA5C51" w:rsidRDefault="00AF471A" w:rsidP="00EA5C51">
          <w:pPr>
            <w:spacing w:before="60" w:after="40" w:line="260" w:lineRule="exact"/>
            <w:rPr>
              <w:rStyle w:val="Hyperlink"/>
              <w:rtl/>
            </w:rPr>
          </w:pPr>
          <w:hyperlink r:id="rId1" w:history="1">
            <w:r w:rsidR="00EA5C51" w:rsidRPr="00EA5C51">
              <w:rPr>
                <w:rStyle w:val="Hyperlink"/>
                <w:rtl/>
              </w:rPr>
              <w:t>marco.obiso@itu.int</w:t>
            </w:r>
          </w:hyperlink>
        </w:p>
      </w:tc>
    </w:tr>
  </w:tbl>
  <w:p w14:paraId="736AD174" w14:textId="3605F0D1" w:rsidR="0006468A" w:rsidRPr="003971E3" w:rsidRDefault="0006468A" w:rsidP="00410D1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16D2" w14:textId="77777777" w:rsidR="00457D22" w:rsidRDefault="00457D22" w:rsidP="006C3242">
      <w:pPr>
        <w:spacing w:before="0" w:line="240" w:lineRule="auto"/>
      </w:pPr>
      <w:r>
        <w:separator/>
      </w:r>
    </w:p>
  </w:footnote>
  <w:footnote w:type="continuationSeparator" w:id="0">
    <w:p w14:paraId="5F8E1705" w14:textId="77777777" w:rsidR="00457D22" w:rsidRDefault="00457D22" w:rsidP="006C3242">
      <w:pPr>
        <w:spacing w:before="0" w:line="240" w:lineRule="auto"/>
      </w:pPr>
      <w:r>
        <w:continuationSeparator/>
      </w:r>
    </w:p>
  </w:footnote>
  <w:footnote w:id="1">
    <w:p w14:paraId="34C99CDE" w14:textId="4AB8EAF0" w:rsidR="00B4085D" w:rsidRPr="00B4085D" w:rsidRDefault="00B4085D" w:rsidP="00410D14">
      <w:pPr>
        <w:pStyle w:val="FootnoteText"/>
        <w:spacing w:after="120"/>
      </w:pPr>
      <w:r w:rsidRPr="00B4085D">
        <w:rPr>
          <w:rStyle w:val="FootnoteReference"/>
          <w:position w:val="0"/>
          <w:rtl/>
        </w:rPr>
        <w:footnoteRef/>
      </w:r>
      <w:r w:rsidR="00410D14">
        <w:tab/>
      </w:r>
      <w:r w:rsidRPr="00410D14">
        <w:rPr>
          <w:spacing w:val="-4"/>
          <w:rtl/>
        </w:rPr>
        <w:t>يرجى الرجوع إلى القرار 169 (</w:t>
      </w:r>
      <w:proofErr w:type="spellStart"/>
      <w:r w:rsidRPr="00410D14">
        <w:rPr>
          <w:spacing w:val="-4"/>
          <w:rtl/>
        </w:rPr>
        <w:t>غوادالاخارا</w:t>
      </w:r>
      <w:proofErr w:type="spellEnd"/>
      <w:r w:rsidRPr="00410D14">
        <w:rPr>
          <w:spacing w:val="-4"/>
          <w:rtl/>
        </w:rPr>
        <w:t>، 2010) لمؤتمر المندوبين المفوضين الذي أُنشئت بموجبه فئة جديدة للهيئات الأكاديمية للمشاركة في أعمال الاتحاد.</w:t>
      </w:r>
    </w:p>
  </w:footnote>
  <w:footnote w:id="2">
    <w:p w14:paraId="12532C10" w14:textId="77777777" w:rsidR="00B4085D" w:rsidRPr="00824169" w:rsidRDefault="00B4085D" w:rsidP="00410D14">
      <w:pPr>
        <w:pStyle w:val="FootnoteText"/>
        <w:rPr>
          <w:szCs w:val="20"/>
        </w:rPr>
      </w:pPr>
      <w:r w:rsidRPr="00410D14">
        <w:rPr>
          <w:rStyle w:val="FootnoteReference"/>
          <w:rtl/>
        </w:rPr>
        <w:footnoteRef/>
      </w:r>
      <w:r>
        <w:rPr>
          <w:szCs w:val="20"/>
        </w:rPr>
        <w:tab/>
      </w:r>
      <w:r w:rsidRPr="00FB766C">
        <w:rPr>
          <w:szCs w:val="20"/>
          <w:rtl/>
        </w:rPr>
        <w:t>القرار 71 (المراجَع في كيغالي، 2022) - "تعزيز التعاون بين الدول الأعضاء وأعضاء قطاع تنمية الاتصالات والمنتسبين إليه والهيئات الأكاديمية المنضمة إليه وتطوُّر دور القطاع الخاص في قطاع تنمية الاتصالات بالاتحاد".</w:t>
      </w:r>
    </w:p>
  </w:footnote>
  <w:footnote w:id="3">
    <w:p w14:paraId="1BCE101F" w14:textId="77777777" w:rsidR="00B4085D" w:rsidRPr="00FB766C" w:rsidRDefault="00B4085D" w:rsidP="00410D14">
      <w:pPr>
        <w:pStyle w:val="FootnoteText"/>
      </w:pPr>
      <w:r w:rsidRPr="00410D14">
        <w:rPr>
          <w:rStyle w:val="FootnoteReference"/>
          <w:rtl/>
        </w:rPr>
        <w:footnoteRef/>
      </w:r>
      <w:r>
        <w:rPr>
          <w:szCs w:val="20"/>
          <w:rtl/>
        </w:rPr>
        <w:tab/>
      </w:r>
      <w:r w:rsidRPr="00FB766C">
        <w:rPr>
          <w:szCs w:val="20"/>
          <w:rtl/>
        </w:rPr>
        <w:t>يشارك أعضاء الهيئات الأكاديمية في عمل قطاعات الاتحاد الثلاثة، بما في ذلك أفرقتها الاستشارية. كما يشاركون في مؤتمرات وورش عمل وأنشطة أخرى على الصعيدين العالمي والإقليمي، باستثناء مؤتمرات المندوبين المفوضين والمؤتمرات العالمية للاتصالات الراديوية والمؤتمرات العالمية للاتصالات الدولية ومجلس الاتحاد، وفقاً للنظام الداخلي للقطاعات المعنية.</w:t>
      </w:r>
    </w:p>
  </w:footnote>
  <w:footnote w:id="4">
    <w:p w14:paraId="0803D0E5" w14:textId="77777777" w:rsidR="00410D14" w:rsidRPr="00FB766C" w:rsidRDefault="00410D14" w:rsidP="00410D14">
      <w:pPr>
        <w:pStyle w:val="FootnoteText"/>
      </w:pPr>
      <w:r w:rsidRPr="00410D14">
        <w:rPr>
          <w:rStyle w:val="FootnoteReference"/>
          <w:rtl/>
        </w:rPr>
        <w:footnoteRef/>
      </w:r>
      <w:r>
        <w:rPr>
          <w:rtl/>
        </w:rPr>
        <w:tab/>
      </w:r>
      <w:r w:rsidRPr="00FB766C">
        <w:rPr>
          <w:rtl/>
        </w:rPr>
        <w:t>حتى فبراير 2024، كان هناك 170 تعهداً بقيمة تقديرية تزيد عن 25 مليار دولار أمريكي من أعضاء قطاع تنمية الاتصالات بما في</w:t>
      </w:r>
      <w:r>
        <w:rPr>
          <w:rFonts w:hint="cs"/>
          <w:rtl/>
        </w:rPr>
        <w:t> </w:t>
      </w:r>
      <w:r w:rsidRPr="00FB766C">
        <w:rPr>
          <w:rtl/>
        </w:rPr>
        <w:t>ذلك المنظمات الإقليمية والدولية والقطاع الخاص.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633B" w14:textId="77777777" w:rsidR="00410D14" w:rsidRDefault="00410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8535F1C" w14:textId="5502B7BD"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457D22">
          <w:rPr>
            <w:sz w:val="20"/>
            <w:szCs w:val="20"/>
            <w:lang w:val="es-ES_tradnl"/>
          </w:rPr>
          <w:t>4</w:t>
        </w:r>
        <w:r w:rsidR="00D8311F">
          <w:rPr>
            <w:sz w:val="20"/>
            <w:szCs w:val="20"/>
            <w:lang w:val="es-ES_tradnl"/>
          </w:rPr>
          <w:t>/</w:t>
        </w:r>
        <w:r w:rsidR="00B4085D">
          <w:rPr>
            <w:sz w:val="20"/>
            <w:szCs w:val="20"/>
            <w:lang w:val="es-ES_tradnl"/>
          </w:rPr>
          <w:t>8</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A0E4" w14:textId="77777777" w:rsidR="00410D14" w:rsidRDefault="00410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22"/>
    <w:rsid w:val="00026D7C"/>
    <w:rsid w:val="0006468A"/>
    <w:rsid w:val="00090574"/>
    <w:rsid w:val="000C1C0E"/>
    <w:rsid w:val="000C548A"/>
    <w:rsid w:val="001407D5"/>
    <w:rsid w:val="00153471"/>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E6541"/>
    <w:rsid w:val="00317741"/>
    <w:rsid w:val="00334924"/>
    <w:rsid w:val="003409BC"/>
    <w:rsid w:val="00357185"/>
    <w:rsid w:val="00383829"/>
    <w:rsid w:val="003971E3"/>
    <w:rsid w:val="003C4402"/>
    <w:rsid w:val="003F4B29"/>
    <w:rsid w:val="00410D14"/>
    <w:rsid w:val="0042686F"/>
    <w:rsid w:val="004317D8"/>
    <w:rsid w:val="00434183"/>
    <w:rsid w:val="00443869"/>
    <w:rsid w:val="00447F32"/>
    <w:rsid w:val="00457D22"/>
    <w:rsid w:val="004E11DC"/>
    <w:rsid w:val="004F3C48"/>
    <w:rsid w:val="00506E94"/>
    <w:rsid w:val="00525DDD"/>
    <w:rsid w:val="005409AC"/>
    <w:rsid w:val="0055516A"/>
    <w:rsid w:val="0058491B"/>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2F3"/>
    <w:rsid w:val="00874F08"/>
    <w:rsid w:val="00882A17"/>
    <w:rsid w:val="008A7F84"/>
    <w:rsid w:val="0091702E"/>
    <w:rsid w:val="00923B0C"/>
    <w:rsid w:val="0094021C"/>
    <w:rsid w:val="0094065A"/>
    <w:rsid w:val="00952F86"/>
    <w:rsid w:val="00982B28"/>
    <w:rsid w:val="00983DA5"/>
    <w:rsid w:val="009D313F"/>
    <w:rsid w:val="00A24359"/>
    <w:rsid w:val="00A47A5A"/>
    <w:rsid w:val="00A6683B"/>
    <w:rsid w:val="00A97F94"/>
    <w:rsid w:val="00AA7EA2"/>
    <w:rsid w:val="00AF471A"/>
    <w:rsid w:val="00B03099"/>
    <w:rsid w:val="00B05BC8"/>
    <w:rsid w:val="00B4085D"/>
    <w:rsid w:val="00B64B47"/>
    <w:rsid w:val="00B93B7B"/>
    <w:rsid w:val="00C002DE"/>
    <w:rsid w:val="00C53BF8"/>
    <w:rsid w:val="00C56B5F"/>
    <w:rsid w:val="00C66157"/>
    <w:rsid w:val="00C674FE"/>
    <w:rsid w:val="00C67501"/>
    <w:rsid w:val="00C75633"/>
    <w:rsid w:val="00C85CB5"/>
    <w:rsid w:val="00CA08BA"/>
    <w:rsid w:val="00CE2EE1"/>
    <w:rsid w:val="00CE3349"/>
    <w:rsid w:val="00CE36E5"/>
    <w:rsid w:val="00CF03A5"/>
    <w:rsid w:val="00CF27F5"/>
    <w:rsid w:val="00CF3FFD"/>
    <w:rsid w:val="00D10CCF"/>
    <w:rsid w:val="00D77D0F"/>
    <w:rsid w:val="00D8311F"/>
    <w:rsid w:val="00DA1CF0"/>
    <w:rsid w:val="00DC1E02"/>
    <w:rsid w:val="00DC24B4"/>
    <w:rsid w:val="00DC5FB0"/>
    <w:rsid w:val="00DF16DC"/>
    <w:rsid w:val="00E45211"/>
    <w:rsid w:val="00E473C5"/>
    <w:rsid w:val="00E82BBB"/>
    <w:rsid w:val="00E92863"/>
    <w:rsid w:val="00EA5C51"/>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AE5D50"/>
  <w15:chartTrackingRefBased/>
  <w15:docId w15:val="{CB017221-FB1B-49C2-8D93-5FD20C11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410D14"/>
    <w:pPr>
      <w:tabs>
        <w:tab w:val="left" w:pos="397"/>
      </w:tabs>
      <w:spacing w:before="60"/>
      <w:textDirection w:val="tbRlV"/>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410D14"/>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Figure">
    <w:name w:val="Figure"/>
    <w:basedOn w:val="Normal"/>
    <w:autoRedefine/>
    <w:qFormat/>
    <w:rsid w:val="00B4085D"/>
    <w:pPr>
      <w:spacing w:before="240" w:after="240" w:line="240" w:lineRule="auto"/>
    </w:pPr>
    <w:rPr>
      <w:noProof/>
      <w:lang w:bidi="ar-EG"/>
    </w:rPr>
  </w:style>
  <w:style w:type="table" w:customStyle="1" w:styleId="TableGrid1">
    <w:name w:val="Table Grid1"/>
    <w:basedOn w:val="TableNormal"/>
    <w:next w:val="TableGrid"/>
    <w:uiPriority w:val="59"/>
    <w:rsid w:val="00B4085D"/>
    <w:pPr>
      <w:spacing w:after="0" w:line="240" w:lineRule="auto"/>
    </w:pPr>
    <w:rPr>
      <w:rFonts w:ascii="Avenir Nxt2 W1G" w:eastAsia="Times New Roman" w:hAnsi="Avenir Nxt2 W1G" w:cs="Times New Roman"/>
      <w:sz w:val="20"/>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venir Nxt2 W1G Demi" w:hAnsi="Avenir Nxt2 W1G Demi"/>
        <w:color w:val="FFFFFF"/>
      </w:rPr>
      <w:tblPr/>
      <w:tcPr>
        <w:shd w:val="clear" w:color="auto" w:fill="0076A1"/>
      </w:tcPr>
    </w:tblStylePr>
    <w:tblStylePr w:type="band1Horz">
      <w:tblPr/>
      <w:tcPr>
        <w:shd w:val="clear" w:color="auto" w:fill="CBDEF0"/>
      </w:tcPr>
    </w:tblStylePr>
    <w:tblStylePr w:type="band2Horz">
      <w:tblPr/>
      <w:tcPr>
        <w:shd w:val="clear" w:color="auto" w:fill="E7EFF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hub/membership/our-members/exempted-entities/exemption-criteria/"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TDAG31-INF-0002/"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tu.int/en/ITU-D/Conferences/CRO/Documents/CHAIRMAN%27S%20REPORT%20D3.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D/Conferences/CRO/Documents/Outcome%20statement%20IAGDI-CRO.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BF9B1394-3FF8-4C28-83A0-F9F649426811}"/>
</file>

<file path=customXml/itemProps3.xml><?xml version="1.0" encoding="utf-8"?>
<ds:datastoreItem xmlns:ds="http://schemas.openxmlformats.org/officeDocument/2006/customXml" ds:itemID="{5D23A7ED-D9BC-45CD-A49D-8CC3421C004B}"/>
</file>

<file path=docProps/app.xml><?xml version="1.0" encoding="utf-8"?>
<Properties xmlns="http://schemas.openxmlformats.org/officeDocument/2006/extended-properties" xmlns:vt="http://schemas.openxmlformats.org/officeDocument/2006/docPropsVTypes">
  <Template>Normal.dotm</Template>
  <TotalTime>2</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Arabic_GE</cp:lastModifiedBy>
  <cp:revision>3</cp:revision>
  <dcterms:created xsi:type="dcterms:W3CDTF">2024-04-22T14:38:00Z</dcterms:created>
  <dcterms:modified xsi:type="dcterms:W3CDTF">2024-04-22T14:44:00Z</dcterms:modified>
</cp:coreProperties>
</file>