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EF0689" w14:paraId="3F0E9EC4" w14:textId="77777777" w:rsidTr="00952667">
        <w:trPr>
          <w:cantSplit/>
          <w:trHeight w:val="1134"/>
        </w:trPr>
        <w:tc>
          <w:tcPr>
            <w:tcW w:w="6379" w:type="dxa"/>
          </w:tcPr>
          <w:p w14:paraId="68FE8375" w14:textId="6390CADE" w:rsidR="00307769" w:rsidRPr="00EF0689" w:rsidRDefault="00B42366" w:rsidP="00307769">
            <w:pPr>
              <w:tabs>
                <w:tab w:val="clear" w:pos="1191"/>
                <w:tab w:val="clear" w:pos="1588"/>
                <w:tab w:val="clear" w:pos="1985"/>
              </w:tabs>
              <w:ind w:left="34"/>
              <w:rPr>
                <w:b/>
                <w:bCs/>
                <w:sz w:val="32"/>
                <w:szCs w:val="32"/>
                <w:lang w:val="es-ES_tradnl"/>
              </w:rPr>
            </w:pPr>
            <w:r w:rsidRPr="00EF0689">
              <w:rPr>
                <w:b/>
                <w:bCs/>
                <w:sz w:val="32"/>
                <w:szCs w:val="32"/>
                <w:lang w:val="es-ES_tradnl"/>
              </w:rPr>
              <w:t>Grupo Asesor de Desarrollo de las Telecomunicaciones</w:t>
            </w:r>
            <w:r w:rsidR="00307769" w:rsidRPr="00EF0689">
              <w:rPr>
                <w:b/>
                <w:bCs/>
                <w:sz w:val="32"/>
                <w:szCs w:val="32"/>
                <w:lang w:val="es-ES_tradnl"/>
              </w:rPr>
              <w:t xml:space="preserve"> (</w:t>
            </w:r>
            <w:r w:rsidRPr="00EF0689">
              <w:rPr>
                <w:b/>
                <w:bCs/>
                <w:sz w:val="32"/>
                <w:szCs w:val="32"/>
                <w:lang w:val="es-ES_tradnl"/>
              </w:rPr>
              <w:t>GADT</w:t>
            </w:r>
            <w:r w:rsidR="00307769" w:rsidRPr="00EF0689">
              <w:rPr>
                <w:b/>
                <w:bCs/>
                <w:sz w:val="32"/>
                <w:szCs w:val="32"/>
                <w:lang w:val="es-ES_tradnl"/>
              </w:rPr>
              <w:t>)</w:t>
            </w:r>
          </w:p>
          <w:p w14:paraId="5F5F590A" w14:textId="6A84B2FD" w:rsidR="00307769" w:rsidRPr="00EF0689" w:rsidRDefault="00307769" w:rsidP="00307769">
            <w:pPr>
              <w:tabs>
                <w:tab w:val="clear" w:pos="1191"/>
                <w:tab w:val="clear" w:pos="1588"/>
                <w:tab w:val="clear" w:pos="1985"/>
              </w:tabs>
              <w:spacing w:after="120"/>
              <w:ind w:left="34"/>
              <w:rPr>
                <w:rFonts w:ascii="Verdana" w:hAnsi="Verdana"/>
                <w:sz w:val="28"/>
                <w:szCs w:val="28"/>
                <w:lang w:val="es-ES_tradnl"/>
              </w:rPr>
            </w:pPr>
            <w:r w:rsidRPr="00EF0689">
              <w:rPr>
                <w:b/>
                <w:bCs/>
                <w:sz w:val="26"/>
                <w:szCs w:val="26"/>
                <w:lang w:val="es-ES_tradnl"/>
              </w:rPr>
              <w:t>3</w:t>
            </w:r>
            <w:r w:rsidR="00341DA6" w:rsidRPr="00EF0689">
              <w:rPr>
                <w:b/>
                <w:bCs/>
                <w:sz w:val="26"/>
                <w:szCs w:val="26"/>
                <w:lang w:val="es-ES_tradnl"/>
              </w:rPr>
              <w:t>1</w:t>
            </w:r>
            <w:r w:rsidR="00B42366" w:rsidRPr="00EF0689">
              <w:rPr>
                <w:b/>
                <w:bCs/>
                <w:sz w:val="26"/>
                <w:szCs w:val="26"/>
                <w:lang w:val="es-ES_tradnl"/>
              </w:rPr>
              <w:t xml:space="preserve">ª reunión, Ginebra, Suiza, </w:t>
            </w:r>
            <w:r w:rsidR="00341DA6" w:rsidRPr="00EF0689">
              <w:rPr>
                <w:b/>
                <w:bCs/>
                <w:sz w:val="26"/>
                <w:szCs w:val="26"/>
                <w:lang w:val="es-ES_tradnl"/>
              </w:rPr>
              <w:t>20</w:t>
            </w:r>
            <w:r w:rsidRPr="00EF0689">
              <w:rPr>
                <w:b/>
                <w:bCs/>
                <w:sz w:val="26"/>
                <w:szCs w:val="26"/>
                <w:lang w:val="es-ES_tradnl"/>
              </w:rPr>
              <w:t>-2</w:t>
            </w:r>
            <w:r w:rsidR="00B9710C" w:rsidRPr="00EF0689">
              <w:rPr>
                <w:b/>
                <w:bCs/>
                <w:sz w:val="26"/>
                <w:szCs w:val="26"/>
                <w:lang w:val="es-ES_tradnl"/>
              </w:rPr>
              <w:t>3</w:t>
            </w:r>
            <w:r w:rsidRPr="00EF0689">
              <w:rPr>
                <w:b/>
                <w:bCs/>
                <w:sz w:val="26"/>
                <w:szCs w:val="26"/>
                <w:lang w:val="es-ES_tradnl"/>
              </w:rPr>
              <w:t xml:space="preserve"> </w:t>
            </w:r>
            <w:r w:rsidR="00B42366" w:rsidRPr="00EF0689">
              <w:rPr>
                <w:b/>
                <w:bCs/>
                <w:sz w:val="26"/>
                <w:szCs w:val="26"/>
                <w:lang w:val="es-ES_tradnl"/>
              </w:rPr>
              <w:t xml:space="preserve">de </w:t>
            </w:r>
            <w:r w:rsidR="00341DA6" w:rsidRPr="00EF0689">
              <w:rPr>
                <w:b/>
                <w:bCs/>
                <w:sz w:val="26"/>
                <w:szCs w:val="26"/>
                <w:lang w:val="es-ES_tradnl"/>
              </w:rPr>
              <w:t>mayo</w:t>
            </w:r>
            <w:r w:rsidR="00B42366" w:rsidRPr="00EF0689">
              <w:rPr>
                <w:b/>
                <w:bCs/>
                <w:sz w:val="26"/>
                <w:szCs w:val="26"/>
                <w:lang w:val="es-ES_tradnl"/>
              </w:rPr>
              <w:t xml:space="preserve"> de</w:t>
            </w:r>
            <w:r w:rsidRPr="00EF0689">
              <w:rPr>
                <w:b/>
                <w:bCs/>
                <w:sz w:val="26"/>
                <w:szCs w:val="26"/>
                <w:lang w:val="es-ES_tradnl"/>
              </w:rPr>
              <w:t xml:space="preserve"> 202</w:t>
            </w:r>
            <w:r w:rsidR="00AD3182" w:rsidRPr="00EF0689">
              <w:rPr>
                <w:b/>
                <w:bCs/>
                <w:sz w:val="26"/>
                <w:szCs w:val="26"/>
                <w:lang w:val="es-ES_tradnl"/>
              </w:rPr>
              <w:t>4</w:t>
            </w:r>
          </w:p>
        </w:tc>
        <w:tc>
          <w:tcPr>
            <w:tcW w:w="3509" w:type="dxa"/>
          </w:tcPr>
          <w:p w14:paraId="67E7B4C4" w14:textId="0F52E4CC" w:rsidR="00307769" w:rsidRPr="00EF0689" w:rsidRDefault="00307769" w:rsidP="00952667">
            <w:pPr>
              <w:spacing w:after="120"/>
              <w:ind w:right="142"/>
              <w:jc w:val="right"/>
              <w:rPr>
                <w:lang w:val="es-ES_tradnl"/>
              </w:rPr>
            </w:pPr>
            <w:r w:rsidRPr="00EF0689">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F0689" w14:paraId="3C13197B" w14:textId="77777777" w:rsidTr="0009076F">
        <w:trPr>
          <w:cantSplit/>
        </w:trPr>
        <w:tc>
          <w:tcPr>
            <w:tcW w:w="6379" w:type="dxa"/>
            <w:tcBorders>
              <w:top w:val="single" w:sz="12" w:space="0" w:color="auto"/>
            </w:tcBorders>
          </w:tcPr>
          <w:p w14:paraId="2EED9DB2" w14:textId="77777777" w:rsidR="00683C32" w:rsidRPr="00EF0689"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EF0689" w:rsidRDefault="00683C32" w:rsidP="00107E85">
            <w:pPr>
              <w:spacing w:before="0"/>
              <w:rPr>
                <w:b/>
                <w:bCs/>
                <w:sz w:val="20"/>
                <w:lang w:val="es-ES_tradnl"/>
              </w:rPr>
            </w:pPr>
          </w:p>
        </w:tc>
      </w:tr>
      <w:tr w:rsidR="00683C32" w:rsidRPr="00EF0689" w14:paraId="0BB3FBC4" w14:textId="77777777" w:rsidTr="0009076F">
        <w:trPr>
          <w:cantSplit/>
        </w:trPr>
        <w:tc>
          <w:tcPr>
            <w:tcW w:w="6379" w:type="dxa"/>
          </w:tcPr>
          <w:p w14:paraId="43C54B3D" w14:textId="77777777" w:rsidR="00683C32" w:rsidRPr="00EF0689" w:rsidRDefault="00683C32" w:rsidP="00400CCF">
            <w:pPr>
              <w:pStyle w:val="Committee"/>
              <w:spacing w:before="0"/>
              <w:rPr>
                <w:b w:val="0"/>
                <w:szCs w:val="24"/>
                <w:lang w:val="es-ES_tradnl"/>
              </w:rPr>
            </w:pPr>
          </w:p>
        </w:tc>
        <w:tc>
          <w:tcPr>
            <w:tcW w:w="3509" w:type="dxa"/>
          </w:tcPr>
          <w:p w14:paraId="02E44EE9" w14:textId="595526E7" w:rsidR="00683C32" w:rsidRPr="00EF0689" w:rsidRDefault="0096201B" w:rsidP="00B648C7">
            <w:pPr>
              <w:spacing w:before="0"/>
              <w:jc w:val="both"/>
              <w:rPr>
                <w:bCs/>
                <w:szCs w:val="24"/>
                <w:lang w:val="es-ES_tradnl"/>
              </w:rPr>
            </w:pPr>
            <w:r w:rsidRPr="00EF0689">
              <w:rPr>
                <w:b/>
                <w:bCs/>
                <w:lang w:val="es-ES_tradnl"/>
              </w:rPr>
              <w:t>Document</w:t>
            </w:r>
            <w:r w:rsidR="00B42366" w:rsidRPr="00EF0689">
              <w:rPr>
                <w:b/>
                <w:bCs/>
                <w:lang w:val="es-ES_tradnl"/>
              </w:rPr>
              <w:t>o</w:t>
            </w:r>
            <w:r w:rsidRPr="00EF0689">
              <w:rPr>
                <w:b/>
                <w:bCs/>
                <w:lang w:val="es-ES_tradnl"/>
              </w:rPr>
              <w:t xml:space="preserve"> </w:t>
            </w:r>
            <w:bookmarkStart w:id="0" w:name="DocRef1"/>
            <w:bookmarkEnd w:id="0"/>
            <w:r w:rsidRPr="00EF0689">
              <w:rPr>
                <w:b/>
                <w:bCs/>
                <w:lang w:val="es-ES_tradnl"/>
              </w:rPr>
              <w:t>TDAG</w:t>
            </w:r>
            <w:r w:rsidR="003242AB" w:rsidRPr="00EF0689">
              <w:rPr>
                <w:b/>
                <w:bCs/>
                <w:lang w:val="es-ES_tradnl"/>
              </w:rPr>
              <w:t>-</w:t>
            </w:r>
            <w:r w:rsidR="00B648C7" w:rsidRPr="00EF0689">
              <w:rPr>
                <w:b/>
                <w:bCs/>
                <w:lang w:val="es-ES_tradnl"/>
              </w:rPr>
              <w:t>2</w:t>
            </w:r>
            <w:bookmarkStart w:id="1" w:name="DocNo1"/>
            <w:bookmarkEnd w:id="1"/>
            <w:r w:rsidR="00341DA6" w:rsidRPr="00EF0689">
              <w:rPr>
                <w:b/>
                <w:bCs/>
                <w:lang w:val="es-ES_tradnl"/>
              </w:rPr>
              <w:t>4</w:t>
            </w:r>
            <w:r w:rsidR="0009076F" w:rsidRPr="00EF0689">
              <w:rPr>
                <w:b/>
                <w:bCs/>
                <w:lang w:val="es-ES_tradnl"/>
              </w:rPr>
              <w:t>/</w:t>
            </w:r>
            <w:r w:rsidR="00AD3182" w:rsidRPr="00EF0689">
              <w:rPr>
                <w:b/>
                <w:bCs/>
                <w:lang w:val="es-ES_tradnl"/>
              </w:rPr>
              <w:t>7</w:t>
            </w:r>
            <w:r w:rsidR="001E79C9" w:rsidRPr="00EF0689">
              <w:rPr>
                <w:b/>
                <w:bCs/>
                <w:lang w:val="es-ES_tradnl"/>
              </w:rPr>
              <w:t>(Rev.1)</w:t>
            </w:r>
            <w:r w:rsidRPr="00EF0689">
              <w:rPr>
                <w:b/>
                <w:bCs/>
                <w:lang w:val="es-ES_tradnl"/>
              </w:rPr>
              <w:t>-</w:t>
            </w:r>
            <w:r w:rsidR="00B42366" w:rsidRPr="00EF0689">
              <w:rPr>
                <w:b/>
                <w:bCs/>
                <w:lang w:val="es-ES_tradnl"/>
              </w:rPr>
              <w:t>S</w:t>
            </w:r>
          </w:p>
        </w:tc>
      </w:tr>
      <w:tr w:rsidR="00683C32" w:rsidRPr="00EF0689" w14:paraId="24D04936" w14:textId="77777777" w:rsidTr="0009076F">
        <w:trPr>
          <w:cantSplit/>
        </w:trPr>
        <w:tc>
          <w:tcPr>
            <w:tcW w:w="6379" w:type="dxa"/>
          </w:tcPr>
          <w:p w14:paraId="12CE4DBF" w14:textId="77777777" w:rsidR="00683C32" w:rsidRPr="00EF0689" w:rsidRDefault="00683C32" w:rsidP="00400CCF">
            <w:pPr>
              <w:spacing w:before="0"/>
              <w:rPr>
                <w:b/>
                <w:bCs/>
                <w:smallCaps/>
                <w:szCs w:val="24"/>
                <w:lang w:val="es-ES_tradnl"/>
              </w:rPr>
            </w:pPr>
          </w:p>
        </w:tc>
        <w:tc>
          <w:tcPr>
            <w:tcW w:w="3509" w:type="dxa"/>
          </w:tcPr>
          <w:p w14:paraId="0F89640F" w14:textId="6539AFC5" w:rsidR="00683C32" w:rsidRPr="00EF0689" w:rsidRDefault="00AD3182" w:rsidP="00B648C7">
            <w:pPr>
              <w:spacing w:before="0"/>
              <w:rPr>
                <w:b/>
                <w:szCs w:val="24"/>
                <w:lang w:val="es-ES_tradnl"/>
              </w:rPr>
            </w:pPr>
            <w:bookmarkStart w:id="2" w:name="CreationDate"/>
            <w:bookmarkEnd w:id="2"/>
            <w:r w:rsidRPr="00EF0689">
              <w:rPr>
                <w:b/>
                <w:bCs/>
                <w:szCs w:val="28"/>
                <w:lang w:val="es-ES_tradnl"/>
              </w:rPr>
              <w:t>3</w:t>
            </w:r>
            <w:r w:rsidR="001E79C9" w:rsidRPr="00EF0689">
              <w:rPr>
                <w:b/>
                <w:bCs/>
                <w:szCs w:val="28"/>
                <w:lang w:val="es-ES_tradnl"/>
              </w:rPr>
              <w:t xml:space="preserve"> de mayo</w:t>
            </w:r>
            <w:r w:rsidR="00CE0422" w:rsidRPr="00EF0689">
              <w:rPr>
                <w:b/>
                <w:bCs/>
                <w:szCs w:val="28"/>
                <w:lang w:val="es-ES_tradnl"/>
              </w:rPr>
              <w:t xml:space="preserve"> </w:t>
            </w:r>
            <w:r w:rsidR="00B42366" w:rsidRPr="00EF0689">
              <w:rPr>
                <w:b/>
                <w:bCs/>
                <w:szCs w:val="28"/>
                <w:lang w:val="es-ES_tradnl"/>
              </w:rPr>
              <w:t xml:space="preserve">de </w:t>
            </w:r>
            <w:r w:rsidR="00CE0422" w:rsidRPr="00EF0689">
              <w:rPr>
                <w:b/>
                <w:bCs/>
                <w:szCs w:val="28"/>
                <w:lang w:val="es-ES_tradnl"/>
              </w:rPr>
              <w:t>20</w:t>
            </w:r>
            <w:r w:rsidR="00B648C7" w:rsidRPr="00EF0689">
              <w:rPr>
                <w:b/>
                <w:bCs/>
                <w:szCs w:val="28"/>
                <w:lang w:val="es-ES_tradnl"/>
              </w:rPr>
              <w:t>2</w:t>
            </w:r>
            <w:r w:rsidR="00341DA6" w:rsidRPr="00EF0689">
              <w:rPr>
                <w:b/>
                <w:bCs/>
                <w:szCs w:val="28"/>
                <w:lang w:val="es-ES_tradnl"/>
              </w:rPr>
              <w:t>4</w:t>
            </w:r>
          </w:p>
        </w:tc>
      </w:tr>
      <w:tr w:rsidR="00683C32" w:rsidRPr="00EF0689" w14:paraId="7B96545F" w14:textId="77777777" w:rsidTr="0009076F">
        <w:trPr>
          <w:cantSplit/>
        </w:trPr>
        <w:tc>
          <w:tcPr>
            <w:tcW w:w="6379" w:type="dxa"/>
          </w:tcPr>
          <w:p w14:paraId="65956FD3" w14:textId="77777777" w:rsidR="00683C32" w:rsidRPr="00EF0689" w:rsidRDefault="00683C32" w:rsidP="00400CCF">
            <w:pPr>
              <w:spacing w:before="0"/>
              <w:rPr>
                <w:b/>
                <w:bCs/>
                <w:smallCaps/>
                <w:szCs w:val="24"/>
                <w:lang w:val="es-ES_tradnl"/>
              </w:rPr>
            </w:pPr>
          </w:p>
        </w:tc>
        <w:tc>
          <w:tcPr>
            <w:tcW w:w="3509" w:type="dxa"/>
          </w:tcPr>
          <w:p w14:paraId="30EFD39F" w14:textId="560C5C27" w:rsidR="00514D2F" w:rsidRPr="00EF0689" w:rsidRDefault="0096201B" w:rsidP="00400CCF">
            <w:pPr>
              <w:spacing w:before="0"/>
              <w:rPr>
                <w:szCs w:val="24"/>
                <w:lang w:val="es-ES_tradnl"/>
              </w:rPr>
            </w:pPr>
            <w:r w:rsidRPr="00EF0689">
              <w:rPr>
                <w:b/>
                <w:lang w:val="es-ES_tradnl"/>
              </w:rPr>
              <w:t>Original:</w:t>
            </w:r>
            <w:bookmarkStart w:id="3" w:name="Original"/>
            <w:bookmarkEnd w:id="3"/>
            <w:r w:rsidR="00CE0422" w:rsidRPr="00EF0689">
              <w:rPr>
                <w:b/>
                <w:lang w:val="es-ES_tradnl"/>
              </w:rPr>
              <w:t xml:space="preserve"> </w:t>
            </w:r>
            <w:r w:rsidR="00B42366" w:rsidRPr="00EF0689">
              <w:rPr>
                <w:b/>
                <w:lang w:val="es-ES_tradnl"/>
              </w:rPr>
              <w:t>inglés</w:t>
            </w:r>
          </w:p>
        </w:tc>
      </w:tr>
      <w:tr w:rsidR="00AD3182" w:rsidRPr="00EF0689" w14:paraId="31656E31" w14:textId="77777777" w:rsidTr="00107E85">
        <w:trPr>
          <w:cantSplit/>
          <w:trHeight w:val="852"/>
        </w:trPr>
        <w:tc>
          <w:tcPr>
            <w:tcW w:w="9888" w:type="dxa"/>
            <w:gridSpan w:val="2"/>
          </w:tcPr>
          <w:p w14:paraId="512FCA01" w14:textId="7538CD4E" w:rsidR="00AD3182" w:rsidRPr="00EF0689" w:rsidRDefault="00AD3182" w:rsidP="00AD3182">
            <w:pPr>
              <w:pStyle w:val="Source"/>
              <w:rPr>
                <w:lang w:val="es-ES_tradnl"/>
              </w:rPr>
            </w:pPr>
            <w:bookmarkStart w:id="4" w:name="Source"/>
            <w:bookmarkEnd w:id="4"/>
            <w:r w:rsidRPr="00EF0689">
              <w:rPr>
                <w:lang w:val="es-ES_tradnl"/>
              </w:rPr>
              <w:t>Director de la Oficina de Desarrollo de las Telecomunicaciones</w:t>
            </w:r>
          </w:p>
        </w:tc>
      </w:tr>
      <w:tr w:rsidR="00AD3182" w:rsidRPr="00EF0689" w14:paraId="2CBD3A36" w14:textId="77777777" w:rsidTr="00107E85">
        <w:trPr>
          <w:cantSplit/>
        </w:trPr>
        <w:tc>
          <w:tcPr>
            <w:tcW w:w="9888" w:type="dxa"/>
            <w:gridSpan w:val="2"/>
          </w:tcPr>
          <w:p w14:paraId="1B4121DF" w14:textId="21800984" w:rsidR="00AD3182" w:rsidRPr="00EF0689" w:rsidRDefault="00AD3182" w:rsidP="00AD3182">
            <w:pPr>
              <w:pStyle w:val="Title1"/>
              <w:rPr>
                <w:lang w:val="es-ES_tradnl"/>
              </w:rPr>
            </w:pPr>
            <w:bookmarkStart w:id="5" w:name="Title"/>
            <w:bookmarkEnd w:id="5"/>
            <w:r w:rsidRPr="00EF0689">
              <w:rPr>
                <w:lang w:val="es-ES_tradnl"/>
              </w:rPr>
              <w:t>Proyectos del UIT-D</w:t>
            </w:r>
          </w:p>
        </w:tc>
      </w:tr>
      <w:tr w:rsidR="00A721F4" w:rsidRPr="00EF0689" w14:paraId="23A30231" w14:textId="77777777" w:rsidTr="00A721F4">
        <w:trPr>
          <w:cantSplit/>
        </w:trPr>
        <w:tc>
          <w:tcPr>
            <w:tcW w:w="9888" w:type="dxa"/>
            <w:gridSpan w:val="2"/>
            <w:tcBorders>
              <w:bottom w:val="single" w:sz="4" w:space="0" w:color="auto"/>
            </w:tcBorders>
          </w:tcPr>
          <w:p w14:paraId="726EE70E" w14:textId="77777777" w:rsidR="00A721F4" w:rsidRPr="00EF0689" w:rsidRDefault="00A721F4" w:rsidP="0030353C">
            <w:pPr>
              <w:rPr>
                <w:lang w:val="es-ES_tradnl"/>
              </w:rPr>
            </w:pPr>
          </w:p>
        </w:tc>
      </w:tr>
      <w:tr w:rsidR="00A721F4" w:rsidRPr="00EF0689"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EF0689" w:rsidRDefault="00B42366" w:rsidP="00EA0C51">
            <w:pPr>
              <w:spacing w:after="120"/>
              <w:rPr>
                <w:b/>
                <w:bCs/>
                <w:szCs w:val="24"/>
                <w:lang w:val="es-ES_tradnl"/>
              </w:rPr>
            </w:pPr>
            <w:r w:rsidRPr="00EF0689">
              <w:rPr>
                <w:b/>
                <w:bCs/>
                <w:szCs w:val="24"/>
                <w:lang w:val="es-ES_tradnl"/>
              </w:rPr>
              <w:t>Resumen</w:t>
            </w:r>
            <w:r w:rsidR="00A721F4" w:rsidRPr="00EF0689">
              <w:rPr>
                <w:b/>
                <w:bCs/>
                <w:szCs w:val="24"/>
                <w:lang w:val="es-ES_tradnl"/>
              </w:rPr>
              <w:t>:</w:t>
            </w:r>
          </w:p>
          <w:p w14:paraId="4A0E3515" w14:textId="77777777" w:rsidR="00AD3182" w:rsidRPr="00EF0689" w:rsidRDefault="00AD3182" w:rsidP="00AD3182">
            <w:pPr>
              <w:rPr>
                <w:lang w:val="es-ES_tradnl"/>
              </w:rPr>
            </w:pPr>
            <w:r w:rsidRPr="00EF0689">
              <w:rPr>
                <w:lang w:val="es-ES_tradnl"/>
              </w:rPr>
              <w:t>La Unión Internacional de Telecomunicaciones tiene un doble cometido como organismo especializado de las Naciones Unidas y como organismo ejecutor de proyectos. El Sector de Desarrollo de las Telecomunicaciones (UIT-D), en cumplimiento de esos objetivos, desempeña la importante función de llevar a cabo proyectos en el marco del sistema de las Naciones Unidas para el desarrollo y de otros acuerdos de financiación, con objeto de facilitar y potenciar el desarrollo de las telecomunicaciones ofreciendo, organizando y coordinando actividades de cooperación y asistencia técnicas.</w:t>
            </w:r>
          </w:p>
          <w:p w14:paraId="7A10F103" w14:textId="77777777" w:rsidR="00AD3182" w:rsidRPr="00EF0689" w:rsidRDefault="00AD3182" w:rsidP="00AD3182">
            <w:pPr>
              <w:spacing w:after="120"/>
              <w:rPr>
                <w:lang w:val="es-ES_tradnl"/>
              </w:rPr>
            </w:pPr>
            <w:r w:rsidRPr="00EF0689">
              <w:rPr>
                <w:lang w:val="es-ES_tradnl"/>
              </w:rPr>
              <w:t>En este documento se presenta una visión global de los trabajos emprendidos por la Oficina de Desarrollo de las Telecomunicaciones relacionados con la preparación y ejecución de proyectos en las seis regiones del UIT-D, a saber, África, las Américas, los Estados Árabes, Asia-Pacífico, la Comunidad de Estados Independientes (CEI) y Europa, así como a nivel multirregional.</w:t>
            </w:r>
          </w:p>
          <w:p w14:paraId="76A1C541" w14:textId="6428534F" w:rsidR="00A721F4" w:rsidRPr="00EF0689" w:rsidRDefault="00A721F4" w:rsidP="00AD3182">
            <w:pPr>
              <w:spacing w:after="120"/>
              <w:rPr>
                <w:b/>
                <w:bCs/>
                <w:szCs w:val="24"/>
                <w:lang w:val="es-ES_tradnl"/>
              </w:rPr>
            </w:pPr>
            <w:r w:rsidRPr="00EF0689">
              <w:rPr>
                <w:b/>
                <w:bCs/>
                <w:lang w:val="es-ES_tradnl"/>
              </w:rPr>
              <w:t>Ac</w:t>
            </w:r>
            <w:r w:rsidR="00B42366" w:rsidRPr="00EF0689">
              <w:rPr>
                <w:b/>
                <w:bCs/>
                <w:lang w:val="es-ES_tradnl"/>
              </w:rPr>
              <w:t>ción solicitada</w:t>
            </w:r>
            <w:r w:rsidRPr="00EF0689">
              <w:rPr>
                <w:b/>
                <w:bCs/>
                <w:lang w:val="es-ES_tradnl"/>
              </w:rPr>
              <w:t>:</w:t>
            </w:r>
          </w:p>
          <w:p w14:paraId="10F56FC7" w14:textId="77777777" w:rsidR="001E79C9" w:rsidRPr="00EF0689" w:rsidRDefault="001E79C9" w:rsidP="001E79C9">
            <w:pPr>
              <w:spacing w:after="120"/>
              <w:rPr>
                <w:szCs w:val="24"/>
                <w:lang w:val="es-ES_tradnl"/>
              </w:rPr>
            </w:pPr>
            <w:r w:rsidRPr="00EF0689">
              <w:rPr>
                <w:lang w:val="es-ES_tradnl"/>
              </w:rPr>
              <w:t>Se invita al GADT a tomar nota del presente documento y a formular los comentarios que estime convenientes.</w:t>
            </w:r>
          </w:p>
          <w:p w14:paraId="622ACB80" w14:textId="6D46991A" w:rsidR="00A721F4" w:rsidRPr="00EF0689" w:rsidRDefault="00A721F4" w:rsidP="00EA0C51">
            <w:pPr>
              <w:spacing w:after="120"/>
              <w:rPr>
                <w:b/>
                <w:bCs/>
                <w:szCs w:val="24"/>
                <w:lang w:val="es-ES_tradnl"/>
              </w:rPr>
            </w:pPr>
            <w:r w:rsidRPr="00EF0689">
              <w:rPr>
                <w:b/>
                <w:bCs/>
                <w:szCs w:val="24"/>
                <w:lang w:val="es-ES_tradnl"/>
              </w:rPr>
              <w:t>Referenc</w:t>
            </w:r>
            <w:r w:rsidR="00B42366" w:rsidRPr="00EF0689">
              <w:rPr>
                <w:b/>
                <w:bCs/>
                <w:szCs w:val="24"/>
                <w:lang w:val="es-ES_tradnl"/>
              </w:rPr>
              <w:t>ia</w:t>
            </w:r>
            <w:r w:rsidRPr="00EF0689">
              <w:rPr>
                <w:b/>
                <w:bCs/>
                <w:szCs w:val="24"/>
                <w:lang w:val="es-ES_tradnl"/>
              </w:rPr>
              <w:t>s:</w:t>
            </w:r>
          </w:p>
          <w:p w14:paraId="1ECDD20E" w14:textId="5F3A8979" w:rsidR="00A721F4" w:rsidRPr="00EF0689" w:rsidRDefault="00AD3182" w:rsidP="001E79C9">
            <w:pPr>
              <w:spacing w:after="120"/>
              <w:rPr>
                <w:lang w:val="es-ES_tradnl"/>
              </w:rPr>
            </w:pPr>
            <w:r w:rsidRPr="00EF0689">
              <w:rPr>
                <w:lang w:val="es-ES_tradnl"/>
              </w:rPr>
              <w:t>Resoluciones 17 (Rev. Kigali, 2022) y 52 (Rev. Dubái, 2014) de la Conferencia Mundial de Desarrollo de las Telecomunicaciones (CMDT) y Resolución 157 (Rev. Bucarest, 2022) de la Conferencia de Plenipotenciarios. Resolución 1418 del Consejo de la UIT.</w:t>
            </w:r>
          </w:p>
        </w:tc>
      </w:tr>
    </w:tbl>
    <w:p w14:paraId="72F5CF96" w14:textId="77777777" w:rsidR="00923CF1" w:rsidRPr="00EF0689" w:rsidRDefault="00923CF1" w:rsidP="00935FF0">
      <w:pPr>
        <w:rPr>
          <w:lang w:val="es-ES_tradnl"/>
        </w:rPr>
      </w:pPr>
    </w:p>
    <w:p w14:paraId="06D9756D" w14:textId="7C513606" w:rsidR="00AD3182" w:rsidRPr="00EF0689" w:rsidRDefault="00923CF1" w:rsidP="00AD3182">
      <w:pPr>
        <w:pStyle w:val="Heading1"/>
        <w:tabs>
          <w:tab w:val="center" w:pos="4819"/>
        </w:tabs>
        <w:rPr>
          <w:lang w:val="es-ES_tradnl"/>
        </w:rPr>
      </w:pPr>
      <w:r w:rsidRPr="00EF0689">
        <w:rPr>
          <w:lang w:val="es-ES_tradnl"/>
        </w:rPr>
        <w:br w:type="page"/>
      </w:r>
      <w:bookmarkStart w:id="6" w:name="lt_pId027"/>
      <w:r w:rsidR="00AD3182" w:rsidRPr="00EF0689">
        <w:rPr>
          <w:lang w:val="es-ES_tradnl"/>
        </w:rPr>
        <w:lastRenderedPageBreak/>
        <w:t>1</w:t>
      </w:r>
      <w:r w:rsidR="00AD3182" w:rsidRPr="00EF0689">
        <w:rPr>
          <w:lang w:val="es-ES_tradnl"/>
        </w:rPr>
        <w:tab/>
        <w:t>Introducción</w:t>
      </w:r>
      <w:bookmarkEnd w:id="6"/>
    </w:p>
    <w:p w14:paraId="5F7A9430" w14:textId="77777777" w:rsidR="00AD3182" w:rsidRPr="00EF0689" w:rsidRDefault="00AD3182" w:rsidP="00AD3182">
      <w:pPr>
        <w:rPr>
          <w:lang w:val="es-ES_tradnl"/>
        </w:rPr>
      </w:pPr>
      <w:bookmarkStart w:id="7" w:name="lt_pId028"/>
      <w:r w:rsidRPr="00EF0689">
        <w:rPr>
          <w:lang w:val="es-ES_tradnl"/>
        </w:rPr>
        <w:t>De conformidad con las Resoluciones 17 (Rev. Kigali, 2022) y 52 (Rev. Dubái, 2014) de la Conferencia Mundial de Desarrollo de las Telecomunicaciones (CMDT) y la Resolución 157 (Rev. Bucarest, 2022) de la Conferencia de Plenipotenciarios, la Oficina de Desarrollo de las Telecomunicaciones (BDT) de la UIT tiene la responsabilidad de cumplir el mandato de la UIT respecto de la ejecución de proyectos en el marco del sistema de las Naciones Unidas para el desarrollo y de otras iniciativas de financiación, con objeto de facilitar y potenciar el desarrollo de las telecomunicaciones/tecnologías de la información y la comunicación (TIC) ofreciendo, organizando y coordinando actividades de cooperación y asistencia técnicas. En el presente informe se resume la situación de la cartera de proyectos de la UIT en curso durante el año 2023.</w:t>
      </w:r>
      <w:r w:rsidRPr="00EF0689">
        <w:rPr>
          <w:rStyle w:val="FootnoteReference"/>
          <w:lang w:val="es-ES_tradnl"/>
        </w:rPr>
        <w:footnoteReference w:id="1"/>
      </w:r>
      <w:bookmarkStart w:id="8" w:name="lt_pId029"/>
      <w:bookmarkEnd w:id="8"/>
      <w:bookmarkEnd w:id="7"/>
    </w:p>
    <w:p w14:paraId="7C93DB1D" w14:textId="77777777" w:rsidR="00AD3182" w:rsidRPr="00EF0689" w:rsidRDefault="00AD3182" w:rsidP="00AD3182">
      <w:pPr>
        <w:pStyle w:val="Heading1"/>
        <w:rPr>
          <w:lang w:val="es-ES_tradnl"/>
        </w:rPr>
      </w:pPr>
      <w:bookmarkStart w:id="9" w:name="lt_pId030"/>
      <w:r w:rsidRPr="00EF0689">
        <w:rPr>
          <w:lang w:val="es-ES_tradnl"/>
        </w:rPr>
        <w:t>2</w:t>
      </w:r>
      <w:r w:rsidRPr="00EF0689">
        <w:rPr>
          <w:lang w:val="es-ES_tradnl"/>
        </w:rPr>
        <w:tab/>
        <w:t>Cartera de proyectos de la UIT: proyectos en curso</w:t>
      </w:r>
      <w:bookmarkEnd w:id="9"/>
    </w:p>
    <w:p w14:paraId="4F49D408" w14:textId="77777777" w:rsidR="00AD3182" w:rsidRPr="00EF0689" w:rsidRDefault="00AD3182" w:rsidP="00AD3182">
      <w:pPr>
        <w:pStyle w:val="Heading2"/>
        <w:rPr>
          <w:lang w:val="es-ES_tradnl"/>
        </w:rPr>
      </w:pPr>
      <w:bookmarkStart w:id="10" w:name="lt_pId031"/>
      <w:r w:rsidRPr="00EF0689">
        <w:rPr>
          <w:lang w:val="es-ES_tradnl"/>
        </w:rPr>
        <w:t>2.1</w:t>
      </w:r>
      <w:r w:rsidRPr="00EF0689">
        <w:rPr>
          <w:lang w:val="es-ES_tradnl"/>
        </w:rPr>
        <w:tab/>
        <w:t>Panorama general y distribución regional</w:t>
      </w:r>
      <w:bookmarkEnd w:id="10"/>
    </w:p>
    <w:p w14:paraId="5E581158" w14:textId="77777777" w:rsidR="00AD3182" w:rsidRPr="00EF0689" w:rsidRDefault="00AD3182" w:rsidP="00AD3182">
      <w:pPr>
        <w:rPr>
          <w:lang w:val="es-ES_tradnl"/>
        </w:rPr>
      </w:pPr>
      <w:bookmarkStart w:id="11" w:name="lt_pId032"/>
      <w:r w:rsidRPr="00EF0689">
        <w:rPr>
          <w:lang w:val="es-ES_tradnl"/>
        </w:rPr>
        <w:t>Durante 2023, la BDT estuvo ejecutando 87 proyectos, por valor de 106,4 millones CHF. En la Figura 1 se muestran la distribución global de esta cartera por región y el panorama general de 1) los fondos movilizados para apoyar la ejecución de estos proyectos, 2) la financiación inicial atribuida por la UIT con cargo al Fondo para el Desarrollo de las TIC (FD-TIC) o a otros fondos de la UIT en apoyo de la ejecución de las Iniciativas Regionales (IR) de la CMDT</w:t>
      </w:r>
      <w:r w:rsidRPr="00EF0689">
        <w:rPr>
          <w:lang w:val="es-ES_tradnl"/>
        </w:rPr>
        <w:noBreakHyphen/>
        <w:t>17 y la CMDT</w:t>
      </w:r>
      <w:r w:rsidRPr="00EF0689">
        <w:rPr>
          <w:lang w:val="es-ES_tradnl"/>
        </w:rPr>
        <w:noBreakHyphen/>
        <w:t>22.</w:t>
      </w:r>
      <w:bookmarkStart w:id="12" w:name="lt_pId033"/>
      <w:bookmarkEnd w:id="11"/>
      <w:bookmarkEnd w:id="12"/>
    </w:p>
    <w:p w14:paraId="739E4005" w14:textId="77777777" w:rsidR="00AD3182" w:rsidRPr="00EF0689" w:rsidRDefault="00AD3182" w:rsidP="00AD3182">
      <w:pPr>
        <w:pStyle w:val="FigureNotitle"/>
      </w:pPr>
      <w:bookmarkStart w:id="13" w:name="lt_pId034"/>
      <w:r w:rsidRPr="00EF0689">
        <w:t>Figura 1 – Presentación de los proyectos de la UIT en curso, por región (en miles CHF)</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97"/>
        <w:gridCol w:w="1470"/>
        <w:gridCol w:w="1750"/>
        <w:gridCol w:w="1693"/>
        <w:gridCol w:w="1568"/>
        <w:gridCol w:w="1851"/>
      </w:tblGrid>
      <w:tr w:rsidR="00AD3182" w:rsidRPr="00EF0689" w14:paraId="1048A594" w14:textId="77777777" w:rsidTr="00D26DC0">
        <w:trPr>
          <w:jc w:val="center"/>
        </w:trPr>
        <w:tc>
          <w:tcPr>
            <w:tcW w:w="1297" w:type="dxa"/>
            <w:shd w:val="clear" w:color="auto" w:fill="8DB3E2" w:themeFill="text2" w:themeFillTint="66"/>
            <w:noWrap/>
            <w:vAlign w:val="center"/>
            <w:hideMark/>
          </w:tcPr>
          <w:p w14:paraId="190B04F7" w14:textId="77777777" w:rsidR="00AD3182" w:rsidRPr="00EF0689" w:rsidRDefault="00AD3182" w:rsidP="00D26DC0">
            <w:pPr>
              <w:pStyle w:val="Tablehead"/>
              <w:rPr>
                <w:lang w:val="es-ES_tradnl"/>
              </w:rPr>
            </w:pPr>
            <w:bookmarkStart w:id="14" w:name="lt_pId035"/>
            <w:r w:rsidRPr="00EF0689">
              <w:rPr>
                <w:lang w:val="es-ES_tradnl"/>
              </w:rPr>
              <w:t>Región</w:t>
            </w:r>
            <w:bookmarkEnd w:id="14"/>
          </w:p>
        </w:tc>
        <w:tc>
          <w:tcPr>
            <w:tcW w:w="1470" w:type="dxa"/>
            <w:shd w:val="clear" w:color="auto" w:fill="8DB3E2" w:themeFill="text2" w:themeFillTint="66"/>
            <w:noWrap/>
            <w:vAlign w:val="center"/>
            <w:hideMark/>
          </w:tcPr>
          <w:p w14:paraId="56CA4907" w14:textId="77777777" w:rsidR="00AD3182" w:rsidRPr="00EF0689" w:rsidRDefault="00AD3182" w:rsidP="00D26DC0">
            <w:pPr>
              <w:pStyle w:val="Tablehead"/>
              <w:rPr>
                <w:lang w:val="es-ES_tradnl"/>
              </w:rPr>
            </w:pPr>
            <w:bookmarkStart w:id="15" w:name="lt_pId036"/>
            <w:r w:rsidRPr="00EF0689">
              <w:rPr>
                <w:lang w:val="es-ES_tradnl"/>
              </w:rPr>
              <w:t>Número de proyectos</w:t>
            </w:r>
            <w:bookmarkEnd w:id="15"/>
          </w:p>
        </w:tc>
        <w:tc>
          <w:tcPr>
            <w:tcW w:w="1750" w:type="dxa"/>
            <w:shd w:val="clear" w:color="auto" w:fill="8DB3E2" w:themeFill="text2" w:themeFillTint="66"/>
            <w:noWrap/>
            <w:vAlign w:val="center"/>
            <w:hideMark/>
          </w:tcPr>
          <w:p w14:paraId="29606E75" w14:textId="77777777" w:rsidR="00AD3182" w:rsidRPr="00EF0689" w:rsidRDefault="00AD3182" w:rsidP="00D26DC0">
            <w:pPr>
              <w:pStyle w:val="Tablehead"/>
              <w:rPr>
                <w:lang w:val="es-ES_tradnl"/>
              </w:rPr>
            </w:pPr>
            <w:bookmarkStart w:id="16" w:name="lt_pId037"/>
            <w:r w:rsidRPr="00EF0689">
              <w:rPr>
                <w:lang w:val="es-ES_tradnl"/>
              </w:rPr>
              <w:t>Financiación de los asociados</w:t>
            </w:r>
            <w:bookmarkEnd w:id="16"/>
          </w:p>
        </w:tc>
        <w:tc>
          <w:tcPr>
            <w:tcW w:w="1693" w:type="dxa"/>
            <w:shd w:val="clear" w:color="auto" w:fill="8DB3E2" w:themeFill="text2" w:themeFillTint="66"/>
            <w:noWrap/>
            <w:vAlign w:val="center"/>
          </w:tcPr>
          <w:p w14:paraId="737A3AF8" w14:textId="77777777" w:rsidR="00AD3182" w:rsidRPr="00EF0689" w:rsidRDefault="00AD3182" w:rsidP="00D26DC0">
            <w:pPr>
              <w:pStyle w:val="Tablehead"/>
              <w:rPr>
                <w:lang w:val="es-ES_tradnl"/>
              </w:rPr>
            </w:pPr>
            <w:bookmarkStart w:id="17" w:name="lt_pId038"/>
            <w:r w:rsidRPr="00EF0689">
              <w:rPr>
                <w:lang w:val="es-ES_tradnl"/>
              </w:rPr>
              <w:t>Fondos de la UIT (FD</w:t>
            </w:r>
            <w:r w:rsidRPr="00EF0689">
              <w:rPr>
                <w:lang w:val="es-ES_tradnl"/>
              </w:rPr>
              <w:noBreakHyphen/>
              <w:t>TIC)</w:t>
            </w:r>
            <w:bookmarkEnd w:id="17"/>
          </w:p>
        </w:tc>
        <w:tc>
          <w:tcPr>
            <w:tcW w:w="1568" w:type="dxa"/>
            <w:shd w:val="clear" w:color="auto" w:fill="8DB3E2" w:themeFill="text2" w:themeFillTint="66"/>
            <w:noWrap/>
            <w:vAlign w:val="center"/>
          </w:tcPr>
          <w:p w14:paraId="33352C56" w14:textId="77777777" w:rsidR="00AD3182" w:rsidRPr="00EF0689" w:rsidRDefault="00AD3182" w:rsidP="00D26DC0">
            <w:pPr>
              <w:pStyle w:val="Tablehead"/>
              <w:rPr>
                <w:lang w:val="es-ES_tradnl"/>
              </w:rPr>
            </w:pPr>
            <w:bookmarkStart w:id="18" w:name="lt_pId039"/>
            <w:r w:rsidRPr="00EF0689">
              <w:rPr>
                <w:lang w:val="es-ES_tradnl"/>
              </w:rPr>
              <w:t>Fondos de la UIT (IR)</w:t>
            </w:r>
            <w:bookmarkEnd w:id="18"/>
          </w:p>
        </w:tc>
        <w:tc>
          <w:tcPr>
            <w:tcW w:w="1851" w:type="dxa"/>
            <w:shd w:val="clear" w:color="auto" w:fill="8DB3E2" w:themeFill="text2" w:themeFillTint="66"/>
            <w:noWrap/>
            <w:vAlign w:val="center"/>
            <w:hideMark/>
          </w:tcPr>
          <w:p w14:paraId="19F2BCFB" w14:textId="77777777" w:rsidR="00AD3182" w:rsidRPr="00EF0689" w:rsidRDefault="00AD3182" w:rsidP="00D26DC0">
            <w:pPr>
              <w:pStyle w:val="Tablehead"/>
              <w:rPr>
                <w:lang w:val="es-ES_tradnl"/>
              </w:rPr>
            </w:pPr>
            <w:bookmarkStart w:id="19" w:name="lt_pId040"/>
            <w:r w:rsidRPr="00EF0689">
              <w:rPr>
                <w:lang w:val="es-ES_tradnl"/>
              </w:rPr>
              <w:t>Financiación total de los proyectos</w:t>
            </w:r>
            <w:bookmarkEnd w:id="19"/>
          </w:p>
        </w:tc>
      </w:tr>
      <w:tr w:rsidR="00AD3182" w:rsidRPr="00EF0689" w14:paraId="3E9643C5" w14:textId="77777777" w:rsidTr="00D26DC0">
        <w:trPr>
          <w:jc w:val="center"/>
        </w:trPr>
        <w:tc>
          <w:tcPr>
            <w:tcW w:w="1297" w:type="dxa"/>
            <w:hideMark/>
          </w:tcPr>
          <w:p w14:paraId="4E04E1AD" w14:textId="77777777" w:rsidR="00AD3182" w:rsidRPr="00EF0689" w:rsidRDefault="00AD3182" w:rsidP="00D26DC0">
            <w:pPr>
              <w:pStyle w:val="Tabletext"/>
              <w:rPr>
                <w:lang w:val="es-ES_tradnl"/>
              </w:rPr>
            </w:pPr>
            <w:bookmarkStart w:id="20" w:name="lt_pId041"/>
            <w:r w:rsidRPr="00EF0689">
              <w:rPr>
                <w:lang w:val="es-ES_tradnl"/>
              </w:rPr>
              <w:t>AFR</w:t>
            </w:r>
            <w:bookmarkEnd w:id="20"/>
          </w:p>
        </w:tc>
        <w:tc>
          <w:tcPr>
            <w:tcW w:w="1470" w:type="dxa"/>
            <w:noWrap/>
            <w:vAlign w:val="bottom"/>
            <w:hideMark/>
          </w:tcPr>
          <w:p w14:paraId="2C528B8E" w14:textId="77777777" w:rsidR="00AD3182" w:rsidRPr="00EF0689" w:rsidRDefault="00AD3182" w:rsidP="00D26DC0">
            <w:pPr>
              <w:pStyle w:val="Tabletext"/>
              <w:jc w:val="center"/>
              <w:rPr>
                <w:lang w:val="es-ES_tradnl"/>
              </w:rPr>
            </w:pPr>
            <w:r w:rsidRPr="00EF0689">
              <w:rPr>
                <w:lang w:val="es-ES_tradnl"/>
              </w:rPr>
              <w:t>13</w:t>
            </w:r>
          </w:p>
        </w:tc>
        <w:tc>
          <w:tcPr>
            <w:tcW w:w="1750" w:type="dxa"/>
            <w:vAlign w:val="bottom"/>
            <w:hideMark/>
          </w:tcPr>
          <w:p w14:paraId="75C09B07" w14:textId="77777777" w:rsidR="00AD3182" w:rsidRPr="00EF0689" w:rsidRDefault="00AD3182" w:rsidP="00D26DC0">
            <w:pPr>
              <w:pStyle w:val="Tabletext"/>
              <w:jc w:val="right"/>
              <w:rPr>
                <w:lang w:val="es-ES_tradnl"/>
              </w:rPr>
            </w:pPr>
            <w:r w:rsidRPr="00EF0689">
              <w:rPr>
                <w:lang w:val="es-ES_tradnl"/>
              </w:rPr>
              <w:t>11 732,4</w:t>
            </w:r>
          </w:p>
        </w:tc>
        <w:tc>
          <w:tcPr>
            <w:tcW w:w="1693" w:type="dxa"/>
            <w:vAlign w:val="bottom"/>
            <w:hideMark/>
          </w:tcPr>
          <w:p w14:paraId="79085094" w14:textId="77777777" w:rsidR="00AD3182" w:rsidRPr="00EF0689" w:rsidRDefault="00AD3182" w:rsidP="00D26DC0">
            <w:pPr>
              <w:pStyle w:val="Tabletext"/>
              <w:jc w:val="right"/>
              <w:rPr>
                <w:lang w:val="es-ES_tradnl"/>
              </w:rPr>
            </w:pPr>
            <w:r w:rsidRPr="00EF0689">
              <w:rPr>
                <w:lang w:val="es-ES_tradnl"/>
              </w:rPr>
              <w:t>938,7</w:t>
            </w:r>
          </w:p>
        </w:tc>
        <w:tc>
          <w:tcPr>
            <w:tcW w:w="1568" w:type="dxa"/>
            <w:vAlign w:val="bottom"/>
            <w:hideMark/>
          </w:tcPr>
          <w:p w14:paraId="4F08337A" w14:textId="77777777" w:rsidR="00AD3182" w:rsidRPr="00EF0689" w:rsidRDefault="00AD3182" w:rsidP="00D26DC0">
            <w:pPr>
              <w:pStyle w:val="Tabletext"/>
              <w:jc w:val="right"/>
              <w:rPr>
                <w:lang w:val="es-ES_tradnl"/>
              </w:rPr>
            </w:pPr>
            <w:r w:rsidRPr="00EF0689">
              <w:rPr>
                <w:lang w:val="es-ES_tradnl"/>
              </w:rPr>
              <w:t>670,0</w:t>
            </w:r>
          </w:p>
        </w:tc>
        <w:tc>
          <w:tcPr>
            <w:tcW w:w="1851" w:type="dxa"/>
            <w:shd w:val="clear" w:color="auto" w:fill="DBE5F1" w:themeFill="accent1" w:themeFillTint="33"/>
            <w:vAlign w:val="bottom"/>
            <w:hideMark/>
          </w:tcPr>
          <w:p w14:paraId="08ABB6F3" w14:textId="77777777" w:rsidR="00AD3182" w:rsidRPr="00EF0689" w:rsidRDefault="00AD3182" w:rsidP="00D26DC0">
            <w:pPr>
              <w:pStyle w:val="Tabletext"/>
              <w:jc w:val="right"/>
              <w:rPr>
                <w:b/>
                <w:bCs/>
                <w:lang w:val="es-ES_tradnl"/>
              </w:rPr>
            </w:pPr>
            <w:r w:rsidRPr="00EF0689">
              <w:rPr>
                <w:b/>
                <w:bCs/>
                <w:lang w:val="es-ES_tradnl"/>
              </w:rPr>
              <w:t>13 913,1</w:t>
            </w:r>
          </w:p>
        </w:tc>
      </w:tr>
      <w:tr w:rsidR="00AD3182" w:rsidRPr="00EF0689" w14:paraId="01C0EA04" w14:textId="77777777" w:rsidTr="00D26DC0">
        <w:trPr>
          <w:jc w:val="center"/>
        </w:trPr>
        <w:tc>
          <w:tcPr>
            <w:tcW w:w="1297" w:type="dxa"/>
            <w:hideMark/>
          </w:tcPr>
          <w:p w14:paraId="25B2BEF3" w14:textId="77777777" w:rsidR="00AD3182" w:rsidRPr="00EF0689" w:rsidRDefault="00AD3182" w:rsidP="00D26DC0">
            <w:pPr>
              <w:pStyle w:val="Tabletext"/>
              <w:rPr>
                <w:lang w:val="es-ES_tradnl"/>
              </w:rPr>
            </w:pPr>
            <w:bookmarkStart w:id="21" w:name="lt_pId047"/>
            <w:r w:rsidRPr="00EF0689">
              <w:rPr>
                <w:lang w:val="es-ES_tradnl"/>
              </w:rPr>
              <w:t>AMS</w:t>
            </w:r>
            <w:bookmarkEnd w:id="21"/>
          </w:p>
        </w:tc>
        <w:tc>
          <w:tcPr>
            <w:tcW w:w="1470" w:type="dxa"/>
            <w:noWrap/>
            <w:vAlign w:val="bottom"/>
            <w:hideMark/>
          </w:tcPr>
          <w:p w14:paraId="555436B5" w14:textId="77777777" w:rsidR="00AD3182" w:rsidRPr="00EF0689" w:rsidRDefault="00AD3182" w:rsidP="00D26DC0">
            <w:pPr>
              <w:pStyle w:val="Tabletext"/>
              <w:jc w:val="center"/>
              <w:rPr>
                <w:lang w:val="es-ES_tradnl"/>
              </w:rPr>
            </w:pPr>
            <w:r w:rsidRPr="00EF0689">
              <w:rPr>
                <w:lang w:val="es-ES_tradnl"/>
              </w:rPr>
              <w:t>15</w:t>
            </w:r>
          </w:p>
        </w:tc>
        <w:tc>
          <w:tcPr>
            <w:tcW w:w="1750" w:type="dxa"/>
            <w:vAlign w:val="bottom"/>
            <w:hideMark/>
          </w:tcPr>
          <w:p w14:paraId="1AC3B411" w14:textId="77777777" w:rsidR="00AD3182" w:rsidRPr="00EF0689" w:rsidRDefault="00AD3182" w:rsidP="00D26DC0">
            <w:pPr>
              <w:pStyle w:val="Tabletext"/>
              <w:jc w:val="right"/>
              <w:rPr>
                <w:lang w:val="es-ES_tradnl"/>
              </w:rPr>
            </w:pPr>
            <w:r w:rsidRPr="00EF0689">
              <w:rPr>
                <w:lang w:val="es-ES_tradnl"/>
              </w:rPr>
              <w:t>40 112,6</w:t>
            </w:r>
          </w:p>
        </w:tc>
        <w:tc>
          <w:tcPr>
            <w:tcW w:w="1693" w:type="dxa"/>
            <w:vAlign w:val="bottom"/>
            <w:hideMark/>
          </w:tcPr>
          <w:p w14:paraId="60DFC2BF" w14:textId="77777777" w:rsidR="00AD3182" w:rsidRPr="00EF0689" w:rsidRDefault="00AD3182" w:rsidP="00D26DC0">
            <w:pPr>
              <w:pStyle w:val="Tabletext"/>
              <w:jc w:val="right"/>
              <w:rPr>
                <w:lang w:val="es-ES_tradnl"/>
              </w:rPr>
            </w:pPr>
            <w:r w:rsidRPr="00EF0689">
              <w:rPr>
                <w:lang w:val="es-ES_tradnl"/>
              </w:rPr>
              <w:t>158,6</w:t>
            </w:r>
          </w:p>
        </w:tc>
        <w:tc>
          <w:tcPr>
            <w:tcW w:w="1568" w:type="dxa"/>
            <w:vAlign w:val="bottom"/>
            <w:hideMark/>
          </w:tcPr>
          <w:p w14:paraId="033EF9AC" w14:textId="77777777" w:rsidR="00AD3182" w:rsidRPr="00EF0689" w:rsidRDefault="00AD3182" w:rsidP="00D26DC0">
            <w:pPr>
              <w:pStyle w:val="Tabletext"/>
              <w:jc w:val="right"/>
              <w:rPr>
                <w:lang w:val="es-ES_tradnl"/>
              </w:rPr>
            </w:pPr>
            <w:r w:rsidRPr="00EF0689">
              <w:rPr>
                <w:lang w:val="es-ES_tradnl"/>
              </w:rPr>
              <w:t>667,5</w:t>
            </w:r>
          </w:p>
        </w:tc>
        <w:tc>
          <w:tcPr>
            <w:tcW w:w="1851" w:type="dxa"/>
            <w:shd w:val="clear" w:color="auto" w:fill="DBE5F1" w:themeFill="accent1" w:themeFillTint="33"/>
            <w:vAlign w:val="bottom"/>
            <w:hideMark/>
          </w:tcPr>
          <w:p w14:paraId="21FCFE9F" w14:textId="77777777" w:rsidR="00AD3182" w:rsidRPr="00EF0689" w:rsidRDefault="00AD3182" w:rsidP="00D26DC0">
            <w:pPr>
              <w:pStyle w:val="Tabletext"/>
              <w:jc w:val="right"/>
              <w:rPr>
                <w:b/>
                <w:bCs/>
                <w:lang w:val="es-ES_tradnl"/>
              </w:rPr>
            </w:pPr>
            <w:r w:rsidRPr="00EF0689">
              <w:rPr>
                <w:b/>
                <w:bCs/>
                <w:lang w:val="es-ES_tradnl"/>
              </w:rPr>
              <w:t>41 008,4</w:t>
            </w:r>
          </w:p>
        </w:tc>
      </w:tr>
      <w:tr w:rsidR="00AD3182" w:rsidRPr="00EF0689" w14:paraId="05DEEE96" w14:textId="77777777" w:rsidTr="00D26DC0">
        <w:trPr>
          <w:jc w:val="center"/>
        </w:trPr>
        <w:tc>
          <w:tcPr>
            <w:tcW w:w="1297" w:type="dxa"/>
            <w:hideMark/>
          </w:tcPr>
          <w:p w14:paraId="60DE542C" w14:textId="77777777" w:rsidR="00AD3182" w:rsidRPr="00EF0689" w:rsidRDefault="00AD3182" w:rsidP="00D26DC0">
            <w:pPr>
              <w:pStyle w:val="Tabletext"/>
              <w:rPr>
                <w:lang w:val="es-ES_tradnl"/>
              </w:rPr>
            </w:pPr>
            <w:bookmarkStart w:id="22" w:name="lt_pId053"/>
            <w:r w:rsidRPr="00EF0689">
              <w:rPr>
                <w:lang w:val="es-ES_tradnl"/>
              </w:rPr>
              <w:t xml:space="preserve">ARB </w:t>
            </w:r>
            <w:bookmarkEnd w:id="22"/>
          </w:p>
        </w:tc>
        <w:tc>
          <w:tcPr>
            <w:tcW w:w="1470" w:type="dxa"/>
            <w:vAlign w:val="bottom"/>
            <w:hideMark/>
          </w:tcPr>
          <w:p w14:paraId="4C500915" w14:textId="77777777" w:rsidR="00AD3182" w:rsidRPr="00EF0689" w:rsidRDefault="00AD3182" w:rsidP="00D26DC0">
            <w:pPr>
              <w:pStyle w:val="Tabletext"/>
              <w:jc w:val="center"/>
              <w:rPr>
                <w:lang w:val="es-ES_tradnl"/>
              </w:rPr>
            </w:pPr>
            <w:r w:rsidRPr="00EF0689">
              <w:rPr>
                <w:lang w:val="es-ES_tradnl"/>
              </w:rPr>
              <w:t>7</w:t>
            </w:r>
          </w:p>
        </w:tc>
        <w:tc>
          <w:tcPr>
            <w:tcW w:w="1750" w:type="dxa"/>
            <w:vAlign w:val="bottom"/>
            <w:hideMark/>
          </w:tcPr>
          <w:p w14:paraId="35794717" w14:textId="77777777" w:rsidR="00AD3182" w:rsidRPr="00EF0689" w:rsidRDefault="00AD3182" w:rsidP="00D26DC0">
            <w:pPr>
              <w:pStyle w:val="Tabletext"/>
              <w:jc w:val="right"/>
              <w:rPr>
                <w:lang w:val="es-ES_tradnl"/>
              </w:rPr>
            </w:pPr>
            <w:r w:rsidRPr="00EF0689">
              <w:rPr>
                <w:lang w:val="es-ES_tradnl"/>
              </w:rPr>
              <w:t>4 311,1</w:t>
            </w:r>
          </w:p>
        </w:tc>
        <w:tc>
          <w:tcPr>
            <w:tcW w:w="1693" w:type="dxa"/>
            <w:vAlign w:val="bottom"/>
            <w:hideMark/>
          </w:tcPr>
          <w:p w14:paraId="08A91CBE" w14:textId="77777777" w:rsidR="00AD3182" w:rsidRPr="00EF0689" w:rsidRDefault="00AD3182" w:rsidP="00D26DC0">
            <w:pPr>
              <w:pStyle w:val="Tabletext"/>
              <w:jc w:val="right"/>
              <w:rPr>
                <w:lang w:val="es-ES_tradnl"/>
              </w:rPr>
            </w:pPr>
            <w:r w:rsidRPr="00EF0689">
              <w:rPr>
                <w:lang w:val="es-ES_tradnl"/>
              </w:rPr>
              <w:t>662,2</w:t>
            </w:r>
          </w:p>
        </w:tc>
        <w:tc>
          <w:tcPr>
            <w:tcW w:w="1568" w:type="dxa"/>
            <w:vAlign w:val="bottom"/>
            <w:hideMark/>
          </w:tcPr>
          <w:p w14:paraId="5AC06144" w14:textId="77777777" w:rsidR="00AD3182" w:rsidRPr="00EF0689" w:rsidRDefault="00AD3182" w:rsidP="00D26DC0">
            <w:pPr>
              <w:pStyle w:val="Tabletext"/>
              <w:jc w:val="right"/>
              <w:rPr>
                <w:lang w:val="es-ES_tradnl"/>
              </w:rPr>
            </w:pPr>
            <w:r w:rsidRPr="00EF0689">
              <w:rPr>
                <w:lang w:val="es-ES_tradnl"/>
              </w:rPr>
              <w:t>88,0</w:t>
            </w:r>
          </w:p>
        </w:tc>
        <w:tc>
          <w:tcPr>
            <w:tcW w:w="1851" w:type="dxa"/>
            <w:shd w:val="clear" w:color="auto" w:fill="DBE5F1" w:themeFill="accent1" w:themeFillTint="33"/>
            <w:vAlign w:val="bottom"/>
            <w:hideMark/>
          </w:tcPr>
          <w:p w14:paraId="2160490B" w14:textId="77777777" w:rsidR="00AD3182" w:rsidRPr="00EF0689" w:rsidRDefault="00AD3182" w:rsidP="00D26DC0">
            <w:pPr>
              <w:pStyle w:val="Tabletext"/>
              <w:jc w:val="right"/>
              <w:rPr>
                <w:b/>
                <w:bCs/>
                <w:lang w:val="es-ES_tradnl"/>
              </w:rPr>
            </w:pPr>
            <w:r w:rsidRPr="00EF0689">
              <w:rPr>
                <w:b/>
                <w:bCs/>
                <w:lang w:val="es-ES_tradnl"/>
              </w:rPr>
              <w:t>5 061,3</w:t>
            </w:r>
          </w:p>
        </w:tc>
      </w:tr>
      <w:tr w:rsidR="00AD3182" w:rsidRPr="00EF0689" w14:paraId="46D64F00" w14:textId="77777777" w:rsidTr="00D26DC0">
        <w:trPr>
          <w:jc w:val="center"/>
        </w:trPr>
        <w:tc>
          <w:tcPr>
            <w:tcW w:w="1297" w:type="dxa"/>
            <w:vAlign w:val="center"/>
            <w:hideMark/>
          </w:tcPr>
          <w:p w14:paraId="54739DD3" w14:textId="77777777" w:rsidR="00AD3182" w:rsidRPr="00EF0689" w:rsidRDefault="00AD3182" w:rsidP="00D26DC0">
            <w:pPr>
              <w:pStyle w:val="Tabletext"/>
              <w:rPr>
                <w:lang w:val="es-ES_tradnl"/>
              </w:rPr>
            </w:pPr>
            <w:bookmarkStart w:id="23" w:name="lt_pId059"/>
            <w:r w:rsidRPr="00EF0689">
              <w:rPr>
                <w:lang w:val="es-ES_tradnl"/>
              </w:rPr>
              <w:t>ASP</w:t>
            </w:r>
            <w:bookmarkEnd w:id="23"/>
          </w:p>
        </w:tc>
        <w:tc>
          <w:tcPr>
            <w:tcW w:w="1470" w:type="dxa"/>
            <w:noWrap/>
            <w:vAlign w:val="bottom"/>
            <w:hideMark/>
          </w:tcPr>
          <w:p w14:paraId="727A7D5E" w14:textId="77777777" w:rsidR="00AD3182" w:rsidRPr="00EF0689" w:rsidRDefault="00AD3182" w:rsidP="00D26DC0">
            <w:pPr>
              <w:pStyle w:val="Tabletext"/>
              <w:jc w:val="center"/>
              <w:rPr>
                <w:lang w:val="es-ES_tradnl"/>
              </w:rPr>
            </w:pPr>
            <w:r w:rsidRPr="00EF0689">
              <w:rPr>
                <w:lang w:val="es-ES_tradnl"/>
              </w:rPr>
              <w:t>14</w:t>
            </w:r>
          </w:p>
        </w:tc>
        <w:tc>
          <w:tcPr>
            <w:tcW w:w="1750" w:type="dxa"/>
            <w:vAlign w:val="bottom"/>
            <w:hideMark/>
          </w:tcPr>
          <w:p w14:paraId="6028778E" w14:textId="77777777" w:rsidR="00AD3182" w:rsidRPr="00EF0689" w:rsidRDefault="00AD3182" w:rsidP="00D26DC0">
            <w:pPr>
              <w:pStyle w:val="Tabletext"/>
              <w:jc w:val="right"/>
              <w:rPr>
                <w:lang w:val="es-ES_tradnl"/>
              </w:rPr>
            </w:pPr>
            <w:r w:rsidRPr="00EF0689">
              <w:rPr>
                <w:lang w:val="es-ES_tradnl"/>
              </w:rPr>
              <w:t>6 948,8</w:t>
            </w:r>
          </w:p>
        </w:tc>
        <w:tc>
          <w:tcPr>
            <w:tcW w:w="1693" w:type="dxa"/>
            <w:vAlign w:val="bottom"/>
          </w:tcPr>
          <w:p w14:paraId="0B7F7EE5" w14:textId="77777777" w:rsidR="00AD3182" w:rsidRPr="00EF0689" w:rsidRDefault="00AD3182" w:rsidP="00D26DC0">
            <w:pPr>
              <w:pStyle w:val="Tabletext"/>
              <w:jc w:val="right"/>
              <w:rPr>
                <w:lang w:val="es-ES_tradnl"/>
              </w:rPr>
            </w:pPr>
            <w:r w:rsidRPr="00EF0689">
              <w:rPr>
                <w:lang w:val="es-ES_tradnl"/>
              </w:rPr>
              <w:t>345,4</w:t>
            </w:r>
          </w:p>
        </w:tc>
        <w:tc>
          <w:tcPr>
            <w:tcW w:w="1568" w:type="dxa"/>
            <w:vAlign w:val="bottom"/>
            <w:hideMark/>
          </w:tcPr>
          <w:p w14:paraId="3533D7C8" w14:textId="77777777" w:rsidR="00AD3182" w:rsidRPr="00EF0689" w:rsidRDefault="00AD3182" w:rsidP="00D26DC0">
            <w:pPr>
              <w:pStyle w:val="Tabletext"/>
              <w:jc w:val="right"/>
              <w:rPr>
                <w:lang w:val="es-ES_tradnl"/>
              </w:rPr>
            </w:pPr>
            <w:r w:rsidRPr="00EF0689">
              <w:rPr>
                <w:lang w:val="es-ES_tradnl"/>
              </w:rPr>
              <w:t>440,0</w:t>
            </w:r>
          </w:p>
        </w:tc>
        <w:tc>
          <w:tcPr>
            <w:tcW w:w="1851" w:type="dxa"/>
            <w:shd w:val="clear" w:color="auto" w:fill="DBE5F1" w:themeFill="accent1" w:themeFillTint="33"/>
            <w:vAlign w:val="bottom"/>
            <w:hideMark/>
          </w:tcPr>
          <w:p w14:paraId="20E9DD2A" w14:textId="77777777" w:rsidR="00AD3182" w:rsidRPr="00EF0689" w:rsidRDefault="00AD3182" w:rsidP="00D26DC0">
            <w:pPr>
              <w:pStyle w:val="Tabletext"/>
              <w:jc w:val="right"/>
              <w:rPr>
                <w:b/>
                <w:bCs/>
                <w:lang w:val="es-ES_tradnl"/>
              </w:rPr>
            </w:pPr>
            <w:r w:rsidRPr="00EF0689">
              <w:rPr>
                <w:b/>
                <w:bCs/>
                <w:lang w:val="es-ES_tradnl"/>
              </w:rPr>
              <w:t>7 909,2</w:t>
            </w:r>
          </w:p>
        </w:tc>
      </w:tr>
      <w:tr w:rsidR="00AD3182" w:rsidRPr="00EF0689" w14:paraId="3497995F" w14:textId="77777777" w:rsidTr="00D26DC0">
        <w:trPr>
          <w:jc w:val="center"/>
        </w:trPr>
        <w:tc>
          <w:tcPr>
            <w:tcW w:w="1297" w:type="dxa"/>
            <w:hideMark/>
          </w:tcPr>
          <w:p w14:paraId="26A19C6D" w14:textId="77777777" w:rsidR="00AD3182" w:rsidRPr="00EF0689" w:rsidRDefault="00AD3182" w:rsidP="00D26DC0">
            <w:pPr>
              <w:pStyle w:val="Tabletext"/>
              <w:rPr>
                <w:lang w:val="es-ES_tradnl"/>
              </w:rPr>
            </w:pPr>
            <w:bookmarkStart w:id="24" w:name="lt_pId065"/>
            <w:r w:rsidRPr="00EF0689">
              <w:rPr>
                <w:lang w:val="es-ES_tradnl"/>
              </w:rPr>
              <w:t xml:space="preserve">CEI </w:t>
            </w:r>
            <w:bookmarkEnd w:id="24"/>
          </w:p>
        </w:tc>
        <w:tc>
          <w:tcPr>
            <w:tcW w:w="1470" w:type="dxa"/>
            <w:vAlign w:val="bottom"/>
            <w:hideMark/>
          </w:tcPr>
          <w:p w14:paraId="20FACAE1" w14:textId="77777777" w:rsidR="00AD3182" w:rsidRPr="00EF0689" w:rsidRDefault="00AD3182" w:rsidP="00D26DC0">
            <w:pPr>
              <w:pStyle w:val="Tabletext"/>
              <w:jc w:val="center"/>
              <w:rPr>
                <w:lang w:val="es-ES_tradnl"/>
              </w:rPr>
            </w:pPr>
            <w:r w:rsidRPr="00EF0689">
              <w:rPr>
                <w:lang w:val="es-ES_tradnl"/>
              </w:rPr>
              <w:t>3</w:t>
            </w:r>
          </w:p>
        </w:tc>
        <w:tc>
          <w:tcPr>
            <w:tcW w:w="1750" w:type="dxa"/>
            <w:vAlign w:val="bottom"/>
            <w:hideMark/>
          </w:tcPr>
          <w:p w14:paraId="5045E5F1" w14:textId="77777777" w:rsidR="00AD3182" w:rsidRPr="00EF0689" w:rsidRDefault="00AD3182" w:rsidP="00D26DC0">
            <w:pPr>
              <w:pStyle w:val="Tabletext"/>
              <w:jc w:val="right"/>
              <w:rPr>
                <w:lang w:val="es-ES_tradnl"/>
              </w:rPr>
            </w:pPr>
            <w:r w:rsidRPr="00EF0689">
              <w:rPr>
                <w:lang w:val="es-ES_tradnl"/>
              </w:rPr>
              <w:t>253,7</w:t>
            </w:r>
          </w:p>
        </w:tc>
        <w:tc>
          <w:tcPr>
            <w:tcW w:w="1693" w:type="dxa"/>
            <w:vAlign w:val="bottom"/>
          </w:tcPr>
          <w:p w14:paraId="24931DFA" w14:textId="77777777" w:rsidR="00AD3182" w:rsidRPr="00EF0689" w:rsidRDefault="00AD3182" w:rsidP="00D26DC0">
            <w:pPr>
              <w:pStyle w:val="Tabletext"/>
              <w:jc w:val="right"/>
              <w:rPr>
                <w:lang w:val="es-ES_tradnl"/>
              </w:rPr>
            </w:pPr>
          </w:p>
        </w:tc>
        <w:tc>
          <w:tcPr>
            <w:tcW w:w="1568" w:type="dxa"/>
            <w:vAlign w:val="bottom"/>
            <w:hideMark/>
          </w:tcPr>
          <w:p w14:paraId="3AF1C7FA" w14:textId="77777777" w:rsidR="00AD3182" w:rsidRPr="00EF0689" w:rsidRDefault="00AD3182" w:rsidP="00D26DC0">
            <w:pPr>
              <w:pStyle w:val="Tabletext"/>
              <w:jc w:val="right"/>
              <w:rPr>
                <w:lang w:val="es-ES_tradnl"/>
              </w:rPr>
            </w:pPr>
            <w:r w:rsidRPr="00EF0689">
              <w:rPr>
                <w:lang w:val="es-ES_tradnl"/>
              </w:rPr>
              <w:t>443,8</w:t>
            </w:r>
          </w:p>
        </w:tc>
        <w:tc>
          <w:tcPr>
            <w:tcW w:w="1851" w:type="dxa"/>
            <w:shd w:val="clear" w:color="auto" w:fill="DBE5F1" w:themeFill="accent1" w:themeFillTint="33"/>
            <w:vAlign w:val="bottom"/>
            <w:hideMark/>
          </w:tcPr>
          <w:p w14:paraId="68919896" w14:textId="77777777" w:rsidR="00AD3182" w:rsidRPr="00EF0689" w:rsidRDefault="00AD3182" w:rsidP="00D26DC0">
            <w:pPr>
              <w:pStyle w:val="Tabletext"/>
              <w:jc w:val="right"/>
              <w:rPr>
                <w:b/>
                <w:bCs/>
                <w:lang w:val="es-ES_tradnl"/>
              </w:rPr>
            </w:pPr>
            <w:r w:rsidRPr="00EF0689">
              <w:rPr>
                <w:b/>
                <w:bCs/>
                <w:lang w:val="es-ES_tradnl"/>
              </w:rPr>
              <w:t>697,5</w:t>
            </w:r>
          </w:p>
        </w:tc>
      </w:tr>
      <w:tr w:rsidR="00AD3182" w:rsidRPr="00EF0689" w14:paraId="3AD47400" w14:textId="77777777" w:rsidTr="00D26DC0">
        <w:trPr>
          <w:jc w:val="center"/>
        </w:trPr>
        <w:tc>
          <w:tcPr>
            <w:tcW w:w="1297" w:type="dxa"/>
            <w:vAlign w:val="bottom"/>
            <w:hideMark/>
          </w:tcPr>
          <w:p w14:paraId="36E3940D" w14:textId="77777777" w:rsidR="00AD3182" w:rsidRPr="00EF0689" w:rsidRDefault="00AD3182" w:rsidP="00D26DC0">
            <w:pPr>
              <w:pStyle w:val="Tabletext"/>
              <w:rPr>
                <w:lang w:val="es-ES_tradnl"/>
              </w:rPr>
            </w:pPr>
            <w:bookmarkStart w:id="25" w:name="lt_pId070"/>
            <w:r w:rsidRPr="00EF0689">
              <w:rPr>
                <w:lang w:val="es-ES_tradnl"/>
              </w:rPr>
              <w:t>EUR</w:t>
            </w:r>
            <w:bookmarkEnd w:id="25"/>
          </w:p>
        </w:tc>
        <w:tc>
          <w:tcPr>
            <w:tcW w:w="1470" w:type="dxa"/>
            <w:vAlign w:val="bottom"/>
            <w:hideMark/>
          </w:tcPr>
          <w:p w14:paraId="53B37596" w14:textId="77777777" w:rsidR="00AD3182" w:rsidRPr="00EF0689" w:rsidRDefault="00AD3182" w:rsidP="00D26DC0">
            <w:pPr>
              <w:pStyle w:val="Tabletext"/>
              <w:jc w:val="center"/>
              <w:rPr>
                <w:lang w:val="es-ES_tradnl"/>
              </w:rPr>
            </w:pPr>
            <w:r w:rsidRPr="00EF0689">
              <w:rPr>
                <w:lang w:val="es-ES_tradnl"/>
              </w:rPr>
              <w:t>2</w:t>
            </w:r>
          </w:p>
        </w:tc>
        <w:tc>
          <w:tcPr>
            <w:tcW w:w="1750" w:type="dxa"/>
            <w:vAlign w:val="bottom"/>
            <w:hideMark/>
          </w:tcPr>
          <w:p w14:paraId="26B2E48B" w14:textId="77777777" w:rsidR="00AD3182" w:rsidRPr="00EF0689" w:rsidRDefault="00AD3182" w:rsidP="00D26DC0">
            <w:pPr>
              <w:pStyle w:val="Tabletext"/>
              <w:jc w:val="right"/>
              <w:rPr>
                <w:lang w:val="es-ES_tradnl"/>
              </w:rPr>
            </w:pPr>
            <w:r w:rsidRPr="00EF0689">
              <w:rPr>
                <w:lang w:val="es-ES_tradnl"/>
              </w:rPr>
              <w:t>3 642,5</w:t>
            </w:r>
          </w:p>
        </w:tc>
        <w:tc>
          <w:tcPr>
            <w:tcW w:w="1693" w:type="dxa"/>
            <w:vAlign w:val="bottom"/>
          </w:tcPr>
          <w:p w14:paraId="37F6754C" w14:textId="77777777" w:rsidR="00AD3182" w:rsidRPr="00EF0689" w:rsidRDefault="00AD3182" w:rsidP="00D26DC0">
            <w:pPr>
              <w:pStyle w:val="Tabletext"/>
              <w:jc w:val="right"/>
              <w:rPr>
                <w:lang w:val="es-ES_tradnl"/>
              </w:rPr>
            </w:pPr>
          </w:p>
        </w:tc>
        <w:tc>
          <w:tcPr>
            <w:tcW w:w="1568" w:type="dxa"/>
            <w:vAlign w:val="bottom"/>
            <w:hideMark/>
          </w:tcPr>
          <w:p w14:paraId="04FEC56C" w14:textId="77777777" w:rsidR="00AD3182" w:rsidRPr="00EF0689" w:rsidRDefault="00AD3182" w:rsidP="00D26DC0">
            <w:pPr>
              <w:pStyle w:val="Tabletext"/>
              <w:jc w:val="right"/>
              <w:rPr>
                <w:lang w:val="es-ES_tradnl"/>
              </w:rPr>
            </w:pPr>
            <w:r w:rsidRPr="00EF0689">
              <w:rPr>
                <w:lang w:val="es-ES_tradnl"/>
              </w:rPr>
              <w:t>47,5</w:t>
            </w:r>
          </w:p>
        </w:tc>
        <w:tc>
          <w:tcPr>
            <w:tcW w:w="1851" w:type="dxa"/>
            <w:shd w:val="clear" w:color="auto" w:fill="DBE5F1" w:themeFill="accent1" w:themeFillTint="33"/>
            <w:vAlign w:val="bottom"/>
            <w:hideMark/>
          </w:tcPr>
          <w:p w14:paraId="3CE8676C" w14:textId="77777777" w:rsidR="00AD3182" w:rsidRPr="00EF0689" w:rsidRDefault="00AD3182" w:rsidP="00D26DC0">
            <w:pPr>
              <w:pStyle w:val="Tabletext"/>
              <w:jc w:val="right"/>
              <w:rPr>
                <w:b/>
                <w:bCs/>
                <w:lang w:val="es-ES_tradnl"/>
              </w:rPr>
            </w:pPr>
            <w:r w:rsidRPr="00EF0689">
              <w:rPr>
                <w:b/>
                <w:bCs/>
                <w:lang w:val="es-ES_tradnl"/>
              </w:rPr>
              <w:t>3 690,1</w:t>
            </w:r>
          </w:p>
        </w:tc>
      </w:tr>
      <w:tr w:rsidR="00AD3182" w:rsidRPr="00EF0689" w14:paraId="09F1F2FD" w14:textId="77777777" w:rsidTr="00D26DC0">
        <w:trPr>
          <w:jc w:val="center"/>
        </w:trPr>
        <w:tc>
          <w:tcPr>
            <w:tcW w:w="1297" w:type="dxa"/>
            <w:hideMark/>
          </w:tcPr>
          <w:p w14:paraId="0372EEB5" w14:textId="77777777" w:rsidR="00AD3182" w:rsidRPr="00EF0689" w:rsidRDefault="00AD3182" w:rsidP="00D26DC0">
            <w:pPr>
              <w:pStyle w:val="Tabletext"/>
              <w:rPr>
                <w:lang w:val="es-ES_tradnl"/>
              </w:rPr>
            </w:pPr>
            <w:bookmarkStart w:id="26" w:name="lt_pId075"/>
            <w:r w:rsidRPr="00EF0689">
              <w:rPr>
                <w:lang w:val="es-ES_tradnl"/>
              </w:rPr>
              <w:t>MUL (*)</w:t>
            </w:r>
            <w:bookmarkStart w:id="27" w:name="_Hlk161739046"/>
            <w:bookmarkEnd w:id="26"/>
            <w:bookmarkEnd w:id="27"/>
          </w:p>
        </w:tc>
        <w:tc>
          <w:tcPr>
            <w:tcW w:w="1470" w:type="dxa"/>
            <w:noWrap/>
            <w:vAlign w:val="bottom"/>
            <w:hideMark/>
          </w:tcPr>
          <w:p w14:paraId="6B3C4CE6" w14:textId="77777777" w:rsidR="00AD3182" w:rsidRPr="00EF0689" w:rsidRDefault="00AD3182" w:rsidP="00D26DC0">
            <w:pPr>
              <w:pStyle w:val="Tabletext"/>
              <w:jc w:val="center"/>
              <w:rPr>
                <w:lang w:val="es-ES_tradnl"/>
              </w:rPr>
            </w:pPr>
            <w:r w:rsidRPr="00EF0689">
              <w:rPr>
                <w:lang w:val="es-ES_tradnl"/>
              </w:rPr>
              <w:t>33</w:t>
            </w:r>
          </w:p>
        </w:tc>
        <w:tc>
          <w:tcPr>
            <w:tcW w:w="1750" w:type="dxa"/>
            <w:vAlign w:val="bottom"/>
            <w:hideMark/>
          </w:tcPr>
          <w:p w14:paraId="035F07C6" w14:textId="77777777" w:rsidR="00AD3182" w:rsidRPr="00EF0689" w:rsidRDefault="00AD3182" w:rsidP="00D26DC0">
            <w:pPr>
              <w:pStyle w:val="Tabletext"/>
              <w:jc w:val="right"/>
              <w:rPr>
                <w:lang w:val="es-ES_tradnl"/>
              </w:rPr>
            </w:pPr>
            <w:r w:rsidRPr="00EF0689">
              <w:rPr>
                <w:lang w:val="es-ES_tradnl"/>
              </w:rPr>
              <w:t>27 794,1</w:t>
            </w:r>
          </w:p>
        </w:tc>
        <w:tc>
          <w:tcPr>
            <w:tcW w:w="1693" w:type="dxa"/>
            <w:vAlign w:val="bottom"/>
            <w:hideMark/>
          </w:tcPr>
          <w:p w14:paraId="6FB9DFEA" w14:textId="77777777" w:rsidR="00AD3182" w:rsidRPr="00EF0689" w:rsidRDefault="00AD3182" w:rsidP="00D26DC0">
            <w:pPr>
              <w:pStyle w:val="Tabletext"/>
              <w:jc w:val="right"/>
              <w:rPr>
                <w:lang w:val="es-ES_tradnl"/>
              </w:rPr>
            </w:pPr>
            <w:r w:rsidRPr="00EF0689">
              <w:rPr>
                <w:lang w:val="es-ES_tradnl"/>
              </w:rPr>
              <w:t>4 394,6</w:t>
            </w:r>
          </w:p>
        </w:tc>
        <w:tc>
          <w:tcPr>
            <w:tcW w:w="1568" w:type="dxa"/>
            <w:vAlign w:val="bottom"/>
            <w:hideMark/>
          </w:tcPr>
          <w:p w14:paraId="48CFFB8F" w14:textId="77777777" w:rsidR="00AD3182" w:rsidRPr="00EF0689" w:rsidRDefault="00AD3182" w:rsidP="00D26DC0">
            <w:pPr>
              <w:pStyle w:val="Tabletext"/>
              <w:jc w:val="right"/>
              <w:rPr>
                <w:lang w:val="es-ES_tradnl"/>
              </w:rPr>
            </w:pPr>
            <w:r w:rsidRPr="00EF0689">
              <w:rPr>
                <w:lang w:val="es-ES_tradnl"/>
              </w:rPr>
              <w:t>1 551,8</w:t>
            </w:r>
          </w:p>
        </w:tc>
        <w:tc>
          <w:tcPr>
            <w:tcW w:w="1851" w:type="dxa"/>
            <w:shd w:val="clear" w:color="auto" w:fill="DBE5F1" w:themeFill="accent1" w:themeFillTint="33"/>
            <w:vAlign w:val="bottom"/>
            <w:hideMark/>
          </w:tcPr>
          <w:p w14:paraId="6DF277FC" w14:textId="77777777" w:rsidR="00AD3182" w:rsidRPr="00EF0689" w:rsidRDefault="00AD3182" w:rsidP="00D26DC0">
            <w:pPr>
              <w:pStyle w:val="Tabletext"/>
              <w:jc w:val="right"/>
              <w:rPr>
                <w:b/>
                <w:bCs/>
                <w:lang w:val="es-ES_tradnl"/>
              </w:rPr>
            </w:pPr>
            <w:r w:rsidRPr="00EF0689">
              <w:rPr>
                <w:b/>
                <w:bCs/>
                <w:lang w:val="es-ES_tradnl"/>
              </w:rPr>
              <w:t>34 122,8</w:t>
            </w:r>
          </w:p>
        </w:tc>
      </w:tr>
      <w:tr w:rsidR="00AD3182" w:rsidRPr="00EF0689" w14:paraId="694016BD" w14:textId="77777777" w:rsidTr="00D26DC0">
        <w:trPr>
          <w:jc w:val="center"/>
        </w:trPr>
        <w:tc>
          <w:tcPr>
            <w:tcW w:w="1297" w:type="dxa"/>
            <w:shd w:val="clear" w:color="auto" w:fill="DBE5F1" w:themeFill="accent1" w:themeFillTint="33"/>
            <w:noWrap/>
            <w:vAlign w:val="center"/>
            <w:hideMark/>
          </w:tcPr>
          <w:p w14:paraId="220391E1" w14:textId="77777777" w:rsidR="00AD3182" w:rsidRPr="00EF0689" w:rsidRDefault="00AD3182" w:rsidP="00D26DC0">
            <w:pPr>
              <w:pStyle w:val="Tabletext"/>
              <w:rPr>
                <w:b/>
                <w:bCs/>
                <w:lang w:val="es-ES_tradnl"/>
              </w:rPr>
            </w:pPr>
            <w:bookmarkStart w:id="28" w:name="lt_pId081"/>
            <w:r w:rsidRPr="00EF0689">
              <w:rPr>
                <w:b/>
                <w:bCs/>
                <w:lang w:val="es-ES_tradnl"/>
              </w:rPr>
              <w:t>Total</w:t>
            </w:r>
            <w:bookmarkEnd w:id="28"/>
          </w:p>
        </w:tc>
        <w:tc>
          <w:tcPr>
            <w:tcW w:w="1470" w:type="dxa"/>
            <w:shd w:val="clear" w:color="auto" w:fill="DBE5F1" w:themeFill="accent1" w:themeFillTint="33"/>
            <w:noWrap/>
            <w:vAlign w:val="bottom"/>
            <w:hideMark/>
          </w:tcPr>
          <w:p w14:paraId="7E002087" w14:textId="77777777" w:rsidR="00AD3182" w:rsidRPr="00EF0689" w:rsidRDefault="00AD3182" w:rsidP="00D26DC0">
            <w:pPr>
              <w:pStyle w:val="Tabletext"/>
              <w:jc w:val="center"/>
              <w:rPr>
                <w:b/>
                <w:bCs/>
                <w:lang w:val="es-ES_tradnl"/>
              </w:rPr>
            </w:pPr>
            <w:r w:rsidRPr="00EF0689">
              <w:rPr>
                <w:b/>
                <w:bCs/>
                <w:lang w:val="es-ES_tradnl"/>
              </w:rPr>
              <w:t>87</w:t>
            </w:r>
          </w:p>
        </w:tc>
        <w:tc>
          <w:tcPr>
            <w:tcW w:w="1750" w:type="dxa"/>
            <w:shd w:val="clear" w:color="auto" w:fill="DBE5F1" w:themeFill="accent1" w:themeFillTint="33"/>
            <w:noWrap/>
            <w:vAlign w:val="bottom"/>
            <w:hideMark/>
          </w:tcPr>
          <w:p w14:paraId="65ECD94C" w14:textId="77777777" w:rsidR="00AD3182" w:rsidRPr="00EF0689" w:rsidRDefault="00AD3182" w:rsidP="00D26DC0">
            <w:pPr>
              <w:pStyle w:val="Tabletext"/>
              <w:jc w:val="right"/>
              <w:rPr>
                <w:b/>
                <w:bCs/>
                <w:lang w:val="es-ES_tradnl"/>
              </w:rPr>
            </w:pPr>
            <w:r w:rsidRPr="00EF0689">
              <w:rPr>
                <w:b/>
                <w:bCs/>
                <w:lang w:val="es-ES_tradnl"/>
              </w:rPr>
              <w:t>94 795,3</w:t>
            </w:r>
          </w:p>
        </w:tc>
        <w:tc>
          <w:tcPr>
            <w:tcW w:w="1693" w:type="dxa"/>
            <w:shd w:val="clear" w:color="auto" w:fill="DBE5F1" w:themeFill="accent1" w:themeFillTint="33"/>
            <w:noWrap/>
            <w:vAlign w:val="bottom"/>
            <w:hideMark/>
          </w:tcPr>
          <w:p w14:paraId="4A5914FF" w14:textId="77777777" w:rsidR="00AD3182" w:rsidRPr="00EF0689" w:rsidRDefault="00AD3182" w:rsidP="00D26DC0">
            <w:pPr>
              <w:pStyle w:val="Tabletext"/>
              <w:jc w:val="right"/>
              <w:rPr>
                <w:b/>
                <w:bCs/>
                <w:lang w:val="es-ES_tradnl"/>
              </w:rPr>
            </w:pPr>
            <w:r w:rsidRPr="00EF0689">
              <w:rPr>
                <w:b/>
                <w:bCs/>
                <w:lang w:val="es-ES_tradnl"/>
              </w:rPr>
              <w:t>6 499,5</w:t>
            </w:r>
          </w:p>
        </w:tc>
        <w:tc>
          <w:tcPr>
            <w:tcW w:w="1568" w:type="dxa"/>
            <w:shd w:val="clear" w:color="auto" w:fill="DBE5F1" w:themeFill="accent1" w:themeFillTint="33"/>
            <w:noWrap/>
            <w:vAlign w:val="bottom"/>
            <w:hideMark/>
          </w:tcPr>
          <w:p w14:paraId="5687530D" w14:textId="77777777" w:rsidR="00AD3182" w:rsidRPr="00EF0689" w:rsidRDefault="00AD3182" w:rsidP="00D26DC0">
            <w:pPr>
              <w:pStyle w:val="Tabletext"/>
              <w:jc w:val="right"/>
              <w:rPr>
                <w:b/>
                <w:bCs/>
                <w:lang w:val="es-ES_tradnl"/>
              </w:rPr>
            </w:pPr>
            <w:r w:rsidRPr="00EF0689">
              <w:rPr>
                <w:b/>
                <w:bCs/>
                <w:lang w:val="es-ES_tradnl"/>
              </w:rPr>
              <w:t>3 908,7</w:t>
            </w:r>
          </w:p>
        </w:tc>
        <w:tc>
          <w:tcPr>
            <w:tcW w:w="1851" w:type="dxa"/>
            <w:shd w:val="clear" w:color="auto" w:fill="DBE5F1" w:themeFill="accent1" w:themeFillTint="33"/>
            <w:noWrap/>
            <w:vAlign w:val="bottom"/>
            <w:hideMark/>
          </w:tcPr>
          <w:p w14:paraId="208A0074" w14:textId="77777777" w:rsidR="00AD3182" w:rsidRPr="00EF0689" w:rsidRDefault="00AD3182" w:rsidP="00D26DC0">
            <w:pPr>
              <w:pStyle w:val="Tabletext"/>
              <w:jc w:val="right"/>
              <w:rPr>
                <w:b/>
                <w:bCs/>
                <w:lang w:val="es-ES_tradnl"/>
              </w:rPr>
            </w:pPr>
            <w:r w:rsidRPr="00EF0689">
              <w:rPr>
                <w:b/>
                <w:bCs/>
                <w:lang w:val="es-ES_tradnl"/>
              </w:rPr>
              <w:t>106 402,4</w:t>
            </w:r>
          </w:p>
        </w:tc>
      </w:tr>
    </w:tbl>
    <w:p w14:paraId="5AB53E21" w14:textId="77777777" w:rsidR="00AD3182" w:rsidRPr="00EF0689" w:rsidRDefault="00AD3182" w:rsidP="00AD3182">
      <w:pPr>
        <w:pStyle w:val="Tablelegend"/>
        <w:rPr>
          <w:lang w:val="es-ES_tradnl"/>
        </w:rPr>
      </w:pPr>
      <w:r w:rsidRPr="00EF0689">
        <w:rPr>
          <w:lang w:val="es-ES_tradnl"/>
        </w:rPr>
        <w:t>(*) Proyectos multirregionales en beneficio de todas las regiones.</w:t>
      </w:r>
      <w:bookmarkStart w:id="29" w:name="lt_pId087"/>
      <w:bookmarkEnd w:id="29"/>
    </w:p>
    <w:p w14:paraId="761D6049" w14:textId="77777777" w:rsidR="00AD3182" w:rsidRPr="00EF0689" w:rsidRDefault="00AD3182" w:rsidP="00AD3182">
      <w:pPr>
        <w:pStyle w:val="Heading2"/>
        <w:rPr>
          <w:lang w:val="es-ES_tradnl"/>
        </w:rPr>
      </w:pPr>
      <w:bookmarkStart w:id="30" w:name="lt_pId088"/>
      <w:r w:rsidRPr="00EF0689">
        <w:rPr>
          <w:lang w:val="es-ES_tradnl"/>
        </w:rPr>
        <w:lastRenderedPageBreak/>
        <w:t>2.2</w:t>
      </w:r>
      <w:r w:rsidRPr="00EF0689">
        <w:rPr>
          <w:lang w:val="es-ES_tradnl"/>
        </w:rPr>
        <w:tab/>
        <w:t>Proyectos firmados durante el periodo del que se informa</w:t>
      </w:r>
      <w:bookmarkEnd w:id="30"/>
    </w:p>
    <w:p w14:paraId="6003CABA" w14:textId="77777777" w:rsidR="00AD3182" w:rsidRPr="00EF0689" w:rsidRDefault="00AD3182" w:rsidP="00AD3182">
      <w:pPr>
        <w:keepNext/>
        <w:keepLines/>
        <w:rPr>
          <w:lang w:val="es-ES_tradnl"/>
        </w:rPr>
      </w:pPr>
      <w:bookmarkStart w:id="31" w:name="lt_pId089"/>
      <w:r w:rsidRPr="00EF0689">
        <w:rPr>
          <w:lang w:val="es-ES_tradnl"/>
        </w:rPr>
        <w:t>En 2023, la UIT firmó un total de 23 nuevos proyectos, valorados en 20,9 millones CHF</w:t>
      </w:r>
      <w:r w:rsidRPr="00EF0689">
        <w:rPr>
          <w:rStyle w:val="FootnoteReference"/>
          <w:lang w:val="es-ES_tradnl"/>
        </w:rPr>
        <w:footnoteReference w:id="2"/>
      </w:r>
      <w:r w:rsidRPr="00EF0689">
        <w:rPr>
          <w:lang w:val="es-ES_tradnl"/>
        </w:rPr>
        <w:t>. Estas cifras confirman la tendencia positiva registrada desde 2017 en lo referente al aumento de los fondos movilizados por la BDT para apoyar los proyectos (véase la Figura 2). La lista de acuerdos conexos figura en el Documento INF/2.</w:t>
      </w:r>
      <w:bookmarkStart w:id="32" w:name="lt_pId090"/>
      <w:bookmarkStart w:id="33" w:name="lt_pId091"/>
      <w:bookmarkEnd w:id="31"/>
      <w:bookmarkEnd w:id="32"/>
      <w:bookmarkEnd w:id="33"/>
    </w:p>
    <w:p w14:paraId="0C85254E" w14:textId="77777777" w:rsidR="00AD3182" w:rsidRPr="00EF0689" w:rsidRDefault="00AD3182" w:rsidP="00AD3182">
      <w:pPr>
        <w:pStyle w:val="FigureNotitle"/>
      </w:pPr>
      <w:bookmarkStart w:id="34" w:name="lt_pId092"/>
      <w:r w:rsidRPr="00EF0689">
        <w:t>Figura 2 – Nuevos proyectos firmados por la UIT (2013-2023)</w:t>
      </w:r>
      <w:bookmarkEnd w:id="34"/>
    </w:p>
    <w:p w14:paraId="6AF4CBBE" w14:textId="77777777" w:rsidR="00AD3182" w:rsidRPr="00EF0689" w:rsidRDefault="00AD3182" w:rsidP="00AD3182">
      <w:pPr>
        <w:pStyle w:val="Figure"/>
        <w:rPr>
          <w:lang w:val="es-ES_tradnl"/>
        </w:rPr>
      </w:pPr>
      <w:bookmarkStart w:id="35" w:name="lt_pId093"/>
      <w:r w:rsidRPr="00EF0689">
        <w:rPr>
          <w:noProof/>
          <w:lang w:val="es-ES_tradnl"/>
        </w:rPr>
        <w:drawing>
          <wp:inline distT="0" distB="0" distL="0" distR="0" wp14:anchorId="1C427B4C" wp14:editId="3D80DD17">
            <wp:extent cx="6120000" cy="3679200"/>
            <wp:effectExtent l="0" t="0" r="0" b="0"/>
            <wp:docPr id="4" name="Picture 4"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numbers and a ba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0" cy="3679200"/>
                    </a:xfrm>
                    <a:prstGeom prst="rect">
                      <a:avLst/>
                    </a:prstGeom>
                    <a:noFill/>
                  </pic:spPr>
                </pic:pic>
              </a:graphicData>
            </a:graphic>
          </wp:inline>
        </w:drawing>
      </w:r>
    </w:p>
    <w:p w14:paraId="4C3930E2" w14:textId="77777777" w:rsidR="00AD3182" w:rsidRPr="00EF0689" w:rsidRDefault="00AD3182" w:rsidP="00AD3182">
      <w:pPr>
        <w:pStyle w:val="Normalaftertitle"/>
        <w:rPr>
          <w:lang w:val="es-ES_tradnl"/>
        </w:rPr>
      </w:pPr>
      <w:r w:rsidRPr="00EF0689">
        <w:rPr>
          <w:lang w:val="es-ES_tradnl"/>
        </w:rPr>
        <w:t>Estos nuevos proyectos son de carácter multirregional, regional y nacional. En lo que respecta a las fuentes de financiación, el 93% de la financiación de estos nuevos proyectos procede de fondos extrapresupuestarios de terceros movilizados por la BDT, mientras que el 7% restante procede de la UIT en concepto de financiación inicial. En la Figura se muestran los porcentajes de fondos extrapresupuestarios y fondos de la UIT destinados a los presupuestos de los proyectos.</w:t>
      </w:r>
      <w:bookmarkStart w:id="36" w:name="lt_pId094"/>
      <w:bookmarkStart w:id="37" w:name="lt_pId095"/>
      <w:bookmarkEnd w:id="35"/>
      <w:bookmarkEnd w:id="36"/>
      <w:bookmarkEnd w:id="37"/>
    </w:p>
    <w:p w14:paraId="4915277E" w14:textId="77777777" w:rsidR="00AD3182" w:rsidRPr="00EF0689" w:rsidRDefault="00AD3182" w:rsidP="00AD3182">
      <w:pPr>
        <w:pStyle w:val="FigureNotitle"/>
      </w:pPr>
      <w:bookmarkStart w:id="38" w:name="lt_pId096"/>
      <w:r w:rsidRPr="00EF0689">
        <w:lastRenderedPageBreak/>
        <w:t xml:space="preserve">Figura 3 – Fuentes de financiación para los proyectos de la UIT </w:t>
      </w:r>
      <w:r w:rsidRPr="00EF0689">
        <w:br/>
        <w:t>(nuevos proyectos firmados en 2023)</w:t>
      </w:r>
      <w:bookmarkEnd w:id="38"/>
    </w:p>
    <w:p w14:paraId="4B98DB00" w14:textId="77777777" w:rsidR="00AD3182" w:rsidRPr="00EF0689" w:rsidRDefault="00AD3182" w:rsidP="00AD3182">
      <w:pPr>
        <w:pStyle w:val="Figure"/>
        <w:rPr>
          <w:lang w:val="es-ES_tradnl"/>
        </w:rPr>
      </w:pPr>
      <w:r w:rsidRPr="00EF0689">
        <w:rPr>
          <w:noProof/>
          <w:lang w:val="es-ES_tradnl"/>
        </w:rPr>
        <w:drawing>
          <wp:inline distT="0" distB="0" distL="0" distR="0" wp14:anchorId="13AE83F7" wp14:editId="29094E95">
            <wp:extent cx="4584700" cy="2755900"/>
            <wp:effectExtent l="0" t="0" r="6350" b="6350"/>
            <wp:docPr id="1" name="Picture 1" descr="A blue pie chart with a re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pie chart with a red triang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2165AC1" w14:textId="77777777" w:rsidR="00AD3182" w:rsidRPr="00EF0689" w:rsidRDefault="00AD3182" w:rsidP="00AD3182">
      <w:pPr>
        <w:pStyle w:val="Heading1"/>
        <w:rPr>
          <w:lang w:val="es-ES_tradnl"/>
        </w:rPr>
      </w:pPr>
      <w:bookmarkStart w:id="39" w:name="lt_pId097"/>
      <w:r w:rsidRPr="00EF0689">
        <w:rPr>
          <w:lang w:val="es-ES_tradnl"/>
        </w:rPr>
        <w:t>3</w:t>
      </w:r>
      <w:r w:rsidRPr="00EF0689">
        <w:rPr>
          <w:lang w:val="es-ES_tradnl"/>
        </w:rPr>
        <w:tab/>
        <w:t>Información actualizada sobre la asignación de fondos en apoyo de las Iniciativas Regionales de la CMDT-22</w:t>
      </w:r>
      <w:bookmarkEnd w:id="39"/>
    </w:p>
    <w:p w14:paraId="6EA46A17" w14:textId="77777777" w:rsidR="00AD3182" w:rsidRPr="00EF0689" w:rsidRDefault="00AD3182" w:rsidP="00AD3182">
      <w:pPr>
        <w:rPr>
          <w:lang w:val="es-ES_tradnl"/>
        </w:rPr>
      </w:pPr>
      <w:bookmarkStart w:id="40" w:name="lt_pId098"/>
      <w:r w:rsidRPr="00EF0689">
        <w:rPr>
          <w:lang w:val="es-ES_tradnl"/>
        </w:rPr>
        <w:t>En la reunión de 2023 del Consejo de la UIT, los Miembros de la UIT aprobaron la transferencia de 3 millones CHF del Fondo de Operaciones de las Exposiciones (FOEX) a la cuenta de capital del Fondo para el Desarrollo de las Tecnologías de la Información y la Comunicación (FD-TIC) con el fin de proporcionar el capital inicial necesario para financiar las Iniciativas Regionales.</w:t>
      </w:r>
      <w:r w:rsidRPr="00EF0689">
        <w:rPr>
          <w:rStyle w:val="FootnoteReference"/>
          <w:lang w:val="es-ES_tradnl"/>
        </w:rPr>
        <w:footnoteReference w:id="3"/>
      </w:r>
      <w:bookmarkEnd w:id="40"/>
    </w:p>
    <w:p w14:paraId="3486D53D" w14:textId="77777777" w:rsidR="00AD3182" w:rsidRPr="00EF0689" w:rsidRDefault="00AD3182" w:rsidP="00AD3182">
      <w:pPr>
        <w:rPr>
          <w:lang w:val="es-ES_tradnl"/>
        </w:rPr>
      </w:pPr>
      <w:bookmarkStart w:id="41" w:name="lt_pId099"/>
      <w:r w:rsidRPr="00EF0689">
        <w:rPr>
          <w:lang w:val="es-ES_tradnl"/>
        </w:rPr>
        <w:t>Gracias a esa financiación, se han podido firmar hasta el momento un total de siete proyectos por valor de 4,3 millones CHF (si se tienen en cuenta únicamente las contribuciones en efectivo de los asociados), con una movilización de 1,0 millones CHF de los fondos asignados por el Consejo (véase la Figura 4). Puede encontrar más información sobre estos proyectos en el portal de proyectos de la UIT.</w:t>
      </w:r>
      <w:r w:rsidRPr="00EF0689">
        <w:rPr>
          <w:rStyle w:val="FootnoteReference"/>
          <w:lang w:val="es-ES_tradnl"/>
        </w:rPr>
        <w:footnoteReference w:id="4"/>
      </w:r>
      <w:bookmarkStart w:id="42" w:name="lt_pId100"/>
      <w:bookmarkEnd w:id="41"/>
      <w:bookmarkEnd w:id="42"/>
    </w:p>
    <w:p w14:paraId="33AF59C1" w14:textId="77777777" w:rsidR="00AD3182" w:rsidRPr="00EF0689" w:rsidRDefault="00AD3182" w:rsidP="00AD3182">
      <w:pPr>
        <w:pStyle w:val="FigureNotitle"/>
      </w:pPr>
      <w:bookmarkStart w:id="43" w:name="lt_pId101"/>
      <w:r w:rsidRPr="00EF0689">
        <w:lastRenderedPageBreak/>
        <w:t xml:space="preserve">Figura 4 – Proyectos financiados en 2023 con cargo a los fondos aprobados por el Consejo </w:t>
      </w:r>
      <w:r w:rsidRPr="00EF0689">
        <w:br/>
        <w:t>para la ejecución de las Iniciativas Regionales de la CMDT-22 (cifras en miles CHF)</w:t>
      </w:r>
      <w:bookmarkStart w:id="44" w:name="lt_pId102"/>
      <w:bookmarkEnd w:id="43"/>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85"/>
        <w:gridCol w:w="2296"/>
        <w:gridCol w:w="742"/>
        <w:gridCol w:w="1656"/>
        <w:gridCol w:w="947"/>
        <w:gridCol w:w="938"/>
        <w:gridCol w:w="938"/>
        <w:gridCol w:w="927"/>
      </w:tblGrid>
      <w:tr w:rsidR="00AD3182" w:rsidRPr="00EF0689" w14:paraId="120DCE66" w14:textId="77777777" w:rsidTr="00D26DC0">
        <w:trPr>
          <w:jc w:val="center"/>
        </w:trPr>
        <w:tc>
          <w:tcPr>
            <w:tcW w:w="1185" w:type="dxa"/>
            <w:shd w:val="clear" w:color="auto" w:fill="BFBFBF" w:themeFill="background1" w:themeFillShade="BF"/>
            <w:noWrap/>
            <w:vAlign w:val="center"/>
            <w:hideMark/>
          </w:tcPr>
          <w:p w14:paraId="69131DB9" w14:textId="77777777" w:rsidR="00AD3182" w:rsidRPr="00EF0689" w:rsidRDefault="00AD3182" w:rsidP="00EF0689">
            <w:pPr>
              <w:pStyle w:val="Tablehead"/>
              <w:rPr>
                <w:lang w:val="es-ES_tradnl"/>
              </w:rPr>
            </w:pPr>
            <w:bookmarkStart w:id="45" w:name="lt_pId103"/>
            <w:r w:rsidRPr="00EF0689">
              <w:rPr>
                <w:lang w:val="es-ES_tradnl"/>
              </w:rPr>
              <w:t>ID de proyecto</w:t>
            </w:r>
            <w:bookmarkEnd w:id="45"/>
          </w:p>
        </w:tc>
        <w:tc>
          <w:tcPr>
            <w:tcW w:w="2296" w:type="dxa"/>
            <w:shd w:val="clear" w:color="auto" w:fill="BFBFBF" w:themeFill="background1" w:themeFillShade="BF"/>
            <w:noWrap/>
            <w:vAlign w:val="center"/>
            <w:hideMark/>
          </w:tcPr>
          <w:p w14:paraId="1D682F88" w14:textId="77777777" w:rsidR="00AD3182" w:rsidRPr="00EF0689" w:rsidRDefault="00AD3182" w:rsidP="00EF0689">
            <w:pPr>
              <w:pStyle w:val="Tablehead"/>
              <w:rPr>
                <w:lang w:val="es-ES_tradnl"/>
              </w:rPr>
            </w:pPr>
            <w:bookmarkStart w:id="46" w:name="lt_pId104"/>
            <w:r w:rsidRPr="00EF0689">
              <w:rPr>
                <w:lang w:val="es-ES_tradnl"/>
              </w:rPr>
              <w:t>Título del proyecto</w:t>
            </w:r>
            <w:bookmarkEnd w:id="46"/>
          </w:p>
        </w:tc>
        <w:tc>
          <w:tcPr>
            <w:tcW w:w="742" w:type="dxa"/>
            <w:shd w:val="clear" w:color="auto" w:fill="BFBFBF" w:themeFill="background1" w:themeFillShade="BF"/>
            <w:noWrap/>
            <w:vAlign w:val="center"/>
            <w:hideMark/>
          </w:tcPr>
          <w:p w14:paraId="40F42868" w14:textId="77777777" w:rsidR="00AD3182" w:rsidRPr="00EF0689" w:rsidRDefault="00AD3182" w:rsidP="00EF0689">
            <w:pPr>
              <w:pStyle w:val="Tablehead"/>
              <w:rPr>
                <w:lang w:val="es-ES_tradnl"/>
              </w:rPr>
            </w:pPr>
            <w:bookmarkStart w:id="47" w:name="lt_pId105"/>
            <w:r w:rsidRPr="00EF0689">
              <w:rPr>
                <w:lang w:val="es-ES_tradnl"/>
              </w:rPr>
              <w:t>Región</w:t>
            </w:r>
            <w:bookmarkEnd w:id="47"/>
          </w:p>
        </w:tc>
        <w:tc>
          <w:tcPr>
            <w:tcW w:w="1656" w:type="dxa"/>
            <w:shd w:val="clear" w:color="auto" w:fill="BFBFBF" w:themeFill="background1" w:themeFillShade="BF"/>
            <w:noWrap/>
            <w:vAlign w:val="center"/>
            <w:hideMark/>
          </w:tcPr>
          <w:p w14:paraId="71BEF9DE" w14:textId="77777777" w:rsidR="00AD3182" w:rsidRPr="00EF0689" w:rsidRDefault="00AD3182" w:rsidP="00EF0689">
            <w:pPr>
              <w:pStyle w:val="Tablehead"/>
              <w:rPr>
                <w:lang w:val="es-ES_tradnl"/>
              </w:rPr>
            </w:pPr>
            <w:bookmarkStart w:id="48" w:name="lt_pId106"/>
            <w:r w:rsidRPr="00EF0689">
              <w:rPr>
                <w:lang w:val="es-ES_tradnl"/>
              </w:rPr>
              <w:t>Iniciativa Regional</w:t>
            </w:r>
            <w:bookmarkEnd w:id="48"/>
          </w:p>
        </w:tc>
        <w:tc>
          <w:tcPr>
            <w:tcW w:w="947" w:type="dxa"/>
            <w:shd w:val="clear" w:color="auto" w:fill="BFBFBF" w:themeFill="background1" w:themeFillShade="BF"/>
            <w:noWrap/>
            <w:vAlign w:val="center"/>
            <w:hideMark/>
          </w:tcPr>
          <w:p w14:paraId="46849C8E" w14:textId="77777777" w:rsidR="00AD3182" w:rsidRPr="00EF0689" w:rsidRDefault="00AD3182" w:rsidP="00EF0689">
            <w:pPr>
              <w:pStyle w:val="Tablehead"/>
              <w:rPr>
                <w:lang w:val="es-ES_tradnl"/>
              </w:rPr>
            </w:pPr>
            <w:bookmarkStart w:id="49" w:name="lt_pId107"/>
            <w:r w:rsidRPr="00EF0689">
              <w:rPr>
                <w:lang w:val="es-ES_tradnl"/>
              </w:rPr>
              <w:t>Fondos externos</w:t>
            </w:r>
            <w:bookmarkEnd w:id="49"/>
          </w:p>
        </w:tc>
        <w:tc>
          <w:tcPr>
            <w:tcW w:w="938" w:type="dxa"/>
            <w:shd w:val="clear" w:color="auto" w:fill="BFBFBF" w:themeFill="background1" w:themeFillShade="BF"/>
            <w:noWrap/>
            <w:vAlign w:val="center"/>
            <w:hideMark/>
          </w:tcPr>
          <w:p w14:paraId="6876C46E" w14:textId="77777777" w:rsidR="00AD3182" w:rsidRPr="00EF0689" w:rsidRDefault="00AD3182" w:rsidP="00EF0689">
            <w:pPr>
              <w:pStyle w:val="Tablehead"/>
              <w:rPr>
                <w:lang w:val="es-ES_tradnl"/>
              </w:rPr>
            </w:pPr>
            <w:bookmarkStart w:id="50" w:name="lt_pId108"/>
            <w:r w:rsidRPr="00EF0689">
              <w:rPr>
                <w:lang w:val="es-ES_tradnl"/>
              </w:rPr>
              <w:t>Fondos de la UIT</w:t>
            </w:r>
            <w:bookmarkEnd w:id="50"/>
          </w:p>
        </w:tc>
        <w:tc>
          <w:tcPr>
            <w:tcW w:w="938" w:type="dxa"/>
            <w:shd w:val="clear" w:color="auto" w:fill="BFBFBF" w:themeFill="background1" w:themeFillShade="BF"/>
            <w:noWrap/>
            <w:vAlign w:val="center"/>
            <w:hideMark/>
          </w:tcPr>
          <w:p w14:paraId="2F5AAFCA" w14:textId="77777777" w:rsidR="00AD3182" w:rsidRPr="00EF0689" w:rsidRDefault="00AD3182" w:rsidP="00EF0689">
            <w:pPr>
              <w:pStyle w:val="Tablehead"/>
              <w:rPr>
                <w:lang w:val="es-ES_tradnl"/>
              </w:rPr>
            </w:pPr>
            <w:bookmarkStart w:id="51" w:name="lt_pId109"/>
            <w:r w:rsidRPr="00EF0689">
              <w:rPr>
                <w:lang w:val="es-ES_tradnl"/>
              </w:rPr>
              <w:t>Total fondos</w:t>
            </w:r>
            <w:bookmarkEnd w:id="51"/>
          </w:p>
        </w:tc>
        <w:tc>
          <w:tcPr>
            <w:tcW w:w="927" w:type="dxa"/>
            <w:shd w:val="clear" w:color="auto" w:fill="BFBFBF" w:themeFill="background1" w:themeFillShade="BF"/>
            <w:noWrap/>
            <w:vAlign w:val="center"/>
            <w:hideMark/>
          </w:tcPr>
          <w:p w14:paraId="4516AD94" w14:textId="77777777" w:rsidR="00AD3182" w:rsidRPr="00EF0689" w:rsidRDefault="00AD3182" w:rsidP="00EF0689">
            <w:pPr>
              <w:pStyle w:val="Tablehead"/>
              <w:rPr>
                <w:lang w:val="es-ES_tradnl"/>
              </w:rPr>
            </w:pPr>
            <w:bookmarkStart w:id="52" w:name="lt_pId110"/>
            <w:r w:rsidRPr="00EF0689">
              <w:rPr>
                <w:lang w:val="es-ES_tradnl"/>
              </w:rPr>
              <w:t>Asociado</w:t>
            </w:r>
            <w:bookmarkEnd w:id="52"/>
          </w:p>
        </w:tc>
      </w:tr>
      <w:tr w:rsidR="00AD3182" w:rsidRPr="00EF0689" w14:paraId="5086F0D5" w14:textId="77777777" w:rsidTr="00D26DC0">
        <w:trPr>
          <w:cantSplit/>
          <w:jc w:val="center"/>
        </w:trPr>
        <w:tc>
          <w:tcPr>
            <w:tcW w:w="1185" w:type="dxa"/>
            <w:noWrap/>
            <w:vAlign w:val="center"/>
            <w:hideMark/>
          </w:tcPr>
          <w:p w14:paraId="36B3EB68" w14:textId="77777777" w:rsidR="00AD3182" w:rsidRPr="00EF0689" w:rsidRDefault="00AD3182" w:rsidP="00EF0689">
            <w:pPr>
              <w:pStyle w:val="Tabletext"/>
              <w:rPr>
                <w:lang w:val="es-ES_tradnl"/>
              </w:rPr>
            </w:pPr>
            <w:bookmarkStart w:id="53" w:name="lt_pId111"/>
            <w:r w:rsidRPr="00EF0689">
              <w:rPr>
                <w:lang w:val="es-ES_tradnl"/>
              </w:rPr>
              <w:t>7RAS24075</w:t>
            </w:r>
            <w:bookmarkEnd w:id="53"/>
          </w:p>
        </w:tc>
        <w:tc>
          <w:tcPr>
            <w:tcW w:w="2296" w:type="dxa"/>
            <w:noWrap/>
            <w:vAlign w:val="center"/>
            <w:hideMark/>
          </w:tcPr>
          <w:p w14:paraId="2F5AD225" w14:textId="77777777" w:rsidR="00AD3182" w:rsidRPr="00EF0689" w:rsidRDefault="00AD3182" w:rsidP="00EF0689">
            <w:pPr>
              <w:pStyle w:val="Tabletext"/>
              <w:rPr>
                <w:lang w:val="es-ES_tradnl"/>
              </w:rPr>
            </w:pPr>
            <w:bookmarkStart w:id="54" w:name="lt_pId112"/>
            <w:r w:rsidRPr="00EF0689">
              <w:rPr>
                <w:lang w:val="es-ES_tradnl"/>
              </w:rPr>
              <w:t>Creación de una economía circular para los productos electrónicos y eléctricos en Tailandia y Mongolia</w:t>
            </w:r>
            <w:bookmarkEnd w:id="54"/>
          </w:p>
        </w:tc>
        <w:tc>
          <w:tcPr>
            <w:tcW w:w="742" w:type="dxa"/>
            <w:noWrap/>
            <w:vAlign w:val="center"/>
            <w:hideMark/>
          </w:tcPr>
          <w:p w14:paraId="4A3C955B" w14:textId="77777777" w:rsidR="00AD3182" w:rsidRPr="00EF0689" w:rsidRDefault="00AD3182" w:rsidP="00EF0689">
            <w:pPr>
              <w:pStyle w:val="Tabletext"/>
              <w:rPr>
                <w:lang w:val="es-ES_tradnl"/>
              </w:rPr>
            </w:pPr>
            <w:bookmarkStart w:id="55" w:name="lt_pId113"/>
            <w:r w:rsidRPr="00EF0689">
              <w:rPr>
                <w:lang w:val="es-ES_tradnl"/>
              </w:rPr>
              <w:t>ASP</w:t>
            </w:r>
            <w:bookmarkEnd w:id="55"/>
          </w:p>
        </w:tc>
        <w:tc>
          <w:tcPr>
            <w:tcW w:w="1656" w:type="dxa"/>
            <w:noWrap/>
            <w:vAlign w:val="center"/>
            <w:hideMark/>
          </w:tcPr>
          <w:p w14:paraId="113A9B94" w14:textId="77777777" w:rsidR="00AD3182" w:rsidRPr="00EF0689" w:rsidRDefault="00AD3182" w:rsidP="00EF0689">
            <w:pPr>
              <w:pStyle w:val="Tabletext"/>
              <w:rPr>
                <w:lang w:val="es-ES_tradnl"/>
              </w:rPr>
            </w:pPr>
            <w:bookmarkStart w:id="56" w:name="lt_pId114"/>
            <w:r w:rsidRPr="00EF0689">
              <w:rPr>
                <w:lang w:val="es-ES_tradnl"/>
              </w:rPr>
              <w:t>ASP2 – Economía digital y sociedades digitales inclusivas</w:t>
            </w:r>
            <w:bookmarkEnd w:id="56"/>
          </w:p>
        </w:tc>
        <w:tc>
          <w:tcPr>
            <w:tcW w:w="947" w:type="dxa"/>
            <w:noWrap/>
            <w:vAlign w:val="center"/>
            <w:hideMark/>
          </w:tcPr>
          <w:p w14:paraId="106F363D" w14:textId="77777777" w:rsidR="00AD3182" w:rsidRPr="00EF0689" w:rsidRDefault="00AD3182" w:rsidP="00EF0689">
            <w:pPr>
              <w:pStyle w:val="Tabletext"/>
              <w:rPr>
                <w:lang w:val="es-ES_tradnl"/>
              </w:rPr>
            </w:pPr>
            <w:r w:rsidRPr="00EF0689">
              <w:rPr>
                <w:lang w:val="es-ES_tradnl"/>
              </w:rPr>
              <w:t>225 280</w:t>
            </w:r>
          </w:p>
        </w:tc>
        <w:tc>
          <w:tcPr>
            <w:tcW w:w="938" w:type="dxa"/>
            <w:noWrap/>
            <w:vAlign w:val="center"/>
            <w:hideMark/>
          </w:tcPr>
          <w:p w14:paraId="158081DA" w14:textId="77777777" w:rsidR="00AD3182" w:rsidRPr="00EF0689" w:rsidRDefault="00AD3182" w:rsidP="00EF0689">
            <w:pPr>
              <w:pStyle w:val="Tabletext"/>
              <w:rPr>
                <w:lang w:val="es-ES_tradnl"/>
              </w:rPr>
            </w:pPr>
            <w:r w:rsidRPr="00EF0689">
              <w:rPr>
                <w:lang w:val="es-ES_tradnl"/>
              </w:rPr>
              <w:t>52 800</w:t>
            </w:r>
          </w:p>
        </w:tc>
        <w:tc>
          <w:tcPr>
            <w:tcW w:w="938" w:type="dxa"/>
            <w:noWrap/>
            <w:vAlign w:val="center"/>
            <w:hideMark/>
          </w:tcPr>
          <w:p w14:paraId="7E024ACE" w14:textId="77777777" w:rsidR="00AD3182" w:rsidRPr="00EF0689" w:rsidRDefault="00AD3182" w:rsidP="00EF0689">
            <w:pPr>
              <w:pStyle w:val="Tabletext"/>
              <w:rPr>
                <w:lang w:val="es-ES_tradnl"/>
              </w:rPr>
            </w:pPr>
            <w:r w:rsidRPr="00EF0689">
              <w:rPr>
                <w:lang w:val="es-ES_tradnl"/>
              </w:rPr>
              <w:t>278 080</w:t>
            </w:r>
          </w:p>
        </w:tc>
        <w:tc>
          <w:tcPr>
            <w:tcW w:w="927" w:type="dxa"/>
            <w:noWrap/>
            <w:vAlign w:val="center"/>
            <w:hideMark/>
          </w:tcPr>
          <w:p w14:paraId="38FCAD08" w14:textId="77777777" w:rsidR="00AD3182" w:rsidRPr="00EF0689" w:rsidRDefault="00AD3182" w:rsidP="00EF0689">
            <w:pPr>
              <w:pStyle w:val="Tabletext"/>
              <w:rPr>
                <w:lang w:val="es-ES_tradnl"/>
              </w:rPr>
            </w:pPr>
            <w:bookmarkStart w:id="57" w:name="lt_pId118"/>
            <w:r w:rsidRPr="00EF0689">
              <w:rPr>
                <w:lang w:val="es-ES_tradnl"/>
              </w:rPr>
              <w:t>DITRDCA Australia</w:t>
            </w:r>
            <w:bookmarkEnd w:id="57"/>
          </w:p>
        </w:tc>
      </w:tr>
      <w:tr w:rsidR="00AD3182" w:rsidRPr="00EF0689" w14:paraId="7DCC2BBE" w14:textId="77777777" w:rsidTr="00D26DC0">
        <w:trPr>
          <w:jc w:val="center"/>
        </w:trPr>
        <w:tc>
          <w:tcPr>
            <w:tcW w:w="1185" w:type="dxa"/>
            <w:noWrap/>
            <w:vAlign w:val="center"/>
            <w:hideMark/>
          </w:tcPr>
          <w:p w14:paraId="63D20EEB" w14:textId="77777777" w:rsidR="00AD3182" w:rsidRPr="00EF0689" w:rsidRDefault="00AD3182" w:rsidP="00EF0689">
            <w:pPr>
              <w:pStyle w:val="Tabletext"/>
              <w:rPr>
                <w:lang w:val="es-ES_tradnl"/>
              </w:rPr>
            </w:pPr>
            <w:bookmarkStart w:id="58" w:name="lt_pId119"/>
            <w:r w:rsidRPr="00EF0689">
              <w:rPr>
                <w:lang w:val="es-ES_tradnl"/>
              </w:rPr>
              <w:t>7RAS23073</w:t>
            </w:r>
            <w:bookmarkEnd w:id="58"/>
          </w:p>
        </w:tc>
        <w:tc>
          <w:tcPr>
            <w:tcW w:w="2296" w:type="dxa"/>
            <w:noWrap/>
            <w:vAlign w:val="center"/>
            <w:hideMark/>
          </w:tcPr>
          <w:p w14:paraId="0C932AA9" w14:textId="77777777" w:rsidR="00AD3182" w:rsidRPr="00EF0689" w:rsidRDefault="00AD3182" w:rsidP="00EF0689">
            <w:pPr>
              <w:pStyle w:val="Tabletext"/>
              <w:rPr>
                <w:lang w:val="es-ES_tradnl"/>
              </w:rPr>
            </w:pPr>
            <w:bookmarkStart w:id="59" w:name="lt_pId120"/>
            <w:r w:rsidRPr="00EF0689">
              <w:rPr>
                <w:lang w:val="es-ES_tradnl"/>
              </w:rPr>
              <w:t>Caminos hacia la ciberseguridad en el Pacífico</w:t>
            </w:r>
            <w:bookmarkEnd w:id="59"/>
          </w:p>
        </w:tc>
        <w:tc>
          <w:tcPr>
            <w:tcW w:w="742" w:type="dxa"/>
            <w:noWrap/>
            <w:vAlign w:val="center"/>
            <w:hideMark/>
          </w:tcPr>
          <w:p w14:paraId="04D84E58" w14:textId="77777777" w:rsidR="00AD3182" w:rsidRPr="00EF0689" w:rsidRDefault="00AD3182" w:rsidP="00EF0689">
            <w:pPr>
              <w:pStyle w:val="Tabletext"/>
              <w:rPr>
                <w:lang w:val="es-ES_tradnl"/>
              </w:rPr>
            </w:pPr>
            <w:bookmarkStart w:id="60" w:name="lt_pId121"/>
            <w:r w:rsidRPr="00EF0689">
              <w:rPr>
                <w:lang w:val="es-ES_tradnl"/>
              </w:rPr>
              <w:t>ASP</w:t>
            </w:r>
            <w:bookmarkEnd w:id="60"/>
          </w:p>
        </w:tc>
        <w:tc>
          <w:tcPr>
            <w:tcW w:w="1656" w:type="dxa"/>
            <w:noWrap/>
            <w:vAlign w:val="center"/>
            <w:hideMark/>
          </w:tcPr>
          <w:p w14:paraId="79423B3D" w14:textId="77777777" w:rsidR="00AD3182" w:rsidRPr="00EF0689" w:rsidRDefault="00AD3182" w:rsidP="00EF0689">
            <w:pPr>
              <w:pStyle w:val="Tabletext"/>
              <w:rPr>
                <w:lang w:val="es-ES_tradnl"/>
              </w:rPr>
            </w:pPr>
            <w:bookmarkStart w:id="61" w:name="lt_pId122"/>
            <w:r w:rsidRPr="00EF0689">
              <w:rPr>
                <w:lang w:val="es-ES_tradnl"/>
              </w:rPr>
              <w:t>ASP5 – TIC seguras y resilientes</w:t>
            </w:r>
            <w:bookmarkEnd w:id="61"/>
          </w:p>
        </w:tc>
        <w:tc>
          <w:tcPr>
            <w:tcW w:w="947" w:type="dxa"/>
            <w:noWrap/>
            <w:vAlign w:val="center"/>
            <w:hideMark/>
          </w:tcPr>
          <w:p w14:paraId="7CE798FB" w14:textId="77777777" w:rsidR="00AD3182" w:rsidRPr="00EF0689" w:rsidRDefault="00AD3182" w:rsidP="00EF0689">
            <w:pPr>
              <w:pStyle w:val="Tabletext"/>
              <w:rPr>
                <w:lang w:val="es-ES_tradnl"/>
              </w:rPr>
            </w:pPr>
            <w:r w:rsidRPr="00EF0689">
              <w:rPr>
                <w:lang w:val="es-ES_tradnl"/>
              </w:rPr>
              <w:t>132 000</w:t>
            </w:r>
          </w:p>
        </w:tc>
        <w:tc>
          <w:tcPr>
            <w:tcW w:w="938" w:type="dxa"/>
            <w:noWrap/>
            <w:vAlign w:val="center"/>
            <w:hideMark/>
          </w:tcPr>
          <w:p w14:paraId="5BE4BEE8" w14:textId="77777777" w:rsidR="00AD3182" w:rsidRPr="00EF0689" w:rsidRDefault="00AD3182" w:rsidP="00EF0689">
            <w:pPr>
              <w:pStyle w:val="Tabletext"/>
              <w:rPr>
                <w:lang w:val="es-ES_tradnl"/>
              </w:rPr>
            </w:pPr>
            <w:r w:rsidRPr="00EF0689">
              <w:rPr>
                <w:lang w:val="es-ES_tradnl"/>
              </w:rPr>
              <w:t>33 000</w:t>
            </w:r>
          </w:p>
        </w:tc>
        <w:tc>
          <w:tcPr>
            <w:tcW w:w="938" w:type="dxa"/>
            <w:noWrap/>
            <w:vAlign w:val="center"/>
            <w:hideMark/>
          </w:tcPr>
          <w:p w14:paraId="717CAF82" w14:textId="77777777" w:rsidR="00AD3182" w:rsidRPr="00EF0689" w:rsidRDefault="00AD3182" w:rsidP="00EF0689">
            <w:pPr>
              <w:pStyle w:val="Tabletext"/>
              <w:rPr>
                <w:lang w:val="es-ES_tradnl"/>
              </w:rPr>
            </w:pPr>
            <w:r w:rsidRPr="00EF0689">
              <w:rPr>
                <w:lang w:val="es-ES_tradnl"/>
              </w:rPr>
              <w:t>165 000</w:t>
            </w:r>
          </w:p>
        </w:tc>
        <w:tc>
          <w:tcPr>
            <w:tcW w:w="927" w:type="dxa"/>
            <w:noWrap/>
            <w:vAlign w:val="center"/>
            <w:hideMark/>
          </w:tcPr>
          <w:p w14:paraId="5765F746" w14:textId="77777777" w:rsidR="00AD3182" w:rsidRPr="00EF0689" w:rsidRDefault="00AD3182" w:rsidP="00EF0689">
            <w:pPr>
              <w:pStyle w:val="Tabletext"/>
              <w:rPr>
                <w:lang w:val="es-ES_tradnl"/>
              </w:rPr>
            </w:pPr>
            <w:bookmarkStart w:id="62" w:name="lt_pId126"/>
            <w:r w:rsidRPr="00EF0689">
              <w:rPr>
                <w:lang w:val="es-ES_tradnl"/>
              </w:rPr>
              <w:t>MIC Japón</w:t>
            </w:r>
            <w:bookmarkEnd w:id="62"/>
          </w:p>
        </w:tc>
      </w:tr>
      <w:tr w:rsidR="00AD3182" w:rsidRPr="00EF0689" w14:paraId="555E23DA" w14:textId="77777777" w:rsidTr="00D26DC0">
        <w:trPr>
          <w:jc w:val="center"/>
        </w:trPr>
        <w:tc>
          <w:tcPr>
            <w:tcW w:w="1185" w:type="dxa"/>
            <w:noWrap/>
            <w:vAlign w:val="center"/>
            <w:hideMark/>
          </w:tcPr>
          <w:p w14:paraId="1CB706C5" w14:textId="77777777" w:rsidR="00AD3182" w:rsidRPr="00EF0689" w:rsidRDefault="00AD3182" w:rsidP="00EF0689">
            <w:pPr>
              <w:pStyle w:val="Tabletext"/>
              <w:rPr>
                <w:lang w:val="es-ES_tradnl"/>
              </w:rPr>
            </w:pPr>
            <w:bookmarkStart w:id="63" w:name="lt_pId127"/>
            <w:r w:rsidRPr="00EF0689">
              <w:rPr>
                <w:lang w:val="es-ES_tradnl"/>
              </w:rPr>
              <w:t>7RAS24074</w:t>
            </w:r>
            <w:bookmarkEnd w:id="63"/>
          </w:p>
        </w:tc>
        <w:tc>
          <w:tcPr>
            <w:tcW w:w="2296" w:type="dxa"/>
            <w:noWrap/>
            <w:vAlign w:val="center"/>
            <w:hideMark/>
          </w:tcPr>
          <w:p w14:paraId="348B7907" w14:textId="77777777" w:rsidR="00AD3182" w:rsidRPr="00EF0689" w:rsidRDefault="00AD3182" w:rsidP="00EF0689">
            <w:pPr>
              <w:pStyle w:val="Tabletext"/>
              <w:rPr>
                <w:lang w:val="es-ES_tradnl"/>
              </w:rPr>
            </w:pPr>
            <w:bookmarkStart w:id="64" w:name="lt_pId128"/>
            <w:r w:rsidRPr="00EF0689">
              <w:rPr>
                <w:lang w:val="es-ES_tradnl"/>
              </w:rPr>
              <w:t>Potenciar infraestructuras de TIC resilientes en Asia y el Pacífico (segunda fase)</w:t>
            </w:r>
            <w:bookmarkEnd w:id="64"/>
          </w:p>
        </w:tc>
        <w:tc>
          <w:tcPr>
            <w:tcW w:w="742" w:type="dxa"/>
            <w:noWrap/>
            <w:vAlign w:val="center"/>
            <w:hideMark/>
          </w:tcPr>
          <w:p w14:paraId="65AEC3A1" w14:textId="77777777" w:rsidR="00AD3182" w:rsidRPr="00EF0689" w:rsidRDefault="00AD3182" w:rsidP="00EF0689">
            <w:pPr>
              <w:pStyle w:val="Tabletext"/>
              <w:rPr>
                <w:lang w:val="es-ES_tradnl"/>
              </w:rPr>
            </w:pPr>
            <w:bookmarkStart w:id="65" w:name="lt_pId129"/>
            <w:r w:rsidRPr="00EF0689">
              <w:rPr>
                <w:lang w:val="es-ES_tradnl"/>
              </w:rPr>
              <w:t>ASP</w:t>
            </w:r>
            <w:bookmarkEnd w:id="65"/>
          </w:p>
        </w:tc>
        <w:tc>
          <w:tcPr>
            <w:tcW w:w="1656" w:type="dxa"/>
            <w:noWrap/>
            <w:vAlign w:val="center"/>
            <w:hideMark/>
          </w:tcPr>
          <w:p w14:paraId="7C93D944" w14:textId="77777777" w:rsidR="00AD3182" w:rsidRPr="00EF0689" w:rsidRDefault="00AD3182" w:rsidP="00EF0689">
            <w:pPr>
              <w:pStyle w:val="Tabletext"/>
              <w:rPr>
                <w:lang w:val="es-ES_tradnl"/>
              </w:rPr>
            </w:pPr>
            <w:bookmarkStart w:id="66" w:name="lt_pId130"/>
            <w:r w:rsidRPr="00EF0689">
              <w:rPr>
                <w:lang w:val="es-ES_tradnl"/>
              </w:rPr>
              <w:t>ASP5 – TIC seguras y resilientes</w:t>
            </w:r>
            <w:bookmarkEnd w:id="66"/>
          </w:p>
        </w:tc>
        <w:tc>
          <w:tcPr>
            <w:tcW w:w="947" w:type="dxa"/>
            <w:noWrap/>
            <w:vAlign w:val="center"/>
            <w:hideMark/>
          </w:tcPr>
          <w:p w14:paraId="4F03077A" w14:textId="77777777" w:rsidR="00AD3182" w:rsidRPr="00EF0689" w:rsidRDefault="00AD3182" w:rsidP="00EF0689">
            <w:pPr>
              <w:pStyle w:val="Tabletext"/>
              <w:rPr>
                <w:lang w:val="es-ES_tradnl"/>
              </w:rPr>
            </w:pPr>
            <w:r w:rsidRPr="00EF0689">
              <w:rPr>
                <w:lang w:val="es-ES_tradnl"/>
              </w:rPr>
              <w:t>132 000</w:t>
            </w:r>
          </w:p>
        </w:tc>
        <w:tc>
          <w:tcPr>
            <w:tcW w:w="938" w:type="dxa"/>
            <w:noWrap/>
            <w:vAlign w:val="center"/>
            <w:hideMark/>
          </w:tcPr>
          <w:p w14:paraId="4242C43D" w14:textId="4EE65175" w:rsidR="00AD3182" w:rsidRPr="00EF0689" w:rsidRDefault="00AD3182" w:rsidP="00EF0689">
            <w:pPr>
              <w:pStyle w:val="Tabletext"/>
              <w:rPr>
                <w:lang w:val="es-ES_tradnl"/>
              </w:rPr>
            </w:pPr>
            <w:r w:rsidRPr="00EF0689">
              <w:rPr>
                <w:lang w:val="es-ES_tradnl"/>
              </w:rPr>
              <w:t>33</w:t>
            </w:r>
            <w:r w:rsidR="00EF0689">
              <w:rPr>
                <w:lang w:val="es-ES_tradnl"/>
              </w:rPr>
              <w:t> </w:t>
            </w:r>
            <w:r w:rsidRPr="00EF0689">
              <w:rPr>
                <w:lang w:val="es-ES_tradnl"/>
              </w:rPr>
              <w:t>000</w:t>
            </w:r>
          </w:p>
        </w:tc>
        <w:tc>
          <w:tcPr>
            <w:tcW w:w="938" w:type="dxa"/>
            <w:noWrap/>
            <w:vAlign w:val="center"/>
            <w:hideMark/>
          </w:tcPr>
          <w:p w14:paraId="166F27BD" w14:textId="77777777" w:rsidR="00AD3182" w:rsidRPr="00EF0689" w:rsidRDefault="00AD3182" w:rsidP="00EF0689">
            <w:pPr>
              <w:pStyle w:val="Tabletext"/>
              <w:rPr>
                <w:lang w:val="es-ES_tradnl"/>
              </w:rPr>
            </w:pPr>
            <w:r w:rsidRPr="00EF0689">
              <w:rPr>
                <w:lang w:val="es-ES_tradnl"/>
              </w:rPr>
              <w:t>165 000</w:t>
            </w:r>
          </w:p>
        </w:tc>
        <w:tc>
          <w:tcPr>
            <w:tcW w:w="927" w:type="dxa"/>
            <w:noWrap/>
            <w:vAlign w:val="center"/>
            <w:hideMark/>
          </w:tcPr>
          <w:p w14:paraId="41542D64" w14:textId="77777777" w:rsidR="00AD3182" w:rsidRPr="00EF0689" w:rsidRDefault="00AD3182" w:rsidP="00EF0689">
            <w:pPr>
              <w:pStyle w:val="Tabletext"/>
              <w:rPr>
                <w:lang w:val="es-ES_tradnl"/>
              </w:rPr>
            </w:pPr>
            <w:bookmarkStart w:id="67" w:name="lt_pId134"/>
            <w:r w:rsidRPr="00EF0689">
              <w:rPr>
                <w:lang w:val="es-ES_tradnl"/>
              </w:rPr>
              <w:t>MIC Japón</w:t>
            </w:r>
            <w:bookmarkEnd w:id="67"/>
          </w:p>
        </w:tc>
      </w:tr>
      <w:tr w:rsidR="00AD3182" w:rsidRPr="00EF0689" w14:paraId="1C9048E3" w14:textId="77777777" w:rsidTr="00D26DC0">
        <w:trPr>
          <w:jc w:val="center"/>
        </w:trPr>
        <w:tc>
          <w:tcPr>
            <w:tcW w:w="1185" w:type="dxa"/>
            <w:noWrap/>
            <w:vAlign w:val="center"/>
            <w:hideMark/>
          </w:tcPr>
          <w:p w14:paraId="179249D3" w14:textId="77777777" w:rsidR="00AD3182" w:rsidRPr="00EF0689" w:rsidRDefault="00AD3182" w:rsidP="00EF0689">
            <w:pPr>
              <w:pStyle w:val="Tabletext"/>
              <w:rPr>
                <w:lang w:val="es-ES_tradnl"/>
              </w:rPr>
            </w:pPr>
            <w:bookmarkStart w:id="68" w:name="lt_pId135"/>
            <w:r w:rsidRPr="00EF0689">
              <w:rPr>
                <w:lang w:val="es-ES_tradnl"/>
              </w:rPr>
              <w:t>7RAS24076</w:t>
            </w:r>
            <w:bookmarkEnd w:id="68"/>
          </w:p>
        </w:tc>
        <w:tc>
          <w:tcPr>
            <w:tcW w:w="2296" w:type="dxa"/>
            <w:noWrap/>
            <w:vAlign w:val="center"/>
            <w:hideMark/>
          </w:tcPr>
          <w:p w14:paraId="6226DF25" w14:textId="77777777" w:rsidR="00AD3182" w:rsidRPr="00EF0689" w:rsidRDefault="00AD3182" w:rsidP="00EF0689">
            <w:pPr>
              <w:pStyle w:val="Tabletext"/>
              <w:rPr>
                <w:lang w:val="es-ES_tradnl"/>
              </w:rPr>
            </w:pPr>
            <w:bookmarkStart w:id="69" w:name="lt_pId136"/>
            <w:r w:rsidRPr="00EF0689">
              <w:rPr>
                <w:lang w:val="es-ES_tradnl"/>
              </w:rPr>
              <w:t>Estudio de viabilidad: atender las necesidades especiales en materia de telecomunicaciones/TIC de los pequeños Estados insulares en desarrollo (PEID) del Pacífico</w:t>
            </w:r>
            <w:bookmarkEnd w:id="69"/>
          </w:p>
        </w:tc>
        <w:tc>
          <w:tcPr>
            <w:tcW w:w="742" w:type="dxa"/>
            <w:noWrap/>
            <w:vAlign w:val="center"/>
            <w:hideMark/>
          </w:tcPr>
          <w:p w14:paraId="084B70D3" w14:textId="77777777" w:rsidR="00AD3182" w:rsidRPr="00EF0689" w:rsidRDefault="00AD3182" w:rsidP="00EF0689">
            <w:pPr>
              <w:pStyle w:val="Tabletext"/>
              <w:rPr>
                <w:lang w:val="es-ES_tradnl"/>
              </w:rPr>
            </w:pPr>
            <w:bookmarkStart w:id="70" w:name="lt_pId137"/>
            <w:r w:rsidRPr="00EF0689">
              <w:rPr>
                <w:lang w:val="es-ES_tradnl"/>
              </w:rPr>
              <w:t>ASP</w:t>
            </w:r>
            <w:bookmarkEnd w:id="70"/>
          </w:p>
        </w:tc>
        <w:tc>
          <w:tcPr>
            <w:tcW w:w="1656" w:type="dxa"/>
            <w:noWrap/>
            <w:vAlign w:val="center"/>
            <w:hideMark/>
          </w:tcPr>
          <w:p w14:paraId="51341516" w14:textId="77777777" w:rsidR="00AD3182" w:rsidRPr="00EF0689" w:rsidRDefault="00AD3182" w:rsidP="00EF0689">
            <w:pPr>
              <w:pStyle w:val="Tabletext"/>
              <w:rPr>
                <w:lang w:val="es-ES_tradnl"/>
              </w:rPr>
            </w:pPr>
            <w:bookmarkStart w:id="71" w:name="lt_pId138"/>
            <w:r w:rsidRPr="00EF0689">
              <w:rPr>
                <w:lang w:val="es-ES_tradnl"/>
              </w:rPr>
              <w:t>ASP1 – Necesidades especiales PMA, PEID, PDSL</w:t>
            </w:r>
            <w:bookmarkEnd w:id="71"/>
          </w:p>
        </w:tc>
        <w:tc>
          <w:tcPr>
            <w:tcW w:w="947" w:type="dxa"/>
            <w:noWrap/>
            <w:vAlign w:val="center"/>
            <w:hideMark/>
          </w:tcPr>
          <w:p w14:paraId="5619BCF1" w14:textId="77777777" w:rsidR="00AD3182" w:rsidRPr="00EF0689" w:rsidRDefault="00AD3182" w:rsidP="00EF0689">
            <w:pPr>
              <w:pStyle w:val="Tabletext"/>
              <w:rPr>
                <w:lang w:val="es-ES_tradnl"/>
              </w:rPr>
            </w:pPr>
            <w:r w:rsidRPr="00EF0689">
              <w:rPr>
                <w:lang w:val="es-ES_tradnl"/>
              </w:rPr>
              <w:t>501 526</w:t>
            </w:r>
          </w:p>
        </w:tc>
        <w:tc>
          <w:tcPr>
            <w:tcW w:w="938" w:type="dxa"/>
            <w:noWrap/>
            <w:vAlign w:val="center"/>
            <w:hideMark/>
          </w:tcPr>
          <w:p w14:paraId="34723C1F" w14:textId="77777777" w:rsidR="00AD3182" w:rsidRPr="00EF0689" w:rsidRDefault="00AD3182" w:rsidP="00EF0689">
            <w:pPr>
              <w:pStyle w:val="Tabletext"/>
              <w:rPr>
                <w:lang w:val="es-ES_tradnl"/>
              </w:rPr>
            </w:pPr>
            <w:r w:rsidRPr="00EF0689">
              <w:rPr>
                <w:lang w:val="es-ES_tradnl"/>
              </w:rPr>
              <w:t>166 320</w:t>
            </w:r>
          </w:p>
        </w:tc>
        <w:tc>
          <w:tcPr>
            <w:tcW w:w="938" w:type="dxa"/>
            <w:noWrap/>
            <w:vAlign w:val="center"/>
            <w:hideMark/>
          </w:tcPr>
          <w:p w14:paraId="1D79518C" w14:textId="77777777" w:rsidR="00AD3182" w:rsidRPr="00EF0689" w:rsidRDefault="00AD3182" w:rsidP="00EF0689">
            <w:pPr>
              <w:pStyle w:val="Tabletext"/>
              <w:rPr>
                <w:lang w:val="es-ES_tradnl"/>
              </w:rPr>
            </w:pPr>
            <w:r w:rsidRPr="00EF0689">
              <w:rPr>
                <w:lang w:val="es-ES_tradnl"/>
              </w:rPr>
              <w:t>667 846</w:t>
            </w:r>
          </w:p>
        </w:tc>
        <w:tc>
          <w:tcPr>
            <w:tcW w:w="927" w:type="dxa"/>
            <w:noWrap/>
            <w:vAlign w:val="center"/>
            <w:hideMark/>
          </w:tcPr>
          <w:p w14:paraId="523A2AFF" w14:textId="77777777" w:rsidR="00AD3182" w:rsidRPr="00EF0689" w:rsidRDefault="00AD3182" w:rsidP="00EF0689">
            <w:pPr>
              <w:pStyle w:val="Tabletext"/>
              <w:rPr>
                <w:lang w:val="es-ES_tradnl"/>
              </w:rPr>
            </w:pPr>
            <w:bookmarkStart w:id="72" w:name="lt_pId142"/>
            <w:r w:rsidRPr="00EF0689">
              <w:rPr>
                <w:lang w:val="es-ES_tradnl"/>
              </w:rPr>
              <w:t>DITRDCA Australia</w:t>
            </w:r>
            <w:bookmarkEnd w:id="72"/>
          </w:p>
        </w:tc>
      </w:tr>
      <w:tr w:rsidR="00AD3182" w:rsidRPr="00EF0689" w14:paraId="7466CD77" w14:textId="77777777" w:rsidTr="00D26DC0">
        <w:trPr>
          <w:jc w:val="center"/>
        </w:trPr>
        <w:tc>
          <w:tcPr>
            <w:tcW w:w="1185" w:type="dxa"/>
            <w:noWrap/>
            <w:vAlign w:val="center"/>
            <w:hideMark/>
          </w:tcPr>
          <w:p w14:paraId="6648F48B" w14:textId="77777777" w:rsidR="00AD3182" w:rsidRPr="00EF0689" w:rsidRDefault="00AD3182" w:rsidP="00EF0689">
            <w:pPr>
              <w:pStyle w:val="Tabletext"/>
              <w:rPr>
                <w:lang w:val="es-ES_tradnl"/>
              </w:rPr>
            </w:pPr>
            <w:bookmarkStart w:id="73" w:name="lt_pId143"/>
            <w:r w:rsidRPr="00EF0689">
              <w:rPr>
                <w:lang w:val="es-ES_tradnl"/>
              </w:rPr>
              <w:t>7RAS23072</w:t>
            </w:r>
            <w:bookmarkEnd w:id="73"/>
          </w:p>
        </w:tc>
        <w:tc>
          <w:tcPr>
            <w:tcW w:w="2296" w:type="dxa"/>
            <w:noWrap/>
            <w:vAlign w:val="center"/>
            <w:hideMark/>
          </w:tcPr>
          <w:p w14:paraId="17DA6EA9" w14:textId="77777777" w:rsidR="00AD3182" w:rsidRPr="00EF0689" w:rsidRDefault="00AD3182" w:rsidP="00EF0689">
            <w:pPr>
              <w:pStyle w:val="Tabletext"/>
              <w:rPr>
                <w:lang w:val="es-ES_tradnl"/>
              </w:rPr>
            </w:pPr>
            <w:bookmarkStart w:id="74" w:name="lt_pId144"/>
            <w:r w:rsidRPr="00EF0689">
              <w:rPr>
                <w:lang w:val="es-ES_tradnl"/>
              </w:rPr>
              <w:t>Acelerar la transformación digital en Asia-Pacífico</w:t>
            </w:r>
            <w:bookmarkEnd w:id="74"/>
          </w:p>
        </w:tc>
        <w:tc>
          <w:tcPr>
            <w:tcW w:w="742" w:type="dxa"/>
            <w:noWrap/>
            <w:vAlign w:val="center"/>
            <w:hideMark/>
          </w:tcPr>
          <w:p w14:paraId="31D40E08" w14:textId="77777777" w:rsidR="00AD3182" w:rsidRPr="00EF0689" w:rsidRDefault="00AD3182" w:rsidP="00EF0689">
            <w:pPr>
              <w:pStyle w:val="Tabletext"/>
              <w:rPr>
                <w:lang w:val="es-ES_tradnl"/>
              </w:rPr>
            </w:pPr>
            <w:bookmarkStart w:id="75" w:name="lt_pId145"/>
            <w:r w:rsidRPr="00EF0689">
              <w:rPr>
                <w:lang w:val="es-ES_tradnl"/>
              </w:rPr>
              <w:t>ASP</w:t>
            </w:r>
            <w:bookmarkEnd w:id="75"/>
          </w:p>
        </w:tc>
        <w:tc>
          <w:tcPr>
            <w:tcW w:w="1656" w:type="dxa"/>
            <w:noWrap/>
            <w:vAlign w:val="center"/>
            <w:hideMark/>
          </w:tcPr>
          <w:p w14:paraId="2F2B0B12" w14:textId="77777777" w:rsidR="00AD3182" w:rsidRPr="00EF0689" w:rsidRDefault="00AD3182" w:rsidP="00EF0689">
            <w:pPr>
              <w:pStyle w:val="Tabletext"/>
              <w:rPr>
                <w:lang w:val="es-ES_tradnl"/>
              </w:rPr>
            </w:pPr>
            <w:bookmarkStart w:id="76" w:name="lt_pId146"/>
            <w:r w:rsidRPr="00EF0689">
              <w:rPr>
                <w:lang w:val="es-ES_tradnl"/>
              </w:rPr>
              <w:t>ASP2 – Economía digital y sociedades digitales inclusivas</w:t>
            </w:r>
            <w:bookmarkEnd w:id="76"/>
          </w:p>
        </w:tc>
        <w:tc>
          <w:tcPr>
            <w:tcW w:w="947" w:type="dxa"/>
            <w:noWrap/>
            <w:vAlign w:val="center"/>
            <w:hideMark/>
          </w:tcPr>
          <w:p w14:paraId="215473ED" w14:textId="77777777" w:rsidR="00AD3182" w:rsidRPr="00EF0689" w:rsidRDefault="00AD3182" w:rsidP="00EF0689">
            <w:pPr>
              <w:pStyle w:val="Tabletext"/>
              <w:rPr>
                <w:lang w:val="es-ES_tradnl"/>
              </w:rPr>
            </w:pPr>
            <w:r w:rsidRPr="00EF0689">
              <w:rPr>
                <w:lang w:val="es-ES_tradnl"/>
              </w:rPr>
              <w:t>337 500</w:t>
            </w:r>
          </w:p>
        </w:tc>
        <w:tc>
          <w:tcPr>
            <w:tcW w:w="938" w:type="dxa"/>
            <w:noWrap/>
            <w:vAlign w:val="center"/>
            <w:hideMark/>
          </w:tcPr>
          <w:p w14:paraId="3FF02264" w14:textId="77777777" w:rsidR="00AD3182" w:rsidRPr="00EF0689" w:rsidRDefault="00AD3182" w:rsidP="00EF0689">
            <w:pPr>
              <w:pStyle w:val="Tabletext"/>
              <w:rPr>
                <w:lang w:val="es-ES_tradnl"/>
              </w:rPr>
            </w:pPr>
            <w:r w:rsidRPr="00EF0689">
              <w:rPr>
                <w:lang w:val="es-ES_tradnl"/>
              </w:rPr>
              <w:t>67 500</w:t>
            </w:r>
          </w:p>
        </w:tc>
        <w:tc>
          <w:tcPr>
            <w:tcW w:w="938" w:type="dxa"/>
            <w:noWrap/>
            <w:vAlign w:val="center"/>
            <w:hideMark/>
          </w:tcPr>
          <w:p w14:paraId="7A642141" w14:textId="77777777" w:rsidR="00AD3182" w:rsidRPr="00EF0689" w:rsidRDefault="00AD3182" w:rsidP="00EF0689">
            <w:pPr>
              <w:pStyle w:val="Tabletext"/>
              <w:rPr>
                <w:lang w:val="es-ES_tradnl"/>
              </w:rPr>
            </w:pPr>
            <w:r w:rsidRPr="00EF0689">
              <w:rPr>
                <w:lang w:val="es-ES_tradnl"/>
              </w:rPr>
              <w:t>405 000</w:t>
            </w:r>
          </w:p>
        </w:tc>
        <w:tc>
          <w:tcPr>
            <w:tcW w:w="927" w:type="dxa"/>
            <w:noWrap/>
            <w:vAlign w:val="center"/>
            <w:hideMark/>
          </w:tcPr>
          <w:p w14:paraId="6E5CAD07" w14:textId="77777777" w:rsidR="00AD3182" w:rsidRPr="00EF0689" w:rsidRDefault="00AD3182" w:rsidP="00EF0689">
            <w:pPr>
              <w:pStyle w:val="Tabletext"/>
              <w:rPr>
                <w:lang w:val="es-ES_tradnl"/>
              </w:rPr>
            </w:pPr>
            <w:bookmarkStart w:id="77" w:name="lt_pId150"/>
            <w:r w:rsidRPr="00EF0689">
              <w:rPr>
                <w:lang w:val="es-ES_tradnl"/>
              </w:rPr>
              <w:t>DITRDCA Australia</w:t>
            </w:r>
            <w:bookmarkEnd w:id="77"/>
          </w:p>
        </w:tc>
      </w:tr>
      <w:tr w:rsidR="00AD3182" w:rsidRPr="00EF0689" w14:paraId="5378B3A0" w14:textId="77777777" w:rsidTr="00D26DC0">
        <w:trPr>
          <w:jc w:val="center"/>
        </w:trPr>
        <w:tc>
          <w:tcPr>
            <w:tcW w:w="1185" w:type="dxa"/>
            <w:noWrap/>
            <w:vAlign w:val="center"/>
          </w:tcPr>
          <w:p w14:paraId="26E54C09" w14:textId="77777777" w:rsidR="00AD3182" w:rsidRPr="00EF0689" w:rsidRDefault="00AD3182" w:rsidP="00EF0689">
            <w:pPr>
              <w:pStyle w:val="Tabletext"/>
              <w:rPr>
                <w:lang w:val="es-ES_tradnl"/>
              </w:rPr>
            </w:pPr>
            <w:bookmarkStart w:id="78" w:name="lt_pId151"/>
            <w:r w:rsidRPr="00EF0689">
              <w:rPr>
                <w:lang w:val="es-ES_tradnl"/>
              </w:rPr>
              <w:t>7GLO23132</w:t>
            </w:r>
            <w:bookmarkEnd w:id="78"/>
          </w:p>
        </w:tc>
        <w:tc>
          <w:tcPr>
            <w:tcW w:w="2296" w:type="dxa"/>
            <w:noWrap/>
            <w:vAlign w:val="center"/>
          </w:tcPr>
          <w:p w14:paraId="45A2CE36" w14:textId="77777777" w:rsidR="00AD3182" w:rsidRPr="00EF0689" w:rsidRDefault="00AD3182" w:rsidP="00EF0689">
            <w:pPr>
              <w:pStyle w:val="Tabletext"/>
              <w:rPr>
                <w:lang w:val="es-ES_tradnl"/>
              </w:rPr>
            </w:pPr>
            <w:bookmarkStart w:id="79" w:name="lt_pId152"/>
            <w:r w:rsidRPr="00EF0689">
              <w:rPr>
                <w:lang w:val="es-ES_tradnl"/>
              </w:rPr>
              <w:t>Programa de jóvenes líderes de la iniciativa Generation Connect</w:t>
            </w:r>
            <w:bookmarkEnd w:id="79"/>
          </w:p>
        </w:tc>
        <w:tc>
          <w:tcPr>
            <w:tcW w:w="742" w:type="dxa"/>
            <w:noWrap/>
            <w:vAlign w:val="center"/>
          </w:tcPr>
          <w:p w14:paraId="11CDB866" w14:textId="77777777" w:rsidR="00AD3182" w:rsidRPr="00EF0689" w:rsidRDefault="00AD3182" w:rsidP="00EF0689">
            <w:pPr>
              <w:pStyle w:val="Tabletext"/>
              <w:rPr>
                <w:lang w:val="es-ES_tradnl"/>
              </w:rPr>
            </w:pPr>
            <w:bookmarkStart w:id="80" w:name="lt_pId153"/>
            <w:r w:rsidRPr="00EF0689">
              <w:rPr>
                <w:lang w:val="es-ES_tradnl"/>
              </w:rPr>
              <w:t>MULTI</w:t>
            </w:r>
            <w:bookmarkEnd w:id="80"/>
          </w:p>
        </w:tc>
        <w:tc>
          <w:tcPr>
            <w:tcW w:w="1656" w:type="dxa"/>
            <w:noWrap/>
            <w:vAlign w:val="center"/>
          </w:tcPr>
          <w:p w14:paraId="1C27DF2C" w14:textId="77777777" w:rsidR="00AD3182" w:rsidRPr="00EF0689" w:rsidRDefault="00AD3182" w:rsidP="00EF0689">
            <w:pPr>
              <w:pStyle w:val="Tabletext"/>
              <w:rPr>
                <w:lang w:val="es-ES_tradnl"/>
              </w:rPr>
            </w:pPr>
            <w:bookmarkStart w:id="81" w:name="lt_pId154"/>
            <w:r w:rsidRPr="00EF0689">
              <w:rPr>
                <w:lang w:val="es-ES_tradnl"/>
              </w:rPr>
              <w:t>MULTI</w:t>
            </w:r>
            <w:bookmarkEnd w:id="81"/>
          </w:p>
        </w:tc>
        <w:tc>
          <w:tcPr>
            <w:tcW w:w="947" w:type="dxa"/>
            <w:noWrap/>
            <w:vAlign w:val="center"/>
          </w:tcPr>
          <w:p w14:paraId="40A964B7" w14:textId="77777777" w:rsidR="00AD3182" w:rsidRPr="00EF0689" w:rsidRDefault="00AD3182" w:rsidP="00EF0689">
            <w:pPr>
              <w:pStyle w:val="Tabletext"/>
              <w:rPr>
                <w:lang w:val="es-ES_tradnl"/>
              </w:rPr>
            </w:pPr>
            <w:r w:rsidRPr="00EF0689">
              <w:rPr>
                <w:lang w:val="es-ES_tradnl"/>
              </w:rPr>
              <w:t>1 104 976</w:t>
            </w:r>
          </w:p>
        </w:tc>
        <w:tc>
          <w:tcPr>
            <w:tcW w:w="938" w:type="dxa"/>
            <w:noWrap/>
            <w:vAlign w:val="center"/>
          </w:tcPr>
          <w:p w14:paraId="3D899021" w14:textId="77777777" w:rsidR="00AD3182" w:rsidRPr="00EF0689" w:rsidRDefault="00AD3182" w:rsidP="00EF0689">
            <w:pPr>
              <w:pStyle w:val="Tabletext"/>
              <w:rPr>
                <w:lang w:val="es-ES_tradnl"/>
              </w:rPr>
            </w:pPr>
            <w:r w:rsidRPr="00EF0689">
              <w:rPr>
                <w:lang w:val="es-ES_tradnl"/>
              </w:rPr>
              <w:t>440 000</w:t>
            </w:r>
          </w:p>
        </w:tc>
        <w:tc>
          <w:tcPr>
            <w:tcW w:w="938" w:type="dxa"/>
            <w:noWrap/>
            <w:vAlign w:val="center"/>
          </w:tcPr>
          <w:p w14:paraId="616B1F0C" w14:textId="77777777" w:rsidR="00AD3182" w:rsidRPr="00EF0689" w:rsidRDefault="00AD3182" w:rsidP="00EF0689">
            <w:pPr>
              <w:pStyle w:val="Tabletext"/>
              <w:rPr>
                <w:lang w:val="es-ES_tradnl"/>
              </w:rPr>
            </w:pPr>
            <w:r w:rsidRPr="00EF0689">
              <w:rPr>
                <w:lang w:val="es-ES_tradnl"/>
              </w:rPr>
              <w:t>1 544 976</w:t>
            </w:r>
          </w:p>
        </w:tc>
        <w:tc>
          <w:tcPr>
            <w:tcW w:w="927" w:type="dxa"/>
            <w:noWrap/>
            <w:vAlign w:val="center"/>
          </w:tcPr>
          <w:p w14:paraId="65930020" w14:textId="77777777" w:rsidR="00AD3182" w:rsidRPr="00EF0689" w:rsidRDefault="00AD3182" w:rsidP="00EF0689">
            <w:pPr>
              <w:pStyle w:val="Tabletext"/>
              <w:rPr>
                <w:lang w:val="es-ES_tradnl"/>
              </w:rPr>
            </w:pPr>
            <w:bookmarkStart w:id="82" w:name="lt_pId158"/>
            <w:r w:rsidRPr="00EF0689">
              <w:rPr>
                <w:lang w:val="es-ES_tradnl"/>
              </w:rPr>
              <w:t>Huawei</w:t>
            </w:r>
            <w:bookmarkEnd w:id="82"/>
          </w:p>
        </w:tc>
      </w:tr>
      <w:tr w:rsidR="00AD3182" w:rsidRPr="00EF0689" w14:paraId="3FE8D4A3" w14:textId="77777777" w:rsidTr="00D26DC0">
        <w:trPr>
          <w:jc w:val="center"/>
        </w:trPr>
        <w:tc>
          <w:tcPr>
            <w:tcW w:w="1185" w:type="dxa"/>
            <w:noWrap/>
            <w:vAlign w:val="center"/>
          </w:tcPr>
          <w:p w14:paraId="588FDF75" w14:textId="77777777" w:rsidR="00AD3182" w:rsidRPr="00EF0689" w:rsidRDefault="00AD3182" w:rsidP="00EF0689">
            <w:pPr>
              <w:pStyle w:val="Tabletext"/>
              <w:rPr>
                <w:lang w:val="es-ES_tradnl"/>
              </w:rPr>
            </w:pPr>
            <w:bookmarkStart w:id="83" w:name="lt_pId159"/>
            <w:r w:rsidRPr="00EF0689">
              <w:rPr>
                <w:lang w:val="es-ES_tradnl"/>
              </w:rPr>
              <w:t>7GLO23133</w:t>
            </w:r>
            <w:bookmarkEnd w:id="83"/>
          </w:p>
        </w:tc>
        <w:tc>
          <w:tcPr>
            <w:tcW w:w="2296" w:type="dxa"/>
            <w:noWrap/>
            <w:vAlign w:val="center"/>
          </w:tcPr>
          <w:p w14:paraId="227C7FA5" w14:textId="77777777" w:rsidR="00AD3182" w:rsidRPr="00EF0689" w:rsidRDefault="00AD3182" w:rsidP="00EF0689">
            <w:pPr>
              <w:pStyle w:val="Tabletext"/>
              <w:rPr>
                <w:lang w:val="es-ES_tradnl"/>
              </w:rPr>
            </w:pPr>
            <w:bookmarkStart w:id="84" w:name="lt_pId160"/>
            <w:r w:rsidRPr="00EF0689">
              <w:rPr>
                <w:lang w:val="es-ES_tradnl"/>
              </w:rPr>
              <w:t>Fomento de las competencias digitales a través de los Centros de Transformación Digital (CTD) – Segunda fase</w:t>
            </w:r>
            <w:bookmarkEnd w:id="84"/>
          </w:p>
        </w:tc>
        <w:tc>
          <w:tcPr>
            <w:tcW w:w="742" w:type="dxa"/>
            <w:noWrap/>
            <w:vAlign w:val="center"/>
          </w:tcPr>
          <w:p w14:paraId="1D39A540" w14:textId="77777777" w:rsidR="00AD3182" w:rsidRPr="00EF0689" w:rsidRDefault="00AD3182" w:rsidP="00EF0689">
            <w:pPr>
              <w:pStyle w:val="Tabletext"/>
              <w:rPr>
                <w:lang w:val="es-ES_tradnl"/>
              </w:rPr>
            </w:pPr>
            <w:bookmarkStart w:id="85" w:name="lt_pId161"/>
            <w:r w:rsidRPr="00EF0689">
              <w:rPr>
                <w:lang w:val="es-ES_tradnl"/>
              </w:rPr>
              <w:t>MULTI</w:t>
            </w:r>
            <w:bookmarkEnd w:id="85"/>
          </w:p>
        </w:tc>
        <w:tc>
          <w:tcPr>
            <w:tcW w:w="1656" w:type="dxa"/>
            <w:noWrap/>
            <w:vAlign w:val="center"/>
          </w:tcPr>
          <w:p w14:paraId="47854697" w14:textId="77777777" w:rsidR="00AD3182" w:rsidRPr="00EF0689" w:rsidRDefault="00AD3182" w:rsidP="00EF0689">
            <w:pPr>
              <w:pStyle w:val="Tabletext"/>
              <w:rPr>
                <w:lang w:val="es-ES_tradnl"/>
              </w:rPr>
            </w:pPr>
            <w:bookmarkStart w:id="86" w:name="lt_pId162"/>
            <w:r w:rsidRPr="00EF0689">
              <w:rPr>
                <w:lang w:val="es-ES_tradnl"/>
              </w:rPr>
              <w:t>MULTI</w:t>
            </w:r>
            <w:bookmarkEnd w:id="86"/>
          </w:p>
        </w:tc>
        <w:tc>
          <w:tcPr>
            <w:tcW w:w="947" w:type="dxa"/>
            <w:noWrap/>
            <w:vAlign w:val="center"/>
          </w:tcPr>
          <w:p w14:paraId="5EF1ED7D" w14:textId="77777777" w:rsidR="00AD3182" w:rsidRPr="00EF0689" w:rsidRDefault="00AD3182" w:rsidP="00EF0689">
            <w:pPr>
              <w:pStyle w:val="Tabletext"/>
              <w:rPr>
                <w:lang w:val="es-ES_tradnl"/>
              </w:rPr>
            </w:pPr>
            <w:r w:rsidRPr="00EF0689">
              <w:rPr>
                <w:lang w:val="es-ES_tradnl"/>
              </w:rPr>
              <w:t>832 000</w:t>
            </w:r>
          </w:p>
        </w:tc>
        <w:tc>
          <w:tcPr>
            <w:tcW w:w="938" w:type="dxa"/>
            <w:noWrap/>
            <w:vAlign w:val="center"/>
          </w:tcPr>
          <w:p w14:paraId="0230BE10" w14:textId="77777777" w:rsidR="00AD3182" w:rsidRPr="00EF0689" w:rsidRDefault="00AD3182" w:rsidP="00EF0689">
            <w:pPr>
              <w:pStyle w:val="Tabletext"/>
              <w:rPr>
                <w:lang w:val="es-ES_tradnl"/>
              </w:rPr>
            </w:pPr>
            <w:r w:rsidRPr="00EF0689">
              <w:rPr>
                <w:lang w:val="es-ES_tradnl"/>
              </w:rPr>
              <w:t>268 000</w:t>
            </w:r>
          </w:p>
        </w:tc>
        <w:tc>
          <w:tcPr>
            <w:tcW w:w="938" w:type="dxa"/>
            <w:noWrap/>
            <w:vAlign w:val="center"/>
          </w:tcPr>
          <w:p w14:paraId="22F823A3" w14:textId="77777777" w:rsidR="00AD3182" w:rsidRPr="00EF0689" w:rsidRDefault="00AD3182" w:rsidP="00EF0689">
            <w:pPr>
              <w:pStyle w:val="Tabletext"/>
              <w:rPr>
                <w:lang w:val="es-ES_tradnl"/>
              </w:rPr>
            </w:pPr>
            <w:r w:rsidRPr="00EF0689">
              <w:rPr>
                <w:lang w:val="es-ES_tradnl"/>
              </w:rPr>
              <w:t>1 100 000</w:t>
            </w:r>
          </w:p>
        </w:tc>
        <w:tc>
          <w:tcPr>
            <w:tcW w:w="927" w:type="dxa"/>
            <w:noWrap/>
            <w:vAlign w:val="center"/>
          </w:tcPr>
          <w:p w14:paraId="247BE40F" w14:textId="77777777" w:rsidR="00AD3182" w:rsidRPr="00EF0689" w:rsidRDefault="00AD3182" w:rsidP="00EF0689">
            <w:pPr>
              <w:pStyle w:val="Tabletext"/>
              <w:rPr>
                <w:lang w:val="es-ES_tradnl"/>
              </w:rPr>
            </w:pPr>
            <w:bookmarkStart w:id="87" w:name="lt_pId166"/>
            <w:r w:rsidRPr="00EF0689">
              <w:rPr>
                <w:lang w:val="es-ES_tradnl"/>
              </w:rPr>
              <w:t>NORAD Noruega</w:t>
            </w:r>
            <w:bookmarkEnd w:id="87"/>
          </w:p>
        </w:tc>
      </w:tr>
      <w:tr w:rsidR="00AD3182" w:rsidRPr="00EF0689" w14:paraId="3DF25966" w14:textId="77777777" w:rsidTr="00D26DC0">
        <w:trPr>
          <w:jc w:val="center"/>
        </w:trPr>
        <w:tc>
          <w:tcPr>
            <w:tcW w:w="1185" w:type="dxa"/>
            <w:shd w:val="clear" w:color="auto" w:fill="D9D9D9" w:themeFill="background1" w:themeFillShade="D9"/>
            <w:noWrap/>
            <w:vAlign w:val="center"/>
          </w:tcPr>
          <w:p w14:paraId="62324C1A" w14:textId="77777777" w:rsidR="00AD3182" w:rsidRPr="00EF0689" w:rsidRDefault="00AD3182" w:rsidP="00D26DC0">
            <w:pPr>
              <w:pStyle w:val="Tabletext"/>
              <w:rPr>
                <w:b/>
                <w:bCs/>
                <w:sz w:val="18"/>
                <w:szCs w:val="18"/>
                <w:lang w:val="es-ES_tradnl"/>
              </w:rPr>
            </w:pPr>
          </w:p>
        </w:tc>
        <w:tc>
          <w:tcPr>
            <w:tcW w:w="2296" w:type="dxa"/>
            <w:shd w:val="clear" w:color="auto" w:fill="D9D9D9" w:themeFill="background1" w:themeFillShade="D9"/>
            <w:noWrap/>
            <w:vAlign w:val="center"/>
          </w:tcPr>
          <w:p w14:paraId="3E9E67F3" w14:textId="77777777" w:rsidR="00AD3182" w:rsidRPr="00EF0689" w:rsidRDefault="00AD3182" w:rsidP="00EF0689">
            <w:pPr>
              <w:pStyle w:val="Tabletext"/>
              <w:rPr>
                <w:b/>
                <w:bCs/>
                <w:lang w:val="es-ES_tradnl"/>
              </w:rPr>
            </w:pPr>
            <w:bookmarkStart w:id="88" w:name="lt_pId167"/>
            <w:r w:rsidRPr="00EF0689">
              <w:rPr>
                <w:b/>
                <w:bCs/>
                <w:lang w:val="es-ES_tradnl"/>
              </w:rPr>
              <w:t>Total</w:t>
            </w:r>
            <w:bookmarkEnd w:id="88"/>
          </w:p>
        </w:tc>
        <w:tc>
          <w:tcPr>
            <w:tcW w:w="742" w:type="dxa"/>
            <w:shd w:val="clear" w:color="auto" w:fill="D9D9D9" w:themeFill="background1" w:themeFillShade="D9"/>
            <w:noWrap/>
            <w:vAlign w:val="center"/>
          </w:tcPr>
          <w:p w14:paraId="5E069B55" w14:textId="77777777" w:rsidR="00AD3182" w:rsidRPr="00EF0689" w:rsidRDefault="00AD3182" w:rsidP="00EF0689">
            <w:pPr>
              <w:pStyle w:val="Tabletext"/>
              <w:rPr>
                <w:b/>
                <w:bCs/>
                <w:lang w:val="es-ES_tradnl"/>
              </w:rPr>
            </w:pPr>
          </w:p>
        </w:tc>
        <w:tc>
          <w:tcPr>
            <w:tcW w:w="1656" w:type="dxa"/>
            <w:shd w:val="clear" w:color="auto" w:fill="D9D9D9" w:themeFill="background1" w:themeFillShade="D9"/>
            <w:noWrap/>
            <w:vAlign w:val="center"/>
          </w:tcPr>
          <w:p w14:paraId="3E8205B6" w14:textId="77777777" w:rsidR="00AD3182" w:rsidRPr="00EF0689" w:rsidRDefault="00AD3182" w:rsidP="00EF0689">
            <w:pPr>
              <w:pStyle w:val="Tabletext"/>
              <w:rPr>
                <w:b/>
                <w:bCs/>
                <w:lang w:val="es-ES_tradnl"/>
              </w:rPr>
            </w:pPr>
          </w:p>
        </w:tc>
        <w:tc>
          <w:tcPr>
            <w:tcW w:w="947" w:type="dxa"/>
            <w:shd w:val="clear" w:color="auto" w:fill="D9D9D9" w:themeFill="background1" w:themeFillShade="D9"/>
            <w:noWrap/>
            <w:vAlign w:val="center"/>
          </w:tcPr>
          <w:p w14:paraId="1D21FE4C" w14:textId="77777777" w:rsidR="00AD3182" w:rsidRPr="00EF0689" w:rsidRDefault="00AD3182" w:rsidP="00EF0689">
            <w:pPr>
              <w:pStyle w:val="Tabletext"/>
              <w:rPr>
                <w:b/>
                <w:bCs/>
                <w:lang w:val="es-ES_tradnl"/>
              </w:rPr>
            </w:pPr>
            <w:r w:rsidRPr="00EF0689">
              <w:rPr>
                <w:b/>
                <w:bCs/>
                <w:lang w:val="es-ES_tradnl"/>
              </w:rPr>
              <w:t>3 265 282</w:t>
            </w:r>
          </w:p>
        </w:tc>
        <w:tc>
          <w:tcPr>
            <w:tcW w:w="938" w:type="dxa"/>
            <w:shd w:val="clear" w:color="auto" w:fill="D9D9D9" w:themeFill="background1" w:themeFillShade="D9"/>
            <w:noWrap/>
            <w:vAlign w:val="center"/>
          </w:tcPr>
          <w:p w14:paraId="3C2561A8" w14:textId="77777777" w:rsidR="00AD3182" w:rsidRPr="00EF0689" w:rsidRDefault="00AD3182" w:rsidP="00EF0689">
            <w:pPr>
              <w:pStyle w:val="Tabletext"/>
              <w:rPr>
                <w:b/>
                <w:bCs/>
                <w:lang w:val="es-ES_tradnl"/>
              </w:rPr>
            </w:pPr>
            <w:r w:rsidRPr="00EF0689">
              <w:rPr>
                <w:b/>
                <w:bCs/>
                <w:lang w:val="es-ES_tradnl"/>
              </w:rPr>
              <w:t>1 060 620</w:t>
            </w:r>
          </w:p>
        </w:tc>
        <w:tc>
          <w:tcPr>
            <w:tcW w:w="938" w:type="dxa"/>
            <w:shd w:val="clear" w:color="auto" w:fill="D9D9D9" w:themeFill="background1" w:themeFillShade="D9"/>
            <w:noWrap/>
            <w:vAlign w:val="center"/>
          </w:tcPr>
          <w:p w14:paraId="01203EC8" w14:textId="77777777" w:rsidR="00AD3182" w:rsidRPr="00EF0689" w:rsidRDefault="00AD3182" w:rsidP="00EF0689">
            <w:pPr>
              <w:pStyle w:val="Tabletext"/>
              <w:rPr>
                <w:b/>
                <w:bCs/>
                <w:lang w:val="es-ES_tradnl"/>
              </w:rPr>
            </w:pPr>
            <w:r w:rsidRPr="00EF0689">
              <w:rPr>
                <w:b/>
                <w:bCs/>
                <w:lang w:val="es-ES_tradnl"/>
              </w:rPr>
              <w:t>4 325 902</w:t>
            </w:r>
          </w:p>
        </w:tc>
        <w:tc>
          <w:tcPr>
            <w:tcW w:w="927" w:type="dxa"/>
            <w:shd w:val="clear" w:color="auto" w:fill="D9D9D9" w:themeFill="background1" w:themeFillShade="D9"/>
            <w:noWrap/>
            <w:vAlign w:val="center"/>
          </w:tcPr>
          <w:p w14:paraId="4D151C7A" w14:textId="77777777" w:rsidR="00AD3182" w:rsidRPr="00EF0689" w:rsidRDefault="00AD3182" w:rsidP="00D26DC0">
            <w:pPr>
              <w:pStyle w:val="Tabletext"/>
              <w:jc w:val="center"/>
              <w:rPr>
                <w:b/>
                <w:bCs/>
                <w:sz w:val="18"/>
                <w:szCs w:val="18"/>
                <w:lang w:val="es-ES_tradnl"/>
              </w:rPr>
            </w:pPr>
          </w:p>
        </w:tc>
      </w:tr>
    </w:tbl>
    <w:p w14:paraId="155C84A2" w14:textId="77777777" w:rsidR="00AD3182" w:rsidRPr="00EF0689" w:rsidRDefault="00AD3182" w:rsidP="00AD3182">
      <w:pPr>
        <w:pStyle w:val="Tablelegend"/>
        <w:rPr>
          <w:lang w:val="es-ES_tradnl"/>
        </w:rPr>
      </w:pPr>
      <w:bookmarkStart w:id="89" w:name="lt_pId171"/>
      <w:r w:rsidRPr="00EF0689">
        <w:rPr>
          <w:lang w:val="es-ES_tradnl"/>
        </w:rPr>
        <w:t>Nota: Todos los fondos se han convertido a CHF.</w:t>
      </w:r>
      <w:bookmarkEnd w:id="89"/>
    </w:p>
    <w:p w14:paraId="195907E1" w14:textId="77777777" w:rsidR="00AD3182" w:rsidRPr="00EF0689" w:rsidRDefault="00AD3182" w:rsidP="00EF0689">
      <w:pPr>
        <w:rPr>
          <w:lang w:val="es-ES_tradnl"/>
        </w:rPr>
      </w:pPr>
      <w:bookmarkStart w:id="90" w:name="lt_pId172"/>
      <w:r w:rsidRPr="00EF0689">
        <w:rPr>
          <w:lang w:val="es-ES_tradnl"/>
        </w:rPr>
        <w:t xml:space="preserve">Se prevé alcanzar nuevos progresos a lo largo de 2024 para concluir la asignación de los fondos restantes a los proyectos admisibles, en beneficio de todas las regiones de la UIT. Cabe señalar </w:t>
      </w:r>
      <w:r w:rsidRPr="00EF0689">
        <w:rPr>
          <w:lang w:val="es-ES_tradnl"/>
        </w:rPr>
        <w:lastRenderedPageBreak/>
        <w:t>que, puesto que la UIT no es una institución de financiación, la firma de nuevos proyectos depende en gran medida de la disponibilidad de asociados financieros dispuestos a respaldar los trabajos de la UIT.</w:t>
      </w:r>
      <w:bookmarkStart w:id="91" w:name="lt_pId173"/>
      <w:bookmarkEnd w:id="90"/>
      <w:bookmarkEnd w:id="91"/>
    </w:p>
    <w:p w14:paraId="07901217" w14:textId="77777777" w:rsidR="00AD3182" w:rsidRPr="00EF0689" w:rsidRDefault="00AD3182" w:rsidP="00AD3182">
      <w:pPr>
        <w:pStyle w:val="Heading1"/>
        <w:rPr>
          <w:lang w:val="es-ES_tradnl"/>
        </w:rPr>
      </w:pPr>
      <w:bookmarkStart w:id="92" w:name="lt_pId174"/>
      <w:r w:rsidRPr="00EF0689">
        <w:rPr>
          <w:lang w:val="es-ES_tradnl"/>
        </w:rPr>
        <w:t>4</w:t>
      </w:r>
      <w:r w:rsidRPr="00EF0689">
        <w:rPr>
          <w:lang w:val="es-ES_tradnl"/>
        </w:rPr>
        <w:tab/>
        <w:t>Fortalecimiento de las prácticas de gestión de proyectos en la BDT</w:t>
      </w:r>
      <w:bookmarkEnd w:id="92"/>
    </w:p>
    <w:p w14:paraId="3D12BD8B" w14:textId="77777777" w:rsidR="00AD3182" w:rsidRPr="00EF0689" w:rsidRDefault="00AD3182" w:rsidP="00AD3182">
      <w:pPr>
        <w:rPr>
          <w:lang w:val="es-ES_tradnl"/>
        </w:rPr>
      </w:pPr>
      <w:bookmarkStart w:id="93" w:name="lt_pId175"/>
      <w:r w:rsidRPr="00EF0689">
        <w:rPr>
          <w:lang w:val="es-ES_tradnl"/>
        </w:rPr>
        <w:t>La BDT ha seguido reforzando en 2023 las prácticas de gestión de proyectos aplicadas al conjunto de proyectos de la UIT. A continuación, se resumen las actividades realizadas en el año, que se llevaron a cabo en estrecha colaboración con otras funciones de apoyo pertinentes de la UIT:</w:t>
      </w:r>
      <w:bookmarkStart w:id="94" w:name="lt_pId176"/>
      <w:bookmarkEnd w:id="93"/>
      <w:bookmarkEnd w:id="94"/>
    </w:p>
    <w:p w14:paraId="12FE5863" w14:textId="77777777" w:rsidR="00AD3182" w:rsidRPr="00EF0689" w:rsidRDefault="00AD3182" w:rsidP="00AD3182">
      <w:pPr>
        <w:pStyle w:val="enumlev1"/>
        <w:rPr>
          <w:b/>
          <w:bCs/>
          <w:lang w:val="es-ES_tradnl"/>
        </w:rPr>
      </w:pPr>
      <w:bookmarkStart w:id="95" w:name="lt_pId177"/>
      <w:r w:rsidRPr="00EF0689">
        <w:rPr>
          <w:lang w:val="es-ES_tradnl"/>
        </w:rPr>
        <w:t>–</w:t>
      </w:r>
      <w:r w:rsidRPr="00EF0689">
        <w:rPr>
          <w:lang w:val="es-ES_tradnl"/>
        </w:rPr>
        <w:tab/>
      </w:r>
      <w:r w:rsidRPr="00EF0689">
        <w:rPr>
          <w:b/>
          <w:bCs/>
          <w:i/>
          <w:iCs/>
          <w:lang w:val="es-ES_tradnl"/>
        </w:rPr>
        <w:t>Funcionamiento de la Junta de Proyectos de la BDT</w:t>
      </w:r>
      <w:r w:rsidRPr="00EF0689">
        <w:rPr>
          <w:b/>
          <w:bCs/>
          <w:lang w:val="es-ES_tradnl"/>
        </w:rPr>
        <w:t>:</w:t>
      </w:r>
      <w:r w:rsidRPr="00EF0689">
        <w:rPr>
          <w:lang w:val="es-ES_tradnl"/>
        </w:rPr>
        <w:t xml:space="preserve"> la Junta de Proyectos de la BDT ha seguido reuniéndose mensualmente en 2023 para evaluar la viabilidad y pertinencia de las propuestas de proyectos antes de que se conviertan en proyectos, revisar y aprobar los proyectos antes de que se llegue a un acuerdo con los asociados y supervisar la ejecución y el cierre de proyectos en caso de que surjan problemas. La División de Apoyo a Proyectos se encarga de dar seguimiento periódicamente de las decisiones de la Junta de Proyectos e informa a esta de los resultados.</w:t>
      </w:r>
      <w:bookmarkStart w:id="96" w:name="lt_pId178"/>
      <w:bookmarkEnd w:id="95"/>
      <w:bookmarkEnd w:id="96"/>
    </w:p>
    <w:p w14:paraId="42918E1B" w14:textId="77777777" w:rsidR="00AD3182" w:rsidRPr="00EF0689" w:rsidRDefault="00AD3182" w:rsidP="00AD3182">
      <w:pPr>
        <w:pStyle w:val="enumlev1"/>
        <w:rPr>
          <w:lang w:val="es-ES_tradnl"/>
        </w:rPr>
      </w:pPr>
      <w:bookmarkStart w:id="97" w:name="lt_pId179"/>
      <w:r w:rsidRPr="00EF0689">
        <w:rPr>
          <w:lang w:val="es-ES_tradnl"/>
        </w:rPr>
        <w:t>–</w:t>
      </w:r>
      <w:r w:rsidRPr="00EF0689">
        <w:rPr>
          <w:lang w:val="es-ES_tradnl"/>
        </w:rPr>
        <w:tab/>
      </w:r>
      <w:r w:rsidRPr="00EF0689">
        <w:rPr>
          <w:b/>
          <w:bCs/>
          <w:i/>
          <w:iCs/>
          <w:lang w:val="es-ES_tradnl"/>
        </w:rPr>
        <w:t>Creación de un nuevo grupo de "proyectos con supervisión especial".</w:t>
      </w:r>
      <w:r w:rsidRPr="00EF0689">
        <w:rPr>
          <w:lang w:val="es-ES_tradnl"/>
        </w:rPr>
        <w:t xml:space="preserve"> En 2023, la Junta de Proyectos de la BDT introdujo un nuevo mecanismo para reforzar la supervisión de los proyectos cuya ejecución se enfrenta a dificultades persistentes. Este nuevo mecanismo, que prevé la organización de reuniones semanales con los equipos encargados de los proyectos y la presentación de informes internos con mayor frecuencia, ha demostrado ser eficaz para reconducir los proyectos cuando surgen problemas.</w:t>
      </w:r>
      <w:bookmarkStart w:id="98" w:name="lt_pId180"/>
      <w:bookmarkStart w:id="99" w:name="lt_pId181"/>
      <w:bookmarkEnd w:id="97"/>
      <w:bookmarkEnd w:id="98"/>
      <w:bookmarkEnd w:id="99"/>
    </w:p>
    <w:p w14:paraId="650567DD" w14:textId="77777777" w:rsidR="00AD3182" w:rsidRPr="00EF0689" w:rsidRDefault="00AD3182" w:rsidP="00AD3182">
      <w:pPr>
        <w:pStyle w:val="enumlev1"/>
        <w:rPr>
          <w:lang w:val="es-ES_tradnl"/>
        </w:rPr>
      </w:pPr>
      <w:bookmarkStart w:id="100" w:name="lt_pId182"/>
      <w:r w:rsidRPr="00EF0689">
        <w:rPr>
          <w:lang w:val="es-ES_tradnl"/>
        </w:rPr>
        <w:t>–</w:t>
      </w:r>
      <w:r w:rsidRPr="00EF0689">
        <w:rPr>
          <w:lang w:val="es-ES_tradnl"/>
        </w:rPr>
        <w:tab/>
      </w:r>
      <w:r w:rsidRPr="00EF0689">
        <w:rPr>
          <w:b/>
          <w:bCs/>
          <w:i/>
          <w:iCs/>
          <w:lang w:val="es-ES_tradnl"/>
        </w:rPr>
        <w:t>Serie de cursos de formación para gestores de proyectos.</w:t>
      </w:r>
      <w:r w:rsidRPr="00EF0689">
        <w:rPr>
          <w:lang w:val="es-ES_tradnl"/>
        </w:rPr>
        <w:t xml:space="preserve"> En 2023, la BDT introdujo una nueva serie de sesiones periódicas de formación e intercambio de información para los gestores de proyectos. El objetivo de estas sesiones era armonizar las prácticas en materia de proyectos en toda la BDT, reforzar la comunidad de gestores de proyectos y seguir desarrollando las competencias de los gestores de proyectos en ámbitos relacionados con la labor de la UIT. Este programa continuará a lo largo de 2024.</w:t>
      </w:r>
      <w:bookmarkStart w:id="101" w:name="lt_pId183"/>
      <w:bookmarkStart w:id="102" w:name="lt_pId184"/>
      <w:bookmarkStart w:id="103" w:name="lt_pId185"/>
      <w:bookmarkEnd w:id="100"/>
      <w:bookmarkEnd w:id="101"/>
      <w:bookmarkEnd w:id="102"/>
      <w:bookmarkEnd w:id="103"/>
    </w:p>
    <w:p w14:paraId="1B6E831F" w14:textId="77777777" w:rsidR="00AD3182" w:rsidRPr="00EF0689" w:rsidRDefault="00AD3182" w:rsidP="00AD3182">
      <w:pPr>
        <w:pStyle w:val="enumlev1"/>
        <w:rPr>
          <w:lang w:val="es-ES_tradnl"/>
        </w:rPr>
      </w:pPr>
      <w:bookmarkStart w:id="104" w:name="lt_pId186"/>
      <w:r w:rsidRPr="00EF0689">
        <w:rPr>
          <w:lang w:val="es-ES_tradnl"/>
        </w:rPr>
        <w:t>–</w:t>
      </w:r>
      <w:r w:rsidRPr="00EF0689">
        <w:rPr>
          <w:lang w:val="es-ES_tradnl"/>
        </w:rPr>
        <w:tab/>
      </w:r>
      <w:r w:rsidRPr="00EF0689">
        <w:rPr>
          <w:b/>
          <w:bCs/>
          <w:lang w:val="es-ES_tradnl"/>
        </w:rPr>
        <w:t>Supervisión de proyectos de la UIT:</w:t>
      </w:r>
      <w:r w:rsidRPr="00EF0689">
        <w:rPr>
          <w:lang w:val="es-ES_tradnl"/>
        </w:rPr>
        <w:t xml:space="preserve"> todos los proyectos de la UIT se siguen supervisando diariamente y se informa de ellos al final de cada trimestre. El resultado de esta labor se transmite al equipo de dirección de la BDT y a los jefes de proyecto por medio de informes de evaluación trimestrales y mediante el uso de los paneles de gestión interna que permiten tomar decisiones sobre proyectos basándose en los datos.</w:t>
      </w:r>
      <w:bookmarkStart w:id="105" w:name="lt_pId187"/>
      <w:bookmarkEnd w:id="104"/>
      <w:bookmarkEnd w:id="105"/>
    </w:p>
    <w:p w14:paraId="79A8FD12" w14:textId="77777777" w:rsidR="00AD3182" w:rsidRPr="00EF0689" w:rsidRDefault="00AD3182" w:rsidP="00AD3182">
      <w:pPr>
        <w:pStyle w:val="enumlev1"/>
        <w:rPr>
          <w:lang w:val="es-ES_tradnl"/>
        </w:rPr>
      </w:pPr>
      <w:bookmarkStart w:id="106" w:name="lt_pId188"/>
      <w:r w:rsidRPr="00EF0689">
        <w:rPr>
          <w:lang w:val="es-ES_tradnl"/>
        </w:rPr>
        <w:t>–</w:t>
      </w:r>
      <w:r w:rsidRPr="00EF0689">
        <w:rPr>
          <w:lang w:val="es-ES_tradnl"/>
        </w:rPr>
        <w:tab/>
      </w:r>
      <w:r w:rsidRPr="00EF0689">
        <w:rPr>
          <w:b/>
          <w:bCs/>
          <w:lang w:val="es-ES_tradnl"/>
        </w:rPr>
        <w:t>Intensificación de la presentación de informes a los asociados.</w:t>
      </w:r>
      <w:r w:rsidRPr="00EF0689">
        <w:rPr>
          <w:lang w:val="es-ES_tradnl"/>
        </w:rPr>
        <w:t xml:space="preserve"> A finales de 2023, la BDT implantó una nueva política en virtud de la cual, para todos nuestros proyectos, los donantes deben recibir informes sobre los proyectos que financian sin tener que solicitarlos. El envío de dichos informes tendría carácter semestral. El primer conjunto se envió en diciembre de 2023 y el siguiente se enviará en junio de 2024. Los informes incluirán información pormenorizada sobre la situación de los proyectos que financian, su estado financiero, y los avances en la ejecución de los proyectos según lo previsto en los documentos del proyecto. De surgir dificultades a lo largo de la ejecución, se comunicarán. Esta medida ya está implantada. Se tomó la decisión con miras a garantizar que los asociados y los donantes cuenten con información actualizada. Ello también contribuirá a fomentar la transparencia y la rendición de cuentas.</w:t>
      </w:r>
      <w:bookmarkStart w:id="107" w:name="lt_pId189"/>
      <w:bookmarkStart w:id="108" w:name="lt_pId190"/>
      <w:bookmarkStart w:id="109" w:name="lt_pId191"/>
      <w:bookmarkEnd w:id="106"/>
      <w:bookmarkEnd w:id="107"/>
      <w:bookmarkEnd w:id="108"/>
      <w:bookmarkEnd w:id="109"/>
    </w:p>
    <w:p w14:paraId="6301A04F" w14:textId="77777777" w:rsidR="00AD3182" w:rsidRPr="00EF0689" w:rsidRDefault="00AD3182" w:rsidP="00AD3182">
      <w:pPr>
        <w:pStyle w:val="enumlev1"/>
        <w:rPr>
          <w:lang w:val="es-ES_tradnl"/>
        </w:rPr>
      </w:pPr>
      <w:bookmarkStart w:id="110" w:name="lt_pId192"/>
      <w:r w:rsidRPr="00EF0689">
        <w:rPr>
          <w:lang w:val="es-ES_tradnl"/>
        </w:rPr>
        <w:t>–</w:t>
      </w:r>
      <w:r w:rsidRPr="00EF0689">
        <w:rPr>
          <w:lang w:val="es-ES_tradnl"/>
        </w:rPr>
        <w:tab/>
      </w:r>
      <w:r w:rsidRPr="00EF0689">
        <w:rPr>
          <w:b/>
          <w:bCs/>
          <w:i/>
          <w:iCs/>
          <w:lang w:val="es-ES_tradnl"/>
        </w:rPr>
        <w:t>Nuevo tablero de proyectos para los Estados Miembros de la UIT.</w:t>
      </w:r>
      <w:r w:rsidRPr="00EF0689">
        <w:rPr>
          <w:lang w:val="es-ES_tradnl"/>
        </w:rPr>
        <w:t xml:space="preserve"> A raíz de los comentarios recibidos del GADT, la UIT ha creado un nuevo tablero de proyectos </w:t>
      </w:r>
      <w:r w:rsidRPr="00EF0689">
        <w:rPr>
          <w:lang w:val="es-ES_tradnl"/>
        </w:rPr>
        <w:lastRenderedPageBreak/>
        <w:t>interactivo, que proporciona información adicional a los Miembros de la UIT sobre la situación de la cartera de proyectos del UIT-D. Pueden acceder al nuevo tablero desde el Portal de Proyectos de la BDT los titulares de cuentas de usuario de la UIT con acceso TIES.</w:t>
      </w:r>
      <w:r w:rsidRPr="00EF0689">
        <w:rPr>
          <w:rStyle w:val="FootnoteReference"/>
          <w:lang w:val="es-ES_tradnl"/>
        </w:rPr>
        <w:footnoteReference w:id="5"/>
      </w:r>
      <w:bookmarkStart w:id="111" w:name="lt_pId193"/>
      <w:bookmarkStart w:id="112" w:name="lt_pId194"/>
      <w:bookmarkEnd w:id="110"/>
      <w:bookmarkEnd w:id="111"/>
      <w:bookmarkEnd w:id="112"/>
    </w:p>
    <w:p w14:paraId="506FF1CE" w14:textId="77777777" w:rsidR="00AD3182" w:rsidRPr="00EF0689" w:rsidRDefault="00AD3182" w:rsidP="00AD3182">
      <w:pPr>
        <w:pStyle w:val="Heading1"/>
        <w:rPr>
          <w:lang w:val="es-ES_tradnl"/>
        </w:rPr>
      </w:pPr>
      <w:bookmarkStart w:id="113" w:name="lt_pId195"/>
      <w:r w:rsidRPr="00EF0689">
        <w:rPr>
          <w:lang w:val="es-ES_tradnl"/>
        </w:rPr>
        <w:t>5</w:t>
      </w:r>
      <w:r w:rsidRPr="00EF0689">
        <w:rPr>
          <w:lang w:val="es-ES_tradnl"/>
        </w:rPr>
        <w:tab/>
        <w:t>Conclusiones</w:t>
      </w:r>
      <w:bookmarkEnd w:id="113"/>
    </w:p>
    <w:p w14:paraId="719C5662" w14:textId="77777777" w:rsidR="00AD3182" w:rsidRPr="00EF0689" w:rsidRDefault="00AD3182" w:rsidP="00AD3182">
      <w:pPr>
        <w:rPr>
          <w:lang w:val="es-ES_tradnl"/>
        </w:rPr>
      </w:pPr>
      <w:bookmarkStart w:id="114" w:name="lt_pId196"/>
      <w:r w:rsidRPr="00EF0689">
        <w:rPr>
          <w:lang w:val="es-ES_tradnl"/>
        </w:rPr>
        <w:t>La cartera de proyectos de la BDT sigue teniendo repercusiones sobre el terreno, al constituir un mecanismo clave para la prestación de asistencia técnica a los Estados Miembros de la UIT por parte de la Oficina, la participación de los Miembros de Sector del UIT-D y la entrega de nuevos productos y servicios en el ámbito del desarrollo digital.</w:t>
      </w:r>
      <w:bookmarkEnd w:id="114"/>
    </w:p>
    <w:p w14:paraId="15AAD2AF" w14:textId="77777777" w:rsidR="00AD3182" w:rsidRPr="00EF0689" w:rsidRDefault="00AD3182" w:rsidP="00AD3182">
      <w:pPr>
        <w:rPr>
          <w:lang w:val="es-ES_tradnl"/>
        </w:rPr>
      </w:pPr>
      <w:bookmarkStart w:id="115" w:name="lt_pId197"/>
      <w:r w:rsidRPr="00EF0689">
        <w:rPr>
          <w:lang w:val="es-ES_tradnl"/>
        </w:rPr>
        <w:t>El 2023 fue un año destacado en lo que respecta a la movilización de recursos extrapresupuestarios en la BDT, ya que se firmaron más de 23 millones CHF en concepto de financiación para apoyar la labor del UIT-D sobre el terreno, lo que confirma la tendencia positiva registrada a desde 2017. Este logro es el resultado de la coordinación entre los equipos de Apoyo a Proyectos, Movilización de Recursos y Asociaciones, y de los Miembros y el sector privado bajo los auspicios del Departamento de Asociaciones para el Desarrollo Digital de la BDT.</w:t>
      </w:r>
      <w:r w:rsidRPr="00EF0689">
        <w:rPr>
          <w:rStyle w:val="FootnoteReference"/>
          <w:lang w:val="es-ES_tradnl"/>
        </w:rPr>
        <w:footnoteReference w:id="6"/>
      </w:r>
      <w:bookmarkStart w:id="116" w:name="lt_pId198"/>
      <w:bookmarkEnd w:id="115"/>
      <w:bookmarkEnd w:id="116"/>
    </w:p>
    <w:p w14:paraId="55613866" w14:textId="287A30A4" w:rsidR="00AD3182" w:rsidRPr="00EF0689" w:rsidRDefault="00AD3182" w:rsidP="00AD3182">
      <w:pPr>
        <w:rPr>
          <w:lang w:val="es-ES_tradnl"/>
        </w:rPr>
      </w:pPr>
      <w:bookmarkStart w:id="117" w:name="lt_pId199"/>
      <w:r w:rsidRPr="00EF0689">
        <w:rPr>
          <w:lang w:val="es-ES_tradnl"/>
        </w:rPr>
        <w:t>Aunque el 90% de la financiación de los proyectos procede de fondos extrapresupuestarios, conviene señalar que la nueva asignación de fondos decidida en la reunión de 2023 del Consejo de la UIT está resultando decisiva para impulsar la firma de nuevos proyectos en todas las regiones, ya que los fondos de la UIT se están utilizando como fondos de contrapartida, lo que constituye un requisito previo para algunas instituciones de financiación.</w:t>
      </w:r>
      <w:bookmarkEnd w:id="117"/>
    </w:p>
    <w:p w14:paraId="0DBD7D12" w14:textId="77777777" w:rsidR="00AD3182" w:rsidRPr="00EF0689" w:rsidRDefault="00AD3182" w:rsidP="00AD3182">
      <w:pPr>
        <w:rPr>
          <w:lang w:val="es-ES_tradnl"/>
        </w:rPr>
      </w:pPr>
      <w:bookmarkStart w:id="118" w:name="lt_pId200"/>
      <w:r w:rsidRPr="00EF0689">
        <w:rPr>
          <w:lang w:val="es-ES_tradnl"/>
        </w:rPr>
        <w:t>La UIT sigue reforzando sus prácticas de gestión de proyectos para velar por la correcta ejecución de todos los proyectos firmados. En 2023, la cartera de proyectos de la UIT también aumentó el nivel de fondos utilizados a lo largo del año, lo que contribuyó a la finalización satisfactoria de 30 proyectos que concluyeron sus actividades en el transcurso del año.</w:t>
      </w:r>
      <w:bookmarkStart w:id="119" w:name="lt_pId201"/>
      <w:bookmarkEnd w:id="118"/>
      <w:bookmarkEnd w:id="119"/>
    </w:p>
    <w:p w14:paraId="3973D11D" w14:textId="77777777" w:rsidR="00AD3182" w:rsidRPr="00EF0689" w:rsidRDefault="00AD3182" w:rsidP="00AD3182">
      <w:pPr>
        <w:rPr>
          <w:lang w:val="es-ES_tradnl"/>
        </w:rPr>
      </w:pPr>
      <w:bookmarkStart w:id="120" w:name="lt_pId202"/>
      <w:r w:rsidRPr="00EF0689">
        <w:rPr>
          <w:lang w:val="es-ES_tradnl"/>
        </w:rPr>
        <w:t>Se invita al GADT a seguir proporcionando orientación y asesoramiento sobre la forma de reforzar aún más las prácticas en materia de proyectos de la BDT, así como a determinar las medidas que deben adoptarse para garantizar una colaboración fructífera con las instituciones de financiación, los donantes y otros asociados para el desarrollo.</w:t>
      </w:r>
      <w:bookmarkEnd w:id="120"/>
    </w:p>
    <w:p w14:paraId="509B5164" w14:textId="77777777" w:rsidR="00EF0689" w:rsidRPr="00EF0689" w:rsidRDefault="00EF0689" w:rsidP="00411C49">
      <w:pPr>
        <w:pStyle w:val="Reasons"/>
        <w:rPr>
          <w:lang w:val="es-ES_tradnl"/>
        </w:rPr>
      </w:pPr>
    </w:p>
    <w:p w14:paraId="718E4E8E" w14:textId="77777777" w:rsidR="00EF0689" w:rsidRPr="00EF0689" w:rsidRDefault="00EF0689">
      <w:pPr>
        <w:jc w:val="center"/>
        <w:rPr>
          <w:lang w:val="es-ES_tradnl"/>
        </w:rPr>
      </w:pPr>
      <w:r w:rsidRPr="00EF0689">
        <w:rPr>
          <w:lang w:val="es-ES_tradnl"/>
        </w:rPr>
        <w:t>______________</w:t>
      </w:r>
    </w:p>
    <w:sectPr w:rsidR="00EF0689" w:rsidRPr="00EF0689" w:rsidSect="00BE11D9">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749A" w14:textId="77777777" w:rsidR="00BE11D9" w:rsidRDefault="00BE11D9">
      <w:r>
        <w:separator/>
      </w:r>
    </w:p>
  </w:endnote>
  <w:endnote w:type="continuationSeparator" w:id="0">
    <w:p w14:paraId="68F477D0" w14:textId="77777777" w:rsidR="00BE11D9" w:rsidRDefault="00BE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D3182" w:rsidRPr="00AD3182" w14:paraId="695D1810" w14:textId="77777777" w:rsidTr="004E3CF5">
      <w:tc>
        <w:tcPr>
          <w:tcW w:w="1526" w:type="dxa"/>
          <w:tcBorders>
            <w:top w:val="single" w:sz="4" w:space="0" w:color="000000"/>
          </w:tcBorders>
          <w:shd w:val="clear" w:color="auto" w:fill="auto"/>
        </w:tcPr>
        <w:p w14:paraId="746E5A61" w14:textId="51807E3E" w:rsidR="00AD3182" w:rsidRPr="00842E57" w:rsidRDefault="00AD3182" w:rsidP="00AD3182">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AD3182" w:rsidRPr="00842E57" w:rsidRDefault="00AD3182" w:rsidP="00AD3182">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095E088E" w:rsidR="00AD3182" w:rsidRPr="00842E57" w:rsidRDefault="00AD3182" w:rsidP="00AD3182">
          <w:pPr>
            <w:pStyle w:val="FirstFooter"/>
            <w:tabs>
              <w:tab w:val="left" w:pos="2302"/>
            </w:tabs>
            <w:rPr>
              <w:sz w:val="18"/>
              <w:szCs w:val="18"/>
              <w:lang w:val="es-ES_tradnl"/>
            </w:rPr>
          </w:pPr>
          <w:r w:rsidRPr="006D1AC9">
            <w:rPr>
              <w:sz w:val="18"/>
              <w:szCs w:val="18"/>
              <w:lang w:val="es-ES_tradnl"/>
            </w:rPr>
            <w:t xml:space="preserve">Sr. Jose María Díaz Batanero, Jefe de la División de Apoyo a Proyectos, </w:t>
          </w:r>
          <w:r>
            <w:rPr>
              <w:sz w:val="18"/>
              <w:szCs w:val="18"/>
              <w:lang w:val="es-ES_tradnl"/>
            </w:rPr>
            <w:br/>
          </w:r>
          <w:r w:rsidRPr="006D1AC9">
            <w:rPr>
              <w:sz w:val="18"/>
              <w:szCs w:val="18"/>
              <w:lang w:val="es-ES_tradnl"/>
            </w:rPr>
            <w:t>Oficina de Desarrollo de las Telecomunicaciones</w:t>
          </w:r>
        </w:p>
      </w:tc>
      <w:bookmarkStart w:id="121" w:name="OrgName"/>
      <w:bookmarkEnd w:id="121"/>
    </w:tr>
    <w:tr w:rsidR="00AD3182" w:rsidRPr="00842E57" w14:paraId="61167678" w14:textId="77777777" w:rsidTr="004E3CF5">
      <w:tc>
        <w:tcPr>
          <w:tcW w:w="1526" w:type="dxa"/>
          <w:shd w:val="clear" w:color="auto" w:fill="auto"/>
        </w:tcPr>
        <w:p w14:paraId="33710823" w14:textId="77777777" w:rsidR="00AD3182" w:rsidRPr="00842E57" w:rsidRDefault="00AD3182" w:rsidP="00AD3182">
          <w:pPr>
            <w:pStyle w:val="FirstFooter"/>
            <w:tabs>
              <w:tab w:val="left" w:pos="1559"/>
              <w:tab w:val="left" w:pos="3828"/>
            </w:tabs>
            <w:rPr>
              <w:sz w:val="20"/>
              <w:lang w:val="es-ES_tradnl"/>
            </w:rPr>
          </w:pPr>
        </w:p>
      </w:tc>
      <w:tc>
        <w:tcPr>
          <w:tcW w:w="2410" w:type="dxa"/>
          <w:shd w:val="clear" w:color="auto" w:fill="auto"/>
        </w:tcPr>
        <w:p w14:paraId="1251F6E4" w14:textId="0AA1FA52" w:rsidR="00AD3182" w:rsidRPr="00842E57" w:rsidRDefault="00AD3182" w:rsidP="00AD3182">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73099432" w:rsidR="00AD3182" w:rsidRPr="00842E57" w:rsidRDefault="00AD3182" w:rsidP="00AD3182">
          <w:pPr>
            <w:pStyle w:val="FirstFooter"/>
            <w:tabs>
              <w:tab w:val="left" w:pos="2302"/>
            </w:tabs>
            <w:rPr>
              <w:sz w:val="18"/>
              <w:szCs w:val="18"/>
              <w:lang w:val="es-ES_tradnl"/>
            </w:rPr>
          </w:pPr>
          <w:r w:rsidRPr="006D1AC9">
            <w:rPr>
              <w:sz w:val="18"/>
              <w:szCs w:val="18"/>
              <w:lang w:val="es-ES_tradnl"/>
            </w:rPr>
            <w:t>+41 22 730 5495</w:t>
          </w:r>
        </w:p>
      </w:tc>
      <w:bookmarkStart w:id="122" w:name="PhoneNo"/>
      <w:bookmarkEnd w:id="122"/>
    </w:tr>
    <w:tr w:rsidR="001E79C9" w:rsidRPr="00AD3182" w14:paraId="0299A231" w14:textId="77777777" w:rsidTr="004E3CF5">
      <w:tc>
        <w:tcPr>
          <w:tcW w:w="1526" w:type="dxa"/>
          <w:shd w:val="clear" w:color="auto" w:fill="auto"/>
        </w:tcPr>
        <w:p w14:paraId="35CBC438" w14:textId="77777777" w:rsidR="001E79C9" w:rsidRPr="00842E57" w:rsidRDefault="001E79C9" w:rsidP="001E79C9">
          <w:pPr>
            <w:pStyle w:val="FirstFooter"/>
            <w:tabs>
              <w:tab w:val="left" w:pos="1559"/>
              <w:tab w:val="left" w:pos="3828"/>
            </w:tabs>
            <w:rPr>
              <w:sz w:val="20"/>
              <w:lang w:val="es-ES_tradnl"/>
            </w:rPr>
          </w:pPr>
        </w:p>
      </w:tc>
      <w:tc>
        <w:tcPr>
          <w:tcW w:w="2410" w:type="dxa"/>
          <w:shd w:val="clear" w:color="auto" w:fill="auto"/>
        </w:tcPr>
        <w:p w14:paraId="65335E06" w14:textId="676092A0" w:rsidR="001E79C9" w:rsidRPr="00842E57" w:rsidRDefault="001E79C9" w:rsidP="001E79C9">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19A74BBA" w:rsidR="001E79C9" w:rsidRPr="00842E57" w:rsidRDefault="00AD3182" w:rsidP="001E79C9">
          <w:pPr>
            <w:pStyle w:val="FirstFooter"/>
            <w:tabs>
              <w:tab w:val="left" w:pos="2302"/>
            </w:tabs>
            <w:rPr>
              <w:sz w:val="18"/>
              <w:szCs w:val="18"/>
              <w:lang w:val="es-ES_tradnl"/>
            </w:rPr>
          </w:pPr>
          <w:hyperlink r:id="rId1" w:history="1">
            <w:r w:rsidRPr="00E275C2">
              <w:rPr>
                <w:rStyle w:val="Hyperlink"/>
                <w:sz w:val="18"/>
                <w:szCs w:val="18"/>
                <w:lang w:val="es-ES_tradnl"/>
              </w:rPr>
              <w:t>jose.batanero@itu.int</w:t>
            </w:r>
          </w:hyperlink>
        </w:p>
      </w:tc>
      <w:bookmarkStart w:id="123" w:name="Email"/>
      <w:bookmarkEnd w:id="123"/>
    </w:tr>
  </w:tbl>
  <w:p w14:paraId="5AEFE7F9" w14:textId="77777777" w:rsidR="0059420B" w:rsidRPr="001E79C9" w:rsidRDefault="0059420B" w:rsidP="00B80157">
    <w:pPr>
      <w:pStyle w:val="Footer"/>
      <w:jc w:val="cen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A118" w14:textId="77777777" w:rsidR="00BE11D9" w:rsidRDefault="00BE11D9">
      <w:r>
        <w:t>____________________</w:t>
      </w:r>
    </w:p>
  </w:footnote>
  <w:footnote w:type="continuationSeparator" w:id="0">
    <w:p w14:paraId="45910635" w14:textId="77777777" w:rsidR="00BE11D9" w:rsidRDefault="00BE11D9">
      <w:r>
        <w:continuationSeparator/>
      </w:r>
    </w:p>
  </w:footnote>
  <w:footnote w:id="1">
    <w:p w14:paraId="65187847" w14:textId="77777777" w:rsidR="00AD3182" w:rsidRPr="006D1AC9" w:rsidRDefault="00AD3182" w:rsidP="00AD3182">
      <w:pPr>
        <w:pStyle w:val="FootnoteText"/>
        <w:rPr>
          <w:lang w:val="es-ES"/>
        </w:rPr>
      </w:pPr>
      <w:r>
        <w:rPr>
          <w:rStyle w:val="FootnoteReference"/>
        </w:rPr>
        <w:footnoteRef/>
      </w:r>
      <w:r>
        <w:rPr>
          <w:lang w:val="es-ES"/>
        </w:rPr>
        <w:tab/>
      </w:r>
      <w:r w:rsidRPr="006D1AC9">
        <w:rPr>
          <w:i/>
          <w:iCs/>
          <w:lang w:val="es-ES"/>
        </w:rPr>
        <w:t>Las cifras facilitadas en este documento se refieren al balance financiero al cierre de las cuentas de 2023 (balance al 31 de diciembre 2023).</w:t>
      </w:r>
    </w:p>
  </w:footnote>
  <w:footnote w:id="2">
    <w:p w14:paraId="76CB26F0" w14:textId="77777777" w:rsidR="00AD3182" w:rsidRPr="006D1AC9" w:rsidRDefault="00AD3182" w:rsidP="00AD3182">
      <w:pPr>
        <w:pStyle w:val="FootnoteText"/>
        <w:rPr>
          <w:lang w:val="es-ES"/>
        </w:rPr>
      </w:pPr>
      <w:r>
        <w:rPr>
          <w:rStyle w:val="FootnoteReference"/>
        </w:rPr>
        <w:footnoteRef/>
      </w:r>
      <w:r>
        <w:rPr>
          <w:lang w:val="es-ES"/>
        </w:rPr>
        <w:tab/>
      </w:r>
      <w:r w:rsidRPr="006D1AC9">
        <w:rPr>
          <w:i/>
          <w:iCs/>
          <w:lang w:val="es-ES"/>
        </w:rPr>
        <w:t>Nótese que esta cifra no incluye otros acuerdos de asociación tales como los acuerdos de patrocinio o los acuerdos de contribuciones voluntarias, que se recogen en el Documento</w:t>
      </w:r>
      <w:r>
        <w:rPr>
          <w:i/>
          <w:iCs/>
          <w:lang w:val="es-ES"/>
        </w:rPr>
        <w:t> </w:t>
      </w:r>
      <w:r w:rsidRPr="006D1AC9">
        <w:rPr>
          <w:i/>
          <w:iCs/>
          <w:lang w:val="es-ES"/>
        </w:rPr>
        <w:t>TDAG</w:t>
      </w:r>
      <w:r>
        <w:rPr>
          <w:i/>
          <w:iCs/>
          <w:lang w:val="es-ES"/>
        </w:rPr>
        <w:noBreakHyphen/>
      </w:r>
      <w:r w:rsidRPr="006D1AC9">
        <w:rPr>
          <w:i/>
          <w:iCs/>
          <w:lang w:val="es-ES"/>
        </w:rPr>
        <w:t>24/4-S.</w:t>
      </w:r>
    </w:p>
  </w:footnote>
  <w:footnote w:id="3">
    <w:p w14:paraId="6AA1BBA6" w14:textId="77777777" w:rsidR="00AD3182" w:rsidRPr="006D1AC9" w:rsidRDefault="00AD3182" w:rsidP="00AD3182">
      <w:pPr>
        <w:pStyle w:val="FootnoteText"/>
        <w:rPr>
          <w:lang w:val="es-ES"/>
        </w:rPr>
      </w:pPr>
      <w:r>
        <w:rPr>
          <w:rStyle w:val="FootnoteReference"/>
        </w:rPr>
        <w:footnoteRef/>
      </w:r>
      <w:r>
        <w:rPr>
          <w:lang w:val="es-ES"/>
        </w:rPr>
        <w:tab/>
      </w:r>
      <w:r w:rsidRPr="006D1AC9">
        <w:rPr>
          <w:i/>
          <w:iCs/>
          <w:lang w:val="es-ES"/>
        </w:rPr>
        <w:t>Para más información, véase la Resolución</w:t>
      </w:r>
      <w:r>
        <w:rPr>
          <w:i/>
          <w:iCs/>
          <w:lang w:val="es-ES"/>
        </w:rPr>
        <w:t> </w:t>
      </w:r>
      <w:r w:rsidRPr="006D1AC9">
        <w:rPr>
          <w:i/>
          <w:iCs/>
          <w:lang w:val="es-ES"/>
        </w:rPr>
        <w:t xml:space="preserve">1418, disponible en </w:t>
      </w:r>
      <w:hyperlink r:id="rId1" w:history="1">
        <w:r>
          <w:rPr>
            <w:rStyle w:val="Hyperlink"/>
            <w:i/>
            <w:iCs/>
            <w:lang w:val="es-ES"/>
          </w:rPr>
          <w:t>https://www.itu.int/md/S23-CL-C-0116/es</w:t>
        </w:r>
      </w:hyperlink>
      <w:r>
        <w:rPr>
          <w:i/>
          <w:iCs/>
          <w:lang w:val="es-ES"/>
        </w:rPr>
        <w:t>.</w:t>
      </w:r>
    </w:p>
  </w:footnote>
  <w:footnote w:id="4">
    <w:p w14:paraId="59A8AFE3" w14:textId="77777777" w:rsidR="00AD3182" w:rsidRPr="006D1AC9" w:rsidRDefault="00AD3182" w:rsidP="00AD3182">
      <w:pPr>
        <w:pStyle w:val="FootnoteText"/>
        <w:rPr>
          <w:lang w:val="es-ES"/>
        </w:rPr>
      </w:pPr>
      <w:r>
        <w:rPr>
          <w:rStyle w:val="FootnoteReference"/>
        </w:rPr>
        <w:footnoteRef/>
      </w:r>
      <w:r w:rsidRPr="006D1AC9">
        <w:rPr>
          <w:lang w:val="es-ES"/>
        </w:rPr>
        <w:tab/>
      </w:r>
      <w:r w:rsidRPr="006D1AC9">
        <w:rPr>
          <w:i/>
          <w:iCs/>
          <w:lang w:val="es-ES"/>
        </w:rPr>
        <w:t xml:space="preserve">Disponible en </w:t>
      </w:r>
      <w:hyperlink r:id="rId2" w:history="1">
        <w:r>
          <w:rPr>
            <w:rStyle w:val="Hyperlink"/>
            <w:i/>
            <w:iCs/>
            <w:lang w:val="es-ES"/>
          </w:rPr>
          <w:t>https://www.itu.int/es/ITU-D/Projects</w:t>
        </w:r>
      </w:hyperlink>
      <w:r w:rsidRPr="006D1AC9">
        <w:rPr>
          <w:i/>
          <w:iCs/>
          <w:lang w:val="es-ES"/>
        </w:rPr>
        <w:t>.</w:t>
      </w:r>
    </w:p>
  </w:footnote>
  <w:footnote w:id="5">
    <w:p w14:paraId="3770767A" w14:textId="77777777" w:rsidR="00AD3182" w:rsidRPr="006D1AC9" w:rsidRDefault="00AD3182" w:rsidP="00AD3182">
      <w:pPr>
        <w:pStyle w:val="FootnoteText"/>
        <w:rPr>
          <w:lang w:val="es-ES"/>
        </w:rPr>
      </w:pPr>
      <w:r>
        <w:rPr>
          <w:rStyle w:val="FootnoteReference"/>
        </w:rPr>
        <w:footnoteRef/>
      </w:r>
      <w:r w:rsidRPr="006D1AC9">
        <w:rPr>
          <w:lang w:val="es-ES"/>
        </w:rPr>
        <w:tab/>
      </w:r>
      <w:r w:rsidRPr="006D1AC9">
        <w:rPr>
          <w:i/>
          <w:iCs/>
          <w:lang w:val="es-ES"/>
        </w:rPr>
        <w:t xml:space="preserve">Disponible en </w:t>
      </w:r>
      <w:hyperlink r:id="rId3" w:history="1">
        <w:r>
          <w:rPr>
            <w:rStyle w:val="Hyperlink"/>
            <w:i/>
            <w:iCs/>
            <w:lang w:val="es-ES"/>
          </w:rPr>
          <w:t>https://www.itu.int/es/ITU-D/Projects</w:t>
        </w:r>
      </w:hyperlink>
      <w:r w:rsidRPr="006D1AC9">
        <w:rPr>
          <w:i/>
          <w:iCs/>
          <w:lang w:val="es-ES"/>
        </w:rPr>
        <w:t>.</w:t>
      </w:r>
    </w:p>
  </w:footnote>
  <w:footnote w:id="6">
    <w:p w14:paraId="707DE615" w14:textId="77777777" w:rsidR="00AD3182" w:rsidRPr="006D1AC9" w:rsidRDefault="00AD3182" w:rsidP="00AD3182">
      <w:pPr>
        <w:pStyle w:val="FootnoteText"/>
        <w:rPr>
          <w:lang w:val="es-ES"/>
        </w:rPr>
      </w:pPr>
      <w:r>
        <w:rPr>
          <w:rStyle w:val="FootnoteReference"/>
        </w:rPr>
        <w:footnoteRef/>
      </w:r>
      <w:r>
        <w:rPr>
          <w:lang w:val="es-ES"/>
        </w:rPr>
        <w:tab/>
      </w:r>
      <w:r w:rsidRPr="006D1AC9">
        <w:rPr>
          <w:i/>
          <w:iCs/>
          <w:lang w:val="es-ES"/>
        </w:rPr>
        <w:t>Para más información sobre las asociaciones del UIT-D y la movilización de recursos, consulte los Documentos</w:t>
      </w:r>
      <w:r>
        <w:rPr>
          <w:i/>
          <w:iCs/>
          <w:lang w:val="es-ES"/>
        </w:rPr>
        <w:t> </w:t>
      </w:r>
      <w:r w:rsidRPr="006D1AC9">
        <w:rPr>
          <w:i/>
          <w:iCs/>
          <w:lang w:val="es-ES"/>
        </w:rPr>
        <w:t>TDAG-24/4, INF/1 y TDAG-24/8 sobre los Miembros de Sector, Asociados e Instituciones Académicas del 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362061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AD3182">
      <w:rPr>
        <w:sz w:val="22"/>
        <w:szCs w:val="22"/>
        <w:lang w:val="de-CH"/>
      </w:rPr>
      <w:t>7</w:t>
    </w:r>
    <w:r w:rsidR="001E79C9">
      <w:rPr>
        <w:sz w:val="22"/>
        <w:szCs w:val="22"/>
        <w:lang w:val="de-CH"/>
      </w:rPr>
      <w:t>(Rev.1)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B2B"/>
    <w:multiLevelType w:val="hybridMultilevel"/>
    <w:tmpl w:val="A47CA9E0"/>
    <w:styleLink w:val="ImportedStyle3"/>
    <w:lvl w:ilvl="0" w:tplc="6C149A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6D2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89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2D1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CA06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44F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F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47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826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154E0B"/>
    <w:multiLevelType w:val="hybridMultilevel"/>
    <w:tmpl w:val="89E0F7F4"/>
    <w:lvl w:ilvl="0" w:tplc="CDEC6D3A">
      <w:start w:val="1"/>
      <w:numFmt w:val="decimal"/>
      <w:lvlText w:val="%1."/>
      <w:lvlJc w:val="left"/>
      <w:pPr>
        <w:ind w:left="360" w:hanging="360"/>
      </w:pPr>
      <w:rPr>
        <w:rFonts w:asciiTheme="minorHAnsi" w:eastAsia="Times New Roman" w:hAnsiTheme="minorHAns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20688D"/>
    <w:multiLevelType w:val="hybridMultilevel"/>
    <w:tmpl w:val="A47CA9E0"/>
    <w:numStyleLink w:val="ImportedStyle3"/>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440555">
    <w:abstractNumId w:val="4"/>
  </w:num>
  <w:num w:numId="2" w16cid:durableId="1865749457">
    <w:abstractNumId w:val="1"/>
  </w:num>
  <w:num w:numId="3" w16cid:durableId="2019772115">
    <w:abstractNumId w:val="5"/>
  </w:num>
  <w:num w:numId="4" w16cid:durableId="1820340021">
    <w:abstractNumId w:val="0"/>
  </w:num>
  <w:num w:numId="5" w16cid:durableId="1537425570">
    <w:abstractNumId w:val="3"/>
  </w:num>
  <w:num w:numId="6" w16cid:durableId="1018891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56A70"/>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79C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F7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27F"/>
    <w:rsid w:val="00693D09"/>
    <w:rsid w:val="006A6549"/>
    <w:rsid w:val="006A7710"/>
    <w:rsid w:val="006A7A61"/>
    <w:rsid w:val="006B1E59"/>
    <w:rsid w:val="006B2FFB"/>
    <w:rsid w:val="006C10A2"/>
    <w:rsid w:val="006C1F18"/>
    <w:rsid w:val="006D40D5"/>
    <w:rsid w:val="006F009A"/>
    <w:rsid w:val="006F3D93"/>
    <w:rsid w:val="007019B1"/>
    <w:rsid w:val="00715A26"/>
    <w:rsid w:val="00721657"/>
    <w:rsid w:val="0072452A"/>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3D66"/>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3182"/>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11D9"/>
    <w:rsid w:val="00BE2B4D"/>
    <w:rsid w:val="00BF7EE0"/>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7C8"/>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43CF"/>
    <w:rsid w:val="00E9605B"/>
    <w:rsid w:val="00E97298"/>
    <w:rsid w:val="00E97753"/>
    <w:rsid w:val="00EA0C51"/>
    <w:rsid w:val="00EA7DE7"/>
    <w:rsid w:val="00EB7A8A"/>
    <w:rsid w:val="00EC6FED"/>
    <w:rsid w:val="00EC7F3B"/>
    <w:rsid w:val="00ED5299"/>
    <w:rsid w:val="00EE3A64"/>
    <w:rsid w:val="00EE50E5"/>
    <w:rsid w:val="00EF01CF"/>
    <w:rsid w:val="00EF068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 Char1 Char1 Char,Footnote Text Char1 Char1 Char1 Char Char Char1,Footnote Text Char4 Char Char"/>
    <w:basedOn w:val="Normal"/>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normaltextrun">
    <w:name w:val="normaltextrun"/>
    <w:basedOn w:val="DefaultParagraphFont"/>
    <w:rsid w:val="00E943CF"/>
  </w:style>
  <w:style w:type="paragraph" w:customStyle="1" w:styleId="CEONormal">
    <w:name w:val="CEO_Normal"/>
    <w:link w:val="CEONormalChar"/>
    <w:rsid w:val="00E943C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E943CF"/>
    <w:rPr>
      <w:rFonts w:ascii="Verdana" w:eastAsia="SimHei" w:hAnsi="Verdana" w:cs="Simplified Arabic"/>
      <w:sz w:val="19"/>
      <w:szCs w:val="28"/>
      <w:lang w:val="en-GB" w:eastAsia="en-US"/>
    </w:rPr>
  </w:style>
  <w:style w:type="numbering" w:customStyle="1" w:styleId="ImportedStyle3">
    <w:name w:val="Imported Style 3"/>
    <w:rsid w:val="001E79C9"/>
    <w:pPr>
      <w:numPr>
        <w:numId w:val="4"/>
      </w:numPr>
    </w:pPr>
  </w:style>
  <w:style w:type="character" w:styleId="PlaceholderText">
    <w:name w:val="Placeholder Text"/>
    <w:basedOn w:val="DefaultParagraphFont"/>
    <w:uiPriority w:val="99"/>
    <w:semiHidden/>
    <w:rsid w:val="001E79C9"/>
    <w:rPr>
      <w:color w:val="808080"/>
    </w:rPr>
  </w:style>
  <w:style w:type="paragraph" w:customStyle="1" w:styleId="Figure">
    <w:name w:val="Figure"/>
    <w:basedOn w:val="Normal"/>
    <w:rsid w:val="00AD3182"/>
    <w:pPr>
      <w:jc w:val="center"/>
    </w:pPr>
    <w:rPr>
      <w:b/>
      <w:bCs/>
      <w:lang w:val="es-ES"/>
    </w:rPr>
  </w:style>
  <w:style w:type="paragraph" w:customStyle="1" w:styleId="FigureNotitle">
    <w:name w:val="Figure_No &amp; title"/>
    <w:basedOn w:val="Normal"/>
    <w:next w:val="Normal"/>
    <w:rsid w:val="00AD3182"/>
    <w:pPr>
      <w:keepNext/>
      <w:keepLines/>
      <w:spacing w:before="240" w:after="120"/>
      <w:jc w:val="center"/>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s/ITU-D/Projects" TargetMode="External"/><Relationship Id="rId2" Type="http://schemas.openxmlformats.org/officeDocument/2006/relationships/hyperlink" Target="https://www.itu.int/es/ITU-D/Projects" TargetMode="External"/><Relationship Id="rId1" Type="http://schemas.openxmlformats.org/officeDocument/2006/relationships/hyperlink" Target="https://www.itu.int/md/S23-CL-C-0116/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2170</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4</cp:revision>
  <cp:lastPrinted>2014-11-04T09:22:00Z</cp:lastPrinted>
  <dcterms:created xsi:type="dcterms:W3CDTF">2024-05-06T09:43:00Z</dcterms:created>
  <dcterms:modified xsi:type="dcterms:W3CDTF">2024-05-06T10:04:00Z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