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59B80CE9" w:rsidR="005C5A93" w:rsidRDefault="00962A5E"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3E0C0D5C" w:rsidR="005C5A93" w:rsidRPr="00844A56" w:rsidRDefault="00962A5E"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w:t>
            </w:r>
            <w:r w:rsidR="00BF6250">
              <w:rPr>
                <w:b/>
                <w:bCs/>
                <w:sz w:val="26"/>
                <w:szCs w:val="26"/>
                <w:lang w:eastAsia="zh-CN"/>
              </w:rPr>
              <w:t>1</w:t>
            </w:r>
            <w:r>
              <w:rPr>
                <w:rFonts w:hint="eastAsia"/>
                <w:b/>
                <w:bCs/>
                <w:sz w:val="26"/>
                <w:szCs w:val="26"/>
                <w:lang w:eastAsia="zh-CN"/>
              </w:rPr>
              <w:t>次会议，瑞士日内瓦，</w:t>
            </w:r>
            <w:r w:rsidR="005C5A93" w:rsidRPr="00307769">
              <w:rPr>
                <w:b/>
                <w:bCs/>
                <w:sz w:val="26"/>
                <w:szCs w:val="26"/>
                <w:lang w:eastAsia="zh-CN"/>
              </w:rPr>
              <w:t>202</w:t>
            </w:r>
            <w:r w:rsidR="00BF6250">
              <w:rPr>
                <w:b/>
                <w:bCs/>
                <w:sz w:val="26"/>
                <w:szCs w:val="26"/>
                <w:lang w:eastAsia="zh-CN"/>
              </w:rPr>
              <w:t>4</w:t>
            </w:r>
            <w:r>
              <w:rPr>
                <w:rFonts w:hint="eastAsia"/>
                <w:b/>
                <w:bCs/>
                <w:sz w:val="26"/>
                <w:szCs w:val="26"/>
                <w:lang w:eastAsia="zh-CN"/>
              </w:rPr>
              <w:t>年</w:t>
            </w:r>
            <w:r w:rsidR="00BF6250">
              <w:rPr>
                <w:b/>
                <w:bCs/>
                <w:sz w:val="26"/>
                <w:szCs w:val="26"/>
                <w:lang w:eastAsia="zh-CN"/>
              </w:rPr>
              <w:t>5</w:t>
            </w:r>
            <w:r>
              <w:rPr>
                <w:rFonts w:hint="eastAsia"/>
                <w:b/>
                <w:bCs/>
                <w:sz w:val="26"/>
                <w:szCs w:val="26"/>
                <w:lang w:eastAsia="zh-CN"/>
              </w:rPr>
              <w:t>月</w:t>
            </w:r>
            <w:r w:rsidR="00BF6250">
              <w:rPr>
                <w:b/>
                <w:bCs/>
                <w:sz w:val="26"/>
                <w:szCs w:val="26"/>
                <w:lang w:eastAsia="zh-CN"/>
              </w:rPr>
              <w:t>20</w:t>
            </w:r>
            <w:r>
              <w:rPr>
                <w:b/>
                <w:bCs/>
                <w:sz w:val="26"/>
                <w:szCs w:val="26"/>
                <w:lang w:eastAsia="zh-CN"/>
              </w:rPr>
              <w:t>-23</w:t>
            </w:r>
            <w:r>
              <w:rPr>
                <w:rFonts w:hint="eastAsia"/>
                <w:b/>
                <w:bCs/>
                <w:sz w:val="26"/>
                <w:szCs w:val="26"/>
                <w:lang w:eastAsia="zh-CN"/>
              </w:rPr>
              <w:t>日</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001EB9" w:rsidRDefault="00683C32" w:rsidP="00400CCF">
            <w:pPr>
              <w:pStyle w:val="Committee"/>
              <w:spacing w:before="0"/>
              <w:rPr>
                <w:b w:val="0"/>
                <w:szCs w:val="24"/>
              </w:rPr>
            </w:pPr>
          </w:p>
        </w:tc>
        <w:tc>
          <w:tcPr>
            <w:tcW w:w="3509" w:type="dxa"/>
          </w:tcPr>
          <w:p w14:paraId="02E44EE9" w14:textId="1CEA1D8F" w:rsidR="00683C32" w:rsidRPr="00001EB9" w:rsidRDefault="00082134" w:rsidP="00B648C7">
            <w:pPr>
              <w:spacing w:before="0"/>
              <w:jc w:val="both"/>
              <w:rPr>
                <w:bCs/>
                <w:szCs w:val="24"/>
                <w:lang w:val="en-US"/>
              </w:rPr>
            </w:pPr>
            <w:r>
              <w:rPr>
                <w:rFonts w:hint="eastAsia"/>
                <w:b/>
                <w:bCs/>
                <w:lang w:val="en-US" w:eastAsia="zh-CN"/>
              </w:rPr>
              <w:t>文件</w:t>
            </w:r>
            <w:r w:rsidR="0096201B" w:rsidRPr="00001EB9">
              <w:rPr>
                <w:b/>
                <w:bCs/>
                <w:lang w:val="en-US"/>
              </w:rPr>
              <w:t xml:space="preserve"> </w:t>
            </w:r>
            <w:bookmarkStart w:id="0" w:name="DocRef1"/>
            <w:bookmarkEnd w:id="0"/>
            <w:r w:rsidR="0096201B" w:rsidRPr="00001EB9">
              <w:rPr>
                <w:b/>
                <w:bCs/>
                <w:lang w:val="en-US"/>
              </w:rPr>
              <w:t>TDAG</w:t>
            </w:r>
            <w:r w:rsidR="003242AB" w:rsidRPr="00001EB9">
              <w:rPr>
                <w:b/>
                <w:bCs/>
                <w:lang w:val="en-US"/>
              </w:rPr>
              <w:t>-</w:t>
            </w:r>
            <w:r w:rsidR="00B648C7" w:rsidRPr="00001EB9">
              <w:rPr>
                <w:b/>
                <w:bCs/>
                <w:lang w:val="en-US"/>
              </w:rPr>
              <w:t>2</w:t>
            </w:r>
            <w:bookmarkStart w:id="1" w:name="DocNo1"/>
            <w:bookmarkEnd w:id="1"/>
            <w:r w:rsidR="00BF6250">
              <w:rPr>
                <w:b/>
                <w:bCs/>
                <w:lang w:val="en-US"/>
              </w:rPr>
              <w:t>4</w:t>
            </w:r>
            <w:r w:rsidR="0009076F" w:rsidRPr="00001EB9">
              <w:rPr>
                <w:b/>
                <w:bCs/>
                <w:lang w:val="en-US"/>
              </w:rPr>
              <w:t>/</w:t>
            </w:r>
            <w:r w:rsidR="00001EB9" w:rsidRPr="00001EB9">
              <w:rPr>
                <w:b/>
                <w:bCs/>
                <w:lang w:val="en-US"/>
              </w:rPr>
              <w:t>7</w:t>
            </w:r>
            <w:r w:rsidR="00305B13">
              <w:rPr>
                <w:rFonts w:hint="eastAsia"/>
                <w:b/>
                <w:bCs/>
                <w:lang w:val="en-US" w:eastAsia="zh-CN"/>
              </w:rPr>
              <w:t>(Rev.1)</w:t>
            </w:r>
            <w:r w:rsidR="0096201B" w:rsidRPr="00001EB9">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001EB9" w:rsidRDefault="00683C32" w:rsidP="00400CCF">
            <w:pPr>
              <w:spacing w:before="0"/>
              <w:rPr>
                <w:b/>
                <w:bCs/>
                <w:smallCaps/>
                <w:szCs w:val="24"/>
                <w:lang w:val="en-US"/>
              </w:rPr>
            </w:pPr>
          </w:p>
        </w:tc>
        <w:tc>
          <w:tcPr>
            <w:tcW w:w="3509" w:type="dxa"/>
          </w:tcPr>
          <w:p w14:paraId="0F89640F" w14:textId="0295FE34" w:rsidR="00683C32" w:rsidRPr="00001EB9" w:rsidRDefault="00CE0422" w:rsidP="00B648C7">
            <w:pPr>
              <w:spacing w:before="0"/>
              <w:rPr>
                <w:b/>
                <w:szCs w:val="24"/>
              </w:rPr>
            </w:pPr>
            <w:bookmarkStart w:id="2" w:name="CreationDate"/>
            <w:bookmarkEnd w:id="2"/>
            <w:r w:rsidRPr="00001EB9">
              <w:rPr>
                <w:b/>
                <w:bCs/>
                <w:szCs w:val="28"/>
              </w:rPr>
              <w:t>20</w:t>
            </w:r>
            <w:r w:rsidR="00B648C7" w:rsidRPr="00001EB9">
              <w:rPr>
                <w:b/>
                <w:bCs/>
                <w:szCs w:val="28"/>
              </w:rPr>
              <w:t>2</w:t>
            </w:r>
            <w:r w:rsidR="00BF6250">
              <w:rPr>
                <w:b/>
                <w:bCs/>
                <w:szCs w:val="28"/>
              </w:rPr>
              <w:t>4</w:t>
            </w:r>
            <w:r w:rsidR="00082134">
              <w:rPr>
                <w:rFonts w:hint="eastAsia"/>
                <w:b/>
                <w:bCs/>
                <w:szCs w:val="28"/>
                <w:lang w:eastAsia="zh-CN"/>
              </w:rPr>
              <w:t>年</w:t>
            </w:r>
            <w:r w:rsidR="00305B13">
              <w:rPr>
                <w:rFonts w:hint="eastAsia"/>
                <w:b/>
                <w:bCs/>
                <w:szCs w:val="28"/>
                <w:lang w:eastAsia="zh-CN"/>
              </w:rPr>
              <w:t>5</w:t>
            </w:r>
            <w:r w:rsidR="00082134">
              <w:rPr>
                <w:rFonts w:hint="eastAsia"/>
                <w:b/>
                <w:bCs/>
                <w:szCs w:val="28"/>
                <w:lang w:eastAsia="zh-CN"/>
              </w:rPr>
              <w:t>月</w:t>
            </w:r>
            <w:r w:rsidR="00305B13">
              <w:rPr>
                <w:rFonts w:hint="eastAsia"/>
                <w:b/>
                <w:bCs/>
                <w:szCs w:val="28"/>
                <w:lang w:eastAsia="zh-CN"/>
              </w:rPr>
              <w:t>3</w:t>
            </w:r>
            <w:r w:rsidR="00082134">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001EB9" w:rsidRDefault="00683C32" w:rsidP="00400CCF">
            <w:pPr>
              <w:spacing w:before="0"/>
              <w:rPr>
                <w:b/>
                <w:bCs/>
                <w:smallCaps/>
                <w:szCs w:val="24"/>
              </w:rPr>
            </w:pPr>
          </w:p>
        </w:tc>
        <w:tc>
          <w:tcPr>
            <w:tcW w:w="3509" w:type="dxa"/>
          </w:tcPr>
          <w:p w14:paraId="30EFD39F" w14:textId="5E7C6D14" w:rsidR="00514D2F" w:rsidRPr="00864B8A" w:rsidRDefault="00082134" w:rsidP="00400CCF">
            <w:pPr>
              <w:spacing w:before="0"/>
              <w:rPr>
                <w:szCs w:val="24"/>
                <w:lang w:val="en-US" w:eastAsia="zh-CN"/>
              </w:rPr>
            </w:pPr>
            <w:r>
              <w:rPr>
                <w:rFonts w:hint="eastAsia"/>
                <w:b/>
                <w:lang w:eastAsia="zh-CN"/>
              </w:rPr>
              <w:t>原文：英文</w:t>
            </w:r>
          </w:p>
        </w:tc>
      </w:tr>
      <w:tr w:rsidR="006E0385" w14:paraId="31656E31" w14:textId="77777777" w:rsidTr="00107E85">
        <w:trPr>
          <w:cantSplit/>
          <w:trHeight w:val="852"/>
        </w:trPr>
        <w:tc>
          <w:tcPr>
            <w:tcW w:w="9888" w:type="dxa"/>
            <w:gridSpan w:val="2"/>
          </w:tcPr>
          <w:p w14:paraId="512FCA01" w14:textId="230CB094" w:rsidR="006E0385" w:rsidRPr="0030353C" w:rsidRDefault="00864B8A" w:rsidP="006E0385">
            <w:pPr>
              <w:pStyle w:val="Source"/>
            </w:pPr>
            <w:bookmarkStart w:id="3" w:name="Source"/>
            <w:bookmarkEnd w:id="3"/>
            <w:r>
              <w:rPr>
                <w:rFonts w:cstheme="minorHAnsi" w:hint="eastAsia"/>
                <w:lang w:eastAsia="zh-CN"/>
              </w:rPr>
              <w:t>电信发展局主任</w:t>
            </w:r>
          </w:p>
        </w:tc>
      </w:tr>
      <w:tr w:rsidR="00001EB9" w:rsidRPr="002E6963" w14:paraId="2CBD3A36" w14:textId="77777777" w:rsidTr="00107E85">
        <w:trPr>
          <w:cantSplit/>
        </w:trPr>
        <w:tc>
          <w:tcPr>
            <w:tcW w:w="9888" w:type="dxa"/>
            <w:gridSpan w:val="2"/>
          </w:tcPr>
          <w:p w14:paraId="1B4121DF" w14:textId="5C355CFE" w:rsidR="00001EB9" w:rsidRPr="0030353C" w:rsidRDefault="00001EB9" w:rsidP="00001EB9">
            <w:pPr>
              <w:pStyle w:val="Title1"/>
            </w:pPr>
            <w:bookmarkStart w:id="4" w:name="Title"/>
            <w:bookmarkEnd w:id="4"/>
            <w:r w:rsidRPr="00277E7F">
              <w:rPr>
                <w:rFonts w:cstheme="minorHAnsi"/>
              </w:rPr>
              <w:t>ITU-D</w:t>
            </w:r>
            <w:r w:rsidR="00864B8A">
              <w:rPr>
                <w:rFonts w:cstheme="minorHAnsi" w:hint="eastAsia"/>
                <w:lang w:eastAsia="zh-CN"/>
              </w:rPr>
              <w:t>的项目</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110A499" w:rsidR="00A721F4" w:rsidRPr="00D9621A" w:rsidRDefault="00864B8A" w:rsidP="009B7B36">
            <w:pPr>
              <w:spacing w:after="120"/>
              <w:rPr>
                <w:b/>
                <w:bCs/>
                <w:szCs w:val="24"/>
                <w:lang w:eastAsia="zh-CN"/>
              </w:rPr>
            </w:pPr>
            <w:r>
              <w:rPr>
                <w:rFonts w:hint="eastAsia"/>
                <w:b/>
                <w:bCs/>
                <w:szCs w:val="24"/>
                <w:lang w:eastAsia="zh-CN"/>
              </w:rPr>
              <w:t>概要：</w:t>
            </w:r>
          </w:p>
          <w:p w14:paraId="1D61AF82" w14:textId="5FD2B624" w:rsidR="00E50697" w:rsidRPr="00277E7F" w:rsidRDefault="001678C1" w:rsidP="00906CDF">
            <w:pPr>
              <w:spacing w:after="120"/>
              <w:ind w:firstLineChars="200" w:firstLine="480"/>
              <w:rPr>
                <w:rFonts w:cstheme="minorHAnsi"/>
                <w:lang w:eastAsia="zh-CN"/>
              </w:rPr>
            </w:pPr>
            <w:r w:rsidRPr="001678C1">
              <w:rPr>
                <w:rFonts w:cstheme="minorHAnsi" w:hint="eastAsia"/>
                <w:lang w:eastAsia="zh-CN"/>
              </w:rPr>
              <w:t>国际电信联盟负有双重职责，既是联合国的专门机构，又是执行机构。为了履行国际电联的双重职责，电信发展部门（</w:t>
            </w:r>
            <w:r w:rsidRPr="001678C1">
              <w:rPr>
                <w:rFonts w:cstheme="minorHAnsi" w:hint="eastAsia"/>
                <w:lang w:eastAsia="zh-CN"/>
              </w:rPr>
              <w:t>ITU-D</w:t>
            </w:r>
            <w:r w:rsidRPr="001678C1">
              <w:rPr>
                <w:rFonts w:cstheme="minorHAnsi" w:hint="eastAsia"/>
                <w:lang w:eastAsia="zh-CN"/>
              </w:rPr>
              <w:t>）的关键职能是实施联合国发展系统或其他资助安排下的项目，通过提供、组织和协调技术合作以及援助活动来促进和强化电信发展。</w:t>
            </w:r>
          </w:p>
          <w:p w14:paraId="4796D94E" w14:textId="31A27D70" w:rsidR="00E50697" w:rsidRPr="00277E7F" w:rsidRDefault="001678C1" w:rsidP="00906CDF">
            <w:pPr>
              <w:spacing w:after="120"/>
              <w:ind w:firstLineChars="200" w:firstLine="480"/>
              <w:rPr>
                <w:rFonts w:cstheme="minorHAnsi"/>
                <w:lang w:eastAsia="zh-CN"/>
              </w:rPr>
            </w:pPr>
            <w:r w:rsidRPr="001678C1">
              <w:rPr>
                <w:rFonts w:cstheme="minorHAnsi" w:hint="eastAsia"/>
                <w:lang w:eastAsia="zh-CN"/>
              </w:rPr>
              <w:t>本文件概述了电信发展局在六个</w:t>
            </w:r>
            <w:r w:rsidRPr="001678C1">
              <w:rPr>
                <w:rFonts w:cstheme="minorHAnsi" w:hint="eastAsia"/>
                <w:lang w:eastAsia="zh-CN"/>
              </w:rPr>
              <w:t>ITU-D</w:t>
            </w:r>
            <w:r w:rsidRPr="001678C1">
              <w:rPr>
                <w:rFonts w:cstheme="minorHAnsi" w:hint="eastAsia"/>
                <w:lang w:eastAsia="zh-CN"/>
              </w:rPr>
              <w:t>区域（非洲、美洲、阿拉伯国家、亚太地区、独立国家联合体（</w:t>
            </w:r>
            <w:r w:rsidRPr="001678C1">
              <w:rPr>
                <w:rFonts w:cstheme="minorHAnsi" w:hint="eastAsia"/>
                <w:lang w:eastAsia="zh-CN"/>
              </w:rPr>
              <w:t>CIS</w:t>
            </w:r>
            <w:r w:rsidRPr="001678C1">
              <w:rPr>
                <w:rFonts w:cstheme="minorHAnsi" w:hint="eastAsia"/>
                <w:lang w:eastAsia="zh-CN"/>
              </w:rPr>
              <w:t>）和欧洲）以及跨区域开展的项目开发和实施工作。</w:t>
            </w:r>
          </w:p>
          <w:p w14:paraId="76A1C541" w14:textId="47EE9643" w:rsidR="00A721F4" w:rsidRPr="00D9621A" w:rsidRDefault="00864B8A" w:rsidP="00BF6250">
            <w:pPr>
              <w:tabs>
                <w:tab w:val="clear" w:pos="1985"/>
                <w:tab w:val="right" w:pos="9674"/>
              </w:tabs>
              <w:spacing w:after="120"/>
              <w:rPr>
                <w:b/>
                <w:bCs/>
                <w:szCs w:val="24"/>
                <w:lang w:eastAsia="zh-CN"/>
              </w:rPr>
            </w:pPr>
            <w:r>
              <w:rPr>
                <w:rFonts w:hint="eastAsia"/>
                <w:b/>
                <w:bCs/>
                <w:lang w:eastAsia="zh-CN"/>
              </w:rPr>
              <w:t>需采取的行动：</w:t>
            </w:r>
          </w:p>
          <w:p w14:paraId="371956FC" w14:textId="41B2FCEA" w:rsidR="00A721F4" w:rsidRPr="008818DF" w:rsidRDefault="001678C1" w:rsidP="00906CDF">
            <w:pPr>
              <w:spacing w:after="120"/>
              <w:ind w:firstLineChars="200" w:firstLine="480"/>
              <w:rPr>
                <w:rFonts w:cstheme="minorHAnsi"/>
                <w:b/>
                <w:bCs/>
                <w:lang w:eastAsia="zh-CN"/>
              </w:rPr>
            </w:pPr>
            <w:r w:rsidRPr="001678C1">
              <w:rPr>
                <w:rFonts w:cstheme="minorHAnsi" w:hint="eastAsia"/>
                <w:lang w:eastAsia="zh-CN"/>
              </w:rPr>
              <w:t>请</w:t>
            </w:r>
            <w:r w:rsidRPr="001678C1">
              <w:rPr>
                <w:rFonts w:cstheme="minorHAnsi" w:hint="eastAsia"/>
                <w:lang w:eastAsia="zh-CN"/>
              </w:rPr>
              <w:t>TDAG</w:t>
            </w:r>
            <w:r w:rsidRPr="001678C1">
              <w:rPr>
                <w:rFonts w:cstheme="minorHAnsi" w:hint="eastAsia"/>
                <w:lang w:eastAsia="zh-CN"/>
              </w:rPr>
              <w:t>将此文件记录在案并提供适当指导。</w:t>
            </w:r>
          </w:p>
          <w:p w14:paraId="622ACB80" w14:textId="7C805AA8" w:rsidR="00A721F4" w:rsidRPr="00D9621A" w:rsidRDefault="00864B8A" w:rsidP="009B7B36">
            <w:pPr>
              <w:spacing w:after="120"/>
              <w:rPr>
                <w:b/>
                <w:bCs/>
                <w:szCs w:val="24"/>
                <w:lang w:eastAsia="zh-CN"/>
              </w:rPr>
            </w:pPr>
            <w:r>
              <w:rPr>
                <w:rFonts w:hint="eastAsia"/>
                <w:b/>
                <w:bCs/>
                <w:szCs w:val="24"/>
                <w:lang w:eastAsia="zh-CN"/>
              </w:rPr>
              <w:t>参考文件：</w:t>
            </w:r>
          </w:p>
          <w:p w14:paraId="1ECDD20E" w14:textId="17857537" w:rsidR="00A721F4" w:rsidRPr="00D9621A" w:rsidRDefault="001678C1" w:rsidP="00906CDF">
            <w:pPr>
              <w:spacing w:after="120"/>
              <w:ind w:firstLineChars="200" w:firstLine="480"/>
              <w:rPr>
                <w:lang w:eastAsia="zh-CN"/>
              </w:rPr>
            </w:pPr>
            <w:r w:rsidRPr="001678C1">
              <w:rPr>
                <w:rFonts w:cstheme="minorHAnsi" w:hint="eastAsia"/>
                <w:lang w:eastAsia="zh-CN"/>
              </w:rPr>
              <w:t>世界电信发展大会（</w:t>
            </w:r>
            <w:r w:rsidRPr="001678C1">
              <w:rPr>
                <w:rFonts w:cstheme="minorHAnsi" w:hint="eastAsia"/>
                <w:lang w:eastAsia="zh-CN"/>
              </w:rPr>
              <w:t>WTDC</w:t>
            </w:r>
            <w:r w:rsidRPr="001678C1">
              <w:rPr>
                <w:rFonts w:cstheme="minorHAnsi" w:hint="eastAsia"/>
                <w:lang w:eastAsia="zh-CN"/>
              </w:rPr>
              <w:t>）第</w:t>
            </w:r>
            <w:r w:rsidRPr="001678C1">
              <w:rPr>
                <w:rFonts w:cstheme="minorHAnsi" w:hint="eastAsia"/>
                <w:lang w:eastAsia="zh-CN"/>
              </w:rPr>
              <w:t>17</w:t>
            </w:r>
            <w:r w:rsidR="008F1819" w:rsidRPr="001678C1">
              <w:rPr>
                <w:rFonts w:cstheme="minorHAnsi" w:hint="eastAsia"/>
                <w:lang w:eastAsia="zh-CN"/>
              </w:rPr>
              <w:t>号决议</w:t>
            </w:r>
            <w:r>
              <w:rPr>
                <w:rFonts w:cstheme="minorHAnsi" w:hint="eastAsia"/>
                <w:lang w:eastAsia="zh-CN"/>
              </w:rPr>
              <w:t>（</w:t>
            </w:r>
            <w:r>
              <w:rPr>
                <w:rFonts w:cstheme="minorHAnsi" w:hint="eastAsia"/>
                <w:lang w:eastAsia="zh-CN"/>
              </w:rPr>
              <w:t>2</w:t>
            </w:r>
            <w:r>
              <w:rPr>
                <w:rFonts w:cstheme="minorHAnsi"/>
                <w:lang w:eastAsia="zh-CN"/>
              </w:rPr>
              <w:t>022</w:t>
            </w:r>
            <w:r>
              <w:rPr>
                <w:rFonts w:cstheme="minorHAnsi" w:hint="eastAsia"/>
                <w:lang w:eastAsia="zh-CN"/>
              </w:rPr>
              <w:t>年，基加利，修订版）</w:t>
            </w:r>
            <w:r w:rsidRPr="001678C1">
              <w:rPr>
                <w:rFonts w:cstheme="minorHAnsi" w:hint="eastAsia"/>
                <w:lang w:eastAsia="zh-CN"/>
              </w:rPr>
              <w:t>和第</w:t>
            </w:r>
            <w:r w:rsidRPr="001678C1">
              <w:rPr>
                <w:rFonts w:cstheme="minorHAnsi" w:hint="eastAsia"/>
                <w:lang w:eastAsia="zh-CN"/>
              </w:rPr>
              <w:t>52</w:t>
            </w:r>
            <w:r w:rsidRPr="001678C1">
              <w:rPr>
                <w:rFonts w:cstheme="minorHAnsi" w:hint="eastAsia"/>
                <w:lang w:eastAsia="zh-CN"/>
              </w:rPr>
              <w:t>号决议（</w:t>
            </w:r>
            <w:r w:rsidRPr="001678C1">
              <w:rPr>
                <w:rFonts w:cstheme="minorHAnsi" w:hint="eastAsia"/>
                <w:lang w:eastAsia="zh-CN"/>
              </w:rPr>
              <w:t>201</w:t>
            </w:r>
            <w:r>
              <w:rPr>
                <w:rFonts w:cstheme="minorHAnsi"/>
                <w:lang w:eastAsia="zh-CN"/>
              </w:rPr>
              <w:t>4</w:t>
            </w:r>
            <w:r w:rsidRPr="001678C1">
              <w:rPr>
                <w:rFonts w:cstheme="minorHAnsi" w:hint="eastAsia"/>
                <w:lang w:eastAsia="zh-CN"/>
              </w:rPr>
              <w:t>年，</w:t>
            </w:r>
            <w:r>
              <w:rPr>
                <w:rFonts w:cstheme="minorHAnsi" w:hint="eastAsia"/>
                <w:lang w:eastAsia="zh-CN"/>
              </w:rPr>
              <w:t>迪拜</w:t>
            </w:r>
            <w:r w:rsidRPr="001678C1">
              <w:rPr>
                <w:rFonts w:cstheme="minorHAnsi" w:hint="eastAsia"/>
                <w:lang w:eastAsia="zh-CN"/>
              </w:rPr>
              <w:t>，修订版）以及全权代表大会第</w:t>
            </w:r>
            <w:r w:rsidRPr="001678C1">
              <w:rPr>
                <w:rFonts w:cstheme="minorHAnsi" w:hint="eastAsia"/>
                <w:lang w:eastAsia="zh-CN"/>
              </w:rPr>
              <w:t>157</w:t>
            </w:r>
            <w:r w:rsidRPr="001678C1">
              <w:rPr>
                <w:rFonts w:cstheme="minorHAnsi" w:hint="eastAsia"/>
                <w:lang w:eastAsia="zh-CN"/>
              </w:rPr>
              <w:t>号决议（</w:t>
            </w:r>
            <w:r w:rsidRPr="001678C1">
              <w:rPr>
                <w:rFonts w:cstheme="minorHAnsi" w:hint="eastAsia"/>
                <w:lang w:eastAsia="zh-CN"/>
              </w:rPr>
              <w:t>20</w:t>
            </w:r>
            <w:r>
              <w:rPr>
                <w:rFonts w:cstheme="minorHAnsi"/>
                <w:lang w:eastAsia="zh-CN"/>
              </w:rPr>
              <w:t>22</w:t>
            </w:r>
            <w:r w:rsidRPr="001678C1">
              <w:rPr>
                <w:rFonts w:cstheme="minorHAnsi" w:hint="eastAsia"/>
                <w:lang w:eastAsia="zh-CN"/>
              </w:rPr>
              <w:t>年，</w:t>
            </w:r>
            <w:r>
              <w:rPr>
                <w:rFonts w:cstheme="minorHAnsi" w:hint="eastAsia"/>
                <w:lang w:eastAsia="zh-CN"/>
              </w:rPr>
              <w:t>布加勒斯特</w:t>
            </w:r>
            <w:r w:rsidRPr="001678C1">
              <w:rPr>
                <w:rFonts w:cstheme="minorHAnsi" w:hint="eastAsia"/>
                <w:lang w:eastAsia="zh-CN"/>
              </w:rPr>
              <w:t>，修订版）。</w:t>
            </w:r>
            <w:r w:rsidR="00BF6250" w:rsidRPr="00BF6250">
              <w:rPr>
                <w:rFonts w:cstheme="minorHAnsi" w:hint="eastAsia"/>
                <w:lang w:eastAsia="zh-CN"/>
              </w:rPr>
              <w:t>国际电联理事会第</w:t>
            </w:r>
            <w:r w:rsidR="00BF6250" w:rsidRPr="00BF6250">
              <w:rPr>
                <w:rFonts w:cstheme="minorHAnsi" w:hint="eastAsia"/>
                <w:lang w:eastAsia="zh-CN"/>
              </w:rPr>
              <w:t>1418</w:t>
            </w:r>
            <w:r w:rsidR="00BF6250" w:rsidRPr="00BF6250">
              <w:rPr>
                <w:rFonts w:cstheme="minorHAnsi" w:hint="eastAsia"/>
                <w:lang w:eastAsia="zh-CN"/>
              </w:rPr>
              <w:t>号决议。</w:t>
            </w:r>
          </w:p>
        </w:tc>
      </w:tr>
    </w:tbl>
    <w:p w14:paraId="28B38B44" w14:textId="0AF27D42" w:rsidR="00BD6AF0" w:rsidRDefault="00BD6AF0">
      <w:pPr>
        <w:tabs>
          <w:tab w:val="clear" w:pos="794"/>
          <w:tab w:val="clear" w:pos="1191"/>
          <w:tab w:val="clear" w:pos="1588"/>
          <w:tab w:val="clear" w:pos="1985"/>
        </w:tabs>
        <w:overflowPunct/>
        <w:autoSpaceDE/>
        <w:autoSpaceDN/>
        <w:adjustRightInd/>
        <w:spacing w:before="0"/>
        <w:textAlignment w:val="auto"/>
        <w:rPr>
          <w:b/>
          <w:szCs w:val="24"/>
          <w:lang w:eastAsia="zh-CN"/>
        </w:rPr>
      </w:pPr>
    </w:p>
    <w:p w14:paraId="2E6753F1" w14:textId="77777777" w:rsidR="00BD6AF0" w:rsidRDefault="00BD6AF0">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14:paraId="647C154F" w14:textId="13BC0061" w:rsidR="00915BF5" w:rsidRPr="00906CDF" w:rsidRDefault="00906CDF" w:rsidP="00ED5FD6">
      <w:pPr>
        <w:pStyle w:val="Heading1"/>
        <w:rPr>
          <w:lang w:eastAsia="zh-CN"/>
        </w:rPr>
      </w:pPr>
      <w:r w:rsidRPr="00906CDF">
        <w:rPr>
          <w:rFonts w:hint="eastAsia"/>
          <w:lang w:eastAsia="zh-CN"/>
        </w:rPr>
        <w:lastRenderedPageBreak/>
        <w:t>1</w:t>
      </w:r>
      <w:r w:rsidRPr="00906CDF">
        <w:rPr>
          <w:lang w:eastAsia="zh-CN"/>
        </w:rPr>
        <w:tab/>
      </w:r>
      <w:r w:rsidR="00546A48" w:rsidRPr="00ED5FD6">
        <w:rPr>
          <w:rFonts w:hint="eastAsia"/>
          <w:lang w:eastAsia="zh-CN"/>
        </w:rPr>
        <w:t>引言</w:t>
      </w:r>
    </w:p>
    <w:p w14:paraId="4E70CFE4" w14:textId="04132F11" w:rsidR="00915BF5" w:rsidRPr="009B7B36" w:rsidRDefault="00207F24" w:rsidP="00906CDF">
      <w:pPr>
        <w:pStyle w:val="ListParagraph"/>
        <w:spacing w:after="120"/>
        <w:ind w:left="0" w:firstLineChars="200" w:firstLine="480"/>
        <w:contextualSpacing w:val="0"/>
        <w:rPr>
          <w:rFonts w:cstheme="minorHAnsi"/>
          <w:szCs w:val="24"/>
          <w:lang w:eastAsia="zh-CN"/>
        </w:rPr>
      </w:pPr>
      <w:r w:rsidRPr="00207F24">
        <w:rPr>
          <w:rFonts w:cstheme="minorHAnsi" w:hint="eastAsia"/>
          <w:szCs w:val="24"/>
          <w:lang w:eastAsia="zh-CN"/>
        </w:rPr>
        <w:t>根据世界电信发展大会（</w:t>
      </w:r>
      <w:r w:rsidRPr="00207F24">
        <w:rPr>
          <w:rFonts w:cstheme="minorHAnsi" w:hint="eastAsia"/>
          <w:szCs w:val="24"/>
          <w:lang w:eastAsia="zh-CN"/>
        </w:rPr>
        <w:t>WTDC</w:t>
      </w:r>
      <w:r w:rsidRPr="00207F24">
        <w:rPr>
          <w:rFonts w:cstheme="minorHAnsi" w:hint="eastAsia"/>
          <w:szCs w:val="24"/>
          <w:lang w:eastAsia="zh-CN"/>
        </w:rPr>
        <w:t>）第</w:t>
      </w:r>
      <w:r w:rsidRPr="00207F24">
        <w:rPr>
          <w:rFonts w:cstheme="minorHAnsi" w:hint="eastAsia"/>
          <w:szCs w:val="24"/>
          <w:lang w:eastAsia="zh-CN"/>
        </w:rPr>
        <w:t>17</w:t>
      </w:r>
      <w:r w:rsidR="008F1819" w:rsidRPr="00207F24">
        <w:rPr>
          <w:rFonts w:cstheme="minorHAnsi" w:hint="eastAsia"/>
          <w:szCs w:val="24"/>
          <w:lang w:eastAsia="zh-CN"/>
        </w:rPr>
        <w:t>号决议</w:t>
      </w:r>
      <w:r>
        <w:rPr>
          <w:rFonts w:cstheme="minorHAnsi" w:hint="eastAsia"/>
          <w:szCs w:val="24"/>
          <w:lang w:eastAsia="zh-CN"/>
        </w:rPr>
        <w:t>（</w:t>
      </w:r>
      <w:r>
        <w:rPr>
          <w:rFonts w:cstheme="minorHAnsi" w:hint="eastAsia"/>
          <w:szCs w:val="24"/>
          <w:lang w:eastAsia="zh-CN"/>
        </w:rPr>
        <w:t>2</w:t>
      </w:r>
      <w:r>
        <w:rPr>
          <w:rFonts w:cstheme="minorHAnsi"/>
          <w:szCs w:val="24"/>
          <w:lang w:eastAsia="zh-CN"/>
        </w:rPr>
        <w:t>022</w:t>
      </w:r>
      <w:r>
        <w:rPr>
          <w:rFonts w:cstheme="minorHAnsi" w:hint="eastAsia"/>
          <w:szCs w:val="24"/>
          <w:lang w:eastAsia="zh-CN"/>
        </w:rPr>
        <w:t>年，基加利，修订版）</w:t>
      </w:r>
      <w:r w:rsidRPr="00207F24">
        <w:rPr>
          <w:rFonts w:cstheme="minorHAnsi" w:hint="eastAsia"/>
          <w:szCs w:val="24"/>
          <w:lang w:eastAsia="zh-CN"/>
        </w:rPr>
        <w:t>和</w:t>
      </w:r>
      <w:r>
        <w:rPr>
          <w:rFonts w:cstheme="minorHAnsi" w:hint="eastAsia"/>
          <w:szCs w:val="24"/>
          <w:lang w:eastAsia="zh-CN"/>
        </w:rPr>
        <w:t>第</w:t>
      </w:r>
      <w:r w:rsidRPr="00207F24">
        <w:rPr>
          <w:rFonts w:cstheme="minorHAnsi" w:hint="eastAsia"/>
          <w:szCs w:val="24"/>
          <w:lang w:eastAsia="zh-CN"/>
        </w:rPr>
        <w:t>52</w:t>
      </w:r>
      <w:r w:rsidRPr="00207F24">
        <w:rPr>
          <w:rFonts w:cstheme="minorHAnsi" w:hint="eastAsia"/>
          <w:szCs w:val="24"/>
          <w:lang w:eastAsia="zh-CN"/>
        </w:rPr>
        <w:t>号决议（</w:t>
      </w:r>
      <w:r w:rsidRPr="00207F24">
        <w:rPr>
          <w:rFonts w:cstheme="minorHAnsi" w:hint="eastAsia"/>
          <w:szCs w:val="24"/>
          <w:lang w:eastAsia="zh-CN"/>
        </w:rPr>
        <w:t>201</w:t>
      </w:r>
      <w:r>
        <w:rPr>
          <w:rFonts w:cstheme="minorHAnsi"/>
          <w:szCs w:val="24"/>
          <w:lang w:eastAsia="zh-CN"/>
        </w:rPr>
        <w:t>4</w:t>
      </w:r>
      <w:r w:rsidRPr="00207F24">
        <w:rPr>
          <w:rFonts w:cstheme="minorHAnsi" w:hint="eastAsia"/>
          <w:szCs w:val="24"/>
          <w:lang w:eastAsia="zh-CN"/>
        </w:rPr>
        <w:t>年，</w:t>
      </w:r>
      <w:r>
        <w:rPr>
          <w:rFonts w:cstheme="minorHAnsi" w:hint="eastAsia"/>
          <w:szCs w:val="24"/>
          <w:lang w:eastAsia="zh-CN"/>
        </w:rPr>
        <w:t>迪拜</w:t>
      </w:r>
      <w:r w:rsidRPr="00207F24">
        <w:rPr>
          <w:rFonts w:cstheme="minorHAnsi" w:hint="eastAsia"/>
          <w:szCs w:val="24"/>
          <w:lang w:eastAsia="zh-CN"/>
        </w:rPr>
        <w:t>，修订版）和全权代表大会第</w:t>
      </w:r>
      <w:r w:rsidRPr="00207F24">
        <w:rPr>
          <w:rFonts w:cstheme="minorHAnsi" w:hint="eastAsia"/>
          <w:szCs w:val="24"/>
          <w:lang w:eastAsia="zh-CN"/>
        </w:rPr>
        <w:t>157</w:t>
      </w:r>
      <w:r w:rsidRPr="00207F24">
        <w:rPr>
          <w:rFonts w:cstheme="minorHAnsi" w:hint="eastAsia"/>
          <w:szCs w:val="24"/>
          <w:lang w:eastAsia="zh-CN"/>
        </w:rPr>
        <w:t>号决议（</w:t>
      </w:r>
      <w:r w:rsidRPr="00207F24">
        <w:rPr>
          <w:rFonts w:cstheme="minorHAnsi" w:hint="eastAsia"/>
          <w:szCs w:val="24"/>
          <w:lang w:eastAsia="zh-CN"/>
        </w:rPr>
        <w:t>20</w:t>
      </w:r>
      <w:r>
        <w:rPr>
          <w:rFonts w:cstheme="minorHAnsi"/>
          <w:szCs w:val="24"/>
          <w:lang w:eastAsia="zh-CN"/>
        </w:rPr>
        <w:t>22</w:t>
      </w:r>
      <w:r w:rsidRPr="00207F24">
        <w:rPr>
          <w:rFonts w:cstheme="minorHAnsi" w:hint="eastAsia"/>
          <w:szCs w:val="24"/>
          <w:lang w:eastAsia="zh-CN"/>
        </w:rPr>
        <w:t>年，</w:t>
      </w:r>
      <w:r>
        <w:rPr>
          <w:rFonts w:cstheme="minorHAnsi" w:hint="eastAsia"/>
          <w:szCs w:val="24"/>
          <w:lang w:eastAsia="zh-CN"/>
        </w:rPr>
        <w:t>布加勒斯特</w:t>
      </w:r>
      <w:r w:rsidRPr="00207F24">
        <w:rPr>
          <w:rFonts w:cstheme="minorHAnsi" w:hint="eastAsia"/>
          <w:szCs w:val="24"/>
          <w:lang w:eastAsia="zh-CN"/>
        </w:rPr>
        <w:t>，修订版），国际电</w:t>
      </w:r>
      <w:proofErr w:type="gramStart"/>
      <w:r w:rsidRPr="00207F24">
        <w:rPr>
          <w:rFonts w:cstheme="minorHAnsi" w:hint="eastAsia"/>
          <w:szCs w:val="24"/>
          <w:lang w:eastAsia="zh-CN"/>
        </w:rPr>
        <w:t>联电信</w:t>
      </w:r>
      <w:proofErr w:type="gramEnd"/>
      <w:r w:rsidRPr="00207F24">
        <w:rPr>
          <w:rFonts w:cstheme="minorHAnsi" w:hint="eastAsia"/>
          <w:szCs w:val="24"/>
          <w:lang w:eastAsia="zh-CN"/>
        </w:rPr>
        <w:t>发展局（</w:t>
      </w:r>
      <w:r w:rsidRPr="00207F24">
        <w:rPr>
          <w:rFonts w:cstheme="minorHAnsi" w:hint="eastAsia"/>
          <w:szCs w:val="24"/>
          <w:lang w:eastAsia="zh-CN"/>
        </w:rPr>
        <w:t>BDT</w:t>
      </w:r>
      <w:r w:rsidRPr="00207F24">
        <w:rPr>
          <w:rFonts w:cstheme="minorHAnsi" w:hint="eastAsia"/>
          <w:szCs w:val="24"/>
          <w:lang w:eastAsia="zh-CN"/>
        </w:rPr>
        <w:t>）承担履行国际电联联合国开发系统或其它资金安排的项目实施职责，以便通过提供、组织和协调技术合作与援助活动，促进和强化电信</w:t>
      </w:r>
      <w:r w:rsidRPr="00207F24">
        <w:rPr>
          <w:rFonts w:cstheme="minorHAnsi" w:hint="eastAsia"/>
          <w:szCs w:val="24"/>
          <w:lang w:eastAsia="zh-CN"/>
        </w:rPr>
        <w:t>/</w:t>
      </w:r>
      <w:r w:rsidRPr="00207F24">
        <w:rPr>
          <w:rFonts w:cstheme="minorHAnsi" w:hint="eastAsia"/>
          <w:szCs w:val="24"/>
          <w:lang w:eastAsia="zh-CN"/>
        </w:rPr>
        <w:t>信息通信技术（</w:t>
      </w:r>
      <w:r w:rsidRPr="00207F24">
        <w:rPr>
          <w:rFonts w:cstheme="minorHAnsi" w:hint="eastAsia"/>
          <w:szCs w:val="24"/>
          <w:lang w:eastAsia="zh-CN"/>
        </w:rPr>
        <w:t>ICT</w:t>
      </w:r>
      <w:r w:rsidRPr="00207F24">
        <w:rPr>
          <w:rFonts w:cstheme="minorHAnsi" w:hint="eastAsia"/>
          <w:szCs w:val="24"/>
          <w:lang w:eastAsia="zh-CN"/>
        </w:rPr>
        <w:t>）的发展。本报告概述了</w:t>
      </w:r>
      <w:r w:rsidRPr="00207F24">
        <w:rPr>
          <w:rFonts w:cstheme="minorHAnsi" w:hint="eastAsia"/>
          <w:szCs w:val="24"/>
          <w:lang w:eastAsia="zh-CN"/>
        </w:rPr>
        <w:t>202</w:t>
      </w:r>
      <w:r w:rsidR="00B04CAC">
        <w:rPr>
          <w:rFonts w:cstheme="minorHAnsi"/>
          <w:szCs w:val="24"/>
          <w:lang w:eastAsia="zh-CN"/>
        </w:rPr>
        <w:t>3</w:t>
      </w:r>
      <w:r w:rsidRPr="00207F24">
        <w:rPr>
          <w:rFonts w:cstheme="minorHAnsi" w:hint="eastAsia"/>
          <w:szCs w:val="24"/>
          <w:lang w:eastAsia="zh-CN"/>
        </w:rPr>
        <w:t>年期间</w:t>
      </w:r>
      <w:r w:rsidR="00366FD2">
        <w:rPr>
          <w:rFonts w:cstheme="minorHAnsi" w:hint="eastAsia"/>
          <w:szCs w:val="24"/>
          <w:lang w:eastAsia="zh-CN"/>
        </w:rPr>
        <w:t>正在开展的</w:t>
      </w:r>
      <w:r w:rsidRPr="00207F24">
        <w:rPr>
          <w:rFonts w:cstheme="minorHAnsi" w:hint="eastAsia"/>
          <w:szCs w:val="24"/>
          <w:lang w:eastAsia="zh-CN"/>
        </w:rPr>
        <w:t>国际电</w:t>
      </w:r>
      <w:proofErr w:type="gramStart"/>
      <w:r w:rsidRPr="00207F24">
        <w:rPr>
          <w:rFonts w:cstheme="minorHAnsi" w:hint="eastAsia"/>
          <w:szCs w:val="24"/>
          <w:lang w:eastAsia="zh-CN"/>
        </w:rPr>
        <w:t>联项目</w:t>
      </w:r>
      <w:proofErr w:type="gramEnd"/>
      <w:r w:rsidRPr="00207F24">
        <w:rPr>
          <w:rFonts w:cstheme="minorHAnsi" w:hint="eastAsia"/>
          <w:szCs w:val="24"/>
          <w:lang w:eastAsia="zh-CN"/>
        </w:rPr>
        <w:t>组合的状况</w:t>
      </w:r>
      <w:r w:rsidR="00B04CAC">
        <w:rPr>
          <w:rStyle w:val="FootnoteReference"/>
          <w:rFonts w:cstheme="minorHAnsi"/>
          <w:szCs w:val="18"/>
        </w:rPr>
        <w:footnoteReference w:id="1"/>
      </w:r>
      <w:r w:rsidRPr="00207F24">
        <w:rPr>
          <w:rFonts w:cstheme="minorHAnsi" w:hint="eastAsia"/>
          <w:szCs w:val="24"/>
          <w:lang w:eastAsia="zh-CN"/>
        </w:rPr>
        <w:t>。</w:t>
      </w:r>
    </w:p>
    <w:p w14:paraId="58E446BA" w14:textId="7B3ED0C8" w:rsidR="00915BF5" w:rsidRPr="00850CD8" w:rsidRDefault="00154F97" w:rsidP="00ED5FD6">
      <w:pPr>
        <w:pStyle w:val="Heading1"/>
        <w:rPr>
          <w:lang w:eastAsia="zh-CN"/>
        </w:rPr>
      </w:pPr>
      <w:r>
        <w:rPr>
          <w:lang w:eastAsia="zh-CN"/>
        </w:rPr>
        <w:t>2</w:t>
      </w:r>
      <w:r w:rsidR="00850CD8">
        <w:rPr>
          <w:lang w:eastAsia="zh-CN"/>
        </w:rPr>
        <w:tab/>
      </w:r>
      <w:r w:rsidR="00546A48" w:rsidRPr="00850CD8">
        <w:rPr>
          <w:rFonts w:hint="eastAsia"/>
          <w:lang w:eastAsia="zh-CN"/>
        </w:rPr>
        <w:t>国际电联项目组合：正在</w:t>
      </w:r>
      <w:r w:rsidR="00546A48" w:rsidRPr="00ED5FD6">
        <w:rPr>
          <w:rFonts w:hint="eastAsia"/>
          <w:lang w:eastAsia="zh-CN"/>
        </w:rPr>
        <w:t>开展</w:t>
      </w:r>
      <w:r w:rsidR="00546A48" w:rsidRPr="00850CD8">
        <w:rPr>
          <w:rFonts w:hint="eastAsia"/>
          <w:lang w:eastAsia="zh-CN"/>
        </w:rPr>
        <w:t>的项目</w:t>
      </w:r>
    </w:p>
    <w:p w14:paraId="487A32CC" w14:textId="2BF46ED8" w:rsidR="00915BF5" w:rsidRPr="007F3BBB" w:rsidRDefault="00154F97" w:rsidP="00ED5FD6">
      <w:pPr>
        <w:pStyle w:val="Heading2"/>
        <w:rPr>
          <w:lang w:eastAsia="zh-CN"/>
        </w:rPr>
      </w:pPr>
      <w:r>
        <w:rPr>
          <w:lang w:eastAsia="zh-CN"/>
        </w:rPr>
        <w:t>2</w:t>
      </w:r>
      <w:r w:rsidR="00850CD8" w:rsidRPr="007F3BBB">
        <w:rPr>
          <w:lang w:eastAsia="zh-CN"/>
        </w:rPr>
        <w:t>.1</w:t>
      </w:r>
      <w:r w:rsidR="00850CD8" w:rsidRPr="007F3BBB">
        <w:rPr>
          <w:lang w:eastAsia="zh-CN"/>
        </w:rPr>
        <w:tab/>
      </w:r>
      <w:r w:rsidR="00546A48" w:rsidRPr="007F3BBB">
        <w:rPr>
          <w:rFonts w:hint="eastAsia"/>
          <w:lang w:eastAsia="zh-CN"/>
        </w:rPr>
        <w:t>概况和区域分布</w:t>
      </w:r>
    </w:p>
    <w:p w14:paraId="12FBA529" w14:textId="60EF9DB5" w:rsidR="00915BF5" w:rsidRPr="003403B1" w:rsidRDefault="000218A6" w:rsidP="00850CD8">
      <w:pPr>
        <w:spacing w:after="120"/>
        <w:ind w:firstLineChars="200" w:firstLine="480"/>
        <w:rPr>
          <w:rFonts w:cstheme="minorHAnsi"/>
          <w:lang w:val="en-US" w:eastAsia="zh-CN"/>
        </w:rPr>
      </w:pPr>
      <w:r w:rsidRPr="000218A6">
        <w:rPr>
          <w:rFonts w:cstheme="minorHAnsi" w:hint="eastAsia"/>
          <w:lang w:eastAsia="zh-CN"/>
        </w:rPr>
        <w:t>202</w:t>
      </w:r>
      <w:r w:rsidR="00154F97">
        <w:rPr>
          <w:rFonts w:cstheme="minorHAnsi"/>
          <w:lang w:eastAsia="zh-CN"/>
        </w:rPr>
        <w:t>3</w:t>
      </w:r>
      <w:r w:rsidRPr="000218A6">
        <w:rPr>
          <w:rFonts w:cstheme="minorHAnsi" w:hint="eastAsia"/>
          <w:lang w:eastAsia="zh-CN"/>
        </w:rPr>
        <w:t>年，</w:t>
      </w:r>
      <w:r w:rsidR="00154F97">
        <w:rPr>
          <w:rFonts w:cstheme="minorHAnsi" w:hint="eastAsia"/>
          <w:lang w:eastAsia="zh-CN"/>
        </w:rPr>
        <w:t>电信发展局</w:t>
      </w:r>
      <w:r w:rsidR="00366FD2">
        <w:rPr>
          <w:rFonts w:cstheme="minorHAnsi" w:hint="eastAsia"/>
          <w:lang w:eastAsia="zh-CN"/>
        </w:rPr>
        <w:t>实施了</w:t>
      </w:r>
      <w:r w:rsidR="00366FD2">
        <w:rPr>
          <w:rFonts w:cstheme="minorHAnsi" w:hint="eastAsia"/>
          <w:lang w:eastAsia="zh-CN"/>
        </w:rPr>
        <w:t>8</w:t>
      </w:r>
      <w:r w:rsidR="00154F97">
        <w:rPr>
          <w:rFonts w:cstheme="minorHAnsi"/>
          <w:lang w:eastAsia="zh-CN"/>
        </w:rPr>
        <w:t>7</w:t>
      </w:r>
      <w:r w:rsidR="00366FD2">
        <w:rPr>
          <w:rFonts w:cstheme="minorHAnsi" w:hint="eastAsia"/>
          <w:lang w:eastAsia="zh-CN"/>
        </w:rPr>
        <w:t>个</w:t>
      </w:r>
      <w:r w:rsidRPr="000218A6">
        <w:rPr>
          <w:rFonts w:cstheme="minorHAnsi" w:hint="eastAsia"/>
          <w:lang w:eastAsia="zh-CN"/>
        </w:rPr>
        <w:t>项目，价值</w:t>
      </w:r>
      <w:proofErr w:type="gramStart"/>
      <w:r w:rsidR="00154F97" w:rsidRPr="00154F97">
        <w:rPr>
          <w:rFonts w:cstheme="minorHAnsi" w:hint="eastAsia"/>
          <w:lang w:eastAsia="zh-CN"/>
        </w:rPr>
        <w:t>1.064</w:t>
      </w:r>
      <w:r w:rsidR="00154F97" w:rsidRPr="00154F97">
        <w:rPr>
          <w:rFonts w:cstheme="minorHAnsi" w:hint="eastAsia"/>
          <w:lang w:eastAsia="zh-CN"/>
        </w:rPr>
        <w:t>亿</w:t>
      </w:r>
      <w:r w:rsidRPr="000218A6">
        <w:rPr>
          <w:rFonts w:cstheme="minorHAnsi" w:hint="eastAsia"/>
          <w:lang w:eastAsia="zh-CN"/>
        </w:rPr>
        <w:t>瑞士法郎。图</w:t>
      </w:r>
      <w:proofErr w:type="gramEnd"/>
      <w:r w:rsidR="00154F97">
        <w:rPr>
          <w:rFonts w:cstheme="minorHAnsi"/>
          <w:lang w:eastAsia="zh-CN"/>
        </w:rPr>
        <w:t>1</w:t>
      </w:r>
      <w:r w:rsidRPr="000218A6">
        <w:rPr>
          <w:rFonts w:cstheme="minorHAnsi" w:hint="eastAsia"/>
          <w:lang w:eastAsia="zh-CN"/>
        </w:rPr>
        <w:t>显示了这些项目组合按地区的总体分布，以及</w:t>
      </w:r>
      <w:r>
        <w:rPr>
          <w:rFonts w:cstheme="minorHAnsi" w:hint="eastAsia"/>
          <w:lang w:eastAsia="zh-CN"/>
        </w:rPr>
        <w:t>(</w:t>
      </w:r>
      <w:r>
        <w:rPr>
          <w:rFonts w:cstheme="minorHAnsi"/>
          <w:lang w:eastAsia="zh-CN"/>
        </w:rPr>
        <w:t>1)</w:t>
      </w:r>
      <w:r w:rsidR="00292003">
        <w:rPr>
          <w:rFonts w:cstheme="minorHAnsi"/>
          <w:lang w:eastAsia="zh-CN"/>
        </w:rPr>
        <w:t xml:space="preserve"> </w:t>
      </w:r>
      <w:r>
        <w:rPr>
          <w:rFonts w:cstheme="minorHAnsi" w:hint="eastAsia"/>
          <w:lang w:eastAsia="zh-CN"/>
        </w:rPr>
        <w:t>为支持这些项目的实施而筹集的资金，</w:t>
      </w:r>
      <w:r>
        <w:rPr>
          <w:rFonts w:cstheme="minorHAnsi" w:hint="eastAsia"/>
          <w:lang w:eastAsia="zh-CN"/>
        </w:rPr>
        <w:t>(</w:t>
      </w:r>
      <w:r>
        <w:rPr>
          <w:rFonts w:cstheme="minorHAnsi"/>
          <w:lang w:eastAsia="zh-CN"/>
        </w:rPr>
        <w:t>2)</w:t>
      </w:r>
      <w:r w:rsidR="003403B1">
        <w:rPr>
          <w:rFonts w:cstheme="minorHAnsi"/>
          <w:lang w:eastAsia="zh-CN"/>
        </w:rPr>
        <w:t xml:space="preserve"> </w:t>
      </w:r>
      <w:r w:rsidR="00154F97" w:rsidRPr="00154F97">
        <w:rPr>
          <w:rFonts w:cstheme="minorHAnsi" w:hint="eastAsia"/>
          <w:lang w:eastAsia="zh-CN"/>
        </w:rPr>
        <w:t>国际电联从</w:t>
      </w:r>
      <w:r w:rsidR="00154F97" w:rsidRPr="00154F97">
        <w:rPr>
          <w:rFonts w:cstheme="minorHAnsi" w:hint="eastAsia"/>
          <w:lang w:eastAsia="zh-CN"/>
        </w:rPr>
        <w:t>ICT</w:t>
      </w:r>
      <w:r w:rsidR="00154F97" w:rsidRPr="00154F97">
        <w:rPr>
          <w:rFonts w:cstheme="minorHAnsi" w:hint="eastAsia"/>
          <w:lang w:eastAsia="zh-CN"/>
        </w:rPr>
        <w:t>发展基金（</w:t>
      </w:r>
      <w:r w:rsidR="00154F97" w:rsidRPr="00154F97">
        <w:rPr>
          <w:rFonts w:cstheme="minorHAnsi" w:hint="eastAsia"/>
          <w:lang w:eastAsia="zh-CN"/>
        </w:rPr>
        <w:t>ICT-DF</w:t>
      </w:r>
      <w:r w:rsidR="00154F97" w:rsidRPr="00154F97">
        <w:rPr>
          <w:rFonts w:cstheme="minorHAnsi" w:hint="eastAsia"/>
          <w:lang w:eastAsia="zh-CN"/>
        </w:rPr>
        <w:t>）或</w:t>
      </w:r>
      <w:r w:rsidR="00154F97">
        <w:rPr>
          <w:rFonts w:cstheme="minorHAnsi" w:hint="eastAsia"/>
          <w:lang w:eastAsia="zh-CN"/>
        </w:rPr>
        <w:t>为</w:t>
      </w:r>
      <w:r w:rsidR="00154F97" w:rsidRPr="00154F97">
        <w:rPr>
          <w:rFonts w:cstheme="minorHAnsi" w:hint="eastAsia"/>
          <w:lang w:eastAsia="zh-CN"/>
        </w:rPr>
        <w:t>支持落实</w:t>
      </w:r>
      <w:r w:rsidR="00154F97" w:rsidRPr="00154F97">
        <w:rPr>
          <w:rFonts w:cstheme="minorHAnsi" w:hint="eastAsia"/>
          <w:lang w:eastAsia="zh-CN"/>
        </w:rPr>
        <w:t>WTDC-17</w:t>
      </w:r>
      <w:r w:rsidR="00154F97" w:rsidRPr="00154F97">
        <w:rPr>
          <w:rFonts w:cstheme="minorHAnsi" w:hint="eastAsia"/>
          <w:lang w:eastAsia="zh-CN"/>
        </w:rPr>
        <w:t>和</w:t>
      </w:r>
      <w:r w:rsidR="00154F97" w:rsidRPr="00154F97">
        <w:rPr>
          <w:rFonts w:cstheme="minorHAnsi" w:hint="eastAsia"/>
          <w:lang w:eastAsia="zh-CN"/>
        </w:rPr>
        <w:t>WTDC-22</w:t>
      </w:r>
      <w:r w:rsidR="00154F97" w:rsidRPr="00154F97">
        <w:rPr>
          <w:rFonts w:cstheme="minorHAnsi" w:hint="eastAsia"/>
          <w:lang w:eastAsia="zh-CN"/>
        </w:rPr>
        <w:t>区域性举措</w:t>
      </w:r>
      <w:r w:rsidR="00154F97">
        <w:rPr>
          <w:rFonts w:cstheme="minorHAnsi" w:hint="eastAsia"/>
          <w:lang w:eastAsia="zh-CN"/>
        </w:rPr>
        <w:t>（</w:t>
      </w:r>
      <w:r w:rsidR="00154F97">
        <w:rPr>
          <w:rFonts w:cstheme="minorHAnsi" w:hint="eastAsia"/>
          <w:lang w:eastAsia="zh-CN"/>
        </w:rPr>
        <w:t>RI</w:t>
      </w:r>
      <w:r w:rsidR="00154F97">
        <w:rPr>
          <w:rFonts w:cstheme="minorHAnsi" w:hint="eastAsia"/>
          <w:lang w:eastAsia="zh-CN"/>
        </w:rPr>
        <w:t>）而从</w:t>
      </w:r>
      <w:r w:rsidR="00154F97" w:rsidRPr="00154F97">
        <w:rPr>
          <w:rFonts w:cstheme="minorHAnsi" w:hint="eastAsia"/>
          <w:lang w:eastAsia="zh-CN"/>
        </w:rPr>
        <w:t>其他国际电联基金拨出的种子资金</w:t>
      </w:r>
      <w:r w:rsidR="00E82BE0">
        <w:rPr>
          <w:rFonts w:cstheme="minorHAnsi" w:hint="eastAsia"/>
          <w:lang w:eastAsia="zh-CN"/>
        </w:rPr>
        <w:t>的</w:t>
      </w:r>
      <w:r w:rsidRPr="000218A6">
        <w:rPr>
          <w:rFonts w:cstheme="minorHAnsi" w:hint="eastAsia"/>
          <w:lang w:eastAsia="zh-CN"/>
        </w:rPr>
        <w:t>概况。</w:t>
      </w:r>
    </w:p>
    <w:p w14:paraId="7D2D68A0" w14:textId="5C5840D3" w:rsidR="00366FD2" w:rsidRPr="00366FD2" w:rsidRDefault="00546A48" w:rsidP="00292003">
      <w:pPr>
        <w:pStyle w:val="Tabletitle"/>
        <w:rPr>
          <w:sz w:val="40"/>
          <w:szCs w:val="32"/>
          <w:lang w:eastAsia="zh-CN"/>
        </w:rPr>
      </w:pPr>
      <w:r>
        <w:rPr>
          <w:rFonts w:hint="eastAsia"/>
          <w:lang w:eastAsia="zh-CN"/>
        </w:rPr>
        <w:t>图</w:t>
      </w:r>
      <w:r w:rsidR="00154F97">
        <w:rPr>
          <w:lang w:eastAsia="zh-CN"/>
        </w:rPr>
        <w:t>1</w:t>
      </w:r>
      <w:r w:rsidR="00915BF5" w:rsidRPr="006C3AE6">
        <w:rPr>
          <w:lang w:eastAsia="zh-CN"/>
        </w:rPr>
        <w:t xml:space="preserve"> – </w:t>
      </w:r>
      <w:r>
        <w:rPr>
          <w:rFonts w:hint="eastAsia"/>
          <w:lang w:eastAsia="zh-CN"/>
        </w:rPr>
        <w:t>按区域分列的正在进行的国际电</w:t>
      </w:r>
      <w:proofErr w:type="gramStart"/>
      <w:r>
        <w:rPr>
          <w:rFonts w:hint="eastAsia"/>
          <w:lang w:eastAsia="zh-CN"/>
        </w:rPr>
        <w:t>联项目</w:t>
      </w:r>
      <w:proofErr w:type="gramEnd"/>
      <w:r>
        <w:rPr>
          <w:rFonts w:hint="eastAsia"/>
          <w:lang w:eastAsia="zh-CN"/>
        </w:rPr>
        <w:t>概况（单位：千瑞士法郎）</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80"/>
        <w:gridCol w:w="964"/>
        <w:gridCol w:w="1285"/>
        <w:gridCol w:w="1446"/>
        <w:gridCol w:w="1606"/>
        <w:gridCol w:w="1604"/>
      </w:tblGrid>
      <w:tr w:rsidR="00366FD2" w:rsidRPr="00277E7F" w14:paraId="1D316356" w14:textId="77777777" w:rsidTr="008F1819">
        <w:trPr>
          <w:trHeight w:val="852"/>
          <w:jc w:val="center"/>
        </w:trPr>
        <w:tc>
          <w:tcPr>
            <w:tcW w:w="1129" w:type="dxa"/>
            <w:shd w:val="clear" w:color="auto" w:fill="4F81BD" w:themeFill="accent1"/>
            <w:noWrap/>
            <w:vAlign w:val="center"/>
            <w:hideMark/>
          </w:tcPr>
          <w:p w14:paraId="72F3AF56" w14:textId="6B713407"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区域</w:t>
            </w:r>
          </w:p>
        </w:tc>
        <w:tc>
          <w:tcPr>
            <w:tcW w:w="851" w:type="dxa"/>
            <w:shd w:val="clear" w:color="auto" w:fill="4F81BD" w:themeFill="accent1"/>
            <w:noWrap/>
            <w:vAlign w:val="center"/>
            <w:hideMark/>
          </w:tcPr>
          <w:p w14:paraId="099A58A0" w14:textId="6F0155DF"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项目</w:t>
            </w:r>
            <w:r w:rsidR="008F1819">
              <w:rPr>
                <w:rFonts w:cstheme="minorHAnsi"/>
                <w:b/>
                <w:bCs/>
                <w:color w:val="FFFFFF" w:themeColor="background1"/>
                <w:sz w:val="20"/>
                <w:lang w:val="en-US" w:eastAsia="zh-CN"/>
              </w:rPr>
              <w:br/>
            </w:r>
            <w:r>
              <w:rPr>
                <w:rFonts w:cstheme="minorHAnsi" w:hint="eastAsia"/>
                <w:b/>
                <w:bCs/>
                <w:color w:val="FFFFFF" w:themeColor="background1"/>
                <w:sz w:val="20"/>
                <w:lang w:eastAsia="zh-CN"/>
              </w:rPr>
              <w:t>数量</w:t>
            </w:r>
          </w:p>
        </w:tc>
        <w:tc>
          <w:tcPr>
            <w:tcW w:w="1134" w:type="dxa"/>
            <w:shd w:val="clear" w:color="auto" w:fill="4F81BD" w:themeFill="accent1"/>
            <w:noWrap/>
            <w:vAlign w:val="center"/>
            <w:hideMark/>
          </w:tcPr>
          <w:p w14:paraId="0146B8A3" w14:textId="17D09149"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来自伙伴的出资</w:t>
            </w:r>
          </w:p>
        </w:tc>
        <w:tc>
          <w:tcPr>
            <w:tcW w:w="1276" w:type="dxa"/>
            <w:shd w:val="clear" w:color="auto" w:fill="4F81BD" w:themeFill="accent1"/>
            <w:noWrap/>
            <w:vAlign w:val="center"/>
          </w:tcPr>
          <w:p w14:paraId="1125F5C6" w14:textId="08BF0F16"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国际电联</w:t>
            </w:r>
            <w:r w:rsidR="00ED5FD6">
              <w:rPr>
                <w:rFonts w:cstheme="minorHAnsi"/>
                <w:b/>
                <w:bCs/>
                <w:color w:val="FFFFFF" w:themeColor="background1"/>
                <w:sz w:val="20"/>
                <w:lang w:eastAsia="zh-CN"/>
              </w:rPr>
              <w:br/>
            </w:r>
            <w:r>
              <w:rPr>
                <w:rFonts w:cstheme="minorHAnsi" w:hint="eastAsia"/>
                <w:b/>
                <w:bCs/>
                <w:color w:val="FFFFFF" w:themeColor="background1"/>
                <w:sz w:val="20"/>
                <w:lang w:eastAsia="zh-CN"/>
              </w:rPr>
              <w:t>资金</w:t>
            </w:r>
            <w:r w:rsidR="00BD6AF0">
              <w:rPr>
                <w:rFonts w:cstheme="minorHAnsi"/>
                <w:b/>
                <w:bCs/>
                <w:color w:val="FFFFFF" w:themeColor="background1"/>
                <w:sz w:val="20"/>
                <w:lang w:eastAsia="zh-CN"/>
              </w:rPr>
              <w:br/>
            </w:r>
            <w:r>
              <w:rPr>
                <w:rFonts w:cstheme="minorHAnsi" w:hint="eastAsia"/>
                <w:b/>
                <w:bCs/>
                <w:color w:val="FFFFFF" w:themeColor="background1"/>
                <w:sz w:val="20"/>
                <w:lang w:eastAsia="zh-CN"/>
              </w:rPr>
              <w:t>（</w:t>
            </w:r>
            <w:r w:rsidRPr="00277E7F">
              <w:rPr>
                <w:rFonts w:cstheme="minorHAnsi"/>
                <w:b/>
                <w:bCs/>
                <w:color w:val="FFFFFF" w:themeColor="background1"/>
                <w:sz w:val="20"/>
                <w:lang w:eastAsia="zh-CN"/>
              </w:rPr>
              <w:t>ICT-DF</w:t>
            </w:r>
            <w:r>
              <w:rPr>
                <w:rFonts w:cstheme="minorHAnsi" w:hint="eastAsia"/>
                <w:b/>
                <w:bCs/>
                <w:color w:val="FFFFFF" w:themeColor="background1"/>
                <w:sz w:val="20"/>
                <w:lang w:eastAsia="zh-CN"/>
              </w:rPr>
              <w:t>）</w:t>
            </w:r>
          </w:p>
        </w:tc>
        <w:tc>
          <w:tcPr>
            <w:tcW w:w="1417" w:type="dxa"/>
            <w:shd w:val="clear" w:color="auto" w:fill="4F81BD" w:themeFill="accent1"/>
            <w:noWrap/>
            <w:vAlign w:val="center"/>
          </w:tcPr>
          <w:p w14:paraId="78525504" w14:textId="3F818961"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国际电联</w:t>
            </w:r>
            <w:r w:rsidR="00ED5FD6">
              <w:rPr>
                <w:rFonts w:cstheme="minorHAnsi"/>
                <w:b/>
                <w:bCs/>
                <w:color w:val="FFFFFF" w:themeColor="background1"/>
                <w:sz w:val="20"/>
                <w:lang w:eastAsia="zh-CN"/>
              </w:rPr>
              <w:br/>
            </w:r>
            <w:r>
              <w:rPr>
                <w:rFonts w:cstheme="minorHAnsi" w:hint="eastAsia"/>
                <w:b/>
                <w:bCs/>
                <w:color w:val="FFFFFF" w:themeColor="background1"/>
                <w:sz w:val="20"/>
                <w:lang w:eastAsia="zh-CN"/>
              </w:rPr>
              <w:t>资金（</w:t>
            </w:r>
            <w:r w:rsidR="00154F97">
              <w:rPr>
                <w:rFonts w:cstheme="minorHAnsi" w:hint="eastAsia"/>
                <w:b/>
                <w:bCs/>
                <w:color w:val="FFFFFF" w:themeColor="background1"/>
                <w:sz w:val="20"/>
                <w:lang w:eastAsia="zh-CN"/>
              </w:rPr>
              <w:t>RI</w:t>
            </w:r>
            <w:r>
              <w:rPr>
                <w:rFonts w:cstheme="minorHAnsi" w:hint="eastAsia"/>
                <w:b/>
                <w:bCs/>
                <w:color w:val="FFFFFF" w:themeColor="background1"/>
                <w:sz w:val="20"/>
                <w:lang w:eastAsia="zh-CN"/>
              </w:rPr>
              <w:t>）</w:t>
            </w:r>
          </w:p>
        </w:tc>
        <w:tc>
          <w:tcPr>
            <w:tcW w:w="1415" w:type="dxa"/>
            <w:shd w:val="clear" w:color="auto" w:fill="4F81BD" w:themeFill="accent1"/>
            <w:noWrap/>
            <w:vAlign w:val="center"/>
            <w:hideMark/>
          </w:tcPr>
          <w:p w14:paraId="0994669E" w14:textId="6FCDA6B6" w:rsidR="00366FD2" w:rsidRPr="00277E7F" w:rsidRDefault="00366FD2" w:rsidP="000E22E8">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项目资金</w:t>
            </w:r>
            <w:r w:rsidR="00ED5FD6">
              <w:rPr>
                <w:rFonts w:cstheme="minorHAnsi"/>
                <w:b/>
                <w:bCs/>
                <w:color w:val="FFFFFF" w:themeColor="background1"/>
                <w:sz w:val="20"/>
                <w:lang w:eastAsia="zh-CN"/>
              </w:rPr>
              <w:br/>
            </w:r>
            <w:r>
              <w:rPr>
                <w:rFonts w:cstheme="minorHAnsi" w:hint="eastAsia"/>
                <w:b/>
                <w:bCs/>
                <w:color w:val="FFFFFF" w:themeColor="background1"/>
                <w:sz w:val="20"/>
                <w:lang w:eastAsia="zh-CN"/>
              </w:rPr>
              <w:t>总额</w:t>
            </w:r>
          </w:p>
        </w:tc>
      </w:tr>
      <w:tr w:rsidR="00DF5F10" w:rsidRPr="00277E7F" w14:paraId="67385C0E" w14:textId="77777777" w:rsidTr="008F1819">
        <w:trPr>
          <w:trHeight w:val="54"/>
          <w:jc w:val="center"/>
        </w:trPr>
        <w:tc>
          <w:tcPr>
            <w:tcW w:w="1129" w:type="dxa"/>
            <w:hideMark/>
          </w:tcPr>
          <w:p w14:paraId="0ABCACF7" w14:textId="6780326A" w:rsidR="00DF5F10" w:rsidRPr="00277E7F" w:rsidRDefault="00DF5F10" w:rsidP="00DF5F10">
            <w:pPr>
              <w:spacing w:before="60" w:after="60"/>
              <w:rPr>
                <w:rFonts w:cstheme="minorHAnsi"/>
                <w:sz w:val="20"/>
                <w:lang w:eastAsia="zh-CN"/>
              </w:rPr>
            </w:pPr>
            <w:r>
              <w:rPr>
                <w:rFonts w:cstheme="minorHAnsi" w:hint="eastAsia"/>
                <w:sz w:val="20"/>
                <w:lang w:eastAsia="zh-CN"/>
              </w:rPr>
              <w:t>非洲</w:t>
            </w:r>
          </w:p>
        </w:tc>
        <w:tc>
          <w:tcPr>
            <w:tcW w:w="851" w:type="dxa"/>
            <w:noWrap/>
            <w:vAlign w:val="bottom"/>
            <w:hideMark/>
          </w:tcPr>
          <w:p w14:paraId="03444797" w14:textId="14053449"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13</w:t>
            </w:r>
          </w:p>
        </w:tc>
        <w:tc>
          <w:tcPr>
            <w:tcW w:w="1134" w:type="dxa"/>
            <w:vAlign w:val="bottom"/>
            <w:hideMark/>
          </w:tcPr>
          <w:p w14:paraId="6D7B26BF" w14:textId="4F3EA146"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11,732.4</w:t>
            </w:r>
          </w:p>
        </w:tc>
        <w:tc>
          <w:tcPr>
            <w:tcW w:w="1276" w:type="dxa"/>
            <w:vAlign w:val="bottom"/>
            <w:hideMark/>
          </w:tcPr>
          <w:p w14:paraId="288A64C0" w14:textId="00E945B0"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938.7</w:t>
            </w:r>
          </w:p>
        </w:tc>
        <w:tc>
          <w:tcPr>
            <w:tcW w:w="1417" w:type="dxa"/>
            <w:vAlign w:val="bottom"/>
            <w:hideMark/>
          </w:tcPr>
          <w:p w14:paraId="6047F1CA" w14:textId="2C9DE630"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670.0</w:t>
            </w:r>
          </w:p>
        </w:tc>
        <w:tc>
          <w:tcPr>
            <w:tcW w:w="1415" w:type="dxa"/>
            <w:shd w:val="clear" w:color="auto" w:fill="DBE5F1" w:themeFill="accent1" w:themeFillTint="33"/>
            <w:vAlign w:val="bottom"/>
            <w:hideMark/>
          </w:tcPr>
          <w:p w14:paraId="4313BCA2" w14:textId="1B3E4EC8"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13,913.1</w:t>
            </w:r>
          </w:p>
        </w:tc>
      </w:tr>
      <w:tr w:rsidR="00DF5F10" w:rsidRPr="00277E7F" w14:paraId="4D375375" w14:textId="77777777" w:rsidTr="008F1819">
        <w:trPr>
          <w:trHeight w:val="54"/>
          <w:jc w:val="center"/>
        </w:trPr>
        <w:tc>
          <w:tcPr>
            <w:tcW w:w="1129" w:type="dxa"/>
            <w:hideMark/>
          </w:tcPr>
          <w:p w14:paraId="783070AE" w14:textId="3C1B0717" w:rsidR="00DF5F10" w:rsidRPr="00277E7F" w:rsidRDefault="00DF5F10" w:rsidP="00DF5F10">
            <w:pPr>
              <w:spacing w:before="60" w:after="60"/>
              <w:rPr>
                <w:rFonts w:cstheme="minorHAnsi"/>
                <w:sz w:val="20"/>
                <w:lang w:eastAsia="zh-CN"/>
              </w:rPr>
            </w:pPr>
            <w:r>
              <w:rPr>
                <w:rFonts w:cstheme="minorHAnsi" w:hint="eastAsia"/>
                <w:sz w:val="20"/>
                <w:lang w:eastAsia="zh-CN"/>
              </w:rPr>
              <w:t>美洲</w:t>
            </w:r>
          </w:p>
        </w:tc>
        <w:tc>
          <w:tcPr>
            <w:tcW w:w="851" w:type="dxa"/>
            <w:noWrap/>
            <w:vAlign w:val="bottom"/>
            <w:hideMark/>
          </w:tcPr>
          <w:p w14:paraId="755FBD1E" w14:textId="64428808"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15</w:t>
            </w:r>
          </w:p>
        </w:tc>
        <w:tc>
          <w:tcPr>
            <w:tcW w:w="1134" w:type="dxa"/>
            <w:vAlign w:val="bottom"/>
            <w:hideMark/>
          </w:tcPr>
          <w:p w14:paraId="74E7161D" w14:textId="55851FFA"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40,112.6</w:t>
            </w:r>
          </w:p>
        </w:tc>
        <w:tc>
          <w:tcPr>
            <w:tcW w:w="1276" w:type="dxa"/>
            <w:vAlign w:val="bottom"/>
            <w:hideMark/>
          </w:tcPr>
          <w:p w14:paraId="60485E3B" w14:textId="0575CC63"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158.6</w:t>
            </w:r>
          </w:p>
        </w:tc>
        <w:tc>
          <w:tcPr>
            <w:tcW w:w="1417" w:type="dxa"/>
            <w:vAlign w:val="bottom"/>
            <w:hideMark/>
          </w:tcPr>
          <w:p w14:paraId="5353D579" w14:textId="7DAAC772"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667.5</w:t>
            </w:r>
          </w:p>
        </w:tc>
        <w:tc>
          <w:tcPr>
            <w:tcW w:w="1415" w:type="dxa"/>
            <w:shd w:val="clear" w:color="auto" w:fill="DBE5F1" w:themeFill="accent1" w:themeFillTint="33"/>
            <w:vAlign w:val="bottom"/>
            <w:hideMark/>
          </w:tcPr>
          <w:p w14:paraId="52316D34" w14:textId="25651CD2"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41,008.4</w:t>
            </w:r>
          </w:p>
        </w:tc>
      </w:tr>
      <w:tr w:rsidR="00DF5F10" w:rsidRPr="00277E7F" w14:paraId="13C6D673" w14:textId="77777777" w:rsidTr="008F1819">
        <w:trPr>
          <w:trHeight w:val="300"/>
          <w:jc w:val="center"/>
        </w:trPr>
        <w:tc>
          <w:tcPr>
            <w:tcW w:w="1129" w:type="dxa"/>
            <w:hideMark/>
          </w:tcPr>
          <w:p w14:paraId="5E899B19" w14:textId="73EBDD7C" w:rsidR="00DF5F10" w:rsidRPr="00277E7F" w:rsidRDefault="00DF5F10" w:rsidP="00DF5F10">
            <w:pPr>
              <w:spacing w:before="60" w:after="60"/>
              <w:rPr>
                <w:rFonts w:cstheme="minorHAnsi"/>
                <w:sz w:val="20"/>
                <w:lang w:eastAsia="zh-CN"/>
              </w:rPr>
            </w:pPr>
            <w:r>
              <w:rPr>
                <w:rFonts w:cstheme="minorHAnsi" w:hint="eastAsia"/>
                <w:sz w:val="20"/>
                <w:lang w:eastAsia="zh-CN"/>
              </w:rPr>
              <w:t>阿拉伯</w:t>
            </w:r>
          </w:p>
        </w:tc>
        <w:tc>
          <w:tcPr>
            <w:tcW w:w="851" w:type="dxa"/>
            <w:vAlign w:val="bottom"/>
            <w:hideMark/>
          </w:tcPr>
          <w:p w14:paraId="601007FD" w14:textId="70029C39"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7</w:t>
            </w:r>
          </w:p>
        </w:tc>
        <w:tc>
          <w:tcPr>
            <w:tcW w:w="1134" w:type="dxa"/>
            <w:vAlign w:val="bottom"/>
            <w:hideMark/>
          </w:tcPr>
          <w:p w14:paraId="620F630E" w14:textId="67A8FB1C"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4,311.1</w:t>
            </w:r>
          </w:p>
        </w:tc>
        <w:tc>
          <w:tcPr>
            <w:tcW w:w="1276" w:type="dxa"/>
            <w:vAlign w:val="bottom"/>
            <w:hideMark/>
          </w:tcPr>
          <w:p w14:paraId="0357EA61" w14:textId="671E98EB"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662.2</w:t>
            </w:r>
          </w:p>
        </w:tc>
        <w:tc>
          <w:tcPr>
            <w:tcW w:w="1417" w:type="dxa"/>
            <w:vAlign w:val="bottom"/>
            <w:hideMark/>
          </w:tcPr>
          <w:p w14:paraId="5EC739FE" w14:textId="13F246EC"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88.0</w:t>
            </w:r>
          </w:p>
        </w:tc>
        <w:tc>
          <w:tcPr>
            <w:tcW w:w="1415" w:type="dxa"/>
            <w:shd w:val="clear" w:color="auto" w:fill="DBE5F1" w:themeFill="accent1" w:themeFillTint="33"/>
            <w:vAlign w:val="bottom"/>
            <w:hideMark/>
          </w:tcPr>
          <w:p w14:paraId="1C08AC4D" w14:textId="5E31B536"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5,061.3</w:t>
            </w:r>
          </w:p>
        </w:tc>
      </w:tr>
      <w:tr w:rsidR="00DF5F10" w:rsidRPr="00277E7F" w14:paraId="69AD29F3" w14:textId="77777777" w:rsidTr="008F1819">
        <w:trPr>
          <w:trHeight w:val="54"/>
          <w:jc w:val="center"/>
        </w:trPr>
        <w:tc>
          <w:tcPr>
            <w:tcW w:w="1129" w:type="dxa"/>
            <w:vAlign w:val="center"/>
            <w:hideMark/>
          </w:tcPr>
          <w:p w14:paraId="4E1DB066" w14:textId="5C1BE3BA" w:rsidR="00DF5F10" w:rsidRPr="00277E7F" w:rsidRDefault="00DF5F10" w:rsidP="00DF5F10">
            <w:pPr>
              <w:spacing w:before="60" w:after="60"/>
              <w:rPr>
                <w:rFonts w:cstheme="minorHAnsi"/>
                <w:sz w:val="20"/>
                <w:lang w:eastAsia="zh-CN"/>
              </w:rPr>
            </w:pPr>
            <w:r>
              <w:rPr>
                <w:rFonts w:cstheme="minorHAnsi" w:hint="eastAsia"/>
                <w:sz w:val="20"/>
                <w:lang w:eastAsia="zh-CN"/>
              </w:rPr>
              <w:t>亚太</w:t>
            </w:r>
          </w:p>
        </w:tc>
        <w:tc>
          <w:tcPr>
            <w:tcW w:w="851" w:type="dxa"/>
            <w:noWrap/>
            <w:vAlign w:val="bottom"/>
            <w:hideMark/>
          </w:tcPr>
          <w:p w14:paraId="640522DA" w14:textId="427549AA"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14</w:t>
            </w:r>
          </w:p>
        </w:tc>
        <w:tc>
          <w:tcPr>
            <w:tcW w:w="1134" w:type="dxa"/>
            <w:vAlign w:val="bottom"/>
            <w:hideMark/>
          </w:tcPr>
          <w:p w14:paraId="3416F151" w14:textId="642C5973"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6,948.8</w:t>
            </w:r>
          </w:p>
        </w:tc>
        <w:tc>
          <w:tcPr>
            <w:tcW w:w="1276" w:type="dxa"/>
            <w:vAlign w:val="bottom"/>
          </w:tcPr>
          <w:p w14:paraId="6F348E62" w14:textId="147089DD"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345.4</w:t>
            </w:r>
          </w:p>
        </w:tc>
        <w:tc>
          <w:tcPr>
            <w:tcW w:w="1417" w:type="dxa"/>
            <w:vAlign w:val="bottom"/>
            <w:hideMark/>
          </w:tcPr>
          <w:p w14:paraId="4E473D43" w14:textId="23636556"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440.0</w:t>
            </w:r>
          </w:p>
        </w:tc>
        <w:tc>
          <w:tcPr>
            <w:tcW w:w="1415" w:type="dxa"/>
            <w:shd w:val="clear" w:color="auto" w:fill="DBE5F1" w:themeFill="accent1" w:themeFillTint="33"/>
            <w:vAlign w:val="bottom"/>
            <w:hideMark/>
          </w:tcPr>
          <w:p w14:paraId="1E061054" w14:textId="49BFBC90"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7,909.2</w:t>
            </w:r>
          </w:p>
        </w:tc>
      </w:tr>
      <w:tr w:rsidR="00DF5F10" w:rsidRPr="00277E7F" w14:paraId="113391DE" w14:textId="77777777" w:rsidTr="008F1819">
        <w:trPr>
          <w:trHeight w:val="54"/>
          <w:jc w:val="center"/>
        </w:trPr>
        <w:tc>
          <w:tcPr>
            <w:tcW w:w="1129" w:type="dxa"/>
            <w:hideMark/>
          </w:tcPr>
          <w:p w14:paraId="332F3B66" w14:textId="3A9CDFF9" w:rsidR="00DF5F10" w:rsidRPr="00277E7F" w:rsidRDefault="00DF5F10" w:rsidP="00DF5F10">
            <w:pPr>
              <w:spacing w:before="60" w:after="60"/>
              <w:rPr>
                <w:rFonts w:cstheme="minorHAnsi"/>
                <w:sz w:val="20"/>
                <w:lang w:eastAsia="zh-CN"/>
              </w:rPr>
            </w:pPr>
            <w:r>
              <w:rPr>
                <w:rFonts w:cstheme="minorHAnsi" w:hint="eastAsia"/>
                <w:sz w:val="20"/>
                <w:lang w:eastAsia="zh-CN"/>
              </w:rPr>
              <w:t>独联体</w:t>
            </w:r>
          </w:p>
        </w:tc>
        <w:tc>
          <w:tcPr>
            <w:tcW w:w="851" w:type="dxa"/>
            <w:vAlign w:val="bottom"/>
            <w:hideMark/>
          </w:tcPr>
          <w:p w14:paraId="36069604" w14:textId="4A50D215"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3</w:t>
            </w:r>
          </w:p>
        </w:tc>
        <w:tc>
          <w:tcPr>
            <w:tcW w:w="1134" w:type="dxa"/>
            <w:vAlign w:val="bottom"/>
            <w:hideMark/>
          </w:tcPr>
          <w:p w14:paraId="35B5E8C0" w14:textId="04F3737D"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253.7</w:t>
            </w:r>
          </w:p>
        </w:tc>
        <w:tc>
          <w:tcPr>
            <w:tcW w:w="1276" w:type="dxa"/>
            <w:vAlign w:val="bottom"/>
          </w:tcPr>
          <w:p w14:paraId="1EAEEAAA" w14:textId="77777777" w:rsidR="00DF5F10" w:rsidRPr="00277E7F" w:rsidRDefault="00DF5F10" w:rsidP="00DF5F10">
            <w:pPr>
              <w:spacing w:before="60" w:after="60"/>
              <w:jc w:val="right"/>
              <w:rPr>
                <w:rFonts w:cstheme="minorHAnsi"/>
                <w:sz w:val="20"/>
                <w:lang w:eastAsia="zh-CN"/>
              </w:rPr>
            </w:pPr>
          </w:p>
        </w:tc>
        <w:tc>
          <w:tcPr>
            <w:tcW w:w="1417" w:type="dxa"/>
            <w:vAlign w:val="bottom"/>
            <w:hideMark/>
          </w:tcPr>
          <w:p w14:paraId="376D383A" w14:textId="0E66FB35"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443.8</w:t>
            </w:r>
          </w:p>
        </w:tc>
        <w:tc>
          <w:tcPr>
            <w:tcW w:w="1415" w:type="dxa"/>
            <w:shd w:val="clear" w:color="auto" w:fill="DBE5F1" w:themeFill="accent1" w:themeFillTint="33"/>
            <w:vAlign w:val="bottom"/>
            <w:hideMark/>
          </w:tcPr>
          <w:p w14:paraId="7412D2F2" w14:textId="1BEE4CD5"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697.5</w:t>
            </w:r>
          </w:p>
        </w:tc>
      </w:tr>
      <w:tr w:rsidR="00DF5F10" w:rsidRPr="00277E7F" w14:paraId="21AECC6E" w14:textId="77777777" w:rsidTr="008F1819">
        <w:trPr>
          <w:trHeight w:val="54"/>
          <w:jc w:val="center"/>
        </w:trPr>
        <w:tc>
          <w:tcPr>
            <w:tcW w:w="1129" w:type="dxa"/>
            <w:vAlign w:val="bottom"/>
            <w:hideMark/>
          </w:tcPr>
          <w:p w14:paraId="026FA02F" w14:textId="28513E45" w:rsidR="00DF5F10" w:rsidRPr="00277E7F" w:rsidRDefault="00DF5F10" w:rsidP="00DF5F10">
            <w:pPr>
              <w:spacing w:before="60" w:after="60"/>
              <w:rPr>
                <w:rFonts w:cstheme="minorHAnsi"/>
                <w:sz w:val="20"/>
                <w:lang w:eastAsia="zh-CN"/>
              </w:rPr>
            </w:pPr>
            <w:r>
              <w:rPr>
                <w:rFonts w:cstheme="minorHAnsi" w:hint="eastAsia"/>
                <w:sz w:val="20"/>
                <w:lang w:eastAsia="zh-CN"/>
              </w:rPr>
              <w:t>欧洲</w:t>
            </w:r>
          </w:p>
        </w:tc>
        <w:tc>
          <w:tcPr>
            <w:tcW w:w="851" w:type="dxa"/>
            <w:vAlign w:val="bottom"/>
            <w:hideMark/>
          </w:tcPr>
          <w:p w14:paraId="0F60D6D6" w14:textId="2EACFFF3"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2</w:t>
            </w:r>
          </w:p>
        </w:tc>
        <w:tc>
          <w:tcPr>
            <w:tcW w:w="1134" w:type="dxa"/>
            <w:vAlign w:val="bottom"/>
            <w:hideMark/>
          </w:tcPr>
          <w:p w14:paraId="111E8638" w14:textId="69998D6A"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3,642.5</w:t>
            </w:r>
          </w:p>
        </w:tc>
        <w:tc>
          <w:tcPr>
            <w:tcW w:w="1276" w:type="dxa"/>
            <w:vAlign w:val="bottom"/>
          </w:tcPr>
          <w:p w14:paraId="5B0FDED8" w14:textId="77777777" w:rsidR="00DF5F10" w:rsidRPr="00277E7F" w:rsidRDefault="00DF5F10" w:rsidP="00DF5F10">
            <w:pPr>
              <w:spacing w:before="60" w:after="60"/>
              <w:jc w:val="right"/>
              <w:rPr>
                <w:rFonts w:cstheme="minorHAnsi"/>
                <w:sz w:val="20"/>
                <w:lang w:eastAsia="zh-CN"/>
              </w:rPr>
            </w:pPr>
          </w:p>
        </w:tc>
        <w:tc>
          <w:tcPr>
            <w:tcW w:w="1417" w:type="dxa"/>
            <w:vAlign w:val="bottom"/>
            <w:hideMark/>
          </w:tcPr>
          <w:p w14:paraId="0AE4EFC5" w14:textId="36C6F335"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47.5</w:t>
            </w:r>
          </w:p>
        </w:tc>
        <w:tc>
          <w:tcPr>
            <w:tcW w:w="1415" w:type="dxa"/>
            <w:shd w:val="clear" w:color="auto" w:fill="DBE5F1" w:themeFill="accent1" w:themeFillTint="33"/>
            <w:vAlign w:val="bottom"/>
            <w:hideMark/>
          </w:tcPr>
          <w:p w14:paraId="0BCF103E" w14:textId="3456E2B1"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3,690.1</w:t>
            </w:r>
          </w:p>
        </w:tc>
      </w:tr>
      <w:tr w:rsidR="00DF5F10" w:rsidRPr="00277E7F" w14:paraId="69DC344C" w14:textId="77777777" w:rsidTr="008F1819">
        <w:trPr>
          <w:trHeight w:val="54"/>
          <w:jc w:val="center"/>
        </w:trPr>
        <w:tc>
          <w:tcPr>
            <w:tcW w:w="1129" w:type="dxa"/>
            <w:hideMark/>
          </w:tcPr>
          <w:p w14:paraId="49E54A63" w14:textId="5E264CB9" w:rsidR="00DF5F10" w:rsidRPr="00277E7F" w:rsidRDefault="00DF5F10" w:rsidP="00DF5F10">
            <w:pPr>
              <w:spacing w:before="60" w:after="60"/>
              <w:rPr>
                <w:rFonts w:cstheme="minorHAnsi"/>
                <w:sz w:val="20"/>
                <w:lang w:eastAsia="zh-CN"/>
              </w:rPr>
            </w:pPr>
            <w:r>
              <w:rPr>
                <w:rFonts w:cstheme="minorHAnsi" w:hint="eastAsia"/>
                <w:sz w:val="20"/>
                <w:lang w:eastAsia="zh-CN"/>
              </w:rPr>
              <w:t>跨区域</w:t>
            </w:r>
            <w:bookmarkStart w:id="6" w:name="_Hlk161739046"/>
            <w:r w:rsidRPr="002C1543">
              <w:rPr>
                <w:rFonts w:cstheme="minorHAnsi"/>
                <w:sz w:val="20"/>
                <w:lang w:eastAsia="zh-CN"/>
              </w:rPr>
              <w:t>(*)</w:t>
            </w:r>
            <w:bookmarkEnd w:id="6"/>
          </w:p>
        </w:tc>
        <w:tc>
          <w:tcPr>
            <w:tcW w:w="851" w:type="dxa"/>
            <w:noWrap/>
            <w:vAlign w:val="bottom"/>
            <w:hideMark/>
          </w:tcPr>
          <w:p w14:paraId="7C639B2B" w14:textId="28812D7B" w:rsidR="00DF5F10" w:rsidRPr="00277E7F" w:rsidRDefault="00DF5F10" w:rsidP="00DF5F10">
            <w:pPr>
              <w:spacing w:before="60" w:after="60"/>
              <w:jc w:val="center"/>
              <w:rPr>
                <w:rFonts w:cstheme="minorHAnsi"/>
                <w:sz w:val="20"/>
                <w:lang w:eastAsia="zh-CN"/>
              </w:rPr>
            </w:pPr>
            <w:r w:rsidRPr="00821C34">
              <w:rPr>
                <w:rFonts w:cstheme="minorHAnsi"/>
                <w:sz w:val="20"/>
                <w:lang w:eastAsia="zh-CN"/>
              </w:rPr>
              <w:t>33</w:t>
            </w:r>
          </w:p>
        </w:tc>
        <w:tc>
          <w:tcPr>
            <w:tcW w:w="1134" w:type="dxa"/>
            <w:vAlign w:val="bottom"/>
            <w:hideMark/>
          </w:tcPr>
          <w:p w14:paraId="1444AD58" w14:textId="55EDC4B7"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27,794.1</w:t>
            </w:r>
          </w:p>
        </w:tc>
        <w:tc>
          <w:tcPr>
            <w:tcW w:w="1276" w:type="dxa"/>
            <w:vAlign w:val="bottom"/>
            <w:hideMark/>
          </w:tcPr>
          <w:p w14:paraId="29BAD207" w14:textId="348C3EE8"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4,394.6</w:t>
            </w:r>
          </w:p>
        </w:tc>
        <w:tc>
          <w:tcPr>
            <w:tcW w:w="1417" w:type="dxa"/>
            <w:vAlign w:val="bottom"/>
            <w:hideMark/>
          </w:tcPr>
          <w:p w14:paraId="7F180DD6" w14:textId="16C67833" w:rsidR="00DF5F10" w:rsidRPr="00277E7F" w:rsidRDefault="00DF5F10" w:rsidP="00DF5F10">
            <w:pPr>
              <w:spacing w:before="60" w:after="60"/>
              <w:jc w:val="right"/>
              <w:rPr>
                <w:rFonts w:cstheme="minorHAnsi"/>
                <w:sz w:val="20"/>
                <w:lang w:eastAsia="zh-CN"/>
              </w:rPr>
            </w:pPr>
            <w:r w:rsidRPr="00821C34">
              <w:rPr>
                <w:rFonts w:cstheme="minorHAnsi"/>
                <w:sz w:val="20"/>
                <w:lang w:eastAsia="zh-CN"/>
              </w:rPr>
              <w:t>1,551.8</w:t>
            </w:r>
          </w:p>
        </w:tc>
        <w:tc>
          <w:tcPr>
            <w:tcW w:w="1415" w:type="dxa"/>
            <w:shd w:val="clear" w:color="auto" w:fill="DBE5F1" w:themeFill="accent1" w:themeFillTint="33"/>
            <w:vAlign w:val="bottom"/>
            <w:hideMark/>
          </w:tcPr>
          <w:p w14:paraId="58D7CCE4" w14:textId="6A4B813C" w:rsidR="00DF5F10" w:rsidRPr="00295AC9" w:rsidRDefault="00DF5F10" w:rsidP="00DF5F10">
            <w:pPr>
              <w:spacing w:before="60" w:after="60"/>
              <w:jc w:val="right"/>
              <w:rPr>
                <w:rFonts w:cstheme="minorHAnsi"/>
                <w:b/>
                <w:bCs/>
                <w:sz w:val="20"/>
                <w:lang w:eastAsia="zh-CN"/>
              </w:rPr>
            </w:pPr>
            <w:r w:rsidRPr="00821C34">
              <w:rPr>
                <w:rFonts w:cstheme="minorHAnsi"/>
                <w:b/>
                <w:bCs/>
                <w:sz w:val="20"/>
                <w:lang w:eastAsia="zh-CN"/>
              </w:rPr>
              <w:t>34,122.8</w:t>
            </w:r>
          </w:p>
        </w:tc>
      </w:tr>
      <w:tr w:rsidR="00DF5F10" w:rsidRPr="00277E7F" w14:paraId="019E9A4A" w14:textId="77777777" w:rsidTr="008F1819">
        <w:trPr>
          <w:trHeight w:val="54"/>
          <w:jc w:val="center"/>
        </w:trPr>
        <w:tc>
          <w:tcPr>
            <w:tcW w:w="1129" w:type="dxa"/>
            <w:shd w:val="clear" w:color="auto" w:fill="DBE5F1" w:themeFill="accent1" w:themeFillTint="33"/>
            <w:noWrap/>
            <w:vAlign w:val="center"/>
            <w:hideMark/>
          </w:tcPr>
          <w:p w14:paraId="3FCF2FE9" w14:textId="15645D49" w:rsidR="00DF5F10" w:rsidRPr="00277E7F" w:rsidRDefault="00DF5F10" w:rsidP="00DF5F10">
            <w:pPr>
              <w:spacing w:before="60" w:after="60"/>
              <w:rPr>
                <w:rFonts w:cstheme="minorHAnsi"/>
                <w:b/>
                <w:bCs/>
                <w:sz w:val="20"/>
                <w:lang w:eastAsia="zh-CN"/>
              </w:rPr>
            </w:pPr>
            <w:r>
              <w:rPr>
                <w:rFonts w:cstheme="minorHAnsi" w:hint="eastAsia"/>
                <w:b/>
                <w:bCs/>
                <w:sz w:val="20"/>
                <w:lang w:eastAsia="zh-CN"/>
              </w:rPr>
              <w:t>合计</w:t>
            </w:r>
          </w:p>
        </w:tc>
        <w:tc>
          <w:tcPr>
            <w:tcW w:w="851" w:type="dxa"/>
            <w:shd w:val="clear" w:color="auto" w:fill="DBE5F1" w:themeFill="accent1" w:themeFillTint="33"/>
            <w:noWrap/>
            <w:vAlign w:val="bottom"/>
            <w:hideMark/>
          </w:tcPr>
          <w:p w14:paraId="0A6DD17E" w14:textId="26E4B074" w:rsidR="00DF5F10" w:rsidRPr="005862F0" w:rsidRDefault="00DF5F10" w:rsidP="00DF5F10">
            <w:pPr>
              <w:spacing w:before="60" w:after="60"/>
              <w:jc w:val="center"/>
              <w:rPr>
                <w:rFonts w:cstheme="minorHAnsi"/>
                <w:b/>
                <w:bCs/>
                <w:sz w:val="20"/>
                <w:lang w:eastAsia="zh-CN"/>
              </w:rPr>
            </w:pPr>
            <w:r w:rsidRPr="00821C34">
              <w:rPr>
                <w:rFonts w:cstheme="minorHAnsi"/>
                <w:b/>
                <w:bCs/>
                <w:sz w:val="20"/>
                <w:lang w:eastAsia="zh-CN"/>
              </w:rPr>
              <w:t>87</w:t>
            </w:r>
          </w:p>
        </w:tc>
        <w:tc>
          <w:tcPr>
            <w:tcW w:w="1134" w:type="dxa"/>
            <w:shd w:val="clear" w:color="auto" w:fill="DBE5F1" w:themeFill="accent1" w:themeFillTint="33"/>
            <w:noWrap/>
            <w:vAlign w:val="bottom"/>
            <w:hideMark/>
          </w:tcPr>
          <w:p w14:paraId="320A8C11" w14:textId="1C3849DD" w:rsidR="00DF5F10" w:rsidRPr="005862F0" w:rsidRDefault="00DF5F10" w:rsidP="00DF5F10">
            <w:pPr>
              <w:spacing w:before="60" w:after="60"/>
              <w:jc w:val="right"/>
              <w:rPr>
                <w:rFonts w:cstheme="minorHAnsi"/>
                <w:b/>
                <w:bCs/>
                <w:sz w:val="20"/>
                <w:lang w:eastAsia="zh-CN"/>
              </w:rPr>
            </w:pPr>
            <w:r w:rsidRPr="00821C34">
              <w:rPr>
                <w:rFonts w:cstheme="minorHAnsi"/>
                <w:b/>
                <w:bCs/>
                <w:sz w:val="20"/>
                <w:lang w:eastAsia="zh-CN"/>
              </w:rPr>
              <w:t>94,795.3</w:t>
            </w:r>
          </w:p>
        </w:tc>
        <w:tc>
          <w:tcPr>
            <w:tcW w:w="1276" w:type="dxa"/>
            <w:shd w:val="clear" w:color="auto" w:fill="DBE5F1" w:themeFill="accent1" w:themeFillTint="33"/>
            <w:noWrap/>
            <w:vAlign w:val="bottom"/>
            <w:hideMark/>
          </w:tcPr>
          <w:p w14:paraId="59AC31FB" w14:textId="79B3D16A" w:rsidR="00DF5F10" w:rsidRPr="005862F0" w:rsidRDefault="00DF5F10" w:rsidP="00DF5F10">
            <w:pPr>
              <w:spacing w:before="60" w:after="60"/>
              <w:jc w:val="right"/>
              <w:rPr>
                <w:rFonts w:cstheme="minorHAnsi"/>
                <w:b/>
                <w:bCs/>
                <w:sz w:val="20"/>
                <w:lang w:eastAsia="zh-CN"/>
              </w:rPr>
            </w:pPr>
            <w:r w:rsidRPr="00821C34">
              <w:rPr>
                <w:rFonts w:cstheme="minorHAnsi"/>
                <w:b/>
                <w:bCs/>
                <w:sz w:val="20"/>
                <w:lang w:eastAsia="zh-CN"/>
              </w:rPr>
              <w:t>6,499.5</w:t>
            </w:r>
          </w:p>
        </w:tc>
        <w:tc>
          <w:tcPr>
            <w:tcW w:w="1417" w:type="dxa"/>
            <w:shd w:val="clear" w:color="auto" w:fill="DBE5F1" w:themeFill="accent1" w:themeFillTint="33"/>
            <w:noWrap/>
            <w:vAlign w:val="bottom"/>
            <w:hideMark/>
          </w:tcPr>
          <w:p w14:paraId="3E0640CD" w14:textId="7DFBBBDC" w:rsidR="00DF5F10" w:rsidRPr="005862F0" w:rsidRDefault="00DF5F10" w:rsidP="00DF5F10">
            <w:pPr>
              <w:spacing w:before="60" w:after="60"/>
              <w:jc w:val="right"/>
              <w:rPr>
                <w:rFonts w:cstheme="minorHAnsi"/>
                <w:b/>
                <w:bCs/>
                <w:sz w:val="20"/>
                <w:lang w:eastAsia="zh-CN"/>
              </w:rPr>
            </w:pPr>
            <w:r w:rsidRPr="00821C34">
              <w:rPr>
                <w:rFonts w:cstheme="minorHAnsi"/>
                <w:b/>
                <w:bCs/>
                <w:sz w:val="20"/>
                <w:lang w:eastAsia="zh-CN"/>
              </w:rPr>
              <w:t>3,908.7</w:t>
            </w:r>
          </w:p>
        </w:tc>
        <w:tc>
          <w:tcPr>
            <w:tcW w:w="1415" w:type="dxa"/>
            <w:shd w:val="clear" w:color="auto" w:fill="DBE5F1" w:themeFill="accent1" w:themeFillTint="33"/>
            <w:noWrap/>
            <w:vAlign w:val="bottom"/>
            <w:hideMark/>
          </w:tcPr>
          <w:p w14:paraId="10F0D16A" w14:textId="149D52A6" w:rsidR="00DF5F10" w:rsidRPr="005862F0" w:rsidRDefault="00DF5F10" w:rsidP="00DF5F10">
            <w:pPr>
              <w:spacing w:before="60" w:after="60"/>
              <w:jc w:val="right"/>
              <w:rPr>
                <w:rFonts w:cstheme="minorHAnsi"/>
                <w:b/>
                <w:bCs/>
                <w:sz w:val="20"/>
                <w:lang w:eastAsia="zh-CN"/>
              </w:rPr>
            </w:pPr>
            <w:r w:rsidRPr="00821C34">
              <w:rPr>
                <w:rFonts w:cstheme="minorHAnsi"/>
                <w:b/>
                <w:bCs/>
                <w:sz w:val="20"/>
                <w:lang w:eastAsia="zh-CN"/>
              </w:rPr>
              <w:t>106,402.4</w:t>
            </w:r>
          </w:p>
        </w:tc>
      </w:tr>
    </w:tbl>
    <w:p w14:paraId="00A2D777" w14:textId="6B50865E" w:rsidR="00DF5F10" w:rsidRDefault="00DF5F10" w:rsidP="00850CD8">
      <w:pPr>
        <w:pStyle w:val="Heading2"/>
        <w:keepLines w:val="0"/>
        <w:widowControl w:val="0"/>
        <w:spacing w:before="120" w:after="120"/>
        <w:ind w:left="0" w:firstLine="0"/>
        <w:textAlignment w:val="auto"/>
        <w:rPr>
          <w:rFonts w:cstheme="minorHAnsi"/>
          <w:szCs w:val="24"/>
          <w:lang w:eastAsia="zh-CN"/>
        </w:rPr>
      </w:pPr>
      <w:bookmarkStart w:id="7" w:name="lt_pId087"/>
      <w:r>
        <w:rPr>
          <w:rFonts w:cstheme="minorHAnsi"/>
          <w:b w:val="0"/>
          <w:bCs/>
          <w:sz w:val="18"/>
          <w:szCs w:val="18"/>
          <w:lang w:eastAsia="zh-CN"/>
        </w:rPr>
        <w:tab/>
      </w:r>
      <w:r w:rsidRPr="00DF5F10">
        <w:rPr>
          <w:rFonts w:cstheme="minorHAnsi"/>
          <w:b w:val="0"/>
          <w:bCs/>
          <w:sz w:val="18"/>
          <w:szCs w:val="18"/>
          <w:lang w:eastAsia="zh-CN"/>
        </w:rPr>
        <w:t xml:space="preserve">(*) </w:t>
      </w:r>
      <w:bookmarkEnd w:id="7"/>
      <w:r w:rsidRPr="00DF5F10">
        <w:rPr>
          <w:rFonts w:cstheme="minorHAnsi" w:hint="eastAsia"/>
          <w:b w:val="0"/>
          <w:bCs/>
          <w:sz w:val="18"/>
          <w:szCs w:val="18"/>
          <w:lang w:eastAsia="zh-CN"/>
        </w:rPr>
        <w:t>使所有区域受益的</w:t>
      </w:r>
      <w:r>
        <w:rPr>
          <w:rFonts w:cstheme="minorHAnsi" w:hint="eastAsia"/>
          <w:b w:val="0"/>
          <w:bCs/>
          <w:sz w:val="18"/>
          <w:szCs w:val="18"/>
          <w:lang w:eastAsia="zh-CN"/>
        </w:rPr>
        <w:t>跨</w:t>
      </w:r>
      <w:r w:rsidRPr="00DF5F10">
        <w:rPr>
          <w:rFonts w:cstheme="minorHAnsi" w:hint="eastAsia"/>
          <w:b w:val="0"/>
          <w:bCs/>
          <w:sz w:val="18"/>
          <w:szCs w:val="18"/>
          <w:lang w:eastAsia="zh-CN"/>
        </w:rPr>
        <w:t>区域项目</w:t>
      </w:r>
    </w:p>
    <w:p w14:paraId="1EE6DA33" w14:textId="42C9FC69" w:rsidR="00915BF5" w:rsidRPr="00850CD8" w:rsidRDefault="00444F67" w:rsidP="00ED5FD6">
      <w:pPr>
        <w:pStyle w:val="Heading2"/>
        <w:rPr>
          <w:b w:val="0"/>
          <w:bCs/>
          <w:lang w:eastAsia="zh-CN"/>
        </w:rPr>
      </w:pPr>
      <w:r>
        <w:rPr>
          <w:lang w:eastAsia="zh-CN"/>
        </w:rPr>
        <w:t>2</w:t>
      </w:r>
      <w:r w:rsidR="00850CD8" w:rsidRPr="007F3BBB">
        <w:rPr>
          <w:lang w:eastAsia="zh-CN"/>
        </w:rPr>
        <w:t>.2</w:t>
      </w:r>
      <w:r w:rsidR="00850CD8">
        <w:rPr>
          <w:b w:val="0"/>
          <w:bCs/>
          <w:lang w:eastAsia="zh-CN"/>
        </w:rPr>
        <w:tab/>
      </w:r>
      <w:r w:rsidR="004B18DD" w:rsidRPr="007F3BBB">
        <w:rPr>
          <w:rFonts w:hint="eastAsia"/>
          <w:lang w:eastAsia="zh-CN"/>
        </w:rPr>
        <w:t>本报告期期间签署的项目</w:t>
      </w:r>
    </w:p>
    <w:p w14:paraId="51129EBF" w14:textId="18F9DDEC" w:rsidR="00915BF5" w:rsidRDefault="00CF2543" w:rsidP="00850CD8">
      <w:pPr>
        <w:spacing w:after="120"/>
        <w:ind w:firstLineChars="200" w:firstLine="480"/>
        <w:rPr>
          <w:rFonts w:cstheme="minorBidi"/>
          <w:lang w:eastAsia="zh-CN"/>
        </w:rPr>
      </w:pPr>
      <w:r w:rsidRPr="7EC02781">
        <w:rPr>
          <w:rFonts w:cstheme="minorBidi"/>
          <w:lang w:eastAsia="zh-CN"/>
        </w:rPr>
        <w:t>202</w:t>
      </w:r>
      <w:r w:rsidR="00444F67">
        <w:rPr>
          <w:rFonts w:cstheme="minorBidi"/>
          <w:lang w:eastAsia="zh-CN"/>
        </w:rPr>
        <w:t>3</w:t>
      </w:r>
      <w:r w:rsidR="0057271C">
        <w:rPr>
          <w:rFonts w:cstheme="minorBidi" w:hint="eastAsia"/>
          <w:lang w:eastAsia="zh-CN"/>
        </w:rPr>
        <w:t>年，</w:t>
      </w:r>
      <w:r w:rsidR="00444F67">
        <w:rPr>
          <w:rFonts w:cstheme="minorBidi" w:hint="eastAsia"/>
          <w:lang w:eastAsia="zh-CN"/>
        </w:rPr>
        <w:t>国际电联</w:t>
      </w:r>
      <w:r w:rsidR="0057271C">
        <w:rPr>
          <w:rFonts w:cstheme="minorBidi" w:hint="eastAsia"/>
          <w:lang w:eastAsia="zh-CN"/>
        </w:rPr>
        <w:t>签署了</w:t>
      </w:r>
      <w:r w:rsidR="00292003">
        <w:rPr>
          <w:rFonts w:cstheme="minorBidi" w:hint="eastAsia"/>
          <w:lang w:eastAsia="zh-CN"/>
        </w:rPr>
        <w:t>共</w:t>
      </w:r>
      <w:r w:rsidR="00444F67">
        <w:rPr>
          <w:rFonts w:cstheme="minorBidi" w:hint="eastAsia"/>
          <w:lang w:eastAsia="zh-CN"/>
        </w:rPr>
        <w:t>2</w:t>
      </w:r>
      <w:r w:rsidR="00444F67">
        <w:rPr>
          <w:rFonts w:cstheme="minorBidi"/>
          <w:lang w:eastAsia="zh-CN"/>
        </w:rPr>
        <w:t>3</w:t>
      </w:r>
      <w:r w:rsidR="0057271C">
        <w:rPr>
          <w:rFonts w:cstheme="minorBidi" w:hint="eastAsia"/>
          <w:lang w:eastAsia="zh-CN"/>
        </w:rPr>
        <w:t>个新项目，价值</w:t>
      </w:r>
      <w:r w:rsidR="00444F67" w:rsidRPr="00444F67">
        <w:rPr>
          <w:rFonts w:cstheme="minorBidi" w:hint="eastAsia"/>
          <w:lang w:eastAsia="zh-CN"/>
        </w:rPr>
        <w:t>2</w:t>
      </w:r>
      <w:r w:rsidR="00444F67">
        <w:rPr>
          <w:rFonts w:cstheme="minorBidi"/>
          <w:lang w:eastAsia="zh-CN"/>
        </w:rPr>
        <w:t xml:space="preserve"> </w:t>
      </w:r>
      <w:r w:rsidR="00444F67" w:rsidRPr="00444F67">
        <w:rPr>
          <w:rFonts w:cstheme="minorBidi" w:hint="eastAsia"/>
          <w:lang w:eastAsia="zh-CN"/>
        </w:rPr>
        <w:t>090</w:t>
      </w:r>
      <w:r w:rsidR="00444F67" w:rsidRPr="00444F67">
        <w:rPr>
          <w:rFonts w:cstheme="minorBidi" w:hint="eastAsia"/>
          <w:lang w:eastAsia="zh-CN"/>
        </w:rPr>
        <w:t>万</w:t>
      </w:r>
      <w:r w:rsidR="0057271C">
        <w:rPr>
          <w:rFonts w:cstheme="minorBidi" w:hint="eastAsia"/>
          <w:lang w:eastAsia="zh-CN"/>
        </w:rPr>
        <w:t>瑞士法郎</w:t>
      </w:r>
      <w:r w:rsidR="00444F67">
        <w:rPr>
          <w:rStyle w:val="FootnoteReference"/>
          <w:rFonts w:cstheme="minorHAnsi"/>
        </w:rPr>
        <w:footnoteReference w:id="2"/>
      </w:r>
      <w:r w:rsidR="0057271C">
        <w:rPr>
          <w:rFonts w:cstheme="minorBidi" w:hint="eastAsia"/>
          <w:lang w:eastAsia="zh-CN"/>
        </w:rPr>
        <w:t>。</w:t>
      </w:r>
      <w:r w:rsidR="00444F67" w:rsidRPr="00444F67">
        <w:rPr>
          <w:rFonts w:cstheme="minorBidi" w:hint="eastAsia"/>
          <w:lang w:eastAsia="zh-CN"/>
        </w:rPr>
        <w:t>这些数字证实了自</w:t>
      </w:r>
      <w:r w:rsidR="00444F67" w:rsidRPr="00444F67">
        <w:rPr>
          <w:rFonts w:cstheme="minorBidi" w:hint="eastAsia"/>
          <w:lang w:eastAsia="zh-CN"/>
        </w:rPr>
        <w:t>2017</w:t>
      </w:r>
      <w:r w:rsidR="00444F67" w:rsidRPr="00444F67">
        <w:rPr>
          <w:rFonts w:cstheme="minorBidi" w:hint="eastAsia"/>
          <w:lang w:eastAsia="zh-CN"/>
        </w:rPr>
        <w:t>年以来电信发展局为支持项目而筹集的资金呈增长趋势（见图</w:t>
      </w:r>
      <w:r w:rsidR="00444F67" w:rsidRPr="00444F67">
        <w:rPr>
          <w:rFonts w:cstheme="minorBidi" w:hint="eastAsia"/>
          <w:lang w:eastAsia="zh-CN"/>
        </w:rPr>
        <w:t>2</w:t>
      </w:r>
      <w:r w:rsidR="00444F67" w:rsidRPr="00444F67">
        <w:rPr>
          <w:rFonts w:cstheme="minorBidi" w:hint="eastAsia"/>
          <w:lang w:eastAsia="zh-CN"/>
        </w:rPr>
        <w:t>）。相关协议清单见</w:t>
      </w:r>
      <w:r w:rsidR="00444F67" w:rsidRPr="00444F67">
        <w:rPr>
          <w:rFonts w:cstheme="minorBidi" w:hint="eastAsia"/>
          <w:lang w:eastAsia="zh-CN"/>
        </w:rPr>
        <w:t>INF/2</w:t>
      </w:r>
      <w:r w:rsidR="00444F67" w:rsidRPr="00444F67">
        <w:rPr>
          <w:rFonts w:cstheme="minorBidi" w:hint="eastAsia"/>
          <w:lang w:eastAsia="zh-CN"/>
        </w:rPr>
        <w:t>号文件。</w:t>
      </w:r>
    </w:p>
    <w:p w14:paraId="0E4FF18F" w14:textId="5241EE2A" w:rsidR="0091415B" w:rsidRDefault="0091415B" w:rsidP="00292003">
      <w:pPr>
        <w:pStyle w:val="Figuretitle"/>
        <w:keepNext/>
        <w:rPr>
          <w:lang w:eastAsia="zh-CN"/>
        </w:rPr>
      </w:pPr>
      <w:r w:rsidRPr="0091415B">
        <w:rPr>
          <w:rFonts w:hint="eastAsia"/>
          <w:lang w:eastAsia="zh-CN"/>
        </w:rPr>
        <w:lastRenderedPageBreak/>
        <w:t>图</w:t>
      </w:r>
      <w:r w:rsidRPr="0091415B">
        <w:rPr>
          <w:rFonts w:hint="eastAsia"/>
          <w:lang w:eastAsia="zh-CN"/>
        </w:rPr>
        <w:t xml:space="preserve">2 </w:t>
      </w:r>
      <w:r w:rsidR="00ED5FD6" w:rsidRPr="00ED5FD6">
        <w:rPr>
          <w:lang w:eastAsia="zh-CN"/>
        </w:rPr>
        <w:t>–</w:t>
      </w:r>
      <w:r w:rsidRPr="0091415B">
        <w:rPr>
          <w:rFonts w:hint="eastAsia"/>
          <w:lang w:eastAsia="zh-CN"/>
        </w:rPr>
        <w:t xml:space="preserve"> </w:t>
      </w:r>
      <w:r w:rsidRPr="0091415B">
        <w:rPr>
          <w:rFonts w:hint="eastAsia"/>
          <w:lang w:eastAsia="zh-CN"/>
        </w:rPr>
        <w:t>国际电</w:t>
      </w:r>
      <w:proofErr w:type="gramStart"/>
      <w:r w:rsidRPr="0091415B">
        <w:rPr>
          <w:rFonts w:hint="eastAsia"/>
          <w:lang w:eastAsia="zh-CN"/>
        </w:rPr>
        <w:t>联签署</w:t>
      </w:r>
      <w:proofErr w:type="gramEnd"/>
      <w:r w:rsidRPr="0091415B">
        <w:rPr>
          <w:rFonts w:hint="eastAsia"/>
          <w:lang w:eastAsia="zh-CN"/>
        </w:rPr>
        <w:t>的新项目（</w:t>
      </w:r>
      <w:r w:rsidRPr="0091415B">
        <w:rPr>
          <w:rFonts w:hint="eastAsia"/>
          <w:lang w:eastAsia="zh-CN"/>
        </w:rPr>
        <w:t>2013-2023</w:t>
      </w:r>
      <w:r w:rsidRPr="0091415B">
        <w:rPr>
          <w:rFonts w:hint="eastAsia"/>
          <w:lang w:eastAsia="zh-CN"/>
        </w:rPr>
        <w:t>年）</w:t>
      </w:r>
    </w:p>
    <w:p w14:paraId="3017F474" w14:textId="02B28BB7" w:rsidR="0091415B" w:rsidRPr="00277E7F" w:rsidRDefault="00ED5FD6" w:rsidP="00850CD8">
      <w:pPr>
        <w:spacing w:after="120"/>
        <w:ind w:firstLineChars="200" w:firstLine="480"/>
        <w:rPr>
          <w:rFonts w:cstheme="minorBidi"/>
          <w:lang w:eastAsia="zh-CN"/>
        </w:rPr>
      </w:pPr>
      <w:r>
        <w:rPr>
          <w:rFonts w:cstheme="minorBidi"/>
          <w:noProof/>
          <w:lang w:eastAsia="zh-CN"/>
        </w:rPr>
        <mc:AlternateContent>
          <mc:Choice Requires="wps">
            <w:drawing>
              <wp:anchor distT="0" distB="0" distL="114300" distR="114300" simplePos="0" relativeHeight="251661312" behindDoc="0" locked="0" layoutInCell="1" allowOverlap="1" wp14:anchorId="7203062B" wp14:editId="02507FB1">
                <wp:simplePos x="0" y="0"/>
                <wp:positionH relativeFrom="column">
                  <wp:posOffset>2341245</wp:posOffset>
                </wp:positionH>
                <wp:positionV relativeFrom="paragraph">
                  <wp:posOffset>1800167</wp:posOffset>
                </wp:positionV>
                <wp:extent cx="2161309" cy="265401"/>
                <wp:effectExtent l="0" t="0" r="0" b="1905"/>
                <wp:wrapNone/>
                <wp:docPr id="1065164109" name="Text Box 1"/>
                <wp:cNvGraphicFramePr/>
                <a:graphic xmlns:a="http://schemas.openxmlformats.org/drawingml/2006/main">
                  <a:graphicData uri="http://schemas.microsoft.com/office/word/2010/wordprocessingShape">
                    <wps:wsp>
                      <wps:cNvSpPr txBox="1"/>
                      <wps:spPr>
                        <a:xfrm>
                          <a:off x="0" y="0"/>
                          <a:ext cx="2161309" cy="265401"/>
                        </a:xfrm>
                        <a:prstGeom prst="rect">
                          <a:avLst/>
                        </a:prstGeom>
                        <a:solidFill>
                          <a:schemeClr val="lt1"/>
                        </a:solidFill>
                        <a:ln w="6350">
                          <a:noFill/>
                        </a:ln>
                      </wps:spPr>
                      <wps:txbx>
                        <w:txbxContent>
                          <w:p w14:paraId="30C1F341" w14:textId="045CE8F2" w:rsidR="00ED5FD6" w:rsidRPr="00ED5FD6" w:rsidRDefault="00ED5FD6" w:rsidP="00ED5FD6">
                            <w:pPr>
                              <w:spacing w:before="0"/>
                              <w:rPr>
                                <w:sz w:val="20"/>
                                <w:lang w:eastAsia="zh-CN"/>
                              </w:rPr>
                            </w:pPr>
                            <w:r w:rsidRPr="00ED5FD6">
                              <w:rPr>
                                <w:rFonts w:hint="eastAsia"/>
                                <w:sz w:val="18"/>
                                <w:szCs w:val="18"/>
                                <w:lang w:eastAsia="zh-CN"/>
                              </w:rPr>
                              <w:t>已签署的项目资金合计（瑞士法郎）</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062B" id="_x0000_t202" coordsize="21600,21600" o:spt="202" path="m,l,21600r21600,l21600,xe">
                <v:stroke joinstyle="miter"/>
                <v:path gradientshapeok="t" o:connecttype="rect"/>
              </v:shapetype>
              <v:shape id="Text Box 1" o:spid="_x0000_s1026" type="#_x0000_t202" style="position:absolute;left:0;text-align:left;margin-left:184.35pt;margin-top:141.75pt;width:170.2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" fillcolor="white [3201]" stroked="f" strokeweight=".5pt">
                <v:textbox inset="1mm,,1mm">
                  <w:txbxContent>
                    <w:p w14:paraId="30C1F341" w14:textId="045CE8F2" w:rsidR="00ED5FD6" w:rsidRPr="00ED5FD6" w:rsidRDefault="00ED5FD6" w:rsidP="00ED5FD6">
                      <w:pPr>
                        <w:spacing w:before="0"/>
                        <w:rPr>
                          <w:sz w:val="20"/>
                          <w:lang w:eastAsia="zh-CN"/>
                        </w:rPr>
                      </w:pPr>
                      <w:r w:rsidRPr="00ED5FD6">
                        <w:rPr>
                          <w:rFonts w:hint="eastAsia"/>
                          <w:sz w:val="18"/>
                          <w:szCs w:val="18"/>
                          <w:lang w:eastAsia="zh-CN"/>
                        </w:rPr>
                        <w:t>已签署的项目资金合计（瑞士法郎）</w:t>
                      </w:r>
                    </w:p>
                  </w:txbxContent>
                </v:textbox>
              </v:shape>
            </w:pict>
          </mc:Fallback>
        </mc:AlternateContent>
      </w:r>
      <w:r>
        <w:rPr>
          <w:rFonts w:cstheme="minorBidi"/>
          <w:noProof/>
          <w:lang w:eastAsia="zh-CN"/>
        </w:rPr>
        <mc:AlternateContent>
          <mc:Choice Requires="wps">
            <w:drawing>
              <wp:anchor distT="0" distB="0" distL="114300" distR="114300" simplePos="0" relativeHeight="251659264" behindDoc="0" locked="0" layoutInCell="1" allowOverlap="1" wp14:anchorId="6B8C22FB" wp14:editId="174490EA">
                <wp:simplePos x="0" y="0"/>
                <wp:positionH relativeFrom="column">
                  <wp:posOffset>136036</wp:posOffset>
                </wp:positionH>
                <wp:positionV relativeFrom="paragraph">
                  <wp:posOffset>61797</wp:posOffset>
                </wp:positionV>
                <wp:extent cx="668077" cy="265401"/>
                <wp:effectExtent l="0" t="7938" r="0" b="0"/>
                <wp:wrapNone/>
                <wp:docPr id="852651965" name="Text Box 1"/>
                <wp:cNvGraphicFramePr/>
                <a:graphic xmlns:a="http://schemas.openxmlformats.org/drawingml/2006/main">
                  <a:graphicData uri="http://schemas.microsoft.com/office/word/2010/wordprocessingShape">
                    <wps:wsp>
                      <wps:cNvSpPr txBox="1"/>
                      <wps:spPr>
                        <a:xfrm rot="16200000">
                          <a:off x="0" y="0"/>
                          <a:ext cx="668077" cy="265401"/>
                        </a:xfrm>
                        <a:prstGeom prst="rect">
                          <a:avLst/>
                        </a:prstGeom>
                        <a:solidFill>
                          <a:schemeClr val="lt1"/>
                        </a:solidFill>
                        <a:ln w="6350">
                          <a:noFill/>
                        </a:ln>
                      </wps:spPr>
                      <wps:txbx>
                        <w:txbxContent>
                          <w:p w14:paraId="31B49B96" w14:textId="0B533348" w:rsidR="00ED5FD6" w:rsidRPr="00ED5FD6" w:rsidRDefault="00ED5FD6" w:rsidP="00ED5FD6">
                            <w:pPr>
                              <w:spacing w:before="0"/>
                              <w:rPr>
                                <w:sz w:val="20"/>
                                <w:lang w:eastAsia="zh-CN"/>
                              </w:rPr>
                            </w:pPr>
                            <w:r w:rsidRPr="00ED5FD6">
                              <w:rPr>
                                <w:rFonts w:hint="eastAsia"/>
                                <w:sz w:val="20"/>
                                <w:lang w:eastAsia="zh-CN"/>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C22FB" id="_x0000_s1027" type="#_x0000_t202" style="position:absolute;left:0;text-align:left;margin-left:10.7pt;margin-top:4.85pt;width:52.6pt;height:20.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" fillcolor="white [3201]" stroked="f" strokeweight=".5pt">
                <v:textbox>
                  <w:txbxContent>
                    <w:p w14:paraId="31B49B96" w14:textId="0B533348" w:rsidR="00ED5FD6" w:rsidRPr="00ED5FD6" w:rsidRDefault="00ED5FD6" w:rsidP="00ED5FD6">
                      <w:pPr>
                        <w:spacing w:before="0"/>
                        <w:rPr>
                          <w:sz w:val="20"/>
                          <w:lang w:eastAsia="zh-CN"/>
                        </w:rPr>
                      </w:pPr>
                      <w:r w:rsidRPr="00ED5FD6">
                        <w:rPr>
                          <w:rFonts w:hint="eastAsia"/>
                          <w:sz w:val="20"/>
                          <w:lang w:eastAsia="zh-CN"/>
                        </w:rPr>
                        <w:t>百万</w:t>
                      </w:r>
                    </w:p>
                  </w:txbxContent>
                </v:textbox>
              </v:shape>
            </w:pict>
          </mc:Fallback>
        </mc:AlternateContent>
      </w:r>
      <w:r w:rsidR="0091415B">
        <w:rPr>
          <w:rFonts w:cstheme="minorBidi"/>
          <w:noProof/>
          <w:lang w:eastAsia="zh-CN"/>
        </w:rPr>
        <w:drawing>
          <wp:inline distT="0" distB="0" distL="0" distR="0" wp14:anchorId="4EA1827C" wp14:editId="4823601D">
            <wp:extent cx="5382211" cy="2079960"/>
            <wp:effectExtent l="0" t="0" r="0" b="0"/>
            <wp:docPr id="188044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3897" cy="2099934"/>
                    </a:xfrm>
                    <a:prstGeom prst="rect">
                      <a:avLst/>
                    </a:prstGeom>
                    <a:noFill/>
                  </pic:spPr>
                </pic:pic>
              </a:graphicData>
            </a:graphic>
          </wp:inline>
        </w:drawing>
      </w:r>
    </w:p>
    <w:p w14:paraId="6B4EA5E2" w14:textId="5864148A" w:rsidR="003619FB" w:rsidRDefault="003619FB" w:rsidP="00850CD8">
      <w:pPr>
        <w:pStyle w:val="enumlev1"/>
        <w:rPr>
          <w:lang w:eastAsia="zh-CN"/>
        </w:rPr>
      </w:pPr>
    </w:p>
    <w:p w14:paraId="3752C085" w14:textId="4E659A0B" w:rsidR="00ED5FD6" w:rsidRPr="003619FB" w:rsidRDefault="003619FB" w:rsidP="003619FB">
      <w:pPr>
        <w:spacing w:after="120"/>
        <w:ind w:firstLineChars="200" w:firstLine="480"/>
        <w:rPr>
          <w:rFonts w:cstheme="minorBidi"/>
          <w:lang w:eastAsia="zh-CN"/>
        </w:rPr>
      </w:pPr>
      <w:r w:rsidRPr="003619FB">
        <w:rPr>
          <w:rFonts w:cstheme="minorBidi" w:hint="eastAsia"/>
          <w:lang w:eastAsia="zh-CN"/>
        </w:rPr>
        <w:t>这些新项目具有</w:t>
      </w:r>
      <w:r>
        <w:rPr>
          <w:rFonts w:cstheme="minorBidi" w:hint="eastAsia"/>
          <w:lang w:eastAsia="zh-CN"/>
        </w:rPr>
        <w:t>跨</w:t>
      </w:r>
      <w:r w:rsidRPr="003619FB">
        <w:rPr>
          <w:rFonts w:cstheme="minorBidi" w:hint="eastAsia"/>
          <w:lang w:eastAsia="zh-CN"/>
        </w:rPr>
        <w:t>区域、区域和国家性质。在资金来源方面，这些新项目</w:t>
      </w:r>
      <w:r w:rsidRPr="003619FB">
        <w:rPr>
          <w:rFonts w:cstheme="minorBidi" w:hint="eastAsia"/>
          <w:lang w:eastAsia="zh-CN"/>
        </w:rPr>
        <w:t>93%</w:t>
      </w:r>
      <w:r w:rsidRPr="003619FB">
        <w:rPr>
          <w:rFonts w:cstheme="minorBidi" w:hint="eastAsia"/>
          <w:lang w:eastAsia="zh-CN"/>
        </w:rPr>
        <w:t>的资金来自电信发展局从第三方筹措的预算外资金，其余</w:t>
      </w:r>
      <w:r w:rsidRPr="003619FB">
        <w:rPr>
          <w:rFonts w:cstheme="minorBidi" w:hint="eastAsia"/>
          <w:lang w:eastAsia="zh-CN"/>
        </w:rPr>
        <w:t>7%</w:t>
      </w:r>
      <w:r w:rsidRPr="003619FB">
        <w:rPr>
          <w:rFonts w:cstheme="minorBidi" w:hint="eastAsia"/>
          <w:lang w:eastAsia="zh-CN"/>
        </w:rPr>
        <w:t>来自国际电</w:t>
      </w:r>
      <w:proofErr w:type="gramStart"/>
      <w:r w:rsidRPr="003619FB">
        <w:rPr>
          <w:rFonts w:cstheme="minorBidi" w:hint="eastAsia"/>
          <w:lang w:eastAsia="zh-CN"/>
        </w:rPr>
        <w:t>联分配</w:t>
      </w:r>
      <w:proofErr w:type="gramEnd"/>
      <w:r w:rsidRPr="003619FB">
        <w:rPr>
          <w:rFonts w:cstheme="minorBidi" w:hint="eastAsia"/>
          <w:lang w:eastAsia="zh-CN"/>
        </w:rPr>
        <w:t>的种子资金。图中显示了预算外资金和国际电</w:t>
      </w:r>
      <w:proofErr w:type="gramStart"/>
      <w:r w:rsidRPr="003619FB">
        <w:rPr>
          <w:rFonts w:cstheme="minorBidi" w:hint="eastAsia"/>
          <w:lang w:eastAsia="zh-CN"/>
        </w:rPr>
        <w:t>联资金</w:t>
      </w:r>
      <w:proofErr w:type="gramEnd"/>
      <w:r w:rsidRPr="003619FB">
        <w:rPr>
          <w:rFonts w:cstheme="minorBidi" w:hint="eastAsia"/>
          <w:lang w:eastAsia="zh-CN"/>
        </w:rPr>
        <w:t>在项目预算中所占的百分比。</w:t>
      </w:r>
    </w:p>
    <w:p w14:paraId="0025C368" w14:textId="7CF0BE29" w:rsidR="00684067" w:rsidRDefault="009E2093" w:rsidP="00292003">
      <w:pPr>
        <w:pStyle w:val="Figuretitle"/>
        <w:rPr>
          <w:lang w:eastAsia="zh-CN"/>
        </w:rPr>
      </w:pPr>
      <w:r w:rsidRPr="009E2093">
        <w:rPr>
          <w:rFonts w:hint="eastAsia"/>
          <w:lang w:eastAsia="zh-CN"/>
        </w:rPr>
        <w:t>图</w:t>
      </w:r>
      <w:r w:rsidRPr="009E2093">
        <w:rPr>
          <w:rFonts w:hint="eastAsia"/>
          <w:lang w:eastAsia="zh-CN"/>
        </w:rPr>
        <w:t xml:space="preserve">3 </w:t>
      </w:r>
      <w:r w:rsidR="00292003">
        <w:rPr>
          <w:lang w:eastAsia="zh-CN"/>
        </w:rPr>
        <w:t>–</w:t>
      </w:r>
      <w:r w:rsidRPr="009E2093">
        <w:rPr>
          <w:rFonts w:hint="eastAsia"/>
          <w:lang w:eastAsia="zh-CN"/>
        </w:rPr>
        <w:t xml:space="preserve"> </w:t>
      </w:r>
      <w:r w:rsidRPr="009E2093">
        <w:rPr>
          <w:rFonts w:hint="eastAsia"/>
          <w:lang w:eastAsia="zh-CN"/>
        </w:rPr>
        <w:t>国际电</w:t>
      </w:r>
      <w:proofErr w:type="gramStart"/>
      <w:r w:rsidRPr="009E2093">
        <w:rPr>
          <w:rFonts w:hint="eastAsia"/>
          <w:lang w:eastAsia="zh-CN"/>
        </w:rPr>
        <w:t>联项目</w:t>
      </w:r>
      <w:proofErr w:type="gramEnd"/>
      <w:r w:rsidRPr="009E2093">
        <w:rPr>
          <w:rFonts w:hint="eastAsia"/>
          <w:lang w:eastAsia="zh-CN"/>
        </w:rPr>
        <w:t>资金来源（</w:t>
      </w:r>
      <w:r w:rsidRPr="009E2093">
        <w:rPr>
          <w:rFonts w:hint="eastAsia"/>
          <w:lang w:eastAsia="zh-CN"/>
        </w:rPr>
        <w:t>2023</w:t>
      </w:r>
      <w:r w:rsidRPr="009E2093">
        <w:rPr>
          <w:rFonts w:hint="eastAsia"/>
          <w:lang w:eastAsia="zh-CN"/>
        </w:rPr>
        <w:t>年签署的新项目）</w:t>
      </w:r>
    </w:p>
    <w:p w14:paraId="1F6CFF8E" w14:textId="0A26015D" w:rsidR="009E2093" w:rsidRDefault="00ED5FD6" w:rsidP="009E2093">
      <w:pPr>
        <w:pStyle w:val="enumlev1"/>
        <w:jc w:val="center"/>
        <w:rPr>
          <w:b/>
          <w:bCs/>
          <w:lang w:eastAsia="zh-CN"/>
        </w:rPr>
      </w:pPr>
      <w:r>
        <w:rPr>
          <w:rFonts w:cstheme="minorBidi"/>
          <w:noProof/>
          <w:lang w:eastAsia="zh-CN"/>
        </w:rPr>
        <mc:AlternateContent>
          <mc:Choice Requires="wps">
            <w:drawing>
              <wp:anchor distT="0" distB="0" distL="114300" distR="114300" simplePos="0" relativeHeight="251665408" behindDoc="0" locked="0" layoutInCell="1" allowOverlap="1" wp14:anchorId="6F0EF086" wp14:editId="1E53B186">
                <wp:simplePos x="0" y="0"/>
                <wp:positionH relativeFrom="column">
                  <wp:posOffset>3872692</wp:posOffset>
                </wp:positionH>
                <wp:positionV relativeFrom="paragraph">
                  <wp:posOffset>920115</wp:posOffset>
                </wp:positionV>
                <wp:extent cx="1046019" cy="422564"/>
                <wp:effectExtent l="0" t="0" r="1905" b="0"/>
                <wp:wrapNone/>
                <wp:docPr id="165364387" name="Text Box 1"/>
                <wp:cNvGraphicFramePr/>
                <a:graphic xmlns:a="http://schemas.openxmlformats.org/drawingml/2006/main">
                  <a:graphicData uri="http://schemas.microsoft.com/office/word/2010/wordprocessingShape">
                    <wps:wsp>
                      <wps:cNvSpPr txBox="1"/>
                      <wps:spPr>
                        <a:xfrm>
                          <a:off x="0" y="0"/>
                          <a:ext cx="1046019" cy="422564"/>
                        </a:xfrm>
                        <a:prstGeom prst="rect">
                          <a:avLst/>
                        </a:prstGeom>
                        <a:solidFill>
                          <a:schemeClr val="lt1"/>
                        </a:solidFill>
                        <a:ln w="6350">
                          <a:noFill/>
                        </a:ln>
                      </wps:spPr>
                      <wps:txbx>
                        <w:txbxContent>
                          <w:p w14:paraId="4D16FA35" w14:textId="434D82B3" w:rsidR="00ED5FD6" w:rsidRPr="00ED5FD6" w:rsidRDefault="00ED5FD6" w:rsidP="00ED5FD6">
                            <w:pPr>
                              <w:spacing w:before="0"/>
                              <w:rPr>
                                <w:sz w:val="20"/>
                                <w:lang w:eastAsia="zh-CN"/>
                              </w:rPr>
                            </w:pPr>
                            <w:r w:rsidRPr="00ED5FD6">
                              <w:rPr>
                                <w:rFonts w:hint="eastAsia"/>
                                <w:sz w:val="18"/>
                                <w:szCs w:val="18"/>
                                <w:lang w:eastAsia="zh-CN"/>
                              </w:rPr>
                              <w:t>国际电联资金（</w:t>
                            </w:r>
                            <w:r w:rsidRPr="00ED5FD6">
                              <w:rPr>
                                <w:rFonts w:hint="eastAsia"/>
                                <w:sz w:val="18"/>
                                <w:szCs w:val="18"/>
                                <w:lang w:eastAsia="zh-CN"/>
                              </w:rPr>
                              <w:t>ICT-DF</w:t>
                            </w:r>
                            <w:r w:rsidRPr="00ED5FD6">
                              <w:rPr>
                                <w:rFonts w:hint="eastAsia"/>
                                <w:sz w:val="18"/>
                                <w:szCs w:val="18"/>
                                <w:lang w:eastAsia="zh-CN"/>
                              </w:rPr>
                              <w:t>和</w:t>
                            </w:r>
                            <w:r w:rsidRPr="00ED5FD6">
                              <w:rPr>
                                <w:rFonts w:hint="eastAsia"/>
                                <w:sz w:val="18"/>
                                <w:szCs w:val="18"/>
                                <w:lang w:eastAsia="zh-CN"/>
                              </w:rPr>
                              <w:t>RI</w:t>
                            </w:r>
                            <w:r w:rsidRPr="00ED5FD6">
                              <w:rPr>
                                <w:rFonts w:hint="eastAsia"/>
                                <w:sz w:val="18"/>
                                <w:szCs w:val="18"/>
                                <w:lang w:eastAsia="zh-CN"/>
                              </w:rPr>
                              <w:t>资金）</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EF086" id="_x0000_s1028" type="#_x0000_t202" style="position:absolute;left:0;text-align:left;margin-left:304.95pt;margin-top:72.45pt;width:82.3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" fillcolor="white [3201]" stroked="f" strokeweight=".5pt">
                <v:textbox inset="1mm,,1mm">
                  <w:txbxContent>
                    <w:p w14:paraId="4D16FA35" w14:textId="434D82B3" w:rsidR="00ED5FD6" w:rsidRPr="00ED5FD6" w:rsidRDefault="00ED5FD6" w:rsidP="00ED5FD6">
                      <w:pPr>
                        <w:spacing w:before="0"/>
                        <w:rPr>
                          <w:sz w:val="20"/>
                          <w:lang w:eastAsia="zh-CN"/>
                        </w:rPr>
                      </w:pPr>
                      <w:r w:rsidRPr="00ED5FD6">
                        <w:rPr>
                          <w:rFonts w:hint="eastAsia"/>
                          <w:sz w:val="18"/>
                          <w:szCs w:val="18"/>
                          <w:lang w:eastAsia="zh-CN"/>
                        </w:rPr>
                        <w:t>国际电联资金（</w:t>
                      </w:r>
                      <w:r w:rsidRPr="00ED5FD6">
                        <w:rPr>
                          <w:rFonts w:hint="eastAsia"/>
                          <w:sz w:val="18"/>
                          <w:szCs w:val="18"/>
                          <w:lang w:eastAsia="zh-CN"/>
                        </w:rPr>
                        <w:t>ICT-DF</w:t>
                      </w:r>
                      <w:r w:rsidRPr="00ED5FD6">
                        <w:rPr>
                          <w:rFonts w:hint="eastAsia"/>
                          <w:sz w:val="18"/>
                          <w:szCs w:val="18"/>
                          <w:lang w:eastAsia="zh-CN"/>
                        </w:rPr>
                        <w:t>和</w:t>
                      </w:r>
                      <w:r w:rsidRPr="00ED5FD6">
                        <w:rPr>
                          <w:rFonts w:hint="eastAsia"/>
                          <w:sz w:val="18"/>
                          <w:szCs w:val="18"/>
                          <w:lang w:eastAsia="zh-CN"/>
                        </w:rPr>
                        <w:t>RI</w:t>
                      </w:r>
                      <w:r w:rsidRPr="00ED5FD6">
                        <w:rPr>
                          <w:rFonts w:hint="eastAsia"/>
                          <w:sz w:val="18"/>
                          <w:szCs w:val="18"/>
                          <w:lang w:eastAsia="zh-CN"/>
                        </w:rPr>
                        <w:t>资金）</w:t>
                      </w:r>
                    </w:p>
                  </w:txbxContent>
                </v:textbox>
              </v:shape>
            </w:pict>
          </mc:Fallback>
        </mc:AlternateContent>
      </w:r>
      <w:r>
        <w:rPr>
          <w:rFonts w:cstheme="minorBidi"/>
          <w:noProof/>
          <w:lang w:eastAsia="zh-CN"/>
        </w:rPr>
        <mc:AlternateContent>
          <mc:Choice Requires="wps">
            <w:drawing>
              <wp:anchor distT="0" distB="0" distL="114300" distR="114300" simplePos="0" relativeHeight="251663360" behindDoc="0" locked="0" layoutInCell="1" allowOverlap="1" wp14:anchorId="7F77CCCE" wp14:editId="59276C0E">
                <wp:simplePos x="0" y="0"/>
                <wp:positionH relativeFrom="column">
                  <wp:posOffset>3872288</wp:posOffset>
                </wp:positionH>
                <wp:positionV relativeFrom="paragraph">
                  <wp:posOffset>552450</wp:posOffset>
                </wp:positionV>
                <wp:extent cx="1046019" cy="265401"/>
                <wp:effectExtent l="0" t="0" r="1905" b="1905"/>
                <wp:wrapNone/>
                <wp:docPr id="1042581797" name="Text Box 1"/>
                <wp:cNvGraphicFramePr/>
                <a:graphic xmlns:a="http://schemas.openxmlformats.org/drawingml/2006/main">
                  <a:graphicData uri="http://schemas.microsoft.com/office/word/2010/wordprocessingShape">
                    <wps:wsp>
                      <wps:cNvSpPr txBox="1"/>
                      <wps:spPr>
                        <a:xfrm>
                          <a:off x="0" y="0"/>
                          <a:ext cx="1046019" cy="265401"/>
                        </a:xfrm>
                        <a:prstGeom prst="rect">
                          <a:avLst/>
                        </a:prstGeom>
                        <a:solidFill>
                          <a:schemeClr val="lt1"/>
                        </a:solidFill>
                        <a:ln w="6350">
                          <a:noFill/>
                        </a:ln>
                      </wps:spPr>
                      <wps:txbx>
                        <w:txbxContent>
                          <w:p w14:paraId="522DD6DB" w14:textId="5B365628" w:rsidR="00ED5FD6" w:rsidRPr="00ED5FD6" w:rsidRDefault="00ED5FD6" w:rsidP="00ED5FD6">
                            <w:pPr>
                              <w:spacing w:before="0"/>
                              <w:rPr>
                                <w:sz w:val="20"/>
                                <w:lang w:eastAsia="zh-CN"/>
                              </w:rPr>
                            </w:pPr>
                            <w:r w:rsidRPr="00ED5FD6">
                              <w:rPr>
                                <w:rFonts w:hint="eastAsia"/>
                                <w:sz w:val="18"/>
                                <w:szCs w:val="18"/>
                                <w:lang w:eastAsia="zh-CN"/>
                              </w:rPr>
                              <w:t>预算外资金</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7CCCE" id="_x0000_s1029" type="#_x0000_t202" style="position:absolute;left:0;text-align:left;margin-left:304.9pt;margin-top:43.5pt;width:82.3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" fillcolor="white [3201]" stroked="f" strokeweight=".5pt">
                <v:textbox inset="1mm,,1mm">
                  <w:txbxContent>
                    <w:p w14:paraId="522DD6DB" w14:textId="5B365628" w:rsidR="00ED5FD6" w:rsidRPr="00ED5FD6" w:rsidRDefault="00ED5FD6" w:rsidP="00ED5FD6">
                      <w:pPr>
                        <w:spacing w:before="0"/>
                        <w:rPr>
                          <w:sz w:val="20"/>
                          <w:lang w:eastAsia="zh-CN"/>
                        </w:rPr>
                      </w:pPr>
                      <w:r w:rsidRPr="00ED5FD6">
                        <w:rPr>
                          <w:rFonts w:hint="eastAsia"/>
                          <w:sz w:val="18"/>
                          <w:szCs w:val="18"/>
                          <w:lang w:eastAsia="zh-CN"/>
                        </w:rPr>
                        <w:t>预算外资金</w:t>
                      </w:r>
                    </w:p>
                  </w:txbxContent>
                </v:textbox>
              </v:shape>
            </w:pict>
          </mc:Fallback>
        </mc:AlternateContent>
      </w:r>
      <w:r w:rsidR="009E2093">
        <w:rPr>
          <w:b/>
          <w:bCs/>
          <w:noProof/>
          <w:lang w:eastAsia="zh-CN"/>
        </w:rPr>
        <w:drawing>
          <wp:inline distT="0" distB="0" distL="0" distR="0" wp14:anchorId="156A0514" wp14:editId="62EA380C">
            <wp:extent cx="3956685" cy="1743710"/>
            <wp:effectExtent l="0" t="0" r="5715" b="8890"/>
            <wp:docPr id="660631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6685" cy="1743710"/>
                    </a:xfrm>
                    <a:prstGeom prst="rect">
                      <a:avLst/>
                    </a:prstGeom>
                    <a:noFill/>
                  </pic:spPr>
                </pic:pic>
              </a:graphicData>
            </a:graphic>
          </wp:inline>
        </w:drawing>
      </w:r>
    </w:p>
    <w:p w14:paraId="48008242" w14:textId="4FBC46E3" w:rsidR="00701F06" w:rsidRPr="003C3074" w:rsidRDefault="00701F06" w:rsidP="00ED5FD6">
      <w:pPr>
        <w:pStyle w:val="Heading1"/>
        <w:rPr>
          <w:lang w:eastAsia="zh-CN"/>
        </w:rPr>
      </w:pPr>
      <w:r>
        <w:rPr>
          <w:lang w:eastAsia="zh-CN"/>
        </w:rPr>
        <w:t>3</w:t>
      </w:r>
      <w:r w:rsidR="006F1C9C">
        <w:rPr>
          <w:lang w:eastAsia="zh-CN"/>
        </w:rPr>
        <w:tab/>
      </w:r>
      <w:r w:rsidR="009E2093" w:rsidRPr="009E2093">
        <w:rPr>
          <w:rFonts w:hint="eastAsia"/>
          <w:lang w:eastAsia="zh-CN"/>
        </w:rPr>
        <w:t>支持</w:t>
      </w:r>
      <w:r w:rsidR="009E2093" w:rsidRPr="009E2093">
        <w:rPr>
          <w:rFonts w:hint="eastAsia"/>
          <w:lang w:eastAsia="zh-CN"/>
        </w:rPr>
        <w:t>WTDC-22</w:t>
      </w:r>
      <w:r w:rsidR="009E2093" w:rsidRPr="009E2093">
        <w:rPr>
          <w:rFonts w:hint="eastAsia"/>
          <w:lang w:eastAsia="zh-CN"/>
        </w:rPr>
        <w:t>区域性举措的资金分配的最新情况</w:t>
      </w:r>
    </w:p>
    <w:p w14:paraId="40C6928C" w14:textId="4DFBE890" w:rsidR="009E2093" w:rsidRPr="009E2093" w:rsidRDefault="009E2093" w:rsidP="00292003">
      <w:pPr>
        <w:widowControl w:val="0"/>
        <w:spacing w:after="120"/>
        <w:ind w:firstLineChars="200" w:firstLine="480"/>
        <w:rPr>
          <w:rFonts w:cstheme="minorHAnsi"/>
          <w:lang w:eastAsia="zh-CN"/>
        </w:rPr>
      </w:pPr>
      <w:r w:rsidRPr="009E2093">
        <w:rPr>
          <w:rFonts w:cstheme="minorHAnsi" w:hint="eastAsia"/>
          <w:lang w:eastAsia="zh-CN"/>
        </w:rPr>
        <w:t>在国际电联理事会</w:t>
      </w:r>
      <w:r w:rsidRPr="009E2093">
        <w:rPr>
          <w:rFonts w:cstheme="minorHAnsi" w:hint="eastAsia"/>
          <w:lang w:eastAsia="zh-CN"/>
        </w:rPr>
        <w:t>2023</w:t>
      </w:r>
      <w:r w:rsidRPr="009E2093">
        <w:rPr>
          <w:rFonts w:cstheme="minorHAnsi" w:hint="eastAsia"/>
          <w:lang w:eastAsia="zh-CN"/>
        </w:rPr>
        <w:t>年会议上，国际电联成员批准从电信展周转资本基金（</w:t>
      </w:r>
      <w:r w:rsidRPr="009E2093">
        <w:rPr>
          <w:rFonts w:cstheme="minorHAnsi" w:hint="eastAsia"/>
          <w:lang w:eastAsia="zh-CN"/>
        </w:rPr>
        <w:t>EWCF</w:t>
      </w:r>
      <w:r w:rsidRPr="009E2093">
        <w:rPr>
          <w:rFonts w:cstheme="minorHAnsi" w:hint="eastAsia"/>
          <w:lang w:eastAsia="zh-CN"/>
        </w:rPr>
        <w:t>）向信息通信技术发展基金（</w:t>
      </w:r>
      <w:r w:rsidRPr="009E2093">
        <w:rPr>
          <w:rFonts w:cstheme="minorHAnsi" w:hint="eastAsia"/>
          <w:lang w:eastAsia="zh-CN"/>
        </w:rPr>
        <w:t>ICT-DF</w:t>
      </w:r>
      <w:r w:rsidRPr="009E2093">
        <w:rPr>
          <w:rFonts w:cstheme="minorHAnsi" w:hint="eastAsia"/>
          <w:lang w:eastAsia="zh-CN"/>
        </w:rPr>
        <w:t>）资本账户划拨</w:t>
      </w:r>
      <w:r w:rsidRPr="009E2093">
        <w:rPr>
          <w:rFonts w:cstheme="minorHAnsi" w:hint="eastAsia"/>
          <w:lang w:eastAsia="zh-CN"/>
        </w:rPr>
        <w:t>300</w:t>
      </w:r>
      <w:proofErr w:type="gramStart"/>
      <w:r w:rsidRPr="009E2093">
        <w:rPr>
          <w:rFonts w:cstheme="minorHAnsi" w:hint="eastAsia"/>
          <w:lang w:eastAsia="zh-CN"/>
        </w:rPr>
        <w:t>万</w:t>
      </w:r>
      <w:r w:rsidR="008F1819" w:rsidRPr="00FC751F">
        <w:rPr>
          <w:rFonts w:cstheme="minorHAnsi" w:hint="eastAsia"/>
          <w:lang w:eastAsia="zh-CN"/>
        </w:rPr>
        <w:t>瑞</w:t>
      </w:r>
      <w:proofErr w:type="gramEnd"/>
      <w:r w:rsidR="008F1819" w:rsidRPr="00FC751F">
        <w:rPr>
          <w:rFonts w:cstheme="minorHAnsi" w:hint="eastAsia"/>
          <w:lang w:eastAsia="zh-CN"/>
        </w:rPr>
        <w:t>士法郎</w:t>
      </w:r>
      <w:r w:rsidRPr="009E2093">
        <w:rPr>
          <w:rFonts w:cstheme="minorHAnsi" w:hint="eastAsia"/>
          <w:lang w:eastAsia="zh-CN"/>
        </w:rPr>
        <w:t>，为资助区域性举措提供种子资金</w:t>
      </w:r>
      <w:r w:rsidR="00FC751F" w:rsidRPr="00821C34">
        <w:rPr>
          <w:rStyle w:val="FootnoteReference"/>
          <w:rFonts w:cstheme="minorHAnsi"/>
          <w:szCs w:val="18"/>
        </w:rPr>
        <w:footnoteReference w:id="3"/>
      </w:r>
      <w:r w:rsidRPr="009E2093">
        <w:rPr>
          <w:rFonts w:cstheme="minorHAnsi" w:hint="eastAsia"/>
          <w:lang w:eastAsia="zh-CN"/>
        </w:rPr>
        <w:t>。</w:t>
      </w:r>
    </w:p>
    <w:p w14:paraId="56D0BBE6" w14:textId="34B062AA" w:rsidR="00154F97" w:rsidRDefault="00FC751F" w:rsidP="00292003">
      <w:pPr>
        <w:widowControl w:val="0"/>
        <w:spacing w:after="120"/>
        <w:ind w:firstLineChars="200" w:firstLine="480"/>
        <w:rPr>
          <w:rFonts w:cstheme="minorHAnsi"/>
          <w:lang w:eastAsia="zh-CN"/>
        </w:rPr>
      </w:pPr>
      <w:r w:rsidRPr="00FC751F">
        <w:rPr>
          <w:rFonts w:cstheme="minorHAnsi" w:hint="eastAsia"/>
          <w:lang w:eastAsia="zh-CN"/>
        </w:rPr>
        <w:t>这些资金已经促成了</w:t>
      </w:r>
      <w:r w:rsidRPr="00FC751F">
        <w:rPr>
          <w:rFonts w:cstheme="minorHAnsi" w:hint="eastAsia"/>
          <w:lang w:eastAsia="zh-CN"/>
        </w:rPr>
        <w:t>7</w:t>
      </w:r>
      <w:r w:rsidRPr="00FC751F">
        <w:rPr>
          <w:rFonts w:cstheme="minorHAnsi" w:hint="eastAsia"/>
          <w:lang w:eastAsia="zh-CN"/>
        </w:rPr>
        <w:t>个项目的签署</w:t>
      </w:r>
      <w:r>
        <w:rPr>
          <w:rFonts w:cstheme="minorHAnsi" w:hint="eastAsia"/>
          <w:lang w:eastAsia="zh-CN"/>
        </w:rPr>
        <w:t>，</w:t>
      </w:r>
      <w:r w:rsidRPr="00FC751F">
        <w:rPr>
          <w:rFonts w:cstheme="minorHAnsi" w:hint="eastAsia"/>
          <w:lang w:eastAsia="zh-CN"/>
        </w:rPr>
        <w:t>总价值</w:t>
      </w:r>
      <w:r w:rsidRPr="00FC751F">
        <w:rPr>
          <w:rFonts w:cstheme="minorHAnsi" w:hint="eastAsia"/>
          <w:lang w:eastAsia="zh-CN"/>
        </w:rPr>
        <w:t>430</w:t>
      </w:r>
      <w:proofErr w:type="gramStart"/>
      <w:r w:rsidRPr="00FC751F">
        <w:rPr>
          <w:rFonts w:cstheme="minorHAnsi" w:hint="eastAsia"/>
          <w:lang w:eastAsia="zh-CN"/>
        </w:rPr>
        <w:t>万瑞</w:t>
      </w:r>
      <w:proofErr w:type="gramEnd"/>
      <w:r w:rsidRPr="00FC751F">
        <w:rPr>
          <w:rFonts w:cstheme="minorHAnsi" w:hint="eastAsia"/>
          <w:lang w:eastAsia="zh-CN"/>
        </w:rPr>
        <w:t>士法郎（仅考虑合作伙伴的现金捐款），并利用了理事会</w:t>
      </w:r>
      <w:r w:rsidRPr="009E2093">
        <w:rPr>
          <w:rFonts w:cstheme="minorHAnsi" w:hint="eastAsia"/>
          <w:lang w:eastAsia="zh-CN"/>
        </w:rPr>
        <w:t>划拨</w:t>
      </w:r>
      <w:r w:rsidRPr="00FC751F">
        <w:rPr>
          <w:rFonts w:cstheme="minorHAnsi" w:hint="eastAsia"/>
          <w:lang w:eastAsia="zh-CN"/>
        </w:rPr>
        <w:t>的</w:t>
      </w:r>
      <w:r w:rsidRPr="00FC751F">
        <w:rPr>
          <w:rFonts w:cstheme="minorHAnsi" w:hint="eastAsia"/>
          <w:lang w:eastAsia="zh-CN"/>
        </w:rPr>
        <w:t>100</w:t>
      </w:r>
      <w:proofErr w:type="gramStart"/>
      <w:r w:rsidRPr="00FC751F">
        <w:rPr>
          <w:rFonts w:cstheme="minorHAnsi" w:hint="eastAsia"/>
          <w:lang w:eastAsia="zh-CN"/>
        </w:rPr>
        <w:t>万瑞</w:t>
      </w:r>
      <w:proofErr w:type="gramEnd"/>
      <w:r w:rsidRPr="00FC751F">
        <w:rPr>
          <w:rFonts w:cstheme="minorHAnsi" w:hint="eastAsia"/>
          <w:lang w:eastAsia="zh-CN"/>
        </w:rPr>
        <w:t>士法郎资金（见图</w:t>
      </w:r>
      <w:r w:rsidRPr="00FC751F">
        <w:rPr>
          <w:rFonts w:cstheme="minorHAnsi" w:hint="eastAsia"/>
          <w:lang w:eastAsia="zh-CN"/>
        </w:rPr>
        <w:t>4</w:t>
      </w:r>
      <w:r w:rsidRPr="00FC751F">
        <w:rPr>
          <w:rFonts w:cstheme="minorHAnsi" w:hint="eastAsia"/>
          <w:lang w:eastAsia="zh-CN"/>
        </w:rPr>
        <w:t>）。项目的详情可在国际电联的项目门户网站上查阅</w:t>
      </w:r>
      <w:r w:rsidRPr="00821C34">
        <w:rPr>
          <w:rStyle w:val="FootnoteReference"/>
          <w:rFonts w:cstheme="minorHAnsi"/>
          <w:szCs w:val="18"/>
        </w:rPr>
        <w:footnoteReference w:id="4"/>
      </w:r>
      <w:r w:rsidRPr="00FC751F">
        <w:rPr>
          <w:rFonts w:cstheme="minorHAnsi" w:hint="eastAsia"/>
          <w:lang w:eastAsia="zh-CN"/>
        </w:rPr>
        <w:t>。</w:t>
      </w:r>
    </w:p>
    <w:p w14:paraId="20C53C33" w14:textId="74EE0BEA" w:rsidR="00154F97" w:rsidRPr="006C3AE6" w:rsidRDefault="00154F97" w:rsidP="00ED5FD6">
      <w:pPr>
        <w:keepNext/>
        <w:keepLines/>
        <w:spacing w:before="240" w:after="120"/>
        <w:jc w:val="center"/>
        <w:rPr>
          <w:rFonts w:cstheme="minorHAnsi"/>
          <w:b/>
          <w:szCs w:val="24"/>
          <w:lang w:eastAsia="zh-CN"/>
        </w:rPr>
      </w:pPr>
      <w:r>
        <w:rPr>
          <w:rFonts w:cstheme="minorHAnsi" w:hint="eastAsia"/>
          <w:b/>
          <w:szCs w:val="24"/>
          <w:lang w:eastAsia="zh-CN"/>
        </w:rPr>
        <w:lastRenderedPageBreak/>
        <w:t>图</w:t>
      </w:r>
      <w:r w:rsidR="00FC751F">
        <w:rPr>
          <w:rFonts w:cstheme="minorHAnsi"/>
          <w:b/>
          <w:szCs w:val="24"/>
          <w:lang w:eastAsia="zh-CN"/>
        </w:rPr>
        <w:t>4</w:t>
      </w:r>
      <w:r w:rsidRPr="006C3AE6">
        <w:rPr>
          <w:rFonts w:cstheme="minorHAnsi"/>
          <w:b/>
          <w:szCs w:val="24"/>
          <w:lang w:eastAsia="zh-CN"/>
        </w:rPr>
        <w:t xml:space="preserve"> – </w:t>
      </w:r>
      <w:r w:rsidR="00FC751F" w:rsidRPr="00FC751F">
        <w:rPr>
          <w:rFonts w:cstheme="minorHAnsi" w:hint="eastAsia"/>
          <w:b/>
          <w:szCs w:val="24"/>
          <w:lang w:eastAsia="zh-CN"/>
        </w:rPr>
        <w:t>2023</w:t>
      </w:r>
      <w:r w:rsidR="00FC751F" w:rsidRPr="00FC751F">
        <w:rPr>
          <w:rFonts w:cstheme="minorHAnsi" w:hint="eastAsia"/>
          <w:b/>
          <w:szCs w:val="24"/>
          <w:lang w:eastAsia="zh-CN"/>
        </w:rPr>
        <w:t>年</w:t>
      </w:r>
      <w:r w:rsidR="00FC751F">
        <w:rPr>
          <w:rFonts w:cstheme="minorHAnsi" w:hint="eastAsia"/>
          <w:b/>
          <w:szCs w:val="24"/>
          <w:lang w:eastAsia="zh-CN"/>
        </w:rPr>
        <w:t>收到</w:t>
      </w:r>
      <w:r w:rsidR="00FC751F" w:rsidRPr="00FC751F">
        <w:rPr>
          <w:rFonts w:cstheme="minorHAnsi" w:hint="eastAsia"/>
          <w:b/>
          <w:szCs w:val="24"/>
          <w:lang w:eastAsia="zh-CN"/>
        </w:rPr>
        <w:t>理事会批准用于落实</w:t>
      </w:r>
      <w:r w:rsidR="00FC751F" w:rsidRPr="00FC751F">
        <w:rPr>
          <w:rFonts w:cstheme="minorHAnsi" w:hint="eastAsia"/>
          <w:b/>
          <w:szCs w:val="24"/>
          <w:lang w:eastAsia="zh-CN"/>
        </w:rPr>
        <w:t>WTDC-22</w:t>
      </w:r>
      <w:r w:rsidR="00FC751F" w:rsidRPr="00FC751F">
        <w:rPr>
          <w:rFonts w:cstheme="minorHAnsi" w:hint="eastAsia"/>
          <w:b/>
          <w:szCs w:val="24"/>
          <w:lang w:eastAsia="zh-CN"/>
        </w:rPr>
        <w:t>区域性举措的资金的项目</w:t>
      </w:r>
      <w:r>
        <w:rPr>
          <w:rFonts w:cstheme="minorHAnsi"/>
          <w:b/>
          <w:szCs w:val="24"/>
          <w:lang w:eastAsia="zh-CN"/>
        </w:rPr>
        <w:br/>
      </w:r>
      <w:r>
        <w:rPr>
          <w:rFonts w:cstheme="minorHAnsi" w:hint="eastAsia"/>
          <w:b/>
          <w:szCs w:val="24"/>
          <w:lang w:eastAsia="zh-CN"/>
        </w:rPr>
        <w:t>（单位：瑞士法郎）</w:t>
      </w:r>
    </w:p>
    <w:tbl>
      <w:tblPr>
        <w:tblW w:w="997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67"/>
        <w:gridCol w:w="2346"/>
        <w:gridCol w:w="886"/>
        <w:gridCol w:w="1379"/>
        <w:gridCol w:w="1029"/>
        <w:gridCol w:w="1029"/>
        <w:gridCol w:w="1029"/>
        <w:gridCol w:w="1110"/>
      </w:tblGrid>
      <w:tr w:rsidR="00DE0328" w:rsidRPr="00821C34" w14:paraId="326818AD" w14:textId="77777777" w:rsidTr="00F95BD1">
        <w:trPr>
          <w:trHeight w:val="371"/>
        </w:trPr>
        <w:tc>
          <w:tcPr>
            <w:tcW w:w="1167" w:type="dxa"/>
            <w:shd w:val="clear" w:color="auto" w:fill="BFBFBF" w:themeFill="background1" w:themeFillShade="BF"/>
            <w:noWrap/>
            <w:vAlign w:val="center"/>
            <w:hideMark/>
          </w:tcPr>
          <w:p w14:paraId="7C234AF1" w14:textId="79767D77" w:rsidR="00DE0328" w:rsidRPr="00821C34" w:rsidRDefault="001E62A7" w:rsidP="00ED5FD6">
            <w:pPr>
              <w:keepNext/>
              <w:keepLines/>
              <w:spacing w:before="60" w:after="60"/>
              <w:jc w:val="center"/>
              <w:rPr>
                <w:rFonts w:cstheme="minorHAnsi"/>
                <w:b/>
                <w:bCs/>
                <w:sz w:val="18"/>
                <w:szCs w:val="18"/>
              </w:rPr>
            </w:pPr>
            <w:r>
              <w:rPr>
                <w:rFonts w:cstheme="minorHAnsi" w:hint="eastAsia"/>
                <w:b/>
                <w:bCs/>
                <w:sz w:val="18"/>
                <w:szCs w:val="18"/>
                <w:lang w:eastAsia="zh-CN"/>
              </w:rPr>
              <w:t>项目编号</w:t>
            </w:r>
          </w:p>
        </w:tc>
        <w:tc>
          <w:tcPr>
            <w:tcW w:w="2346" w:type="dxa"/>
            <w:shd w:val="clear" w:color="auto" w:fill="BFBFBF" w:themeFill="background1" w:themeFillShade="BF"/>
            <w:noWrap/>
            <w:vAlign w:val="center"/>
            <w:hideMark/>
          </w:tcPr>
          <w:p w14:paraId="70FEF3FD" w14:textId="6A72E448"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项目标题</w:t>
            </w:r>
          </w:p>
        </w:tc>
        <w:tc>
          <w:tcPr>
            <w:tcW w:w="886" w:type="dxa"/>
            <w:shd w:val="clear" w:color="auto" w:fill="BFBFBF" w:themeFill="background1" w:themeFillShade="BF"/>
            <w:noWrap/>
            <w:vAlign w:val="center"/>
            <w:hideMark/>
          </w:tcPr>
          <w:p w14:paraId="7FE3153C" w14:textId="5884C5C6"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区域</w:t>
            </w:r>
          </w:p>
        </w:tc>
        <w:tc>
          <w:tcPr>
            <w:tcW w:w="1379" w:type="dxa"/>
            <w:shd w:val="clear" w:color="auto" w:fill="BFBFBF" w:themeFill="background1" w:themeFillShade="BF"/>
            <w:noWrap/>
            <w:vAlign w:val="center"/>
            <w:hideMark/>
          </w:tcPr>
          <w:p w14:paraId="45B2A764" w14:textId="31B4D275"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区域性举措</w:t>
            </w:r>
          </w:p>
        </w:tc>
        <w:tc>
          <w:tcPr>
            <w:tcW w:w="1029" w:type="dxa"/>
            <w:shd w:val="clear" w:color="auto" w:fill="BFBFBF" w:themeFill="background1" w:themeFillShade="BF"/>
            <w:noWrap/>
            <w:vAlign w:val="center"/>
            <w:hideMark/>
          </w:tcPr>
          <w:p w14:paraId="71CC8642" w14:textId="3BE1B7A2"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外部资金</w:t>
            </w:r>
          </w:p>
        </w:tc>
        <w:tc>
          <w:tcPr>
            <w:tcW w:w="1029" w:type="dxa"/>
            <w:shd w:val="clear" w:color="auto" w:fill="BFBFBF" w:themeFill="background1" w:themeFillShade="BF"/>
            <w:noWrap/>
            <w:vAlign w:val="center"/>
            <w:hideMark/>
          </w:tcPr>
          <w:p w14:paraId="4E479780" w14:textId="1D624802"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国际电</w:t>
            </w:r>
            <w:proofErr w:type="gramStart"/>
            <w:r>
              <w:rPr>
                <w:rFonts w:cstheme="minorHAnsi" w:hint="eastAsia"/>
                <w:b/>
                <w:bCs/>
                <w:sz w:val="18"/>
                <w:szCs w:val="18"/>
                <w:lang w:eastAsia="zh-CN"/>
              </w:rPr>
              <w:t>联资金</w:t>
            </w:r>
            <w:proofErr w:type="gramEnd"/>
          </w:p>
        </w:tc>
        <w:tc>
          <w:tcPr>
            <w:tcW w:w="1029" w:type="dxa"/>
            <w:shd w:val="clear" w:color="auto" w:fill="BFBFBF" w:themeFill="background1" w:themeFillShade="BF"/>
            <w:noWrap/>
            <w:vAlign w:val="center"/>
            <w:hideMark/>
          </w:tcPr>
          <w:p w14:paraId="2B8BD75A" w14:textId="28206B9F"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资金合计</w:t>
            </w:r>
          </w:p>
        </w:tc>
        <w:tc>
          <w:tcPr>
            <w:tcW w:w="1110" w:type="dxa"/>
            <w:shd w:val="clear" w:color="auto" w:fill="BFBFBF" w:themeFill="background1" w:themeFillShade="BF"/>
            <w:noWrap/>
            <w:vAlign w:val="center"/>
            <w:hideMark/>
          </w:tcPr>
          <w:p w14:paraId="2ED166F9" w14:textId="70855410" w:rsidR="00DE0328" w:rsidRPr="00821C34" w:rsidRDefault="00FE041C" w:rsidP="00ED5FD6">
            <w:pPr>
              <w:keepNext/>
              <w:keepLines/>
              <w:spacing w:before="60" w:after="60"/>
              <w:jc w:val="center"/>
              <w:rPr>
                <w:rFonts w:cstheme="minorHAnsi"/>
                <w:b/>
                <w:bCs/>
                <w:sz w:val="18"/>
                <w:szCs w:val="18"/>
              </w:rPr>
            </w:pPr>
            <w:r>
              <w:rPr>
                <w:rFonts w:cstheme="minorHAnsi" w:hint="eastAsia"/>
                <w:b/>
                <w:bCs/>
                <w:sz w:val="18"/>
                <w:szCs w:val="18"/>
                <w:lang w:eastAsia="zh-CN"/>
              </w:rPr>
              <w:t>合作伙伴</w:t>
            </w:r>
          </w:p>
        </w:tc>
      </w:tr>
      <w:tr w:rsidR="000C412C" w:rsidRPr="00821C34" w14:paraId="205FE12A" w14:textId="77777777" w:rsidTr="003200E7">
        <w:trPr>
          <w:trHeight w:val="371"/>
        </w:trPr>
        <w:tc>
          <w:tcPr>
            <w:tcW w:w="1167" w:type="dxa"/>
            <w:noWrap/>
            <w:vAlign w:val="center"/>
            <w:hideMark/>
          </w:tcPr>
          <w:p w14:paraId="5E8783DB"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7RAS24075</w:t>
            </w:r>
          </w:p>
        </w:tc>
        <w:tc>
          <w:tcPr>
            <w:tcW w:w="2346" w:type="dxa"/>
            <w:noWrap/>
            <w:hideMark/>
          </w:tcPr>
          <w:p w14:paraId="0FDA4EB0" w14:textId="01F0853F"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为泰国和蒙古的电子电气行业创建循环经济</w:t>
            </w:r>
          </w:p>
        </w:tc>
        <w:tc>
          <w:tcPr>
            <w:tcW w:w="886" w:type="dxa"/>
            <w:noWrap/>
            <w:vAlign w:val="center"/>
            <w:hideMark/>
          </w:tcPr>
          <w:p w14:paraId="45097F84" w14:textId="5705D7B3"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186DD308" w14:textId="3BDA8599"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ASP2 - </w:t>
            </w:r>
            <w:r w:rsidRPr="00C66927">
              <w:rPr>
                <w:rFonts w:cstheme="minorHAnsi" w:hint="eastAsia"/>
                <w:sz w:val="18"/>
                <w:szCs w:val="18"/>
                <w:lang w:eastAsia="zh-CN"/>
              </w:rPr>
              <w:t>数字经济和包容性数字社会</w:t>
            </w:r>
          </w:p>
        </w:tc>
        <w:tc>
          <w:tcPr>
            <w:tcW w:w="1029" w:type="dxa"/>
            <w:noWrap/>
            <w:vAlign w:val="center"/>
            <w:hideMark/>
          </w:tcPr>
          <w:p w14:paraId="484598D9"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225,280</w:t>
            </w:r>
          </w:p>
        </w:tc>
        <w:tc>
          <w:tcPr>
            <w:tcW w:w="1029" w:type="dxa"/>
            <w:noWrap/>
            <w:vAlign w:val="center"/>
            <w:hideMark/>
          </w:tcPr>
          <w:p w14:paraId="3105867D"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52,800</w:t>
            </w:r>
          </w:p>
        </w:tc>
        <w:tc>
          <w:tcPr>
            <w:tcW w:w="1029" w:type="dxa"/>
            <w:noWrap/>
            <w:vAlign w:val="center"/>
            <w:hideMark/>
          </w:tcPr>
          <w:p w14:paraId="3C053217"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278,080</w:t>
            </w:r>
          </w:p>
        </w:tc>
        <w:tc>
          <w:tcPr>
            <w:tcW w:w="1110" w:type="dxa"/>
            <w:noWrap/>
            <w:vAlign w:val="center"/>
            <w:hideMark/>
          </w:tcPr>
          <w:p w14:paraId="2E5F7D8A" w14:textId="20E99254" w:rsidR="000C412C" w:rsidRPr="00821C34" w:rsidRDefault="00C66927" w:rsidP="000C412C">
            <w:pPr>
              <w:spacing w:before="60" w:after="60"/>
              <w:jc w:val="center"/>
              <w:rPr>
                <w:rFonts w:cstheme="minorHAnsi"/>
                <w:sz w:val="18"/>
                <w:szCs w:val="18"/>
              </w:rPr>
            </w:pPr>
            <w:proofErr w:type="spellStart"/>
            <w:r>
              <w:rPr>
                <w:rFonts w:cstheme="minorHAnsi" w:hint="eastAsia"/>
                <w:sz w:val="18"/>
                <w:szCs w:val="18"/>
              </w:rPr>
              <w:t>澳大利亚</w:t>
            </w:r>
            <w:proofErr w:type="spellEnd"/>
            <w:r w:rsidR="00B07030" w:rsidRPr="00B07030">
              <w:rPr>
                <w:rFonts w:cstheme="minorHAnsi"/>
                <w:sz w:val="18"/>
                <w:szCs w:val="18"/>
              </w:rPr>
              <w:t>DITRDCA</w:t>
            </w:r>
            <w:r w:rsidR="000C412C" w:rsidRPr="00821C34">
              <w:rPr>
                <w:rFonts w:cstheme="minorHAnsi"/>
                <w:sz w:val="18"/>
                <w:szCs w:val="18"/>
              </w:rPr>
              <w:t xml:space="preserve"> </w:t>
            </w:r>
          </w:p>
        </w:tc>
      </w:tr>
      <w:tr w:rsidR="000C412C" w:rsidRPr="00821C34" w14:paraId="6C572DD1" w14:textId="77777777" w:rsidTr="003200E7">
        <w:trPr>
          <w:trHeight w:val="371"/>
        </w:trPr>
        <w:tc>
          <w:tcPr>
            <w:tcW w:w="1167" w:type="dxa"/>
            <w:noWrap/>
            <w:vAlign w:val="center"/>
            <w:hideMark/>
          </w:tcPr>
          <w:p w14:paraId="194DCD6B"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7RAS23073</w:t>
            </w:r>
          </w:p>
        </w:tc>
        <w:tc>
          <w:tcPr>
            <w:tcW w:w="2346" w:type="dxa"/>
            <w:noWrap/>
            <w:hideMark/>
          </w:tcPr>
          <w:p w14:paraId="58CE4E72" w14:textId="110565C1"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太平洋地区的网络安全之路</w:t>
            </w:r>
          </w:p>
        </w:tc>
        <w:tc>
          <w:tcPr>
            <w:tcW w:w="886" w:type="dxa"/>
            <w:noWrap/>
            <w:vAlign w:val="center"/>
            <w:hideMark/>
          </w:tcPr>
          <w:p w14:paraId="7DA45DAD" w14:textId="159F9853"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25AAB620" w14:textId="2BA4C4EA"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ASP5 - </w:t>
            </w:r>
            <w:r w:rsidRPr="00C66927">
              <w:rPr>
                <w:rFonts w:cstheme="minorHAnsi" w:hint="eastAsia"/>
                <w:sz w:val="18"/>
                <w:szCs w:val="18"/>
                <w:lang w:eastAsia="zh-CN"/>
              </w:rPr>
              <w:t>安全和</w:t>
            </w:r>
            <w:r w:rsidR="00C66927" w:rsidRPr="00C66927">
              <w:rPr>
                <w:rFonts w:cstheme="minorHAnsi" w:hint="eastAsia"/>
                <w:sz w:val="18"/>
                <w:szCs w:val="18"/>
                <w:lang w:eastAsia="zh-CN"/>
              </w:rPr>
              <w:t>具有复原力的</w:t>
            </w:r>
            <w:r w:rsidRPr="00C66927">
              <w:rPr>
                <w:rFonts w:cstheme="minorHAnsi" w:hint="eastAsia"/>
                <w:sz w:val="18"/>
                <w:szCs w:val="18"/>
                <w:lang w:eastAsia="zh-CN"/>
              </w:rPr>
              <w:t>ICT</w:t>
            </w:r>
          </w:p>
        </w:tc>
        <w:tc>
          <w:tcPr>
            <w:tcW w:w="1029" w:type="dxa"/>
            <w:noWrap/>
            <w:vAlign w:val="center"/>
            <w:hideMark/>
          </w:tcPr>
          <w:p w14:paraId="2119C244"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132,000</w:t>
            </w:r>
          </w:p>
        </w:tc>
        <w:tc>
          <w:tcPr>
            <w:tcW w:w="1029" w:type="dxa"/>
            <w:noWrap/>
            <w:vAlign w:val="center"/>
            <w:hideMark/>
          </w:tcPr>
          <w:p w14:paraId="743E7FF8"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33,000</w:t>
            </w:r>
          </w:p>
        </w:tc>
        <w:tc>
          <w:tcPr>
            <w:tcW w:w="1029" w:type="dxa"/>
            <w:noWrap/>
            <w:vAlign w:val="center"/>
            <w:hideMark/>
          </w:tcPr>
          <w:p w14:paraId="1CC0420F"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165,000</w:t>
            </w:r>
          </w:p>
        </w:tc>
        <w:tc>
          <w:tcPr>
            <w:tcW w:w="1110" w:type="dxa"/>
            <w:noWrap/>
            <w:vAlign w:val="center"/>
            <w:hideMark/>
          </w:tcPr>
          <w:p w14:paraId="16B301C2" w14:textId="12B403C4"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日本</w:t>
            </w:r>
            <w:r w:rsidR="000C412C" w:rsidRPr="00821C34">
              <w:rPr>
                <w:rFonts w:cstheme="minorHAnsi"/>
                <w:sz w:val="18"/>
                <w:szCs w:val="18"/>
              </w:rPr>
              <w:t>MIC</w:t>
            </w:r>
          </w:p>
        </w:tc>
      </w:tr>
      <w:tr w:rsidR="000C412C" w:rsidRPr="00821C34" w14:paraId="7775C3BF" w14:textId="77777777" w:rsidTr="003200E7">
        <w:trPr>
          <w:trHeight w:val="371"/>
        </w:trPr>
        <w:tc>
          <w:tcPr>
            <w:tcW w:w="1167" w:type="dxa"/>
            <w:noWrap/>
            <w:vAlign w:val="center"/>
            <w:hideMark/>
          </w:tcPr>
          <w:p w14:paraId="6785898F"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7RAS24074</w:t>
            </w:r>
          </w:p>
        </w:tc>
        <w:tc>
          <w:tcPr>
            <w:tcW w:w="2346" w:type="dxa"/>
            <w:noWrap/>
            <w:hideMark/>
          </w:tcPr>
          <w:p w14:paraId="08FB1CAD" w14:textId="0CEE1139"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强化亚太地区具有</w:t>
            </w:r>
            <w:r w:rsidR="00C66927">
              <w:rPr>
                <w:rFonts w:cstheme="minorHAnsi" w:hint="eastAsia"/>
                <w:sz w:val="18"/>
                <w:szCs w:val="18"/>
                <w:lang w:eastAsia="zh-CN"/>
              </w:rPr>
              <w:t>复原</w:t>
            </w:r>
            <w:r w:rsidRPr="00C66927">
              <w:rPr>
                <w:rFonts w:cstheme="minorHAnsi" w:hint="eastAsia"/>
                <w:sz w:val="18"/>
                <w:szCs w:val="18"/>
                <w:lang w:eastAsia="zh-CN"/>
              </w:rPr>
              <w:t>力的</w:t>
            </w:r>
            <w:r w:rsidRPr="00C66927">
              <w:rPr>
                <w:rFonts w:cstheme="minorHAnsi" w:hint="eastAsia"/>
                <w:sz w:val="18"/>
                <w:szCs w:val="18"/>
                <w:lang w:eastAsia="zh-CN"/>
              </w:rPr>
              <w:t>ICT</w:t>
            </w:r>
            <w:r w:rsidRPr="00C66927">
              <w:rPr>
                <w:rFonts w:cstheme="minorHAnsi" w:hint="eastAsia"/>
                <w:sz w:val="18"/>
                <w:szCs w:val="18"/>
                <w:lang w:eastAsia="zh-CN"/>
              </w:rPr>
              <w:t>基础设施（第二阶段）</w:t>
            </w:r>
          </w:p>
        </w:tc>
        <w:tc>
          <w:tcPr>
            <w:tcW w:w="886" w:type="dxa"/>
            <w:noWrap/>
            <w:vAlign w:val="center"/>
            <w:hideMark/>
          </w:tcPr>
          <w:p w14:paraId="2487D7A4" w14:textId="668B83CD"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0A686A4D" w14:textId="11D6F73E" w:rsidR="000C412C" w:rsidRPr="00821C34" w:rsidRDefault="00C66927"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ASP5 - </w:t>
            </w:r>
            <w:r w:rsidRPr="00C66927">
              <w:rPr>
                <w:rFonts w:cstheme="minorHAnsi" w:hint="eastAsia"/>
                <w:sz w:val="18"/>
                <w:szCs w:val="18"/>
                <w:lang w:eastAsia="zh-CN"/>
              </w:rPr>
              <w:t>安全和具有复原力的</w:t>
            </w:r>
            <w:r w:rsidRPr="00C66927">
              <w:rPr>
                <w:rFonts w:cstheme="minorHAnsi" w:hint="eastAsia"/>
                <w:sz w:val="18"/>
                <w:szCs w:val="18"/>
                <w:lang w:eastAsia="zh-CN"/>
              </w:rPr>
              <w:t>ICT</w:t>
            </w:r>
          </w:p>
        </w:tc>
        <w:tc>
          <w:tcPr>
            <w:tcW w:w="1029" w:type="dxa"/>
            <w:noWrap/>
            <w:vAlign w:val="center"/>
            <w:hideMark/>
          </w:tcPr>
          <w:p w14:paraId="62C2B688"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132,000</w:t>
            </w:r>
          </w:p>
        </w:tc>
        <w:tc>
          <w:tcPr>
            <w:tcW w:w="1029" w:type="dxa"/>
            <w:noWrap/>
            <w:vAlign w:val="center"/>
            <w:hideMark/>
          </w:tcPr>
          <w:p w14:paraId="62E15FD6"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33,000</w:t>
            </w:r>
          </w:p>
        </w:tc>
        <w:tc>
          <w:tcPr>
            <w:tcW w:w="1029" w:type="dxa"/>
            <w:noWrap/>
            <w:vAlign w:val="center"/>
            <w:hideMark/>
          </w:tcPr>
          <w:p w14:paraId="7B268C2D"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165,000</w:t>
            </w:r>
          </w:p>
        </w:tc>
        <w:tc>
          <w:tcPr>
            <w:tcW w:w="1110" w:type="dxa"/>
            <w:noWrap/>
            <w:vAlign w:val="center"/>
            <w:hideMark/>
          </w:tcPr>
          <w:p w14:paraId="10DC88B8" w14:textId="3679E14A"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日本</w:t>
            </w:r>
            <w:r w:rsidRPr="00821C34">
              <w:rPr>
                <w:rFonts w:cstheme="minorHAnsi"/>
                <w:sz w:val="18"/>
                <w:szCs w:val="18"/>
              </w:rPr>
              <w:t>MIC</w:t>
            </w:r>
          </w:p>
        </w:tc>
      </w:tr>
      <w:tr w:rsidR="000C412C" w:rsidRPr="00821C34" w14:paraId="69BE52D6" w14:textId="77777777" w:rsidTr="003200E7">
        <w:trPr>
          <w:trHeight w:val="371"/>
        </w:trPr>
        <w:tc>
          <w:tcPr>
            <w:tcW w:w="1167" w:type="dxa"/>
            <w:noWrap/>
            <w:vAlign w:val="center"/>
            <w:hideMark/>
          </w:tcPr>
          <w:p w14:paraId="7BE36C78"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7RAS24076</w:t>
            </w:r>
          </w:p>
        </w:tc>
        <w:tc>
          <w:tcPr>
            <w:tcW w:w="2346" w:type="dxa"/>
            <w:noWrap/>
            <w:hideMark/>
          </w:tcPr>
          <w:p w14:paraId="5EC541FC" w14:textId="1934BD2C"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可行性研究：解决太平洋小岛屿发展中国家（</w:t>
            </w:r>
            <w:r w:rsidRPr="00C66927">
              <w:rPr>
                <w:rFonts w:cstheme="minorHAnsi" w:hint="eastAsia"/>
                <w:sz w:val="18"/>
                <w:szCs w:val="18"/>
                <w:lang w:eastAsia="zh-CN"/>
              </w:rPr>
              <w:t>PSID</w:t>
            </w:r>
            <w:r w:rsidRPr="00C66927">
              <w:rPr>
                <w:rFonts w:cstheme="minorHAnsi" w:hint="eastAsia"/>
                <w:sz w:val="18"/>
                <w:szCs w:val="18"/>
                <w:lang w:eastAsia="zh-CN"/>
              </w:rPr>
              <w:t>）的特殊电信</w:t>
            </w:r>
            <w:r w:rsidRPr="00C66927">
              <w:rPr>
                <w:rFonts w:cstheme="minorHAnsi" w:hint="eastAsia"/>
                <w:sz w:val="18"/>
                <w:szCs w:val="18"/>
                <w:lang w:eastAsia="zh-CN"/>
              </w:rPr>
              <w:t>/ICT</w:t>
            </w:r>
            <w:r w:rsidRPr="00C66927">
              <w:rPr>
                <w:rFonts w:cstheme="minorHAnsi" w:hint="eastAsia"/>
                <w:sz w:val="18"/>
                <w:szCs w:val="18"/>
                <w:lang w:eastAsia="zh-CN"/>
              </w:rPr>
              <w:t>需求</w:t>
            </w:r>
          </w:p>
        </w:tc>
        <w:tc>
          <w:tcPr>
            <w:tcW w:w="886" w:type="dxa"/>
            <w:noWrap/>
            <w:vAlign w:val="center"/>
            <w:hideMark/>
          </w:tcPr>
          <w:p w14:paraId="50814D44" w14:textId="3551EBC6"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0B7E190D" w14:textId="63EA692A"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ASP1 - </w:t>
            </w:r>
            <w:r w:rsidR="00C66927" w:rsidRPr="00C66927">
              <w:rPr>
                <w:rFonts w:cstheme="minorHAnsi" w:hint="eastAsia"/>
                <w:sz w:val="18"/>
                <w:szCs w:val="18"/>
                <w:lang w:eastAsia="zh-CN"/>
              </w:rPr>
              <w:t>有</w:t>
            </w:r>
            <w:r w:rsidRPr="00C66927">
              <w:rPr>
                <w:rFonts w:cstheme="minorHAnsi" w:hint="eastAsia"/>
                <w:sz w:val="18"/>
                <w:szCs w:val="18"/>
                <w:lang w:eastAsia="zh-CN"/>
              </w:rPr>
              <w:t>特殊需要的最不发达国家、小岛屿发展中国家、内陆发展中国家</w:t>
            </w:r>
          </w:p>
        </w:tc>
        <w:tc>
          <w:tcPr>
            <w:tcW w:w="1029" w:type="dxa"/>
            <w:noWrap/>
            <w:vAlign w:val="center"/>
            <w:hideMark/>
          </w:tcPr>
          <w:p w14:paraId="7F93B80C"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501,526</w:t>
            </w:r>
          </w:p>
        </w:tc>
        <w:tc>
          <w:tcPr>
            <w:tcW w:w="1029" w:type="dxa"/>
            <w:noWrap/>
            <w:vAlign w:val="center"/>
            <w:hideMark/>
          </w:tcPr>
          <w:p w14:paraId="6108AAA1"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166,320</w:t>
            </w:r>
          </w:p>
        </w:tc>
        <w:tc>
          <w:tcPr>
            <w:tcW w:w="1029" w:type="dxa"/>
            <w:noWrap/>
            <w:vAlign w:val="center"/>
            <w:hideMark/>
          </w:tcPr>
          <w:p w14:paraId="2486CF83"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667,846</w:t>
            </w:r>
          </w:p>
        </w:tc>
        <w:tc>
          <w:tcPr>
            <w:tcW w:w="1110" w:type="dxa"/>
            <w:noWrap/>
            <w:vAlign w:val="center"/>
            <w:hideMark/>
          </w:tcPr>
          <w:p w14:paraId="62D39314" w14:textId="3DE8B64C"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澳大利亚</w:t>
            </w:r>
            <w:r w:rsidR="00B07030" w:rsidRPr="00B07030">
              <w:rPr>
                <w:rFonts w:cstheme="minorHAnsi"/>
                <w:sz w:val="18"/>
                <w:szCs w:val="18"/>
              </w:rPr>
              <w:t>DITRDCA</w:t>
            </w:r>
          </w:p>
        </w:tc>
      </w:tr>
      <w:tr w:rsidR="000C412C" w:rsidRPr="00821C34" w14:paraId="232258B7" w14:textId="77777777" w:rsidTr="003200E7">
        <w:trPr>
          <w:trHeight w:val="371"/>
        </w:trPr>
        <w:tc>
          <w:tcPr>
            <w:tcW w:w="1167" w:type="dxa"/>
            <w:noWrap/>
            <w:vAlign w:val="center"/>
            <w:hideMark/>
          </w:tcPr>
          <w:p w14:paraId="457CBD26"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7RAS23072</w:t>
            </w:r>
          </w:p>
        </w:tc>
        <w:tc>
          <w:tcPr>
            <w:tcW w:w="2346" w:type="dxa"/>
            <w:noWrap/>
            <w:hideMark/>
          </w:tcPr>
          <w:p w14:paraId="5D7139BD" w14:textId="0B81C10D"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加速亚太地区的数字化转型</w:t>
            </w:r>
          </w:p>
        </w:tc>
        <w:tc>
          <w:tcPr>
            <w:tcW w:w="886" w:type="dxa"/>
            <w:noWrap/>
            <w:vAlign w:val="center"/>
            <w:hideMark/>
          </w:tcPr>
          <w:p w14:paraId="5BC0E6D1" w14:textId="74FD58D1"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亚太</w:t>
            </w:r>
          </w:p>
        </w:tc>
        <w:tc>
          <w:tcPr>
            <w:tcW w:w="1379" w:type="dxa"/>
            <w:noWrap/>
            <w:hideMark/>
          </w:tcPr>
          <w:p w14:paraId="1263D3FE" w14:textId="2F9C187D"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 xml:space="preserve">ASP2 - </w:t>
            </w:r>
            <w:r w:rsidRPr="00C66927">
              <w:rPr>
                <w:rFonts w:cstheme="minorHAnsi" w:hint="eastAsia"/>
                <w:sz w:val="18"/>
                <w:szCs w:val="18"/>
                <w:lang w:eastAsia="zh-CN"/>
              </w:rPr>
              <w:t>数字经济和包容性数字社会</w:t>
            </w:r>
          </w:p>
        </w:tc>
        <w:tc>
          <w:tcPr>
            <w:tcW w:w="1029" w:type="dxa"/>
            <w:noWrap/>
            <w:vAlign w:val="center"/>
            <w:hideMark/>
          </w:tcPr>
          <w:p w14:paraId="1AC8789D"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337,500</w:t>
            </w:r>
          </w:p>
        </w:tc>
        <w:tc>
          <w:tcPr>
            <w:tcW w:w="1029" w:type="dxa"/>
            <w:noWrap/>
            <w:vAlign w:val="center"/>
            <w:hideMark/>
          </w:tcPr>
          <w:p w14:paraId="17C7E180"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67,500</w:t>
            </w:r>
          </w:p>
        </w:tc>
        <w:tc>
          <w:tcPr>
            <w:tcW w:w="1029" w:type="dxa"/>
            <w:noWrap/>
            <w:vAlign w:val="center"/>
            <w:hideMark/>
          </w:tcPr>
          <w:p w14:paraId="6A22A365"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405,000</w:t>
            </w:r>
          </w:p>
        </w:tc>
        <w:tc>
          <w:tcPr>
            <w:tcW w:w="1110" w:type="dxa"/>
            <w:noWrap/>
            <w:vAlign w:val="center"/>
            <w:hideMark/>
          </w:tcPr>
          <w:p w14:paraId="4DE346DD" w14:textId="419BCA9A"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澳大利亚</w:t>
            </w:r>
            <w:r w:rsidR="00B07030" w:rsidRPr="00B07030">
              <w:rPr>
                <w:rFonts w:cstheme="minorHAnsi"/>
                <w:sz w:val="18"/>
                <w:szCs w:val="18"/>
              </w:rPr>
              <w:t>DITRDCA</w:t>
            </w:r>
          </w:p>
        </w:tc>
      </w:tr>
      <w:tr w:rsidR="000C412C" w:rsidRPr="00821C34" w14:paraId="4166B983" w14:textId="77777777" w:rsidTr="003200E7">
        <w:trPr>
          <w:trHeight w:val="371"/>
        </w:trPr>
        <w:tc>
          <w:tcPr>
            <w:tcW w:w="1167" w:type="dxa"/>
            <w:noWrap/>
            <w:vAlign w:val="center"/>
          </w:tcPr>
          <w:p w14:paraId="77B22271"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7GLO23132</w:t>
            </w:r>
          </w:p>
        </w:tc>
        <w:tc>
          <w:tcPr>
            <w:tcW w:w="2346" w:type="dxa"/>
            <w:noWrap/>
          </w:tcPr>
          <w:p w14:paraId="07E05193" w14:textId="6FE9A760"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连通的一代青年领袖计划</w:t>
            </w:r>
          </w:p>
        </w:tc>
        <w:tc>
          <w:tcPr>
            <w:tcW w:w="886" w:type="dxa"/>
            <w:noWrap/>
            <w:vAlign w:val="center"/>
          </w:tcPr>
          <w:p w14:paraId="43A62614" w14:textId="0EC7D4A2"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跨区域</w:t>
            </w:r>
          </w:p>
        </w:tc>
        <w:tc>
          <w:tcPr>
            <w:tcW w:w="1379" w:type="dxa"/>
            <w:noWrap/>
          </w:tcPr>
          <w:p w14:paraId="580FB783" w14:textId="2D638EDD"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跨区域</w:t>
            </w:r>
          </w:p>
        </w:tc>
        <w:tc>
          <w:tcPr>
            <w:tcW w:w="1029" w:type="dxa"/>
            <w:noWrap/>
            <w:vAlign w:val="center"/>
          </w:tcPr>
          <w:p w14:paraId="6E000C28"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1,104,976</w:t>
            </w:r>
          </w:p>
        </w:tc>
        <w:tc>
          <w:tcPr>
            <w:tcW w:w="1029" w:type="dxa"/>
            <w:noWrap/>
            <w:vAlign w:val="center"/>
          </w:tcPr>
          <w:p w14:paraId="12DF4622"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440,000</w:t>
            </w:r>
          </w:p>
        </w:tc>
        <w:tc>
          <w:tcPr>
            <w:tcW w:w="1029" w:type="dxa"/>
            <w:noWrap/>
            <w:vAlign w:val="center"/>
          </w:tcPr>
          <w:p w14:paraId="1A923389"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1,544,976</w:t>
            </w:r>
          </w:p>
        </w:tc>
        <w:tc>
          <w:tcPr>
            <w:tcW w:w="1110" w:type="dxa"/>
            <w:noWrap/>
            <w:vAlign w:val="center"/>
          </w:tcPr>
          <w:p w14:paraId="75CFD68C" w14:textId="2AED4B31"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华为</w:t>
            </w:r>
          </w:p>
        </w:tc>
      </w:tr>
      <w:tr w:rsidR="000C412C" w:rsidRPr="00821C34" w14:paraId="11088EF0" w14:textId="77777777" w:rsidTr="003200E7">
        <w:trPr>
          <w:trHeight w:val="371"/>
        </w:trPr>
        <w:tc>
          <w:tcPr>
            <w:tcW w:w="1167" w:type="dxa"/>
            <w:noWrap/>
            <w:vAlign w:val="center"/>
          </w:tcPr>
          <w:p w14:paraId="1CE7ABC9" w14:textId="77777777" w:rsidR="000C412C" w:rsidRPr="00821C34" w:rsidRDefault="000C412C" w:rsidP="000C412C">
            <w:pPr>
              <w:spacing w:before="60" w:after="60"/>
              <w:jc w:val="center"/>
              <w:rPr>
                <w:rFonts w:cstheme="minorHAnsi"/>
                <w:sz w:val="18"/>
                <w:szCs w:val="18"/>
              </w:rPr>
            </w:pPr>
            <w:r w:rsidRPr="00821C34">
              <w:rPr>
                <w:rFonts w:cstheme="minorHAnsi"/>
                <w:sz w:val="18"/>
                <w:szCs w:val="18"/>
              </w:rPr>
              <w:t>7GLO23133</w:t>
            </w:r>
          </w:p>
        </w:tc>
        <w:tc>
          <w:tcPr>
            <w:tcW w:w="2346" w:type="dxa"/>
            <w:noWrap/>
          </w:tcPr>
          <w:p w14:paraId="7EB605A6" w14:textId="1B62CB35" w:rsidR="000C412C" w:rsidRPr="00821C34" w:rsidRDefault="000C412C" w:rsidP="000C412C">
            <w:pPr>
              <w:spacing w:before="60" w:after="60"/>
              <w:jc w:val="center"/>
              <w:rPr>
                <w:rFonts w:cstheme="minorHAnsi"/>
                <w:sz w:val="18"/>
                <w:szCs w:val="18"/>
                <w:lang w:eastAsia="zh-CN"/>
              </w:rPr>
            </w:pPr>
            <w:r w:rsidRPr="00C66927">
              <w:rPr>
                <w:rFonts w:cstheme="minorHAnsi" w:hint="eastAsia"/>
                <w:sz w:val="18"/>
                <w:szCs w:val="18"/>
                <w:lang w:eastAsia="zh-CN"/>
              </w:rPr>
              <w:t>通过数字</w:t>
            </w:r>
            <w:r w:rsidR="00C66927" w:rsidRPr="00C66927">
              <w:rPr>
                <w:rFonts w:cstheme="minorHAnsi" w:hint="eastAsia"/>
                <w:sz w:val="18"/>
                <w:szCs w:val="18"/>
                <w:lang w:eastAsia="zh-CN"/>
              </w:rPr>
              <w:t>化</w:t>
            </w:r>
            <w:r w:rsidRPr="00C66927">
              <w:rPr>
                <w:rFonts w:cstheme="minorHAnsi" w:hint="eastAsia"/>
                <w:sz w:val="18"/>
                <w:szCs w:val="18"/>
                <w:lang w:eastAsia="zh-CN"/>
              </w:rPr>
              <w:t>转型中心（</w:t>
            </w:r>
            <w:r w:rsidRPr="00C66927">
              <w:rPr>
                <w:rFonts w:cstheme="minorHAnsi" w:hint="eastAsia"/>
                <w:sz w:val="18"/>
                <w:szCs w:val="18"/>
                <w:lang w:eastAsia="zh-CN"/>
              </w:rPr>
              <w:t>DTC</w:t>
            </w:r>
            <w:r w:rsidRPr="00C66927">
              <w:rPr>
                <w:rFonts w:cstheme="minorHAnsi" w:hint="eastAsia"/>
                <w:sz w:val="18"/>
                <w:szCs w:val="18"/>
                <w:lang w:eastAsia="zh-CN"/>
              </w:rPr>
              <w:t>）提升数字技能</w:t>
            </w:r>
            <w:r w:rsidRPr="00C66927">
              <w:rPr>
                <w:rFonts w:cstheme="minorHAnsi" w:hint="eastAsia"/>
                <w:sz w:val="18"/>
                <w:szCs w:val="18"/>
                <w:lang w:eastAsia="zh-CN"/>
              </w:rPr>
              <w:t xml:space="preserve"> - </w:t>
            </w:r>
            <w:r w:rsidRPr="00C66927">
              <w:rPr>
                <w:rFonts w:cstheme="minorHAnsi" w:hint="eastAsia"/>
                <w:sz w:val="18"/>
                <w:szCs w:val="18"/>
                <w:lang w:eastAsia="zh-CN"/>
              </w:rPr>
              <w:t>第二阶段</w:t>
            </w:r>
          </w:p>
        </w:tc>
        <w:tc>
          <w:tcPr>
            <w:tcW w:w="886" w:type="dxa"/>
            <w:noWrap/>
            <w:vAlign w:val="center"/>
          </w:tcPr>
          <w:p w14:paraId="2803A406" w14:textId="6292536D"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跨区域</w:t>
            </w:r>
          </w:p>
        </w:tc>
        <w:tc>
          <w:tcPr>
            <w:tcW w:w="1379" w:type="dxa"/>
            <w:noWrap/>
          </w:tcPr>
          <w:p w14:paraId="2EB83141" w14:textId="2368B206"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跨区域</w:t>
            </w:r>
          </w:p>
        </w:tc>
        <w:tc>
          <w:tcPr>
            <w:tcW w:w="1029" w:type="dxa"/>
            <w:noWrap/>
            <w:vAlign w:val="center"/>
          </w:tcPr>
          <w:p w14:paraId="6B46517E"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832,000</w:t>
            </w:r>
          </w:p>
        </w:tc>
        <w:tc>
          <w:tcPr>
            <w:tcW w:w="1029" w:type="dxa"/>
            <w:noWrap/>
            <w:vAlign w:val="center"/>
          </w:tcPr>
          <w:p w14:paraId="03B14889"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268,000</w:t>
            </w:r>
          </w:p>
        </w:tc>
        <w:tc>
          <w:tcPr>
            <w:tcW w:w="1029" w:type="dxa"/>
            <w:noWrap/>
            <w:vAlign w:val="center"/>
          </w:tcPr>
          <w:p w14:paraId="433869B0" w14:textId="77777777" w:rsidR="000C412C" w:rsidRPr="00821C34" w:rsidRDefault="000C412C" w:rsidP="000C412C">
            <w:pPr>
              <w:spacing w:before="60" w:after="60"/>
              <w:jc w:val="right"/>
              <w:rPr>
                <w:rFonts w:cstheme="minorHAnsi"/>
                <w:sz w:val="18"/>
                <w:szCs w:val="18"/>
              </w:rPr>
            </w:pPr>
            <w:r w:rsidRPr="00821C34">
              <w:rPr>
                <w:rFonts w:cstheme="minorHAnsi"/>
                <w:sz w:val="18"/>
                <w:szCs w:val="18"/>
              </w:rPr>
              <w:t>1,100,000</w:t>
            </w:r>
          </w:p>
        </w:tc>
        <w:tc>
          <w:tcPr>
            <w:tcW w:w="1110" w:type="dxa"/>
            <w:noWrap/>
            <w:vAlign w:val="center"/>
          </w:tcPr>
          <w:p w14:paraId="663B6E6F" w14:textId="61780485" w:rsidR="000C412C" w:rsidRPr="00821C34" w:rsidRDefault="00C66927" w:rsidP="000C412C">
            <w:pPr>
              <w:spacing w:before="60" w:after="60"/>
              <w:jc w:val="center"/>
              <w:rPr>
                <w:rFonts w:cstheme="minorHAnsi"/>
                <w:sz w:val="18"/>
                <w:szCs w:val="18"/>
              </w:rPr>
            </w:pPr>
            <w:r>
              <w:rPr>
                <w:rFonts w:cstheme="minorHAnsi" w:hint="eastAsia"/>
                <w:sz w:val="18"/>
                <w:szCs w:val="18"/>
                <w:lang w:eastAsia="zh-CN"/>
              </w:rPr>
              <w:t>挪威</w:t>
            </w:r>
            <w:r w:rsidR="000C412C" w:rsidRPr="00821C34">
              <w:rPr>
                <w:rFonts w:cstheme="minorHAnsi"/>
                <w:sz w:val="18"/>
                <w:szCs w:val="18"/>
              </w:rPr>
              <w:t xml:space="preserve">NORAD </w:t>
            </w:r>
          </w:p>
        </w:tc>
      </w:tr>
      <w:tr w:rsidR="00DE0328" w:rsidRPr="00821C34" w14:paraId="2E07B9BE" w14:textId="77777777" w:rsidTr="00F95BD1">
        <w:trPr>
          <w:trHeight w:val="371"/>
        </w:trPr>
        <w:tc>
          <w:tcPr>
            <w:tcW w:w="1167" w:type="dxa"/>
            <w:shd w:val="clear" w:color="auto" w:fill="D9D9D9" w:themeFill="background1" w:themeFillShade="D9"/>
            <w:noWrap/>
            <w:vAlign w:val="center"/>
          </w:tcPr>
          <w:p w14:paraId="10605546" w14:textId="77777777" w:rsidR="00DE0328" w:rsidRPr="00821C34" w:rsidRDefault="00DE0328" w:rsidP="00F95BD1">
            <w:pPr>
              <w:spacing w:before="60" w:after="60"/>
              <w:jc w:val="right"/>
              <w:rPr>
                <w:rFonts w:cstheme="minorHAnsi"/>
                <w:b/>
                <w:bCs/>
                <w:sz w:val="18"/>
                <w:szCs w:val="18"/>
              </w:rPr>
            </w:pPr>
          </w:p>
        </w:tc>
        <w:tc>
          <w:tcPr>
            <w:tcW w:w="2346" w:type="dxa"/>
            <w:shd w:val="clear" w:color="auto" w:fill="D9D9D9" w:themeFill="background1" w:themeFillShade="D9"/>
            <w:noWrap/>
            <w:vAlign w:val="center"/>
          </w:tcPr>
          <w:p w14:paraId="5AB407DD" w14:textId="19072828" w:rsidR="00DE0328" w:rsidRPr="00821C34" w:rsidRDefault="00C66927" w:rsidP="00F95BD1">
            <w:pPr>
              <w:spacing w:before="60" w:after="60"/>
              <w:jc w:val="center"/>
              <w:rPr>
                <w:rFonts w:cstheme="minorHAnsi"/>
                <w:b/>
                <w:bCs/>
                <w:sz w:val="18"/>
                <w:szCs w:val="18"/>
              </w:rPr>
            </w:pPr>
            <w:r>
              <w:rPr>
                <w:rFonts w:cstheme="minorHAnsi" w:hint="eastAsia"/>
                <w:b/>
                <w:bCs/>
                <w:sz w:val="18"/>
                <w:szCs w:val="18"/>
                <w:lang w:eastAsia="zh-CN"/>
              </w:rPr>
              <w:t>合计</w:t>
            </w:r>
          </w:p>
        </w:tc>
        <w:tc>
          <w:tcPr>
            <w:tcW w:w="886" w:type="dxa"/>
            <w:shd w:val="clear" w:color="auto" w:fill="D9D9D9" w:themeFill="background1" w:themeFillShade="D9"/>
            <w:noWrap/>
            <w:vAlign w:val="center"/>
          </w:tcPr>
          <w:p w14:paraId="479E9448" w14:textId="77777777" w:rsidR="00DE0328" w:rsidRPr="00821C34" w:rsidRDefault="00DE0328" w:rsidP="00F95BD1">
            <w:pPr>
              <w:spacing w:before="60" w:after="60"/>
              <w:jc w:val="right"/>
              <w:rPr>
                <w:rFonts w:cstheme="minorHAnsi"/>
                <w:b/>
                <w:bCs/>
                <w:sz w:val="18"/>
                <w:szCs w:val="18"/>
              </w:rPr>
            </w:pPr>
          </w:p>
        </w:tc>
        <w:tc>
          <w:tcPr>
            <w:tcW w:w="1379" w:type="dxa"/>
            <w:shd w:val="clear" w:color="auto" w:fill="D9D9D9" w:themeFill="background1" w:themeFillShade="D9"/>
            <w:noWrap/>
            <w:vAlign w:val="center"/>
          </w:tcPr>
          <w:p w14:paraId="29AB76AF" w14:textId="77777777" w:rsidR="00DE0328" w:rsidRPr="00821C34" w:rsidRDefault="00DE0328" w:rsidP="00F95BD1">
            <w:pPr>
              <w:spacing w:before="60" w:after="60"/>
              <w:jc w:val="right"/>
              <w:rPr>
                <w:rFonts w:cstheme="minorHAnsi"/>
                <w:b/>
                <w:bCs/>
                <w:sz w:val="18"/>
                <w:szCs w:val="18"/>
              </w:rPr>
            </w:pPr>
          </w:p>
        </w:tc>
        <w:tc>
          <w:tcPr>
            <w:tcW w:w="1029" w:type="dxa"/>
            <w:shd w:val="clear" w:color="auto" w:fill="D9D9D9" w:themeFill="background1" w:themeFillShade="D9"/>
            <w:noWrap/>
            <w:vAlign w:val="center"/>
          </w:tcPr>
          <w:p w14:paraId="31F4D9F6" w14:textId="77777777" w:rsidR="00DE0328" w:rsidRPr="00821C34" w:rsidRDefault="00DE0328" w:rsidP="00F95BD1">
            <w:pPr>
              <w:spacing w:before="60" w:after="60"/>
              <w:jc w:val="right"/>
              <w:rPr>
                <w:rFonts w:cstheme="minorHAnsi"/>
                <w:b/>
                <w:bCs/>
                <w:sz w:val="18"/>
                <w:szCs w:val="18"/>
              </w:rPr>
            </w:pPr>
            <w:r w:rsidRPr="00821C34">
              <w:rPr>
                <w:rFonts w:cstheme="minorHAnsi"/>
                <w:b/>
                <w:bCs/>
                <w:sz w:val="18"/>
                <w:szCs w:val="18"/>
              </w:rPr>
              <w:t>3,265,282</w:t>
            </w:r>
          </w:p>
        </w:tc>
        <w:tc>
          <w:tcPr>
            <w:tcW w:w="1029" w:type="dxa"/>
            <w:shd w:val="clear" w:color="auto" w:fill="D9D9D9" w:themeFill="background1" w:themeFillShade="D9"/>
            <w:noWrap/>
            <w:vAlign w:val="center"/>
          </w:tcPr>
          <w:p w14:paraId="195A89A9" w14:textId="77777777" w:rsidR="00DE0328" w:rsidRPr="00821C34" w:rsidRDefault="00DE0328" w:rsidP="00F95BD1">
            <w:pPr>
              <w:spacing w:before="60" w:after="60"/>
              <w:jc w:val="right"/>
              <w:rPr>
                <w:rFonts w:cstheme="minorHAnsi"/>
                <w:b/>
                <w:bCs/>
                <w:sz w:val="18"/>
                <w:szCs w:val="18"/>
              </w:rPr>
            </w:pPr>
            <w:r w:rsidRPr="00821C34">
              <w:rPr>
                <w:rFonts w:cstheme="minorHAnsi"/>
                <w:b/>
                <w:bCs/>
                <w:sz w:val="18"/>
                <w:szCs w:val="18"/>
              </w:rPr>
              <w:t>1,060,620</w:t>
            </w:r>
          </w:p>
        </w:tc>
        <w:tc>
          <w:tcPr>
            <w:tcW w:w="1029" w:type="dxa"/>
            <w:shd w:val="clear" w:color="auto" w:fill="D9D9D9" w:themeFill="background1" w:themeFillShade="D9"/>
            <w:noWrap/>
            <w:vAlign w:val="center"/>
          </w:tcPr>
          <w:p w14:paraId="415FE353" w14:textId="77777777" w:rsidR="00DE0328" w:rsidRPr="00821C34" w:rsidRDefault="00DE0328" w:rsidP="00F95BD1">
            <w:pPr>
              <w:spacing w:before="60" w:after="60"/>
              <w:jc w:val="right"/>
              <w:rPr>
                <w:rFonts w:cstheme="minorHAnsi"/>
                <w:b/>
                <w:bCs/>
                <w:sz w:val="18"/>
                <w:szCs w:val="18"/>
              </w:rPr>
            </w:pPr>
            <w:r w:rsidRPr="00821C34">
              <w:rPr>
                <w:rFonts w:cstheme="minorHAnsi"/>
                <w:b/>
                <w:bCs/>
                <w:sz w:val="18"/>
                <w:szCs w:val="18"/>
              </w:rPr>
              <w:t>4,325,902</w:t>
            </w:r>
          </w:p>
        </w:tc>
        <w:tc>
          <w:tcPr>
            <w:tcW w:w="1110" w:type="dxa"/>
            <w:shd w:val="clear" w:color="auto" w:fill="D9D9D9" w:themeFill="background1" w:themeFillShade="D9"/>
            <w:noWrap/>
            <w:vAlign w:val="center"/>
          </w:tcPr>
          <w:p w14:paraId="16A0B335" w14:textId="77777777" w:rsidR="00DE0328" w:rsidRPr="00821C34" w:rsidRDefault="00DE0328" w:rsidP="00F95BD1">
            <w:pPr>
              <w:spacing w:before="60" w:after="60"/>
              <w:jc w:val="right"/>
              <w:rPr>
                <w:rFonts w:cstheme="minorHAnsi"/>
                <w:b/>
                <w:bCs/>
                <w:sz w:val="18"/>
                <w:szCs w:val="18"/>
              </w:rPr>
            </w:pPr>
          </w:p>
        </w:tc>
      </w:tr>
    </w:tbl>
    <w:p w14:paraId="796D7E6B" w14:textId="7F5C61B4" w:rsidR="00DE0328" w:rsidRPr="00821C34" w:rsidRDefault="00C66927" w:rsidP="00DE0328">
      <w:pPr>
        <w:spacing w:before="60" w:after="60"/>
        <w:rPr>
          <w:rFonts w:cstheme="minorHAnsi"/>
          <w:sz w:val="18"/>
          <w:szCs w:val="18"/>
          <w:lang w:eastAsia="zh-CN"/>
        </w:rPr>
      </w:pPr>
      <w:r w:rsidRPr="00C66927">
        <w:rPr>
          <w:rFonts w:cstheme="minorHAnsi" w:hint="eastAsia"/>
          <w:sz w:val="18"/>
          <w:szCs w:val="18"/>
          <w:lang w:eastAsia="zh-CN"/>
        </w:rPr>
        <w:t>注：所有资金均转换为瑞士法郎</w:t>
      </w:r>
    </w:p>
    <w:p w14:paraId="7035BB52" w14:textId="1F687010" w:rsidR="00154F97" w:rsidRDefault="00022A16" w:rsidP="00DE0328">
      <w:pPr>
        <w:spacing w:after="120"/>
        <w:ind w:firstLineChars="200" w:firstLine="480"/>
        <w:rPr>
          <w:rFonts w:cstheme="minorHAnsi"/>
          <w:lang w:eastAsia="zh-CN"/>
        </w:rPr>
      </w:pPr>
      <w:r w:rsidRPr="00022A16">
        <w:rPr>
          <w:rFonts w:cstheme="minorHAnsi" w:hint="eastAsia"/>
          <w:lang w:eastAsia="zh-CN"/>
        </w:rPr>
        <w:t>预计</w:t>
      </w:r>
      <w:r w:rsidR="00C66927" w:rsidRPr="00C66927">
        <w:rPr>
          <w:rFonts w:cstheme="minorHAnsi" w:hint="eastAsia"/>
          <w:lang w:eastAsia="zh-CN"/>
        </w:rPr>
        <w:t>在</w:t>
      </w:r>
      <w:r w:rsidR="00C66927" w:rsidRPr="00C66927">
        <w:rPr>
          <w:rFonts w:cstheme="minorHAnsi" w:hint="eastAsia"/>
          <w:lang w:eastAsia="zh-CN"/>
        </w:rPr>
        <w:t>2024</w:t>
      </w:r>
      <w:r w:rsidR="00C66927" w:rsidRPr="00C66927">
        <w:rPr>
          <w:rFonts w:cstheme="minorHAnsi" w:hint="eastAsia"/>
          <w:lang w:eastAsia="zh-CN"/>
        </w:rPr>
        <w:t>年</w:t>
      </w:r>
      <w:r w:rsidRPr="00C66927">
        <w:rPr>
          <w:rFonts w:cstheme="minorHAnsi" w:hint="eastAsia"/>
          <w:lang w:eastAsia="zh-CN"/>
        </w:rPr>
        <w:t>将取得进一步进展</w:t>
      </w:r>
      <w:r>
        <w:rPr>
          <w:rFonts w:cstheme="minorHAnsi" w:hint="eastAsia"/>
          <w:lang w:eastAsia="zh-CN"/>
        </w:rPr>
        <w:t>，</w:t>
      </w:r>
      <w:r w:rsidR="00C66927" w:rsidRPr="00C66927">
        <w:rPr>
          <w:rFonts w:cstheme="minorHAnsi" w:hint="eastAsia"/>
          <w:lang w:eastAsia="zh-CN"/>
        </w:rPr>
        <w:t>完成向符合条件的项目划拨剩余资金，</w:t>
      </w:r>
      <w:r w:rsidRPr="00022A16">
        <w:rPr>
          <w:rFonts w:cstheme="minorHAnsi" w:hint="eastAsia"/>
          <w:lang w:eastAsia="zh-CN"/>
        </w:rPr>
        <w:t>使</w:t>
      </w:r>
      <w:r w:rsidR="00C66927" w:rsidRPr="00C66927">
        <w:rPr>
          <w:rFonts w:cstheme="minorHAnsi" w:hint="eastAsia"/>
          <w:lang w:eastAsia="zh-CN"/>
        </w:rPr>
        <w:t>国际电</w:t>
      </w:r>
      <w:proofErr w:type="gramStart"/>
      <w:r w:rsidR="00C66927" w:rsidRPr="00C66927">
        <w:rPr>
          <w:rFonts w:cstheme="minorHAnsi" w:hint="eastAsia"/>
          <w:lang w:eastAsia="zh-CN"/>
        </w:rPr>
        <w:t>联所有</w:t>
      </w:r>
      <w:proofErr w:type="gramEnd"/>
      <w:r w:rsidR="00C66927" w:rsidRPr="00C66927">
        <w:rPr>
          <w:rFonts w:cstheme="minorHAnsi" w:hint="eastAsia"/>
          <w:lang w:eastAsia="zh-CN"/>
        </w:rPr>
        <w:t>区域</w:t>
      </w:r>
      <w:r w:rsidRPr="00022A16">
        <w:rPr>
          <w:rFonts w:cstheme="minorHAnsi" w:hint="eastAsia"/>
          <w:lang w:eastAsia="zh-CN"/>
        </w:rPr>
        <w:t>都能受益</w:t>
      </w:r>
      <w:r w:rsidR="00C66927" w:rsidRPr="00C66927">
        <w:rPr>
          <w:rFonts w:cstheme="minorHAnsi" w:hint="eastAsia"/>
          <w:lang w:eastAsia="zh-CN"/>
        </w:rPr>
        <w:t>。值得注意的是，由于国际电</w:t>
      </w:r>
      <w:proofErr w:type="gramStart"/>
      <w:r w:rsidR="00C66927" w:rsidRPr="00C66927">
        <w:rPr>
          <w:rFonts w:cstheme="minorHAnsi" w:hint="eastAsia"/>
          <w:lang w:eastAsia="zh-CN"/>
        </w:rPr>
        <w:t>联不是</w:t>
      </w:r>
      <w:proofErr w:type="gramEnd"/>
      <w:r w:rsidR="00C66927" w:rsidRPr="00C66927">
        <w:rPr>
          <w:rFonts w:cstheme="minorHAnsi" w:hint="eastAsia"/>
          <w:lang w:eastAsia="zh-CN"/>
        </w:rPr>
        <w:t>一个融资机构，签署新项目的可行性在很大程度上取决于是否有愿意支持国际电联工作的融资伙伴。</w:t>
      </w:r>
    </w:p>
    <w:p w14:paraId="0220E8E1" w14:textId="0AC274C8" w:rsidR="00915BF5" w:rsidRPr="00850CD8" w:rsidRDefault="00850CD8" w:rsidP="00ED5FD6">
      <w:pPr>
        <w:pStyle w:val="Heading1"/>
        <w:rPr>
          <w:lang w:eastAsia="zh-CN"/>
        </w:rPr>
      </w:pPr>
      <w:r>
        <w:rPr>
          <w:rFonts w:hint="eastAsia"/>
          <w:lang w:eastAsia="zh-CN"/>
        </w:rPr>
        <w:t>4</w:t>
      </w:r>
      <w:r>
        <w:rPr>
          <w:lang w:eastAsia="zh-CN"/>
        </w:rPr>
        <w:tab/>
      </w:r>
      <w:r w:rsidR="00691DEE" w:rsidRPr="00850CD8">
        <w:rPr>
          <w:rFonts w:hint="eastAsia"/>
          <w:lang w:eastAsia="zh-CN"/>
        </w:rPr>
        <w:t>加强</w:t>
      </w:r>
      <w:r w:rsidR="000F149C" w:rsidRPr="000F149C">
        <w:rPr>
          <w:rFonts w:hint="eastAsia"/>
          <w:lang w:eastAsia="zh-CN"/>
        </w:rPr>
        <w:t>电信发展局</w:t>
      </w:r>
      <w:r w:rsidR="000F149C">
        <w:rPr>
          <w:rFonts w:hint="eastAsia"/>
          <w:lang w:eastAsia="zh-CN"/>
        </w:rPr>
        <w:t>（</w:t>
      </w:r>
      <w:r w:rsidR="000F149C">
        <w:rPr>
          <w:rFonts w:hint="eastAsia"/>
          <w:lang w:eastAsia="zh-CN"/>
        </w:rPr>
        <w:t>BDT</w:t>
      </w:r>
      <w:r w:rsidR="000F149C">
        <w:rPr>
          <w:rFonts w:hint="eastAsia"/>
          <w:lang w:eastAsia="zh-CN"/>
        </w:rPr>
        <w:t>）</w:t>
      </w:r>
      <w:r w:rsidR="00691DEE" w:rsidRPr="00850CD8">
        <w:rPr>
          <w:rFonts w:hint="eastAsia"/>
          <w:lang w:eastAsia="zh-CN"/>
        </w:rPr>
        <w:t>的</w:t>
      </w:r>
      <w:r w:rsidR="004B18DD" w:rsidRPr="00850CD8">
        <w:rPr>
          <w:rFonts w:hint="eastAsia"/>
          <w:lang w:eastAsia="zh-CN"/>
        </w:rPr>
        <w:t>项目管理实践</w:t>
      </w:r>
    </w:p>
    <w:p w14:paraId="5091E864" w14:textId="6F92548A" w:rsidR="00701F06" w:rsidRPr="00277E7F" w:rsidRDefault="000F149C" w:rsidP="000F149C">
      <w:pPr>
        <w:pStyle w:val="ListParagraph"/>
        <w:keepNext/>
        <w:keepLines/>
        <w:widowControl w:val="0"/>
        <w:spacing w:after="120"/>
        <w:ind w:left="0" w:firstLineChars="200" w:firstLine="480"/>
        <w:contextualSpacing w:val="0"/>
        <w:rPr>
          <w:rFonts w:cstheme="minorHAnsi"/>
          <w:lang w:val="en-US" w:eastAsia="zh-CN"/>
        </w:rPr>
      </w:pPr>
      <w:r w:rsidRPr="000F149C">
        <w:rPr>
          <w:rFonts w:hint="eastAsia"/>
          <w:lang w:eastAsia="zh-CN"/>
        </w:rPr>
        <w:t>2023</w:t>
      </w:r>
      <w:r w:rsidRPr="000F149C">
        <w:rPr>
          <w:rFonts w:hint="eastAsia"/>
          <w:lang w:eastAsia="zh-CN"/>
        </w:rPr>
        <w:t>年，</w:t>
      </w:r>
      <w:r>
        <w:rPr>
          <w:rFonts w:hint="eastAsia"/>
          <w:lang w:eastAsia="zh-CN"/>
        </w:rPr>
        <w:t>BDT</w:t>
      </w:r>
      <w:r w:rsidRPr="000F149C">
        <w:rPr>
          <w:rFonts w:hint="eastAsia"/>
          <w:lang w:eastAsia="zh-CN"/>
        </w:rPr>
        <w:t>继续加强国际电联所有项目的项目管理</w:t>
      </w:r>
      <w:r w:rsidRPr="00B93A0C">
        <w:rPr>
          <w:rFonts w:cstheme="minorHAnsi" w:hint="eastAsia"/>
          <w:lang w:val="en-US" w:eastAsia="zh-CN"/>
        </w:rPr>
        <w:t>实践工作</w:t>
      </w:r>
      <w:r w:rsidRPr="000F149C">
        <w:rPr>
          <w:rFonts w:hint="eastAsia"/>
          <w:lang w:eastAsia="zh-CN"/>
        </w:rPr>
        <w:t>。以下清单归纳了在这一年中</w:t>
      </w:r>
      <w:r w:rsidRPr="00701F06">
        <w:rPr>
          <w:rFonts w:cstheme="minorHAnsi" w:hint="eastAsia"/>
          <w:lang w:val="en-US" w:eastAsia="zh-CN"/>
        </w:rPr>
        <w:t>与国际电联其他相关</w:t>
      </w:r>
      <w:r>
        <w:rPr>
          <w:rFonts w:cstheme="minorHAnsi" w:hint="eastAsia"/>
          <w:lang w:val="en-US" w:eastAsia="zh-CN"/>
        </w:rPr>
        <w:t>支撑</w:t>
      </w:r>
      <w:r w:rsidRPr="00701F06">
        <w:rPr>
          <w:rFonts w:cstheme="minorHAnsi" w:hint="eastAsia"/>
          <w:lang w:val="en-US" w:eastAsia="zh-CN"/>
        </w:rPr>
        <w:t>职能部门</w:t>
      </w:r>
      <w:r w:rsidRPr="000F149C">
        <w:rPr>
          <w:rFonts w:hint="eastAsia"/>
          <w:lang w:eastAsia="zh-CN"/>
        </w:rPr>
        <w:t>密切合作开展的活动</w:t>
      </w:r>
      <w:r w:rsidR="00701F06">
        <w:rPr>
          <w:rFonts w:cstheme="minorHAnsi" w:hint="eastAsia"/>
          <w:lang w:val="en-US" w:eastAsia="zh-CN"/>
        </w:rPr>
        <w:t>：</w:t>
      </w:r>
    </w:p>
    <w:p w14:paraId="6BF54D8B" w14:textId="26745D7A" w:rsidR="00915BF5" w:rsidRPr="00A8023D" w:rsidRDefault="006F1C9C" w:rsidP="006F1C9C">
      <w:pPr>
        <w:pStyle w:val="enumlev1"/>
        <w:rPr>
          <w:rFonts w:cstheme="minorHAnsi"/>
          <w:b/>
          <w:bCs/>
          <w:lang w:eastAsia="zh-CN"/>
        </w:rPr>
      </w:pPr>
      <w:r>
        <w:rPr>
          <w:lang w:eastAsia="zh-CN"/>
        </w:rPr>
        <w:t>–</w:t>
      </w:r>
      <w:r>
        <w:rPr>
          <w:lang w:eastAsia="zh-CN"/>
        </w:rPr>
        <w:tab/>
      </w:r>
      <w:r w:rsidR="00915BF5" w:rsidRPr="004B18DD">
        <w:rPr>
          <w:rFonts w:cstheme="minorHAnsi"/>
          <w:b/>
          <w:bCs/>
          <w:lang w:eastAsia="zh-CN"/>
        </w:rPr>
        <w:t>BDT</w:t>
      </w:r>
      <w:r w:rsidR="004B18DD" w:rsidRPr="004B18DD">
        <w:rPr>
          <w:rFonts w:ascii="STKaiti" w:eastAsia="STKaiti" w:hAnsi="STKaiti" w:cstheme="minorHAnsi" w:hint="eastAsia"/>
          <w:b/>
          <w:bCs/>
          <w:lang w:eastAsia="zh-CN"/>
        </w:rPr>
        <w:t>项目委员会的运作</w:t>
      </w:r>
      <w:r w:rsidR="004B18DD" w:rsidRPr="004B18DD">
        <w:rPr>
          <w:rFonts w:ascii="STKaiti" w:eastAsia="STKaiti" w:hAnsi="STKaiti" w:cstheme="minorHAnsi" w:hint="eastAsia"/>
          <w:lang w:eastAsia="zh-CN"/>
        </w:rPr>
        <w:t>：</w:t>
      </w:r>
      <w:r w:rsidR="0070127C">
        <w:rPr>
          <w:rFonts w:hint="eastAsia"/>
          <w:lang w:eastAsia="zh-CN"/>
        </w:rPr>
        <w:t>BDT</w:t>
      </w:r>
      <w:r w:rsidR="00B93A0C" w:rsidRPr="00B93A0C">
        <w:rPr>
          <w:rFonts w:cstheme="minorHAnsi" w:hint="eastAsia"/>
          <w:lang w:eastAsia="zh-CN"/>
        </w:rPr>
        <w:t>项目委员会</w:t>
      </w:r>
      <w:r w:rsidR="000F149C" w:rsidRPr="000F149C">
        <w:rPr>
          <w:rFonts w:cstheme="minorHAnsi" w:hint="eastAsia"/>
          <w:lang w:eastAsia="zh-CN"/>
        </w:rPr>
        <w:t>在</w:t>
      </w:r>
      <w:r w:rsidR="000F149C" w:rsidRPr="000F149C">
        <w:rPr>
          <w:rFonts w:cstheme="minorHAnsi" w:hint="eastAsia"/>
          <w:lang w:eastAsia="zh-CN"/>
        </w:rPr>
        <w:t>2023</w:t>
      </w:r>
      <w:r w:rsidR="000F149C" w:rsidRPr="000F149C">
        <w:rPr>
          <w:rFonts w:cstheme="minorHAnsi" w:hint="eastAsia"/>
          <w:lang w:eastAsia="zh-CN"/>
        </w:rPr>
        <w:t>年继续每月举行一次会议，</w:t>
      </w:r>
      <w:r w:rsidR="000F149C" w:rsidRPr="00B93A0C">
        <w:rPr>
          <w:rFonts w:cstheme="minorHAnsi" w:hint="eastAsia"/>
          <w:lang w:eastAsia="zh-CN"/>
        </w:rPr>
        <w:t>在正式立项前评估项目提案的可行性和相关性，并在与合作伙伴商定项目之前对项目进行审批，在监督项目实施的同时结束出现问题的项目。</w:t>
      </w:r>
      <w:r w:rsidR="00B93A0C" w:rsidRPr="00B93A0C">
        <w:rPr>
          <w:rFonts w:cstheme="minorHAnsi" w:hint="eastAsia"/>
          <w:lang w:eastAsia="zh-CN"/>
        </w:rPr>
        <w:t>项目支持组负责</w:t>
      </w:r>
      <w:r w:rsidR="000F149C" w:rsidRPr="000F149C">
        <w:rPr>
          <w:rFonts w:cstheme="minorHAnsi" w:hint="eastAsia"/>
          <w:lang w:eastAsia="zh-CN"/>
        </w:rPr>
        <w:t>定期</w:t>
      </w:r>
      <w:r w:rsidR="00B93A0C" w:rsidRPr="00B93A0C">
        <w:rPr>
          <w:rFonts w:cstheme="minorHAnsi" w:hint="eastAsia"/>
          <w:lang w:eastAsia="zh-CN"/>
        </w:rPr>
        <w:t>跟进委员会的决定，并向项目委员会报告。</w:t>
      </w:r>
    </w:p>
    <w:p w14:paraId="42AEDF68" w14:textId="76CF92A7" w:rsidR="00E63326" w:rsidRPr="00E63326" w:rsidRDefault="006F1C9C" w:rsidP="006F1C9C">
      <w:pPr>
        <w:pStyle w:val="enumlev1"/>
        <w:rPr>
          <w:rFonts w:cstheme="minorHAnsi"/>
          <w:b/>
          <w:bCs/>
          <w:lang w:eastAsia="zh-CN"/>
        </w:rPr>
      </w:pPr>
      <w:r>
        <w:rPr>
          <w:lang w:eastAsia="zh-CN"/>
        </w:rPr>
        <w:t>–</w:t>
      </w:r>
      <w:r>
        <w:rPr>
          <w:lang w:eastAsia="zh-CN"/>
        </w:rPr>
        <w:tab/>
      </w:r>
      <w:proofErr w:type="gramStart"/>
      <w:r w:rsidR="008D3153" w:rsidRPr="008D3153">
        <w:rPr>
          <w:rFonts w:ascii="STKaiti" w:eastAsia="STKaiti" w:hAnsi="STKaiti" w:cstheme="minorHAnsi" w:hint="eastAsia"/>
          <w:b/>
          <w:bCs/>
          <w:lang w:val="en-US" w:eastAsia="zh-CN"/>
        </w:rPr>
        <w:t>设立新的“</w:t>
      </w:r>
      <w:proofErr w:type="gramEnd"/>
      <w:r w:rsidR="008D3153" w:rsidRPr="008D3153">
        <w:rPr>
          <w:rFonts w:ascii="STKaiti" w:eastAsia="STKaiti" w:hAnsi="STKaiti" w:cstheme="minorHAnsi" w:hint="eastAsia"/>
          <w:b/>
          <w:bCs/>
          <w:lang w:val="en-US" w:eastAsia="zh-CN"/>
        </w:rPr>
        <w:t>特别监督项目”组。</w:t>
      </w:r>
      <w:r w:rsidR="008B5FC6" w:rsidRPr="008B5FC6">
        <w:rPr>
          <w:rFonts w:cstheme="minorHAnsi" w:hint="eastAsia"/>
          <w:lang w:val="en-US" w:eastAsia="zh-CN"/>
        </w:rPr>
        <w:t>2023</w:t>
      </w:r>
      <w:r w:rsidR="008B5FC6" w:rsidRPr="008B5FC6">
        <w:rPr>
          <w:rFonts w:cstheme="minorHAnsi" w:hint="eastAsia"/>
          <w:lang w:val="en-US" w:eastAsia="zh-CN"/>
        </w:rPr>
        <w:t>年，</w:t>
      </w:r>
      <w:r w:rsidR="008B5FC6">
        <w:rPr>
          <w:rFonts w:hint="eastAsia"/>
          <w:lang w:eastAsia="zh-CN"/>
        </w:rPr>
        <w:t>BDT</w:t>
      </w:r>
      <w:r w:rsidR="008B5FC6" w:rsidRPr="008B5FC6">
        <w:rPr>
          <w:rFonts w:cstheme="minorHAnsi" w:hint="eastAsia"/>
          <w:lang w:val="en-US" w:eastAsia="zh-CN"/>
        </w:rPr>
        <w:t>项目委员会引入了新机制，以加强对面临长期</w:t>
      </w:r>
      <w:r w:rsidR="00435AD5" w:rsidRPr="008B5FC6">
        <w:rPr>
          <w:rFonts w:cstheme="minorHAnsi" w:hint="eastAsia"/>
          <w:lang w:val="en-US" w:eastAsia="zh-CN"/>
        </w:rPr>
        <w:t>实施</w:t>
      </w:r>
      <w:r w:rsidR="008B5FC6" w:rsidRPr="008B5FC6">
        <w:rPr>
          <w:rFonts w:cstheme="minorHAnsi" w:hint="eastAsia"/>
          <w:lang w:val="en-US" w:eastAsia="zh-CN"/>
        </w:rPr>
        <w:t>挑战的项目的监督。事实证明，这一新机制每周与各项目组举行会议，并更定期地提交内部报告，有利于在出现问题时使项目重回正轨。</w:t>
      </w:r>
    </w:p>
    <w:p w14:paraId="6A813FA9" w14:textId="5159A0E7" w:rsidR="00056BE8" w:rsidRPr="00580AF0" w:rsidRDefault="006F1C9C" w:rsidP="006F1C9C">
      <w:pPr>
        <w:pStyle w:val="enumlev1"/>
        <w:rPr>
          <w:rFonts w:cstheme="minorHAnsi"/>
          <w:lang w:val="en-US" w:eastAsia="zh-CN"/>
        </w:rPr>
      </w:pPr>
      <w:r>
        <w:rPr>
          <w:lang w:eastAsia="zh-CN"/>
        </w:rPr>
        <w:t>–</w:t>
      </w:r>
      <w:r>
        <w:rPr>
          <w:lang w:eastAsia="zh-CN"/>
        </w:rPr>
        <w:tab/>
      </w:r>
      <w:r w:rsidR="00580AF0" w:rsidRPr="00580AF0">
        <w:rPr>
          <w:rFonts w:ascii="STKaiti" w:eastAsia="STKaiti" w:hAnsi="STKaiti" w:cstheme="minorHAnsi" w:hint="eastAsia"/>
          <w:b/>
          <w:bCs/>
          <w:lang w:val="en-US" w:eastAsia="zh-CN"/>
        </w:rPr>
        <w:t>项目经理系列培训。</w:t>
      </w:r>
      <w:r w:rsidR="00580AF0" w:rsidRPr="00580AF0">
        <w:rPr>
          <w:rFonts w:cstheme="minorHAnsi" w:hint="eastAsia"/>
          <w:lang w:val="en-US" w:eastAsia="zh-CN"/>
        </w:rPr>
        <w:t>2023</w:t>
      </w:r>
      <w:r w:rsidR="00580AF0" w:rsidRPr="00580AF0">
        <w:rPr>
          <w:rFonts w:cstheme="minorHAnsi" w:hint="eastAsia"/>
          <w:lang w:val="en-US" w:eastAsia="zh-CN"/>
        </w:rPr>
        <w:t>年期间，</w:t>
      </w:r>
      <w:r w:rsidR="00580AF0">
        <w:rPr>
          <w:rFonts w:hint="eastAsia"/>
          <w:lang w:eastAsia="zh-CN"/>
        </w:rPr>
        <w:t>BDT</w:t>
      </w:r>
      <w:r w:rsidR="00580AF0" w:rsidRPr="00580AF0">
        <w:rPr>
          <w:rFonts w:cstheme="minorHAnsi" w:hint="eastAsia"/>
          <w:lang w:val="en-US" w:eastAsia="zh-CN"/>
        </w:rPr>
        <w:t>为项目经理推出了一系列新的定期培训课程和信息交流会议。这些会议旨在</w:t>
      </w:r>
      <w:r w:rsidR="00580AF0">
        <w:rPr>
          <w:rFonts w:cstheme="minorHAnsi" w:hint="eastAsia"/>
          <w:lang w:val="en-US" w:eastAsia="zh-CN"/>
        </w:rPr>
        <w:t>统一</w:t>
      </w:r>
      <w:r w:rsidR="00580AF0" w:rsidRPr="00580AF0">
        <w:rPr>
          <w:rFonts w:cstheme="minorHAnsi" w:hint="eastAsia"/>
          <w:lang w:val="en-US" w:eastAsia="zh-CN"/>
        </w:rPr>
        <w:t>整个</w:t>
      </w:r>
      <w:r w:rsidR="00580AF0">
        <w:rPr>
          <w:rFonts w:hint="eastAsia"/>
          <w:lang w:eastAsia="zh-CN"/>
        </w:rPr>
        <w:t>BDT</w:t>
      </w:r>
      <w:r w:rsidR="00580AF0" w:rsidRPr="00580AF0">
        <w:rPr>
          <w:rFonts w:cstheme="minorHAnsi" w:hint="eastAsia"/>
          <w:lang w:val="en-US" w:eastAsia="zh-CN"/>
        </w:rPr>
        <w:t>的项目实践</w:t>
      </w:r>
      <w:r w:rsidR="00580AF0">
        <w:rPr>
          <w:rFonts w:cstheme="minorHAnsi" w:hint="eastAsia"/>
          <w:lang w:val="en-US" w:eastAsia="zh-CN"/>
        </w:rPr>
        <w:t>工作</w:t>
      </w:r>
      <w:r w:rsidR="00580AF0" w:rsidRPr="00580AF0">
        <w:rPr>
          <w:rFonts w:cstheme="minorHAnsi" w:hint="eastAsia"/>
          <w:lang w:val="en-US" w:eastAsia="zh-CN"/>
        </w:rPr>
        <w:t>，强化项目经理队伍，并</w:t>
      </w:r>
      <w:r w:rsidR="00580AF0" w:rsidRPr="00580AF0">
        <w:rPr>
          <w:rFonts w:cstheme="minorHAnsi" w:hint="eastAsia"/>
          <w:lang w:val="en-US" w:eastAsia="zh-CN"/>
        </w:rPr>
        <w:lastRenderedPageBreak/>
        <w:t>进一步开发项目经理在与国际电联工作相关领域的技能。该计划将在整个</w:t>
      </w:r>
      <w:r w:rsidR="00580AF0" w:rsidRPr="00580AF0">
        <w:rPr>
          <w:rFonts w:cstheme="minorHAnsi" w:hint="eastAsia"/>
          <w:lang w:val="en-US" w:eastAsia="zh-CN"/>
        </w:rPr>
        <w:t>2024</w:t>
      </w:r>
      <w:r w:rsidR="00580AF0" w:rsidRPr="00580AF0">
        <w:rPr>
          <w:rFonts w:cstheme="minorHAnsi" w:hint="eastAsia"/>
          <w:lang w:val="en-US" w:eastAsia="zh-CN"/>
        </w:rPr>
        <w:t>年继续实施。</w:t>
      </w:r>
    </w:p>
    <w:p w14:paraId="24D2B398" w14:textId="606C8DC4" w:rsidR="00915BF5" w:rsidRDefault="006F1C9C" w:rsidP="006F1C9C">
      <w:pPr>
        <w:pStyle w:val="enumlev1"/>
        <w:rPr>
          <w:rFonts w:cstheme="minorHAnsi"/>
          <w:lang w:eastAsia="zh-CN"/>
        </w:rPr>
      </w:pPr>
      <w:r>
        <w:rPr>
          <w:lang w:eastAsia="zh-CN"/>
        </w:rPr>
        <w:t>–</w:t>
      </w:r>
      <w:r>
        <w:rPr>
          <w:lang w:eastAsia="zh-CN"/>
        </w:rPr>
        <w:tab/>
      </w:r>
      <w:r w:rsidR="00691DEE" w:rsidRPr="00691DEE">
        <w:rPr>
          <w:rFonts w:ascii="STKaiti" w:eastAsia="STKaiti" w:hAnsi="STKaiti" w:cstheme="minorHAnsi" w:hint="eastAsia"/>
          <w:b/>
          <w:bCs/>
          <w:lang w:eastAsia="zh-CN"/>
        </w:rPr>
        <w:t>国际电联项目监测</w:t>
      </w:r>
      <w:r w:rsidR="00691DEE" w:rsidRPr="00691DEE">
        <w:rPr>
          <w:rFonts w:ascii="STKaiti" w:eastAsia="STKaiti" w:hAnsi="STKaiti" w:cstheme="minorHAnsi" w:hint="eastAsia"/>
          <w:lang w:eastAsia="zh-CN"/>
        </w:rPr>
        <w:t>：</w:t>
      </w:r>
      <w:r w:rsidR="0083272B" w:rsidRPr="0083272B">
        <w:rPr>
          <w:rFonts w:cstheme="minorHAnsi" w:hint="eastAsia"/>
          <w:lang w:eastAsia="zh-CN"/>
        </w:rPr>
        <w:t>继</w:t>
      </w:r>
      <w:r w:rsidR="0083272B" w:rsidRPr="00B93A0C">
        <w:rPr>
          <w:rFonts w:cstheme="minorHAnsi" w:hint="eastAsia"/>
          <w:lang w:eastAsia="zh-CN"/>
        </w:rPr>
        <w:t>续对国际电联的所有项目进行日常监测并在每个季度末报告。</w:t>
      </w:r>
      <w:r w:rsidR="0083272B" w:rsidRPr="0083272B">
        <w:rPr>
          <w:rFonts w:cstheme="minorHAnsi" w:hint="eastAsia"/>
          <w:lang w:eastAsia="zh-CN"/>
        </w:rPr>
        <w:t>这项工作的成果</w:t>
      </w:r>
      <w:r w:rsidR="0083272B">
        <w:rPr>
          <w:rFonts w:cstheme="minorHAnsi" w:hint="eastAsia"/>
          <w:lang w:eastAsia="zh-CN"/>
        </w:rPr>
        <w:t>以</w:t>
      </w:r>
      <w:r w:rsidR="00B93A0C" w:rsidRPr="00B93A0C">
        <w:rPr>
          <w:rFonts w:cstheme="minorHAnsi" w:hint="eastAsia"/>
          <w:lang w:eastAsia="zh-CN"/>
        </w:rPr>
        <w:t>季度评估报告的方式，</w:t>
      </w:r>
      <w:r w:rsidR="0083272B">
        <w:rPr>
          <w:rFonts w:cstheme="minorHAnsi" w:hint="eastAsia"/>
          <w:lang w:eastAsia="zh-CN"/>
        </w:rPr>
        <w:t>并</w:t>
      </w:r>
      <w:r w:rsidR="0070127C">
        <w:rPr>
          <w:rFonts w:cstheme="minorHAnsi" w:hint="eastAsia"/>
          <w:lang w:eastAsia="zh-CN"/>
        </w:rPr>
        <w:t>通过利用内部管理概览（可实现</w:t>
      </w:r>
      <w:r w:rsidR="0070127C" w:rsidRPr="0070127C">
        <w:rPr>
          <w:rFonts w:cstheme="minorHAnsi" w:hint="eastAsia"/>
          <w:lang w:eastAsia="zh-CN"/>
        </w:rPr>
        <w:t>与项目相关的数据驱动决策</w:t>
      </w:r>
      <w:r w:rsidR="0070127C">
        <w:rPr>
          <w:rFonts w:cstheme="minorHAnsi" w:hint="eastAsia"/>
          <w:lang w:eastAsia="zh-CN"/>
        </w:rPr>
        <w:t>）</w:t>
      </w:r>
      <w:r w:rsidR="00B93A0C" w:rsidRPr="00B93A0C">
        <w:rPr>
          <w:rFonts w:cstheme="minorHAnsi" w:hint="eastAsia"/>
          <w:lang w:eastAsia="zh-CN"/>
        </w:rPr>
        <w:t>提供给</w:t>
      </w:r>
      <w:r w:rsidR="0070127C">
        <w:rPr>
          <w:rFonts w:cstheme="minorHAnsi" w:hint="eastAsia"/>
          <w:lang w:eastAsia="zh-CN"/>
        </w:rPr>
        <w:t>BDT</w:t>
      </w:r>
      <w:r w:rsidR="00B93A0C" w:rsidRPr="00B93A0C">
        <w:rPr>
          <w:rFonts w:cstheme="minorHAnsi" w:hint="eastAsia"/>
          <w:lang w:eastAsia="zh-CN"/>
        </w:rPr>
        <w:t>管理层和项目经理。</w:t>
      </w:r>
    </w:p>
    <w:p w14:paraId="2EC04177" w14:textId="5BF77086" w:rsidR="00D82270" w:rsidRDefault="006F1C9C" w:rsidP="006F1C9C">
      <w:pPr>
        <w:pStyle w:val="enumlev1"/>
        <w:rPr>
          <w:rFonts w:cstheme="minorHAnsi"/>
          <w:lang w:eastAsia="zh-CN"/>
        </w:rPr>
      </w:pPr>
      <w:r>
        <w:rPr>
          <w:lang w:eastAsia="zh-CN"/>
        </w:rPr>
        <w:t>–</w:t>
      </w:r>
      <w:r>
        <w:rPr>
          <w:lang w:eastAsia="zh-CN"/>
        </w:rPr>
        <w:tab/>
      </w:r>
      <w:r w:rsidR="0083272B" w:rsidRPr="0083272B">
        <w:rPr>
          <w:rFonts w:ascii="STKaiti" w:eastAsia="STKaiti" w:hAnsi="STKaiti" w:cstheme="minorHAnsi" w:hint="eastAsia"/>
          <w:b/>
          <w:bCs/>
          <w:lang w:eastAsia="zh-CN"/>
        </w:rPr>
        <w:t>加强向合作伙伴的报告。</w:t>
      </w:r>
      <w:r w:rsidR="0083272B" w:rsidRPr="0083272B">
        <w:rPr>
          <w:rFonts w:cstheme="minorHAnsi" w:hint="eastAsia"/>
          <w:lang w:eastAsia="zh-CN"/>
        </w:rPr>
        <w:t>2023</w:t>
      </w:r>
      <w:r w:rsidR="0083272B" w:rsidRPr="0083272B">
        <w:rPr>
          <w:rFonts w:cstheme="minorHAnsi" w:hint="eastAsia"/>
          <w:lang w:eastAsia="zh-CN"/>
        </w:rPr>
        <w:t>年底，</w:t>
      </w:r>
      <w:r w:rsidR="0083272B">
        <w:rPr>
          <w:rFonts w:cstheme="minorHAnsi" w:hint="eastAsia"/>
          <w:lang w:eastAsia="zh-CN"/>
        </w:rPr>
        <w:t>BDT</w:t>
      </w:r>
      <w:r w:rsidR="0083272B" w:rsidRPr="0083272B">
        <w:rPr>
          <w:rFonts w:cstheme="minorHAnsi" w:hint="eastAsia"/>
          <w:lang w:eastAsia="zh-CN"/>
        </w:rPr>
        <w:t>出台了一项新政策，</w:t>
      </w:r>
      <w:r w:rsidR="00305B13" w:rsidRPr="00305B13">
        <w:rPr>
          <w:rFonts w:cstheme="minorHAnsi" w:hint="eastAsia"/>
          <w:lang w:eastAsia="zh-CN"/>
        </w:rPr>
        <w:t>要求对于所有的项目，捐助方应收到关于其资助项目的报告，而无需要求提供此类报告。这些报告将每半年发送一次。第一批报告</w:t>
      </w:r>
      <w:r w:rsidR="00305B13">
        <w:rPr>
          <w:rFonts w:cstheme="minorHAnsi" w:hint="eastAsia"/>
          <w:lang w:eastAsia="zh-CN"/>
        </w:rPr>
        <w:t>已</w:t>
      </w:r>
      <w:r w:rsidR="00305B13" w:rsidRPr="00305B13">
        <w:rPr>
          <w:rFonts w:cstheme="minorHAnsi" w:hint="eastAsia"/>
          <w:lang w:eastAsia="zh-CN"/>
        </w:rPr>
        <w:t>于</w:t>
      </w:r>
      <w:r w:rsidR="00305B13" w:rsidRPr="00305B13">
        <w:rPr>
          <w:rFonts w:cstheme="minorHAnsi" w:hint="eastAsia"/>
          <w:lang w:eastAsia="zh-CN"/>
        </w:rPr>
        <w:t>2023</w:t>
      </w:r>
      <w:r w:rsidR="00305B13" w:rsidRPr="00305B13">
        <w:rPr>
          <w:rFonts w:cstheme="minorHAnsi" w:hint="eastAsia"/>
          <w:lang w:eastAsia="zh-CN"/>
        </w:rPr>
        <w:t>年</w:t>
      </w:r>
      <w:r w:rsidR="00305B13" w:rsidRPr="00305B13">
        <w:rPr>
          <w:rFonts w:cstheme="minorHAnsi" w:hint="eastAsia"/>
          <w:lang w:eastAsia="zh-CN"/>
        </w:rPr>
        <w:t>12</w:t>
      </w:r>
      <w:r w:rsidR="00305B13" w:rsidRPr="00305B13">
        <w:rPr>
          <w:rFonts w:cstheme="minorHAnsi" w:hint="eastAsia"/>
          <w:lang w:eastAsia="zh-CN"/>
        </w:rPr>
        <w:t>月发送，下一批将于</w:t>
      </w:r>
      <w:r w:rsidR="00305B13" w:rsidRPr="00305B13">
        <w:rPr>
          <w:rFonts w:cstheme="minorHAnsi" w:hint="eastAsia"/>
          <w:lang w:eastAsia="zh-CN"/>
        </w:rPr>
        <w:t>2024</w:t>
      </w:r>
      <w:r w:rsidR="00305B13" w:rsidRPr="00305B13">
        <w:rPr>
          <w:rFonts w:cstheme="minorHAnsi" w:hint="eastAsia"/>
          <w:lang w:eastAsia="zh-CN"/>
        </w:rPr>
        <w:t>年</w:t>
      </w:r>
      <w:r w:rsidR="00305B13" w:rsidRPr="00305B13">
        <w:rPr>
          <w:rFonts w:cstheme="minorHAnsi" w:hint="eastAsia"/>
          <w:lang w:eastAsia="zh-CN"/>
        </w:rPr>
        <w:t>6</w:t>
      </w:r>
      <w:r w:rsidR="00305B13" w:rsidRPr="00305B13">
        <w:rPr>
          <w:rFonts w:cstheme="minorHAnsi" w:hint="eastAsia"/>
          <w:lang w:eastAsia="zh-CN"/>
        </w:rPr>
        <w:t>月发送。报告将包括其资助项目的详细情况、财务状况、项目文件中计划的项目实施进展情况。</w:t>
      </w:r>
      <w:r w:rsidR="00D73F4B" w:rsidRPr="00D73F4B">
        <w:rPr>
          <w:rFonts w:cstheme="minorHAnsi" w:hint="eastAsia"/>
          <w:lang w:eastAsia="zh-CN"/>
        </w:rPr>
        <w:t>如果在实施过程中遇到挑战，将予以通报</w:t>
      </w:r>
      <w:r w:rsidR="00305B13" w:rsidRPr="00305B13">
        <w:rPr>
          <w:rFonts w:cstheme="minorHAnsi" w:hint="eastAsia"/>
          <w:lang w:eastAsia="zh-CN"/>
        </w:rPr>
        <w:t>。推出这一措施的决定是为了确保合作伙伴和捐助方能够充分了解情况，并向其</w:t>
      </w:r>
      <w:r w:rsidR="00D73F4B">
        <w:rPr>
          <w:rFonts w:cstheme="minorHAnsi" w:hint="eastAsia"/>
          <w:lang w:eastAsia="zh-CN"/>
        </w:rPr>
        <w:t>做出简报</w:t>
      </w:r>
      <w:r w:rsidR="00305B13" w:rsidRPr="00305B13">
        <w:rPr>
          <w:rFonts w:cstheme="minorHAnsi" w:hint="eastAsia"/>
          <w:lang w:eastAsia="zh-CN"/>
        </w:rPr>
        <w:t>。这也将有助于提高透明度和问责制。</w:t>
      </w:r>
    </w:p>
    <w:p w14:paraId="54BE63E0" w14:textId="6DFC4E88" w:rsidR="00701F06" w:rsidRDefault="006F1C9C" w:rsidP="006F1C9C">
      <w:pPr>
        <w:pStyle w:val="enumlev1"/>
        <w:rPr>
          <w:rFonts w:cstheme="minorHAnsi"/>
          <w:lang w:eastAsia="zh-CN"/>
        </w:rPr>
      </w:pPr>
      <w:r>
        <w:rPr>
          <w:lang w:eastAsia="zh-CN"/>
        </w:rPr>
        <w:t>–</w:t>
      </w:r>
      <w:r>
        <w:rPr>
          <w:lang w:eastAsia="zh-CN"/>
        </w:rPr>
        <w:tab/>
      </w:r>
      <w:r w:rsidR="00113F01" w:rsidRPr="00113F01">
        <w:rPr>
          <w:rFonts w:ascii="STKaiti" w:eastAsia="STKaiti" w:hAnsi="STKaiti" w:cstheme="minorHAnsi" w:hint="eastAsia"/>
          <w:b/>
          <w:bCs/>
          <w:lang w:eastAsia="zh-CN"/>
        </w:rPr>
        <w:t>面向国际电联成员国的新项目</w:t>
      </w:r>
      <w:r w:rsidR="00113F01">
        <w:rPr>
          <w:rFonts w:ascii="STKaiti" w:eastAsia="STKaiti" w:hAnsi="STKaiti" w:cstheme="minorHAnsi" w:hint="eastAsia"/>
          <w:b/>
          <w:bCs/>
          <w:lang w:eastAsia="zh-CN"/>
        </w:rPr>
        <w:t>概览</w:t>
      </w:r>
      <w:r w:rsidR="00113F01" w:rsidRPr="00113F01">
        <w:rPr>
          <w:rFonts w:ascii="STKaiti" w:eastAsia="STKaiti" w:hAnsi="STKaiti" w:cstheme="minorHAnsi" w:hint="eastAsia"/>
          <w:b/>
          <w:bCs/>
          <w:lang w:eastAsia="zh-CN"/>
        </w:rPr>
        <w:t>。</w:t>
      </w:r>
      <w:r w:rsidR="00113F01" w:rsidRPr="00113F01">
        <w:rPr>
          <w:rFonts w:cstheme="minorHAnsi" w:hint="eastAsia"/>
          <w:lang w:eastAsia="zh-CN"/>
        </w:rPr>
        <w:t>根据</w:t>
      </w:r>
      <w:r w:rsidR="00113F01" w:rsidRPr="00113F01">
        <w:rPr>
          <w:rFonts w:cstheme="minorHAnsi" w:hint="eastAsia"/>
          <w:lang w:eastAsia="zh-CN"/>
        </w:rPr>
        <w:t>TDAG</w:t>
      </w:r>
      <w:r w:rsidR="00113F01" w:rsidRPr="00113F01">
        <w:rPr>
          <w:rFonts w:cstheme="minorHAnsi" w:hint="eastAsia"/>
          <w:lang w:eastAsia="zh-CN"/>
        </w:rPr>
        <w:t>的反馈意见，国际电联</w:t>
      </w:r>
      <w:r w:rsidR="00113F01">
        <w:rPr>
          <w:rFonts w:cstheme="minorHAnsi" w:hint="eastAsia"/>
          <w:lang w:eastAsia="zh-CN"/>
        </w:rPr>
        <w:t>推出</w:t>
      </w:r>
      <w:r w:rsidR="00113F01" w:rsidRPr="00113F01">
        <w:rPr>
          <w:rFonts w:cstheme="minorHAnsi" w:hint="eastAsia"/>
          <w:lang w:eastAsia="zh-CN"/>
        </w:rPr>
        <w:t>了一</w:t>
      </w:r>
      <w:r w:rsidR="00113F01">
        <w:rPr>
          <w:rFonts w:cstheme="minorHAnsi" w:hint="eastAsia"/>
          <w:lang w:eastAsia="zh-CN"/>
        </w:rPr>
        <w:t>个</w:t>
      </w:r>
      <w:r w:rsidR="00113F01" w:rsidRPr="00113F01">
        <w:rPr>
          <w:rFonts w:cstheme="minorHAnsi" w:hint="eastAsia"/>
          <w:lang w:eastAsia="zh-CN"/>
        </w:rPr>
        <w:t>新的交互式项目</w:t>
      </w:r>
      <w:r w:rsidR="00113F01">
        <w:rPr>
          <w:rFonts w:cstheme="minorHAnsi" w:hint="eastAsia"/>
          <w:lang w:eastAsia="zh-CN"/>
        </w:rPr>
        <w:t>概览工具</w:t>
      </w:r>
      <w:r w:rsidR="00113F01" w:rsidRPr="00113F01">
        <w:rPr>
          <w:rFonts w:cstheme="minorHAnsi" w:hint="eastAsia"/>
          <w:lang w:eastAsia="zh-CN"/>
        </w:rPr>
        <w:t>，向国际电联成员提供有关</w:t>
      </w:r>
      <w:r w:rsidR="00113F01" w:rsidRPr="00113F01">
        <w:rPr>
          <w:rFonts w:cstheme="minorHAnsi" w:hint="eastAsia"/>
          <w:lang w:eastAsia="zh-CN"/>
        </w:rPr>
        <w:t>ITU-D</w:t>
      </w:r>
      <w:r w:rsidR="00113F01" w:rsidRPr="00113F01">
        <w:rPr>
          <w:rFonts w:cstheme="minorHAnsi" w:hint="eastAsia"/>
          <w:lang w:eastAsia="zh-CN"/>
        </w:rPr>
        <w:t>项目组合状态的更多信息。新的</w:t>
      </w:r>
      <w:r w:rsidR="00113F01">
        <w:rPr>
          <w:rFonts w:cstheme="minorHAnsi" w:hint="eastAsia"/>
          <w:lang w:eastAsia="zh-CN"/>
        </w:rPr>
        <w:t>概览工具</w:t>
      </w:r>
      <w:r w:rsidR="00113F01" w:rsidRPr="00113F01">
        <w:rPr>
          <w:rFonts w:cstheme="minorHAnsi" w:hint="eastAsia"/>
          <w:lang w:eastAsia="zh-CN"/>
        </w:rPr>
        <w:t>可在</w:t>
      </w:r>
      <w:r w:rsidR="00113F01" w:rsidRPr="00113F01">
        <w:rPr>
          <w:rFonts w:cstheme="minorHAnsi" w:hint="eastAsia"/>
          <w:lang w:eastAsia="zh-CN"/>
        </w:rPr>
        <w:t>BDT</w:t>
      </w:r>
      <w:r w:rsidR="00113F01" w:rsidRPr="00113F01">
        <w:rPr>
          <w:rFonts w:cstheme="minorHAnsi" w:hint="eastAsia"/>
          <w:lang w:eastAsia="zh-CN"/>
        </w:rPr>
        <w:t>项目门户网站上提供给具有</w:t>
      </w:r>
      <w:r w:rsidR="00113F01" w:rsidRPr="00113F01">
        <w:rPr>
          <w:rFonts w:cstheme="minorHAnsi" w:hint="eastAsia"/>
          <w:lang w:eastAsia="zh-CN"/>
        </w:rPr>
        <w:t>TIES</w:t>
      </w:r>
      <w:r w:rsidR="00113F01" w:rsidRPr="00113F01">
        <w:rPr>
          <w:rFonts w:cstheme="minorHAnsi" w:hint="eastAsia"/>
          <w:lang w:eastAsia="zh-CN"/>
        </w:rPr>
        <w:t>访问权限的国际电联用户账户的持有者</w:t>
      </w:r>
      <w:r w:rsidR="00113F01" w:rsidRPr="00821C34">
        <w:rPr>
          <w:rStyle w:val="FootnoteReference"/>
          <w:rFonts w:cstheme="minorHAnsi"/>
          <w:szCs w:val="18"/>
        </w:rPr>
        <w:footnoteReference w:id="5"/>
      </w:r>
      <w:r w:rsidR="00701F06" w:rsidRPr="00701F06">
        <w:rPr>
          <w:rFonts w:cstheme="minorHAnsi" w:hint="eastAsia"/>
          <w:lang w:eastAsia="zh-CN"/>
        </w:rPr>
        <w:t>。</w:t>
      </w:r>
    </w:p>
    <w:p w14:paraId="4240989F" w14:textId="06A36157" w:rsidR="00915BF5" w:rsidRPr="00850CD8" w:rsidRDefault="00850CD8" w:rsidP="00ED5FD6">
      <w:pPr>
        <w:pStyle w:val="Heading1"/>
        <w:rPr>
          <w:lang w:eastAsia="zh-CN"/>
        </w:rPr>
      </w:pPr>
      <w:r>
        <w:rPr>
          <w:rFonts w:hint="eastAsia"/>
          <w:lang w:eastAsia="zh-CN"/>
        </w:rPr>
        <w:t>5</w:t>
      </w:r>
      <w:r>
        <w:rPr>
          <w:lang w:eastAsia="zh-CN"/>
        </w:rPr>
        <w:tab/>
      </w:r>
      <w:r w:rsidR="00691DEE" w:rsidRPr="00ED5FD6">
        <w:rPr>
          <w:rFonts w:hint="eastAsia"/>
          <w:lang w:eastAsia="zh-CN"/>
        </w:rPr>
        <w:t>结论</w:t>
      </w:r>
    </w:p>
    <w:p w14:paraId="474C7B3D" w14:textId="44D9ED7E" w:rsidR="00BB6298" w:rsidRDefault="002652B6" w:rsidP="00850CD8">
      <w:pPr>
        <w:spacing w:before="240" w:after="120"/>
        <w:ind w:firstLineChars="200" w:firstLine="480"/>
        <w:rPr>
          <w:rFonts w:cstheme="minorHAnsi"/>
          <w:lang w:eastAsia="zh-CN"/>
        </w:rPr>
      </w:pPr>
      <w:r w:rsidRPr="002652B6">
        <w:rPr>
          <w:rFonts w:cstheme="minorHAnsi" w:hint="eastAsia"/>
          <w:lang w:eastAsia="zh-CN"/>
        </w:rPr>
        <w:t>BDT</w:t>
      </w:r>
      <w:r w:rsidRPr="002652B6">
        <w:rPr>
          <w:rFonts w:cstheme="minorHAnsi" w:hint="eastAsia"/>
          <w:lang w:eastAsia="zh-CN"/>
        </w:rPr>
        <w:t>项目组合继续</w:t>
      </w:r>
      <w:r w:rsidR="009A3B52">
        <w:rPr>
          <w:rFonts w:cstheme="minorHAnsi" w:hint="eastAsia"/>
          <w:lang w:eastAsia="zh-CN"/>
        </w:rPr>
        <w:t>在当地</w:t>
      </w:r>
      <w:r w:rsidRPr="002652B6">
        <w:rPr>
          <w:rFonts w:cstheme="minorHAnsi" w:hint="eastAsia"/>
          <w:lang w:eastAsia="zh-CN"/>
        </w:rPr>
        <w:t>发挥影响力</w:t>
      </w:r>
      <w:r>
        <w:rPr>
          <w:rFonts w:cstheme="minorHAnsi" w:hint="eastAsia"/>
          <w:lang w:eastAsia="zh-CN"/>
        </w:rPr>
        <w:t>，</w:t>
      </w:r>
      <w:r w:rsidRPr="002652B6">
        <w:rPr>
          <w:rFonts w:cstheme="minorHAnsi" w:hint="eastAsia"/>
          <w:lang w:eastAsia="zh-CN"/>
        </w:rPr>
        <w:t>为</w:t>
      </w:r>
      <w:r>
        <w:rPr>
          <w:rFonts w:cstheme="minorHAnsi" w:hint="eastAsia"/>
          <w:lang w:eastAsia="zh-CN"/>
        </w:rPr>
        <w:t>该局向</w:t>
      </w:r>
      <w:r w:rsidRPr="002652B6">
        <w:rPr>
          <w:rFonts w:cstheme="minorHAnsi" w:hint="eastAsia"/>
          <w:lang w:eastAsia="zh-CN"/>
        </w:rPr>
        <w:t>国际电联</w:t>
      </w:r>
      <w:r>
        <w:rPr>
          <w:rFonts w:cstheme="minorHAnsi" w:hint="eastAsia"/>
          <w:lang w:eastAsia="zh-CN"/>
        </w:rPr>
        <w:t>成员国</w:t>
      </w:r>
      <w:r w:rsidRPr="002652B6">
        <w:rPr>
          <w:rFonts w:cstheme="minorHAnsi" w:hint="eastAsia"/>
          <w:lang w:eastAsia="zh-CN"/>
        </w:rPr>
        <w:t>提供技术</w:t>
      </w:r>
      <w:r>
        <w:rPr>
          <w:rFonts w:cstheme="minorHAnsi" w:hint="eastAsia"/>
          <w:lang w:eastAsia="zh-CN"/>
        </w:rPr>
        <w:t>援助、让</w:t>
      </w:r>
      <w:r w:rsidRPr="002652B6">
        <w:rPr>
          <w:rFonts w:cstheme="minorHAnsi" w:hint="eastAsia"/>
          <w:lang w:eastAsia="zh-CN"/>
        </w:rPr>
        <w:t>ITU-D</w:t>
      </w:r>
      <w:r w:rsidRPr="002652B6">
        <w:rPr>
          <w:rFonts w:cstheme="minorHAnsi" w:hint="eastAsia"/>
          <w:lang w:eastAsia="zh-CN"/>
        </w:rPr>
        <w:t>部门成员</w:t>
      </w:r>
      <w:r>
        <w:rPr>
          <w:rFonts w:cstheme="minorHAnsi" w:hint="eastAsia"/>
          <w:lang w:eastAsia="zh-CN"/>
        </w:rPr>
        <w:t>参与进来，</w:t>
      </w:r>
      <w:r w:rsidRPr="002652B6">
        <w:rPr>
          <w:rFonts w:cstheme="minorHAnsi" w:hint="eastAsia"/>
          <w:lang w:eastAsia="zh-CN"/>
        </w:rPr>
        <w:t>以及在数字发展领域提供新产品和服务</w:t>
      </w:r>
      <w:r>
        <w:rPr>
          <w:rFonts w:cstheme="minorHAnsi" w:hint="eastAsia"/>
          <w:lang w:eastAsia="zh-CN"/>
        </w:rPr>
        <w:t>方面提供了重要机制</w:t>
      </w:r>
      <w:r w:rsidRPr="002652B6">
        <w:rPr>
          <w:rFonts w:cstheme="minorHAnsi" w:hint="eastAsia"/>
          <w:lang w:eastAsia="zh-CN"/>
        </w:rPr>
        <w:t>。</w:t>
      </w:r>
    </w:p>
    <w:p w14:paraId="6BF11528" w14:textId="6B086D94" w:rsidR="00113F01" w:rsidRPr="00113F01" w:rsidRDefault="00113F01" w:rsidP="00113F01">
      <w:pPr>
        <w:spacing w:after="120"/>
        <w:ind w:firstLineChars="200" w:firstLine="480"/>
        <w:rPr>
          <w:rFonts w:cstheme="minorHAnsi"/>
          <w:lang w:eastAsia="zh-CN"/>
        </w:rPr>
      </w:pPr>
      <w:r w:rsidRPr="00113F01">
        <w:rPr>
          <w:rFonts w:cstheme="minorHAnsi" w:hint="eastAsia"/>
          <w:lang w:eastAsia="zh-CN"/>
        </w:rPr>
        <w:t>2023</w:t>
      </w:r>
      <w:r w:rsidRPr="00113F01">
        <w:rPr>
          <w:rFonts w:cstheme="minorHAnsi" w:hint="eastAsia"/>
          <w:lang w:eastAsia="zh-CN"/>
        </w:rPr>
        <w:t>年是</w:t>
      </w:r>
      <w:r>
        <w:rPr>
          <w:rFonts w:cstheme="minorHAnsi" w:hint="eastAsia"/>
          <w:lang w:eastAsia="zh-CN"/>
        </w:rPr>
        <w:t>BDT</w:t>
      </w:r>
      <w:r w:rsidRPr="00113F01">
        <w:rPr>
          <w:rFonts w:cstheme="minorHAnsi" w:hint="eastAsia"/>
          <w:lang w:eastAsia="zh-CN"/>
        </w:rPr>
        <w:t>筹措预算外资源的重要一年，签署了超过</w:t>
      </w:r>
      <w:r w:rsidRPr="00113F01">
        <w:rPr>
          <w:rFonts w:cstheme="minorHAnsi" w:hint="eastAsia"/>
          <w:lang w:eastAsia="zh-CN"/>
        </w:rPr>
        <w:t>2</w:t>
      </w:r>
      <w:r>
        <w:rPr>
          <w:rFonts w:cstheme="minorHAnsi"/>
          <w:lang w:eastAsia="zh-CN"/>
        </w:rPr>
        <w:t xml:space="preserve"> </w:t>
      </w:r>
      <w:r w:rsidRPr="00113F01">
        <w:rPr>
          <w:rFonts w:cstheme="minorHAnsi" w:hint="eastAsia"/>
          <w:lang w:eastAsia="zh-CN"/>
        </w:rPr>
        <w:t>300</w:t>
      </w:r>
      <w:r w:rsidRPr="00113F01">
        <w:rPr>
          <w:rFonts w:cstheme="minorHAnsi" w:hint="eastAsia"/>
          <w:lang w:eastAsia="zh-CN"/>
        </w:rPr>
        <w:t>万瑞士法郎的资金，以支持</w:t>
      </w:r>
      <w:r w:rsidRPr="00113F01">
        <w:rPr>
          <w:rFonts w:cstheme="minorHAnsi" w:hint="eastAsia"/>
          <w:lang w:eastAsia="zh-CN"/>
        </w:rPr>
        <w:t>ITU-D</w:t>
      </w:r>
      <w:r w:rsidRPr="00113F01">
        <w:rPr>
          <w:rFonts w:cstheme="minorHAnsi" w:hint="eastAsia"/>
          <w:lang w:eastAsia="zh-CN"/>
        </w:rPr>
        <w:t>在当地的工作，确认了自</w:t>
      </w:r>
      <w:r w:rsidRPr="00113F01">
        <w:rPr>
          <w:rFonts w:cstheme="minorHAnsi" w:hint="eastAsia"/>
          <w:lang w:eastAsia="zh-CN"/>
        </w:rPr>
        <w:t>2017</w:t>
      </w:r>
      <w:r w:rsidRPr="00113F01">
        <w:rPr>
          <w:rFonts w:cstheme="minorHAnsi" w:hint="eastAsia"/>
          <w:lang w:eastAsia="zh-CN"/>
        </w:rPr>
        <w:t>年以来出现的积极趋势。这一成就是</w:t>
      </w:r>
      <w:r w:rsidRPr="00113F01">
        <w:rPr>
          <w:rFonts w:cstheme="minorHAnsi" w:hint="eastAsia"/>
          <w:lang w:eastAsia="zh-CN"/>
        </w:rPr>
        <w:t>BDT</w:t>
      </w:r>
      <w:r w:rsidRPr="00113F01">
        <w:rPr>
          <w:rFonts w:cstheme="minorHAnsi" w:hint="eastAsia"/>
          <w:lang w:eastAsia="zh-CN"/>
        </w:rPr>
        <w:t>数字发展伙伴关系部项目支持、资源筹措和伙伴关系以及成员和私营部门团队之间协调的结果。</w:t>
      </w:r>
      <w:r w:rsidR="00712747" w:rsidRPr="00821C34">
        <w:rPr>
          <w:rStyle w:val="FootnoteReference"/>
          <w:rFonts w:cstheme="minorHAnsi"/>
        </w:rPr>
        <w:footnoteReference w:id="6"/>
      </w:r>
    </w:p>
    <w:p w14:paraId="5AFADFF6" w14:textId="1F325AD6" w:rsidR="00113F01" w:rsidRDefault="00113F01" w:rsidP="00113F01">
      <w:pPr>
        <w:spacing w:after="120"/>
        <w:ind w:firstLineChars="200" w:firstLine="480"/>
        <w:rPr>
          <w:rFonts w:cstheme="minorHAnsi"/>
          <w:lang w:eastAsia="zh-CN"/>
        </w:rPr>
      </w:pPr>
      <w:r w:rsidRPr="00113F01">
        <w:rPr>
          <w:rFonts w:cstheme="minorHAnsi" w:hint="eastAsia"/>
          <w:lang w:eastAsia="zh-CN"/>
        </w:rPr>
        <w:t>尽管</w:t>
      </w:r>
      <w:r w:rsidRPr="00113F01">
        <w:rPr>
          <w:rFonts w:cstheme="minorHAnsi" w:hint="eastAsia"/>
          <w:lang w:eastAsia="zh-CN"/>
        </w:rPr>
        <w:t>90%</w:t>
      </w:r>
      <w:r w:rsidRPr="00113F01">
        <w:rPr>
          <w:rFonts w:cstheme="minorHAnsi" w:hint="eastAsia"/>
          <w:lang w:eastAsia="zh-CN"/>
        </w:rPr>
        <w:t>的项目资金来自预算外资金，但必须强调的是，事实证明，国际电联理事会</w:t>
      </w:r>
      <w:r w:rsidRPr="00113F01">
        <w:rPr>
          <w:rFonts w:cstheme="minorHAnsi" w:hint="eastAsia"/>
          <w:lang w:eastAsia="zh-CN"/>
        </w:rPr>
        <w:t>2023</w:t>
      </w:r>
      <w:r w:rsidRPr="00113F01">
        <w:rPr>
          <w:rFonts w:cstheme="minorHAnsi" w:hint="eastAsia"/>
          <w:lang w:eastAsia="zh-CN"/>
        </w:rPr>
        <w:t>年会议决定的新资金划拨对于支持各区域签署新项目起到了至关重要的作用，因为国际电</w:t>
      </w:r>
      <w:proofErr w:type="gramStart"/>
      <w:r w:rsidRPr="00113F01">
        <w:rPr>
          <w:rFonts w:cstheme="minorHAnsi" w:hint="eastAsia"/>
          <w:lang w:eastAsia="zh-CN"/>
        </w:rPr>
        <w:t>联资金</w:t>
      </w:r>
      <w:proofErr w:type="gramEnd"/>
      <w:r w:rsidRPr="00113F01">
        <w:rPr>
          <w:rFonts w:cstheme="minorHAnsi" w:hint="eastAsia"/>
          <w:lang w:eastAsia="zh-CN"/>
        </w:rPr>
        <w:t>被用作</w:t>
      </w:r>
      <w:r w:rsidR="00712747" w:rsidRPr="00113F01">
        <w:rPr>
          <w:rFonts w:cstheme="minorHAnsi" w:hint="eastAsia"/>
          <w:lang w:eastAsia="zh-CN"/>
        </w:rPr>
        <w:t>配套</w:t>
      </w:r>
      <w:r w:rsidRPr="00113F01">
        <w:rPr>
          <w:rFonts w:cstheme="minorHAnsi" w:hint="eastAsia"/>
          <w:lang w:eastAsia="zh-CN"/>
        </w:rPr>
        <w:t>资金，这对一些融资机构而言是先决条件。</w:t>
      </w:r>
    </w:p>
    <w:p w14:paraId="77DF4D3A" w14:textId="30E51538" w:rsidR="00A86BC4" w:rsidRPr="00A86BC4" w:rsidRDefault="00A86BC4" w:rsidP="00A86BC4">
      <w:pPr>
        <w:spacing w:after="120"/>
        <w:ind w:firstLineChars="200" w:firstLine="480"/>
        <w:rPr>
          <w:rFonts w:cstheme="minorHAnsi"/>
          <w:lang w:eastAsia="zh-CN"/>
        </w:rPr>
      </w:pPr>
      <w:r w:rsidRPr="00A86BC4">
        <w:rPr>
          <w:rFonts w:cstheme="minorHAnsi" w:hint="eastAsia"/>
          <w:lang w:eastAsia="zh-CN"/>
        </w:rPr>
        <w:t>国际电联继续加强其项目管理</w:t>
      </w:r>
      <w:r>
        <w:rPr>
          <w:rFonts w:cstheme="minorHAnsi" w:hint="eastAsia"/>
          <w:lang w:eastAsia="zh-CN"/>
        </w:rPr>
        <w:t>实践工作</w:t>
      </w:r>
      <w:r w:rsidRPr="00A86BC4">
        <w:rPr>
          <w:rFonts w:cstheme="minorHAnsi" w:hint="eastAsia"/>
          <w:lang w:eastAsia="zh-CN"/>
        </w:rPr>
        <w:t>，以确保成功实施所有已签署的项目。</w:t>
      </w:r>
      <w:r w:rsidRPr="00A86BC4">
        <w:rPr>
          <w:rFonts w:cstheme="minorHAnsi" w:hint="eastAsia"/>
          <w:lang w:eastAsia="zh-CN"/>
        </w:rPr>
        <w:t>2023</w:t>
      </w:r>
      <w:r w:rsidRPr="00A86BC4">
        <w:rPr>
          <w:rFonts w:cstheme="minorHAnsi" w:hint="eastAsia"/>
          <w:lang w:eastAsia="zh-CN"/>
        </w:rPr>
        <w:t>年，国际电联的项目组合还增加了该年度实施的资金数额，这有助于成功完成</w:t>
      </w:r>
      <w:r>
        <w:rPr>
          <w:rFonts w:cstheme="minorHAnsi" w:hint="eastAsia"/>
          <w:lang w:eastAsia="zh-CN"/>
        </w:rPr>
        <w:t>了</w:t>
      </w:r>
      <w:r w:rsidRPr="00A86BC4">
        <w:rPr>
          <w:rFonts w:cstheme="minorHAnsi" w:hint="eastAsia"/>
          <w:lang w:eastAsia="zh-CN"/>
        </w:rPr>
        <w:t>30</w:t>
      </w:r>
      <w:r w:rsidRPr="00A86BC4">
        <w:rPr>
          <w:rFonts w:cstheme="minorHAnsi" w:hint="eastAsia"/>
          <w:lang w:eastAsia="zh-CN"/>
        </w:rPr>
        <w:t>个在该年度活动</w:t>
      </w:r>
      <w:r>
        <w:rPr>
          <w:rFonts w:cstheme="minorHAnsi" w:hint="eastAsia"/>
          <w:lang w:eastAsia="zh-CN"/>
        </w:rPr>
        <w:t>到期</w:t>
      </w:r>
      <w:r w:rsidRPr="00A86BC4">
        <w:rPr>
          <w:rFonts w:cstheme="minorHAnsi" w:hint="eastAsia"/>
          <w:lang w:eastAsia="zh-CN"/>
        </w:rPr>
        <w:t>的项目。</w:t>
      </w:r>
    </w:p>
    <w:p w14:paraId="3A93A0B4" w14:textId="0C3DD372" w:rsidR="00470DBC" w:rsidRDefault="00A86BC4" w:rsidP="00A86BC4">
      <w:pPr>
        <w:spacing w:after="120"/>
        <w:ind w:firstLineChars="200" w:firstLine="480"/>
        <w:rPr>
          <w:rFonts w:cstheme="minorHAnsi"/>
          <w:lang w:eastAsia="zh-CN"/>
        </w:rPr>
      </w:pPr>
      <w:r w:rsidRPr="00A86BC4">
        <w:rPr>
          <w:rFonts w:cstheme="minorHAnsi" w:hint="eastAsia"/>
          <w:lang w:eastAsia="zh-CN"/>
        </w:rPr>
        <w:t>请</w:t>
      </w:r>
      <w:r w:rsidRPr="00A86BC4">
        <w:rPr>
          <w:rFonts w:cstheme="minorHAnsi" w:hint="eastAsia"/>
          <w:lang w:eastAsia="zh-CN"/>
        </w:rPr>
        <w:t>TDAG</w:t>
      </w:r>
      <w:r w:rsidRPr="00A86BC4">
        <w:rPr>
          <w:rFonts w:cstheme="minorHAnsi" w:hint="eastAsia"/>
          <w:lang w:eastAsia="zh-CN"/>
        </w:rPr>
        <w:t>继续就如何</w:t>
      </w:r>
      <w:r>
        <w:rPr>
          <w:rFonts w:cstheme="minorHAnsi" w:hint="eastAsia"/>
          <w:lang w:eastAsia="zh-CN"/>
        </w:rPr>
        <w:t>不断</w:t>
      </w:r>
      <w:r w:rsidRPr="00A86BC4">
        <w:rPr>
          <w:rFonts w:cstheme="minorHAnsi" w:hint="eastAsia"/>
          <w:lang w:eastAsia="zh-CN"/>
        </w:rPr>
        <w:t>加强</w:t>
      </w:r>
      <w:r w:rsidRPr="00A86BC4">
        <w:rPr>
          <w:rFonts w:cstheme="minorHAnsi" w:hint="eastAsia"/>
          <w:lang w:eastAsia="zh-CN"/>
        </w:rPr>
        <w:t>BDT</w:t>
      </w:r>
      <w:r w:rsidRPr="00A86BC4">
        <w:rPr>
          <w:rFonts w:cstheme="minorHAnsi" w:hint="eastAsia"/>
          <w:lang w:eastAsia="zh-CN"/>
        </w:rPr>
        <w:t>的项目</w:t>
      </w:r>
      <w:r>
        <w:rPr>
          <w:rFonts w:cstheme="minorHAnsi" w:hint="eastAsia"/>
          <w:lang w:eastAsia="zh-CN"/>
        </w:rPr>
        <w:t>实践工作</w:t>
      </w:r>
      <w:r w:rsidRPr="00A86BC4">
        <w:rPr>
          <w:rFonts w:cstheme="minorHAnsi" w:hint="eastAsia"/>
          <w:lang w:eastAsia="zh-CN"/>
        </w:rPr>
        <w:t>提供指导和建议，并确定为确保成功与融资机构、捐助方和其他发展伙伴合作</w:t>
      </w:r>
      <w:r>
        <w:rPr>
          <w:rFonts w:cstheme="minorHAnsi" w:hint="eastAsia"/>
          <w:lang w:eastAsia="zh-CN"/>
        </w:rPr>
        <w:t>而</w:t>
      </w:r>
      <w:r w:rsidRPr="00A86BC4">
        <w:rPr>
          <w:rFonts w:cstheme="minorHAnsi" w:hint="eastAsia"/>
          <w:lang w:eastAsia="zh-CN"/>
        </w:rPr>
        <w:t>应采取的行动。</w:t>
      </w:r>
    </w:p>
    <w:p w14:paraId="32F0D13A" w14:textId="77777777" w:rsidR="00ED5FD6" w:rsidRDefault="00ED5FD6" w:rsidP="00A86BC4">
      <w:pPr>
        <w:spacing w:after="120"/>
        <w:ind w:firstLineChars="200" w:firstLine="480"/>
        <w:rPr>
          <w:rFonts w:cstheme="minorHAnsi"/>
          <w:lang w:eastAsia="zh-CN"/>
        </w:rPr>
      </w:pPr>
      <w:bookmarkStart w:id="8" w:name="Proposal"/>
      <w:bookmarkEnd w:id="8"/>
    </w:p>
    <w:p w14:paraId="7759C759" w14:textId="1B3DC6FE" w:rsidR="00821996" w:rsidRDefault="003C58BF" w:rsidP="00577CDC">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370C" w14:textId="77777777" w:rsidR="00793440" w:rsidRDefault="00793440">
      <w:r>
        <w:separator/>
      </w:r>
    </w:p>
  </w:endnote>
  <w:endnote w:type="continuationSeparator" w:id="0">
    <w:p w14:paraId="1E0ED122" w14:textId="77777777" w:rsidR="00793440" w:rsidRDefault="0079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02980" w:rsidRPr="004D495C" w14:paraId="695D1810" w14:textId="77777777" w:rsidTr="00F02980">
      <w:tc>
        <w:tcPr>
          <w:tcW w:w="1526" w:type="dxa"/>
          <w:tcBorders>
            <w:top w:val="single" w:sz="4" w:space="0" w:color="000000"/>
          </w:tcBorders>
          <w:shd w:val="clear" w:color="auto" w:fill="auto"/>
        </w:tcPr>
        <w:p w14:paraId="746E5A61" w14:textId="7433A418" w:rsidR="00F02980" w:rsidRPr="004D495C" w:rsidRDefault="00864B8A" w:rsidP="00F02980">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543D498F" w:rsidR="00F02980" w:rsidRPr="004D495C" w:rsidRDefault="00864B8A" w:rsidP="00F02980">
          <w:pPr>
            <w:pStyle w:val="FirstFooter"/>
            <w:tabs>
              <w:tab w:val="left" w:pos="2302"/>
            </w:tabs>
            <w:ind w:left="2302" w:hanging="2302"/>
            <w:rPr>
              <w:sz w:val="18"/>
              <w:szCs w:val="18"/>
              <w:lang w:val="en-US" w:eastAsia="zh-CN"/>
            </w:rPr>
          </w:pPr>
          <w:r>
            <w:rPr>
              <w:rFonts w:hint="eastAsia"/>
              <w:sz w:val="18"/>
              <w:szCs w:val="18"/>
              <w:lang w:val="en-US" w:eastAsia="zh-CN"/>
            </w:rPr>
            <w:t>组织</w:t>
          </w:r>
          <w:r w:rsidR="00F02980" w:rsidRPr="004D495C">
            <w:rPr>
              <w:sz w:val="18"/>
              <w:szCs w:val="18"/>
              <w:lang w:val="en-US"/>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7CDC419A" w14:textId="16898B32" w:rsidR="00F02980" w:rsidRDefault="00166A88" w:rsidP="00F02980">
          <w:pPr>
            <w:pStyle w:val="FirstFooter"/>
            <w:tabs>
              <w:tab w:val="left" w:pos="2302"/>
            </w:tabs>
            <w:rPr>
              <w:sz w:val="18"/>
              <w:szCs w:val="18"/>
              <w:lang w:val="en-US" w:eastAsia="zh-CN"/>
            </w:rPr>
          </w:pPr>
          <w:r>
            <w:rPr>
              <w:rFonts w:hint="eastAsia"/>
              <w:sz w:val="18"/>
              <w:szCs w:val="18"/>
              <w:lang w:val="en-US" w:eastAsia="zh-CN"/>
            </w:rPr>
            <w:t>电信发展局</w:t>
          </w:r>
          <w:r w:rsidR="00366FD2">
            <w:rPr>
              <w:rFonts w:hint="eastAsia"/>
              <w:sz w:val="18"/>
              <w:szCs w:val="18"/>
              <w:lang w:val="en-US" w:eastAsia="zh-CN"/>
            </w:rPr>
            <w:t>项目支持处</w:t>
          </w:r>
          <w:r>
            <w:rPr>
              <w:rFonts w:hint="eastAsia"/>
              <w:sz w:val="18"/>
              <w:szCs w:val="18"/>
              <w:lang w:val="en-US" w:eastAsia="zh-CN"/>
            </w:rPr>
            <w:t>负责人</w:t>
          </w:r>
          <w:r w:rsidR="00366FD2" w:rsidRPr="00366FD2">
            <w:rPr>
              <w:sz w:val="18"/>
              <w:szCs w:val="18"/>
              <w:lang w:val="en-US" w:eastAsia="zh-CN"/>
            </w:rPr>
            <w:t xml:space="preserve">Jose Maria Diaz </w:t>
          </w:r>
          <w:proofErr w:type="spellStart"/>
          <w:r w:rsidR="00366FD2" w:rsidRPr="00366FD2">
            <w:rPr>
              <w:sz w:val="18"/>
              <w:szCs w:val="18"/>
              <w:lang w:val="en-US" w:eastAsia="zh-CN"/>
            </w:rPr>
            <w:t>Batanero</w:t>
          </w:r>
          <w:proofErr w:type="spellEnd"/>
          <w:r>
            <w:rPr>
              <w:rFonts w:hint="eastAsia"/>
              <w:sz w:val="18"/>
              <w:szCs w:val="18"/>
              <w:lang w:val="en-US" w:eastAsia="zh-CN"/>
            </w:rPr>
            <w:t>先生</w:t>
          </w:r>
        </w:p>
      </w:tc>
      <w:bookmarkStart w:id="9" w:name="OrgName"/>
      <w:bookmarkEnd w:id="9"/>
    </w:tr>
    <w:tr w:rsidR="00F02980" w:rsidRPr="004D495C" w14:paraId="61167678" w14:textId="77777777" w:rsidTr="00F02980">
      <w:tc>
        <w:tcPr>
          <w:tcW w:w="1526" w:type="dxa"/>
          <w:shd w:val="clear" w:color="auto" w:fill="auto"/>
        </w:tcPr>
        <w:p w14:paraId="33710823" w14:textId="77777777" w:rsidR="00F02980" w:rsidRPr="004D495C" w:rsidRDefault="00F02980" w:rsidP="00F02980">
          <w:pPr>
            <w:pStyle w:val="FirstFooter"/>
            <w:tabs>
              <w:tab w:val="left" w:pos="1559"/>
              <w:tab w:val="left" w:pos="3828"/>
            </w:tabs>
            <w:rPr>
              <w:sz w:val="20"/>
              <w:lang w:val="en-US" w:eastAsia="zh-CN"/>
            </w:rPr>
          </w:pPr>
        </w:p>
      </w:tc>
      <w:tc>
        <w:tcPr>
          <w:tcW w:w="2410" w:type="dxa"/>
          <w:shd w:val="clear" w:color="auto" w:fill="auto"/>
        </w:tcPr>
        <w:p w14:paraId="1251F6E4" w14:textId="38BF2702" w:rsidR="00F02980" w:rsidRPr="004D495C" w:rsidRDefault="00864B8A" w:rsidP="00F02980">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72DE957B" w14:textId="778FB782" w:rsidR="00F02980" w:rsidRPr="006A3AD7" w:rsidRDefault="00F02980" w:rsidP="00F02980">
          <w:pPr>
            <w:pStyle w:val="FirstFooter"/>
            <w:tabs>
              <w:tab w:val="left" w:pos="2302"/>
            </w:tabs>
            <w:rPr>
              <w:sz w:val="18"/>
              <w:szCs w:val="18"/>
              <w:lang w:val="en-US"/>
            </w:rPr>
          </w:pPr>
          <w:r>
            <w:rPr>
              <w:sz w:val="18"/>
              <w:szCs w:val="18"/>
              <w:lang w:val="en-US"/>
            </w:rPr>
            <w:t xml:space="preserve">+41 22 730 </w:t>
          </w:r>
          <w:r w:rsidR="00366FD2">
            <w:rPr>
              <w:sz w:val="18"/>
              <w:szCs w:val="18"/>
              <w:lang w:val="en-US"/>
            </w:rPr>
            <w:t>5495</w:t>
          </w:r>
        </w:p>
      </w:tc>
      <w:bookmarkStart w:id="10" w:name="PhoneNo"/>
      <w:bookmarkEnd w:id="10"/>
    </w:tr>
    <w:tr w:rsidR="00F02980" w:rsidRPr="004D495C" w14:paraId="0299A231" w14:textId="77777777" w:rsidTr="00F02980">
      <w:tc>
        <w:tcPr>
          <w:tcW w:w="1526" w:type="dxa"/>
          <w:shd w:val="clear" w:color="auto" w:fill="auto"/>
        </w:tcPr>
        <w:p w14:paraId="35CBC438" w14:textId="77777777" w:rsidR="00F02980" w:rsidRPr="004D495C" w:rsidRDefault="00F02980" w:rsidP="00F02980">
          <w:pPr>
            <w:pStyle w:val="FirstFooter"/>
            <w:tabs>
              <w:tab w:val="left" w:pos="1559"/>
              <w:tab w:val="left" w:pos="3828"/>
            </w:tabs>
            <w:rPr>
              <w:sz w:val="20"/>
              <w:lang w:val="en-US"/>
            </w:rPr>
          </w:pPr>
        </w:p>
      </w:tc>
      <w:tc>
        <w:tcPr>
          <w:tcW w:w="2410" w:type="dxa"/>
          <w:shd w:val="clear" w:color="auto" w:fill="auto"/>
        </w:tcPr>
        <w:p w14:paraId="65335E06" w14:textId="7ED9A255" w:rsidR="00F02980" w:rsidRPr="004D495C" w:rsidRDefault="00864B8A" w:rsidP="00F02980">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4F80EB7C" w14:textId="19C31038" w:rsidR="00F02980" w:rsidRPr="00962A5E" w:rsidRDefault="008F1819" w:rsidP="00F02980">
          <w:pPr>
            <w:pStyle w:val="FirstFooter"/>
            <w:tabs>
              <w:tab w:val="left" w:pos="2302"/>
            </w:tabs>
            <w:rPr>
              <w:lang w:val="en-US"/>
            </w:rPr>
          </w:pPr>
          <w:hyperlink r:id="rId1" w:history="1">
            <w:r w:rsidR="00366FD2" w:rsidRPr="00366FD2">
              <w:rPr>
                <w:rStyle w:val="Hyperlink"/>
                <w:sz w:val="18"/>
                <w:szCs w:val="22"/>
                <w:lang w:val="en-US"/>
              </w:rPr>
              <w:t>jose.batanero@itu.int</w:t>
            </w:r>
          </w:hyperlink>
        </w:p>
      </w:tc>
      <w:bookmarkStart w:id="11" w:name="Email"/>
      <w:bookmarkEnd w:id="11"/>
    </w:tr>
  </w:tbl>
  <w:p w14:paraId="40A321D0" w14:textId="738EFB5A" w:rsidR="00721657" w:rsidRPr="006C3AE6" w:rsidRDefault="00721657" w:rsidP="008F1819">
    <w:pPr>
      <w:pStyle w:val="Footer"/>
      <w:jc w:val="center"/>
      <w:rPr>
        <w:caps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0ABC" w14:textId="77777777" w:rsidR="00793440" w:rsidRDefault="00793440">
      <w:r>
        <w:t>____________________</w:t>
      </w:r>
    </w:p>
  </w:footnote>
  <w:footnote w:type="continuationSeparator" w:id="0">
    <w:p w14:paraId="58838751" w14:textId="77777777" w:rsidR="00793440" w:rsidRDefault="00793440">
      <w:r>
        <w:continuationSeparator/>
      </w:r>
    </w:p>
  </w:footnote>
  <w:footnote w:id="1">
    <w:p w14:paraId="776E3871" w14:textId="030B992D" w:rsidR="00B04CAC" w:rsidRPr="00FB5283" w:rsidRDefault="00B04CAC" w:rsidP="00292003">
      <w:pPr>
        <w:pStyle w:val="FootnoteText"/>
        <w:spacing w:before="60"/>
        <w:ind w:left="0" w:firstLine="0"/>
        <w:rPr>
          <w:i/>
          <w:iCs/>
          <w:sz w:val="20"/>
          <w:lang w:eastAsia="zh-CN"/>
        </w:rPr>
      </w:pPr>
      <w:r w:rsidRPr="00292003">
        <w:rPr>
          <w:rStyle w:val="FootnoteReference"/>
        </w:rPr>
        <w:footnoteRef/>
      </w:r>
      <w:bookmarkStart w:id="5" w:name="lt_pId204"/>
      <w:r w:rsidR="00292003">
        <w:rPr>
          <w:i/>
          <w:iCs/>
          <w:sz w:val="20"/>
          <w:lang w:eastAsia="zh-CN"/>
        </w:rPr>
        <w:tab/>
      </w:r>
      <w:r w:rsidRPr="00292003">
        <w:rPr>
          <w:rFonts w:hint="eastAsia"/>
          <w:lang w:eastAsia="zh-CN"/>
        </w:rPr>
        <w:t>文件中提供的数字对应</w:t>
      </w:r>
      <w:r w:rsidRPr="00292003">
        <w:rPr>
          <w:rFonts w:hint="eastAsia"/>
          <w:lang w:eastAsia="zh-CN"/>
        </w:rPr>
        <w:t>2</w:t>
      </w:r>
      <w:r w:rsidRPr="00292003">
        <w:rPr>
          <w:lang w:eastAsia="zh-CN"/>
        </w:rPr>
        <w:t>023</w:t>
      </w:r>
      <w:r w:rsidRPr="00292003">
        <w:rPr>
          <w:rFonts w:hint="eastAsia"/>
          <w:lang w:eastAsia="zh-CN"/>
        </w:rPr>
        <w:t>年账户关闭时的财务余额（截至</w:t>
      </w:r>
      <w:r w:rsidRPr="00292003">
        <w:rPr>
          <w:rFonts w:hint="eastAsia"/>
          <w:lang w:eastAsia="zh-CN"/>
        </w:rPr>
        <w:t>2</w:t>
      </w:r>
      <w:r w:rsidRPr="00292003">
        <w:rPr>
          <w:lang w:eastAsia="zh-CN"/>
        </w:rPr>
        <w:t>023</w:t>
      </w:r>
      <w:r w:rsidRPr="00292003">
        <w:rPr>
          <w:rFonts w:hint="eastAsia"/>
          <w:lang w:eastAsia="zh-CN"/>
        </w:rPr>
        <w:t>年</w:t>
      </w:r>
      <w:r w:rsidRPr="00292003">
        <w:rPr>
          <w:rFonts w:hint="eastAsia"/>
          <w:lang w:eastAsia="zh-CN"/>
        </w:rPr>
        <w:t>1</w:t>
      </w:r>
      <w:r w:rsidRPr="00292003">
        <w:rPr>
          <w:lang w:eastAsia="zh-CN"/>
        </w:rPr>
        <w:t>2</w:t>
      </w:r>
      <w:r w:rsidRPr="00292003">
        <w:rPr>
          <w:rFonts w:hint="eastAsia"/>
          <w:lang w:eastAsia="zh-CN"/>
        </w:rPr>
        <w:t>月</w:t>
      </w:r>
      <w:r w:rsidRPr="00292003">
        <w:rPr>
          <w:rFonts w:hint="eastAsia"/>
          <w:lang w:eastAsia="zh-CN"/>
        </w:rPr>
        <w:t>3</w:t>
      </w:r>
      <w:r w:rsidRPr="00292003">
        <w:rPr>
          <w:lang w:eastAsia="zh-CN"/>
        </w:rPr>
        <w:t>1</w:t>
      </w:r>
      <w:r w:rsidRPr="00292003">
        <w:rPr>
          <w:rFonts w:hint="eastAsia"/>
          <w:lang w:eastAsia="zh-CN"/>
        </w:rPr>
        <w:t>日的余额）。</w:t>
      </w:r>
      <w:bookmarkEnd w:id="5"/>
    </w:p>
  </w:footnote>
  <w:footnote w:id="2">
    <w:p w14:paraId="07D6AA65" w14:textId="701272D0" w:rsidR="00444F67" w:rsidRPr="00444F67" w:rsidRDefault="00444F67" w:rsidP="00292003">
      <w:pPr>
        <w:pStyle w:val="FootnoteText"/>
        <w:tabs>
          <w:tab w:val="clear" w:pos="255"/>
          <w:tab w:val="left" w:pos="284"/>
        </w:tabs>
        <w:spacing w:before="60"/>
        <w:ind w:left="249" w:hanging="249"/>
        <w:rPr>
          <w:rFonts w:ascii="STKaiti" w:eastAsia="STKaiti" w:hAnsi="STKaiti"/>
          <w:sz w:val="20"/>
          <w:lang w:eastAsia="zh-CN"/>
        </w:rPr>
      </w:pPr>
      <w:r w:rsidRPr="00292003">
        <w:rPr>
          <w:rStyle w:val="FootnoteReference"/>
        </w:rPr>
        <w:footnoteRef/>
      </w:r>
      <w:r w:rsidR="00292003">
        <w:rPr>
          <w:sz w:val="20"/>
          <w:lang w:eastAsia="zh-CN"/>
        </w:rPr>
        <w:tab/>
      </w:r>
      <w:r w:rsidRPr="00292003">
        <w:rPr>
          <w:rFonts w:hint="eastAsia"/>
          <w:lang w:eastAsia="zh-CN"/>
        </w:rPr>
        <w:t>请注意，这一数字不包括赞助协议或自愿捐款协议等其他伙伴关系协议，这些协议在</w:t>
      </w:r>
      <w:r w:rsidRPr="00292003">
        <w:rPr>
          <w:rFonts w:hint="eastAsia"/>
          <w:lang w:eastAsia="zh-CN"/>
        </w:rPr>
        <w:t>TDAG-24/4</w:t>
      </w:r>
      <w:r w:rsidRPr="00292003">
        <w:rPr>
          <w:rFonts w:hint="eastAsia"/>
          <w:lang w:eastAsia="zh-CN"/>
        </w:rPr>
        <w:t>号文件中报告。</w:t>
      </w:r>
    </w:p>
  </w:footnote>
  <w:footnote w:id="3">
    <w:p w14:paraId="1196EAB9" w14:textId="5D9B509C" w:rsidR="00FC751F" w:rsidRPr="00FB5283" w:rsidRDefault="00FC751F" w:rsidP="00292003">
      <w:pPr>
        <w:pStyle w:val="FootnoteText"/>
        <w:spacing w:before="60"/>
        <w:ind w:left="0" w:firstLine="0"/>
        <w:rPr>
          <w:i/>
          <w:iCs/>
          <w:sz w:val="20"/>
        </w:rPr>
      </w:pPr>
      <w:r w:rsidRPr="00292003">
        <w:rPr>
          <w:rStyle w:val="FootnoteReference"/>
        </w:rPr>
        <w:footnoteRef/>
      </w:r>
      <w:r w:rsidR="00292003">
        <w:rPr>
          <w:i/>
          <w:iCs/>
          <w:sz w:val="20"/>
        </w:rPr>
        <w:tab/>
      </w:r>
      <w:proofErr w:type="spellStart"/>
      <w:r w:rsidR="00FD0E89" w:rsidRPr="00292003">
        <w:rPr>
          <w:rFonts w:hint="eastAsia"/>
        </w:rPr>
        <w:t>欲了解更多信息，请参见第</w:t>
      </w:r>
      <w:proofErr w:type="spellEnd"/>
      <w:r w:rsidR="00FD0E89" w:rsidRPr="00292003">
        <w:rPr>
          <w:rFonts w:hint="eastAsia"/>
        </w:rPr>
        <w:t>1418</w:t>
      </w:r>
      <w:proofErr w:type="spellStart"/>
      <w:r w:rsidR="00FD0E89" w:rsidRPr="00292003">
        <w:rPr>
          <w:rFonts w:hint="eastAsia"/>
        </w:rPr>
        <w:t>号决议，网址为</w:t>
      </w:r>
      <w:proofErr w:type="spellEnd"/>
      <w:r w:rsidR="008F1819">
        <w:fldChar w:fldCharType="begin"/>
      </w:r>
      <w:r w:rsidR="008F1819">
        <w:instrText>HYPERLINK "https://www.itu.int/md/S23-CL-C-0116/"</w:instrText>
      </w:r>
      <w:r w:rsidR="008F1819">
        <w:fldChar w:fldCharType="separate"/>
      </w:r>
      <w:r w:rsidRPr="00292003">
        <w:rPr>
          <w:rStyle w:val="Hyperlink"/>
        </w:rPr>
        <w:t>https://www.itu.int/md/S23-CL-C-0116/</w:t>
      </w:r>
      <w:r w:rsidR="008F1819">
        <w:rPr>
          <w:rStyle w:val="Hyperlink"/>
        </w:rPr>
        <w:fldChar w:fldCharType="end"/>
      </w:r>
    </w:p>
  </w:footnote>
  <w:footnote w:id="4">
    <w:p w14:paraId="6719244D" w14:textId="30F5B49E" w:rsidR="00FC751F" w:rsidRPr="00FB5283" w:rsidRDefault="00FC751F" w:rsidP="00292003">
      <w:pPr>
        <w:pStyle w:val="FootnoteText"/>
        <w:spacing w:before="60"/>
        <w:ind w:left="0" w:firstLine="0"/>
        <w:rPr>
          <w:i/>
          <w:iCs/>
          <w:sz w:val="20"/>
        </w:rPr>
      </w:pPr>
      <w:r w:rsidRPr="00292003">
        <w:rPr>
          <w:rStyle w:val="FootnoteReference"/>
        </w:rPr>
        <w:footnoteRef/>
      </w:r>
      <w:r w:rsidR="00292003">
        <w:rPr>
          <w:i/>
          <w:iCs/>
          <w:sz w:val="20"/>
        </w:rPr>
        <w:tab/>
      </w:r>
      <w:proofErr w:type="spellStart"/>
      <w:r w:rsidR="00FD0E89" w:rsidRPr="00292003">
        <w:rPr>
          <w:rFonts w:hint="eastAsia"/>
        </w:rPr>
        <w:t>见以下网址</w:t>
      </w:r>
      <w:proofErr w:type="spellEnd"/>
      <w:r w:rsidR="008F1819">
        <w:fldChar w:fldCharType="begin"/>
      </w:r>
      <w:r w:rsidR="008F1819">
        <w:instrText>HYPERLINK "https://www.itu.int/en/ITU-D/Projects"</w:instrText>
      </w:r>
      <w:r w:rsidR="008F1819">
        <w:fldChar w:fldCharType="separate"/>
      </w:r>
      <w:r w:rsidRPr="00292003">
        <w:rPr>
          <w:rStyle w:val="Hyperlink"/>
        </w:rPr>
        <w:t>https://www.itu.int/en/ITU-D/Projects</w:t>
      </w:r>
      <w:r w:rsidR="008F1819">
        <w:rPr>
          <w:rStyle w:val="Hyperlink"/>
        </w:rPr>
        <w:fldChar w:fldCharType="end"/>
      </w:r>
    </w:p>
  </w:footnote>
  <w:footnote w:id="5">
    <w:p w14:paraId="035DAFE5" w14:textId="6F6EC6AA" w:rsidR="00113F01" w:rsidRPr="00FB5283" w:rsidRDefault="00113F01" w:rsidP="008D1FC2">
      <w:pPr>
        <w:pStyle w:val="FootnoteText"/>
        <w:spacing w:before="60"/>
        <w:ind w:left="0" w:firstLine="0"/>
        <w:rPr>
          <w:i/>
          <w:iCs/>
          <w:sz w:val="20"/>
        </w:rPr>
      </w:pPr>
      <w:r w:rsidRPr="008D1FC2">
        <w:rPr>
          <w:rStyle w:val="FootnoteReference"/>
        </w:rPr>
        <w:footnoteRef/>
      </w:r>
      <w:r w:rsidR="008D1FC2">
        <w:rPr>
          <w:i/>
          <w:iCs/>
          <w:sz w:val="20"/>
        </w:rPr>
        <w:tab/>
      </w:r>
      <w:proofErr w:type="spellStart"/>
      <w:r w:rsidR="00712747" w:rsidRPr="008D1FC2">
        <w:rPr>
          <w:rFonts w:hint="eastAsia"/>
        </w:rPr>
        <w:t>见以下网址</w:t>
      </w:r>
      <w:proofErr w:type="spellEnd"/>
      <w:hyperlink r:id="rId1" w:history="1">
        <w:r w:rsidRPr="008D1FC2">
          <w:rPr>
            <w:rStyle w:val="Hyperlink"/>
          </w:rPr>
          <w:t>https://www.itu.int/en/ITU-D/Projects</w:t>
        </w:r>
      </w:hyperlink>
    </w:p>
  </w:footnote>
  <w:footnote w:id="6">
    <w:p w14:paraId="0890CC69" w14:textId="29BCEE91" w:rsidR="00712747" w:rsidRPr="00FB5283" w:rsidRDefault="00712747" w:rsidP="008D1FC2">
      <w:pPr>
        <w:pStyle w:val="FootnoteText"/>
        <w:tabs>
          <w:tab w:val="clear" w:pos="255"/>
          <w:tab w:val="left" w:pos="284"/>
        </w:tabs>
        <w:spacing w:before="60"/>
        <w:ind w:left="252" w:hanging="252"/>
        <w:rPr>
          <w:rFonts w:cstheme="minorHAnsi"/>
          <w:i/>
          <w:iCs/>
          <w:sz w:val="20"/>
          <w:lang w:eastAsia="zh-CN"/>
        </w:rPr>
      </w:pPr>
      <w:r w:rsidRPr="008D1FC2">
        <w:rPr>
          <w:rStyle w:val="FootnoteReference"/>
        </w:rPr>
        <w:footnoteRef/>
      </w:r>
      <w:r w:rsidR="008D1FC2">
        <w:rPr>
          <w:i/>
          <w:iCs/>
          <w:sz w:val="20"/>
          <w:lang w:eastAsia="zh-CN"/>
        </w:rPr>
        <w:tab/>
      </w:r>
      <w:r w:rsidRPr="008D1FC2">
        <w:rPr>
          <w:lang w:eastAsia="zh-CN"/>
        </w:rPr>
        <w:t>有关</w:t>
      </w:r>
      <w:r w:rsidRPr="008D1FC2">
        <w:rPr>
          <w:lang w:eastAsia="zh-CN"/>
        </w:rPr>
        <w:t>ITU-D</w:t>
      </w:r>
      <w:r w:rsidRPr="008D1FC2">
        <w:rPr>
          <w:lang w:eastAsia="zh-CN"/>
        </w:rPr>
        <w:t>伙伴关系和资源筹措的更多信息，请参见</w:t>
      </w:r>
      <w:r w:rsidRPr="008D1FC2">
        <w:rPr>
          <w:lang w:eastAsia="zh-CN"/>
        </w:rPr>
        <w:t>TDAG-24/4-E</w:t>
      </w:r>
      <w:r w:rsidRPr="008D1FC2">
        <w:rPr>
          <w:lang w:eastAsia="zh-CN"/>
        </w:rPr>
        <w:t>号文件、</w:t>
      </w:r>
      <w:r w:rsidRPr="008D1FC2">
        <w:rPr>
          <w:lang w:eastAsia="zh-CN"/>
        </w:rPr>
        <w:t>INF/1</w:t>
      </w:r>
      <w:r w:rsidRPr="008D1FC2">
        <w:rPr>
          <w:lang w:eastAsia="zh-CN"/>
        </w:rPr>
        <w:t>号文件以及有关</w:t>
      </w:r>
      <w:r w:rsidRPr="008D1FC2">
        <w:rPr>
          <w:lang w:eastAsia="zh-CN"/>
        </w:rPr>
        <w:t>ITU-D</w:t>
      </w:r>
      <w:r w:rsidRPr="008D1FC2">
        <w:rPr>
          <w:lang w:eastAsia="zh-CN"/>
        </w:rPr>
        <w:t>部门成员、部门准成员和学术成员的</w:t>
      </w:r>
      <w:r w:rsidRPr="008D1FC2">
        <w:rPr>
          <w:lang w:eastAsia="zh-CN"/>
        </w:rPr>
        <w:t>TDAG-24/8-E</w:t>
      </w:r>
      <w:r w:rsidRPr="008D1FC2">
        <w:rPr>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E14BC4C" w:rsidR="00721657" w:rsidRPr="00EF2157" w:rsidRDefault="00A525CC" w:rsidP="00E07CA8">
    <w:pPr>
      <w:tabs>
        <w:tab w:val="clear" w:pos="794"/>
        <w:tab w:val="clear" w:pos="1191"/>
        <w:tab w:val="clear" w:pos="1588"/>
        <w:tab w:val="clear" w:pos="1985"/>
        <w:tab w:val="left" w:pos="3210"/>
        <w:tab w:val="center" w:pos="4820"/>
        <w:tab w:val="right" w:pos="9639"/>
      </w:tabs>
      <w:ind w:right="1"/>
      <w:rPr>
        <w:rStyle w:val="PageNumber"/>
        <w:smallCaps/>
        <w:spacing w:val="24"/>
        <w:sz w:val="22"/>
        <w:szCs w:val="22"/>
        <w:lang w:val="de-CH"/>
      </w:rPr>
    </w:pPr>
    <w:r w:rsidRPr="00972BCD">
      <w:rPr>
        <w:sz w:val="22"/>
        <w:szCs w:val="22"/>
      </w:rPr>
      <w:tab/>
    </w:r>
    <w:r w:rsidR="00E07CA8">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F6250">
      <w:rPr>
        <w:sz w:val="22"/>
        <w:szCs w:val="22"/>
        <w:lang w:val="de-CH"/>
      </w:rPr>
      <w:t>4</w:t>
    </w:r>
    <w:r w:rsidRPr="00A54E72">
      <w:rPr>
        <w:sz w:val="22"/>
        <w:szCs w:val="22"/>
        <w:lang w:val="de-CH"/>
      </w:rPr>
      <w:t>/</w:t>
    </w:r>
    <w:r w:rsidR="006A3AD7">
      <w:rPr>
        <w:sz w:val="22"/>
        <w:szCs w:val="22"/>
        <w:lang w:val="de-CH"/>
      </w:rPr>
      <w:t>7</w:t>
    </w:r>
    <w:r w:rsidR="00305B13">
      <w:rPr>
        <w:rFonts w:hint="eastAsia"/>
        <w:sz w:val="22"/>
        <w:szCs w:val="22"/>
        <w:lang w:val="de-CH" w:eastAsia="zh-CN"/>
      </w:rPr>
      <w:t>(Rev.1)</w:t>
    </w:r>
    <w:r w:rsidRPr="006D271A">
      <w:rPr>
        <w:sz w:val="22"/>
        <w:szCs w:val="22"/>
        <w:lang w:val="de-CH"/>
      </w:rPr>
      <w:t>-</w:t>
    </w:r>
    <w:r w:rsidR="00864B8A">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16cid:durableId="797915385">
    <w:abstractNumId w:val="2"/>
  </w:num>
  <w:num w:numId="2" w16cid:durableId="862936123">
    <w:abstractNumId w:val="0"/>
  </w:num>
  <w:num w:numId="3" w16cid:durableId="1471512369">
    <w:abstractNumId w:val="3"/>
  </w:num>
  <w:num w:numId="4" w16cid:durableId="114596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EB9"/>
    <w:rsid w:val="00002716"/>
    <w:rsid w:val="0000305D"/>
    <w:rsid w:val="00003C43"/>
    <w:rsid w:val="00005791"/>
    <w:rsid w:val="00010827"/>
    <w:rsid w:val="0001409F"/>
    <w:rsid w:val="00015089"/>
    <w:rsid w:val="000218A6"/>
    <w:rsid w:val="00022A16"/>
    <w:rsid w:val="0002520B"/>
    <w:rsid w:val="00036836"/>
    <w:rsid w:val="00037A9E"/>
    <w:rsid w:val="00037F91"/>
    <w:rsid w:val="00041909"/>
    <w:rsid w:val="0004310C"/>
    <w:rsid w:val="000539F1"/>
    <w:rsid w:val="00053CAE"/>
    <w:rsid w:val="00054747"/>
    <w:rsid w:val="00055A2A"/>
    <w:rsid w:val="00056BE8"/>
    <w:rsid w:val="000615C1"/>
    <w:rsid w:val="00061675"/>
    <w:rsid w:val="00070A1D"/>
    <w:rsid w:val="00070A7C"/>
    <w:rsid w:val="000743AA"/>
    <w:rsid w:val="0007468A"/>
    <w:rsid w:val="00082134"/>
    <w:rsid w:val="0009076F"/>
    <w:rsid w:val="0009225C"/>
    <w:rsid w:val="000A17C4"/>
    <w:rsid w:val="000A2036"/>
    <w:rsid w:val="000A36A4"/>
    <w:rsid w:val="000A5840"/>
    <w:rsid w:val="000B2352"/>
    <w:rsid w:val="000B2917"/>
    <w:rsid w:val="000C412C"/>
    <w:rsid w:val="000C7B84"/>
    <w:rsid w:val="000D261B"/>
    <w:rsid w:val="000D58A3"/>
    <w:rsid w:val="000E1A78"/>
    <w:rsid w:val="000E3ED4"/>
    <w:rsid w:val="000E3F9C"/>
    <w:rsid w:val="000E5E7F"/>
    <w:rsid w:val="000F149C"/>
    <w:rsid w:val="000F1550"/>
    <w:rsid w:val="000F251B"/>
    <w:rsid w:val="000F5FE8"/>
    <w:rsid w:val="000F6644"/>
    <w:rsid w:val="001002FF"/>
    <w:rsid w:val="00100833"/>
    <w:rsid w:val="00102F72"/>
    <w:rsid w:val="00107E85"/>
    <w:rsid w:val="00113EE8"/>
    <w:rsid w:val="00113F01"/>
    <w:rsid w:val="0011455A"/>
    <w:rsid w:val="00114A65"/>
    <w:rsid w:val="001205D7"/>
    <w:rsid w:val="00120C21"/>
    <w:rsid w:val="00130A94"/>
    <w:rsid w:val="00133061"/>
    <w:rsid w:val="00133755"/>
    <w:rsid w:val="001365DC"/>
    <w:rsid w:val="00141699"/>
    <w:rsid w:val="001463DF"/>
    <w:rsid w:val="00147000"/>
    <w:rsid w:val="00154C85"/>
    <w:rsid w:val="00154F97"/>
    <w:rsid w:val="00156428"/>
    <w:rsid w:val="00163091"/>
    <w:rsid w:val="001645CB"/>
    <w:rsid w:val="00166305"/>
    <w:rsid w:val="00166A88"/>
    <w:rsid w:val="00167545"/>
    <w:rsid w:val="001678C1"/>
    <w:rsid w:val="001703C6"/>
    <w:rsid w:val="00173781"/>
    <w:rsid w:val="00175ADF"/>
    <w:rsid w:val="00175CAE"/>
    <w:rsid w:val="001828DB"/>
    <w:rsid w:val="001850FE"/>
    <w:rsid w:val="00185135"/>
    <w:rsid w:val="0019037C"/>
    <w:rsid w:val="001905A9"/>
    <w:rsid w:val="00191273"/>
    <w:rsid w:val="001941E1"/>
    <w:rsid w:val="001942A7"/>
    <w:rsid w:val="0019587B"/>
    <w:rsid w:val="001A163D"/>
    <w:rsid w:val="001A441E"/>
    <w:rsid w:val="001A6733"/>
    <w:rsid w:val="001B357F"/>
    <w:rsid w:val="001B528D"/>
    <w:rsid w:val="001C3444"/>
    <w:rsid w:val="001C3702"/>
    <w:rsid w:val="001C4656"/>
    <w:rsid w:val="001C46BC"/>
    <w:rsid w:val="001D1E06"/>
    <w:rsid w:val="001E2842"/>
    <w:rsid w:val="001E62A7"/>
    <w:rsid w:val="001E6D53"/>
    <w:rsid w:val="001F23E6"/>
    <w:rsid w:val="001F4238"/>
    <w:rsid w:val="00200A38"/>
    <w:rsid w:val="00200A46"/>
    <w:rsid w:val="00207F24"/>
    <w:rsid w:val="00211B6F"/>
    <w:rsid w:val="00217CC3"/>
    <w:rsid w:val="00220AB6"/>
    <w:rsid w:val="0022120F"/>
    <w:rsid w:val="002234D9"/>
    <w:rsid w:val="0022754A"/>
    <w:rsid w:val="00236560"/>
    <w:rsid w:val="0023662E"/>
    <w:rsid w:val="00243C31"/>
    <w:rsid w:val="00245D0F"/>
    <w:rsid w:val="00251D3D"/>
    <w:rsid w:val="002548C3"/>
    <w:rsid w:val="00257ACD"/>
    <w:rsid w:val="00262908"/>
    <w:rsid w:val="002650F4"/>
    <w:rsid w:val="002652B6"/>
    <w:rsid w:val="00267A76"/>
    <w:rsid w:val="002715FD"/>
    <w:rsid w:val="002770B1"/>
    <w:rsid w:val="00285B33"/>
    <w:rsid w:val="00287A3C"/>
    <w:rsid w:val="00292003"/>
    <w:rsid w:val="002A2745"/>
    <w:rsid w:val="002A2FC6"/>
    <w:rsid w:val="002B0AB7"/>
    <w:rsid w:val="002B78EE"/>
    <w:rsid w:val="002C1EC7"/>
    <w:rsid w:val="002C3015"/>
    <w:rsid w:val="002C4342"/>
    <w:rsid w:val="002C7EA3"/>
    <w:rsid w:val="002D20AE"/>
    <w:rsid w:val="002D6723"/>
    <w:rsid w:val="002D6C61"/>
    <w:rsid w:val="002E2104"/>
    <w:rsid w:val="002E2DAC"/>
    <w:rsid w:val="002E58BA"/>
    <w:rsid w:val="002E6963"/>
    <w:rsid w:val="002E6F8F"/>
    <w:rsid w:val="002F05D8"/>
    <w:rsid w:val="002F2DE0"/>
    <w:rsid w:val="002F30E5"/>
    <w:rsid w:val="002F5E25"/>
    <w:rsid w:val="0030353C"/>
    <w:rsid w:val="00304867"/>
    <w:rsid w:val="00305B13"/>
    <w:rsid w:val="003125C3"/>
    <w:rsid w:val="00312AE6"/>
    <w:rsid w:val="00317D1A"/>
    <w:rsid w:val="003211FF"/>
    <w:rsid w:val="003242AB"/>
    <w:rsid w:val="00327247"/>
    <w:rsid w:val="00327A9D"/>
    <w:rsid w:val="0033084A"/>
    <w:rsid w:val="0033130E"/>
    <w:rsid w:val="0033269C"/>
    <w:rsid w:val="003403B1"/>
    <w:rsid w:val="00350152"/>
    <w:rsid w:val="00351C79"/>
    <w:rsid w:val="0035516C"/>
    <w:rsid w:val="00355857"/>
    <w:rsid w:val="00355A4C"/>
    <w:rsid w:val="003604FB"/>
    <w:rsid w:val="00360B73"/>
    <w:rsid w:val="003619FB"/>
    <w:rsid w:val="00366FD2"/>
    <w:rsid w:val="003702DE"/>
    <w:rsid w:val="003744CE"/>
    <w:rsid w:val="00380B71"/>
    <w:rsid w:val="0038365A"/>
    <w:rsid w:val="00386A89"/>
    <w:rsid w:val="00394C5F"/>
    <w:rsid w:val="0039648E"/>
    <w:rsid w:val="003A5AFE"/>
    <w:rsid w:val="003A5D5F"/>
    <w:rsid w:val="003A7032"/>
    <w:rsid w:val="003A7FFE"/>
    <w:rsid w:val="003B0A63"/>
    <w:rsid w:val="003B50E1"/>
    <w:rsid w:val="003C1746"/>
    <w:rsid w:val="003C2AA9"/>
    <w:rsid w:val="003C58BF"/>
    <w:rsid w:val="003D451D"/>
    <w:rsid w:val="003F29C7"/>
    <w:rsid w:val="003F2DD8"/>
    <w:rsid w:val="003F3F2D"/>
    <w:rsid w:val="003F4206"/>
    <w:rsid w:val="003F50B2"/>
    <w:rsid w:val="003F6184"/>
    <w:rsid w:val="00400CCF"/>
    <w:rsid w:val="00401BFF"/>
    <w:rsid w:val="00404424"/>
    <w:rsid w:val="00406E7E"/>
    <w:rsid w:val="0041156B"/>
    <w:rsid w:val="004122C5"/>
    <w:rsid w:val="00413B78"/>
    <w:rsid w:val="00416DDE"/>
    <w:rsid w:val="00420829"/>
    <w:rsid w:val="00423C6A"/>
    <w:rsid w:val="00435AD5"/>
    <w:rsid w:val="0044411E"/>
    <w:rsid w:val="00444C11"/>
    <w:rsid w:val="00444F67"/>
    <w:rsid w:val="00445528"/>
    <w:rsid w:val="00445A3B"/>
    <w:rsid w:val="004527D7"/>
    <w:rsid w:val="00453435"/>
    <w:rsid w:val="00457EFA"/>
    <w:rsid w:val="00460089"/>
    <w:rsid w:val="00466398"/>
    <w:rsid w:val="00470DBC"/>
    <w:rsid w:val="0047306D"/>
    <w:rsid w:val="00473791"/>
    <w:rsid w:val="00476E48"/>
    <w:rsid w:val="00481860"/>
    <w:rsid w:val="00481DE9"/>
    <w:rsid w:val="004858C2"/>
    <w:rsid w:val="0049128B"/>
    <w:rsid w:val="00493863"/>
    <w:rsid w:val="00493B49"/>
    <w:rsid w:val="00495501"/>
    <w:rsid w:val="004964FF"/>
    <w:rsid w:val="004A070A"/>
    <w:rsid w:val="004A0B2F"/>
    <w:rsid w:val="004A18F9"/>
    <w:rsid w:val="004A320E"/>
    <w:rsid w:val="004A4E9C"/>
    <w:rsid w:val="004B0744"/>
    <w:rsid w:val="004B18DD"/>
    <w:rsid w:val="004B1A3C"/>
    <w:rsid w:val="004B2A1E"/>
    <w:rsid w:val="004B349B"/>
    <w:rsid w:val="004B73D1"/>
    <w:rsid w:val="004C7540"/>
    <w:rsid w:val="004D1819"/>
    <w:rsid w:val="004D1E8C"/>
    <w:rsid w:val="004D2CC3"/>
    <w:rsid w:val="004D35CB"/>
    <w:rsid w:val="004D4C9D"/>
    <w:rsid w:val="004D7DAB"/>
    <w:rsid w:val="004E1C86"/>
    <w:rsid w:val="004E20E5"/>
    <w:rsid w:val="004E64EA"/>
    <w:rsid w:val="004E7828"/>
    <w:rsid w:val="004F46AA"/>
    <w:rsid w:val="004F6A70"/>
    <w:rsid w:val="00500AD7"/>
    <w:rsid w:val="00502ABF"/>
    <w:rsid w:val="00504DB0"/>
    <w:rsid w:val="00506542"/>
    <w:rsid w:val="00507C35"/>
    <w:rsid w:val="00507FF4"/>
    <w:rsid w:val="00510735"/>
    <w:rsid w:val="00514775"/>
    <w:rsid w:val="00514D2F"/>
    <w:rsid w:val="0053534F"/>
    <w:rsid w:val="00535FC0"/>
    <w:rsid w:val="00542074"/>
    <w:rsid w:val="0054420E"/>
    <w:rsid w:val="00544D1B"/>
    <w:rsid w:val="00545DC0"/>
    <w:rsid w:val="00545F6C"/>
    <w:rsid w:val="00546A48"/>
    <w:rsid w:val="005477D9"/>
    <w:rsid w:val="00554A70"/>
    <w:rsid w:val="0055720C"/>
    <w:rsid w:val="00561796"/>
    <w:rsid w:val="005632DD"/>
    <w:rsid w:val="0056423B"/>
    <w:rsid w:val="0057271C"/>
    <w:rsid w:val="00573063"/>
    <w:rsid w:val="00573424"/>
    <w:rsid w:val="005735B3"/>
    <w:rsid w:val="0057402F"/>
    <w:rsid w:val="00577CDC"/>
    <w:rsid w:val="00580AF0"/>
    <w:rsid w:val="00581653"/>
    <w:rsid w:val="005849D6"/>
    <w:rsid w:val="00585367"/>
    <w:rsid w:val="00585D92"/>
    <w:rsid w:val="005866E9"/>
    <w:rsid w:val="005871A1"/>
    <w:rsid w:val="0058737E"/>
    <w:rsid w:val="00592518"/>
    <w:rsid w:val="005926CA"/>
    <w:rsid w:val="00592E87"/>
    <w:rsid w:val="0059420B"/>
    <w:rsid w:val="00594C4D"/>
    <w:rsid w:val="005A33B0"/>
    <w:rsid w:val="005B728C"/>
    <w:rsid w:val="005C2DC2"/>
    <w:rsid w:val="005C304A"/>
    <w:rsid w:val="005C3D69"/>
    <w:rsid w:val="005C5A93"/>
    <w:rsid w:val="005C7990"/>
    <w:rsid w:val="005C7C98"/>
    <w:rsid w:val="005D2C3A"/>
    <w:rsid w:val="005D55A4"/>
    <w:rsid w:val="005D57C8"/>
    <w:rsid w:val="005D7761"/>
    <w:rsid w:val="005D7F1C"/>
    <w:rsid w:val="005E0278"/>
    <w:rsid w:val="005E090D"/>
    <w:rsid w:val="005E3CA0"/>
    <w:rsid w:val="005E44B1"/>
    <w:rsid w:val="005E67B0"/>
    <w:rsid w:val="005E7047"/>
    <w:rsid w:val="005E777F"/>
    <w:rsid w:val="005F191A"/>
    <w:rsid w:val="005F1CA7"/>
    <w:rsid w:val="005F41D4"/>
    <w:rsid w:val="005F43DD"/>
    <w:rsid w:val="005F51A9"/>
    <w:rsid w:val="005F6BE1"/>
    <w:rsid w:val="005F7416"/>
    <w:rsid w:val="00600C11"/>
    <w:rsid w:val="0060674C"/>
    <w:rsid w:val="00606B89"/>
    <w:rsid w:val="00611EAF"/>
    <w:rsid w:val="0061493A"/>
    <w:rsid w:val="00623F30"/>
    <w:rsid w:val="00625FB8"/>
    <w:rsid w:val="006261BD"/>
    <w:rsid w:val="00626AE3"/>
    <w:rsid w:val="00631DF8"/>
    <w:rsid w:val="00635EDB"/>
    <w:rsid w:val="0064734E"/>
    <w:rsid w:val="00650137"/>
    <w:rsid w:val="006509D7"/>
    <w:rsid w:val="00651CE8"/>
    <w:rsid w:val="0065521B"/>
    <w:rsid w:val="00661485"/>
    <w:rsid w:val="00666903"/>
    <w:rsid w:val="00671EF6"/>
    <w:rsid w:val="0067205B"/>
    <w:rsid w:val="006746A4"/>
    <w:rsid w:val="006748F8"/>
    <w:rsid w:val="00676960"/>
    <w:rsid w:val="00680489"/>
    <w:rsid w:val="00683C32"/>
    <w:rsid w:val="00684067"/>
    <w:rsid w:val="00686753"/>
    <w:rsid w:val="00690AD1"/>
    <w:rsid w:val="00690BB2"/>
    <w:rsid w:val="00691DEE"/>
    <w:rsid w:val="00693D09"/>
    <w:rsid w:val="006A3368"/>
    <w:rsid w:val="006A3AD7"/>
    <w:rsid w:val="006A6549"/>
    <w:rsid w:val="006A7710"/>
    <w:rsid w:val="006A7A61"/>
    <w:rsid w:val="006B1E59"/>
    <w:rsid w:val="006B2FFB"/>
    <w:rsid w:val="006B33A9"/>
    <w:rsid w:val="006C10A2"/>
    <w:rsid w:val="006C1F18"/>
    <w:rsid w:val="006C3AE6"/>
    <w:rsid w:val="006D40D5"/>
    <w:rsid w:val="006E0385"/>
    <w:rsid w:val="006E0CC0"/>
    <w:rsid w:val="006F009A"/>
    <w:rsid w:val="006F1C9C"/>
    <w:rsid w:val="006F3D93"/>
    <w:rsid w:val="006F7A14"/>
    <w:rsid w:val="0070127C"/>
    <w:rsid w:val="007018B2"/>
    <w:rsid w:val="007019B1"/>
    <w:rsid w:val="00701F06"/>
    <w:rsid w:val="0070754A"/>
    <w:rsid w:val="00712747"/>
    <w:rsid w:val="00721657"/>
    <w:rsid w:val="00722341"/>
    <w:rsid w:val="00725770"/>
    <w:rsid w:val="007279A8"/>
    <w:rsid w:val="00727B1A"/>
    <w:rsid w:val="00735102"/>
    <w:rsid w:val="00741337"/>
    <w:rsid w:val="00752258"/>
    <w:rsid w:val="007529E1"/>
    <w:rsid w:val="00756C26"/>
    <w:rsid w:val="00762880"/>
    <w:rsid w:val="00762AD6"/>
    <w:rsid w:val="00762E02"/>
    <w:rsid w:val="00766DDA"/>
    <w:rsid w:val="00772290"/>
    <w:rsid w:val="00777265"/>
    <w:rsid w:val="007805E7"/>
    <w:rsid w:val="0078222A"/>
    <w:rsid w:val="00787D48"/>
    <w:rsid w:val="00793440"/>
    <w:rsid w:val="00795294"/>
    <w:rsid w:val="007A4E50"/>
    <w:rsid w:val="007B18A7"/>
    <w:rsid w:val="007B250E"/>
    <w:rsid w:val="007B3C92"/>
    <w:rsid w:val="007C27FC"/>
    <w:rsid w:val="007C51FF"/>
    <w:rsid w:val="007D50E4"/>
    <w:rsid w:val="007E0AFE"/>
    <w:rsid w:val="007E2DC5"/>
    <w:rsid w:val="007F01A4"/>
    <w:rsid w:val="007F1CC7"/>
    <w:rsid w:val="007F3BBB"/>
    <w:rsid w:val="008027AC"/>
    <w:rsid w:val="008028CE"/>
    <w:rsid w:val="0080332E"/>
    <w:rsid w:val="00804432"/>
    <w:rsid w:val="008141E0"/>
    <w:rsid w:val="00816EE1"/>
    <w:rsid w:val="00816F88"/>
    <w:rsid w:val="008216D6"/>
    <w:rsid w:val="00821996"/>
    <w:rsid w:val="00822323"/>
    <w:rsid w:val="00827BC6"/>
    <w:rsid w:val="008300AD"/>
    <w:rsid w:val="0083272B"/>
    <w:rsid w:val="00833024"/>
    <w:rsid w:val="00835F22"/>
    <w:rsid w:val="008419B1"/>
    <w:rsid w:val="00844162"/>
    <w:rsid w:val="00844A56"/>
    <w:rsid w:val="00845B11"/>
    <w:rsid w:val="00850CD8"/>
    <w:rsid w:val="00851751"/>
    <w:rsid w:val="00851844"/>
    <w:rsid w:val="00851B8D"/>
    <w:rsid w:val="00852081"/>
    <w:rsid w:val="00864B8A"/>
    <w:rsid w:val="00872B6E"/>
    <w:rsid w:val="0087467A"/>
    <w:rsid w:val="00874DFD"/>
    <w:rsid w:val="008802F9"/>
    <w:rsid w:val="008818DF"/>
    <w:rsid w:val="00883086"/>
    <w:rsid w:val="008879FD"/>
    <w:rsid w:val="00894C37"/>
    <w:rsid w:val="0089620F"/>
    <w:rsid w:val="008A00EA"/>
    <w:rsid w:val="008A069C"/>
    <w:rsid w:val="008A3F93"/>
    <w:rsid w:val="008A6236"/>
    <w:rsid w:val="008A6E1C"/>
    <w:rsid w:val="008A72FD"/>
    <w:rsid w:val="008A76BF"/>
    <w:rsid w:val="008B0442"/>
    <w:rsid w:val="008B0FE9"/>
    <w:rsid w:val="008B2EDF"/>
    <w:rsid w:val="008B3128"/>
    <w:rsid w:val="008B47C7"/>
    <w:rsid w:val="008B54CB"/>
    <w:rsid w:val="008B5A3D"/>
    <w:rsid w:val="008B5FC6"/>
    <w:rsid w:val="008C4010"/>
    <w:rsid w:val="008C4FDF"/>
    <w:rsid w:val="008C5F4E"/>
    <w:rsid w:val="008C6B1F"/>
    <w:rsid w:val="008D1FC2"/>
    <w:rsid w:val="008D2327"/>
    <w:rsid w:val="008D3153"/>
    <w:rsid w:val="008D5E4F"/>
    <w:rsid w:val="008E34F0"/>
    <w:rsid w:val="008E69D6"/>
    <w:rsid w:val="008F14F5"/>
    <w:rsid w:val="008F1819"/>
    <w:rsid w:val="008F31F2"/>
    <w:rsid w:val="008F4DC8"/>
    <w:rsid w:val="008F71C1"/>
    <w:rsid w:val="00900616"/>
    <w:rsid w:val="00902D41"/>
    <w:rsid w:val="00902F49"/>
    <w:rsid w:val="00904230"/>
    <w:rsid w:val="00906CDF"/>
    <w:rsid w:val="00914004"/>
    <w:rsid w:val="0091415B"/>
    <w:rsid w:val="00915BF5"/>
    <w:rsid w:val="00921571"/>
    <w:rsid w:val="00922EC1"/>
    <w:rsid w:val="00923CF1"/>
    <w:rsid w:val="009301F1"/>
    <w:rsid w:val="009307DF"/>
    <w:rsid w:val="0093214B"/>
    <w:rsid w:val="009359B8"/>
    <w:rsid w:val="00935FF0"/>
    <w:rsid w:val="009431F8"/>
    <w:rsid w:val="00947A35"/>
    <w:rsid w:val="00953FB8"/>
    <w:rsid w:val="0096201B"/>
    <w:rsid w:val="00962081"/>
    <w:rsid w:val="00962A5E"/>
    <w:rsid w:val="00966CB5"/>
    <w:rsid w:val="00975786"/>
    <w:rsid w:val="00981CB7"/>
    <w:rsid w:val="00983E1F"/>
    <w:rsid w:val="00993F46"/>
    <w:rsid w:val="00997358"/>
    <w:rsid w:val="009A3B52"/>
    <w:rsid w:val="009A452B"/>
    <w:rsid w:val="009B0491"/>
    <w:rsid w:val="009B050C"/>
    <w:rsid w:val="009B087F"/>
    <w:rsid w:val="009B2AF4"/>
    <w:rsid w:val="009B2DB9"/>
    <w:rsid w:val="009B7B36"/>
    <w:rsid w:val="009C110B"/>
    <w:rsid w:val="009C5441"/>
    <w:rsid w:val="009D119F"/>
    <w:rsid w:val="009D49A2"/>
    <w:rsid w:val="009D5DD1"/>
    <w:rsid w:val="009D62DC"/>
    <w:rsid w:val="009E2093"/>
    <w:rsid w:val="009F3940"/>
    <w:rsid w:val="009F3EB2"/>
    <w:rsid w:val="009F6EB1"/>
    <w:rsid w:val="00A049C2"/>
    <w:rsid w:val="00A11D05"/>
    <w:rsid w:val="00A12F6B"/>
    <w:rsid w:val="00A13162"/>
    <w:rsid w:val="00A142BD"/>
    <w:rsid w:val="00A20267"/>
    <w:rsid w:val="00A304F5"/>
    <w:rsid w:val="00A3158C"/>
    <w:rsid w:val="00A32DF3"/>
    <w:rsid w:val="00A33523"/>
    <w:rsid w:val="00A33E32"/>
    <w:rsid w:val="00A35E20"/>
    <w:rsid w:val="00A36F6D"/>
    <w:rsid w:val="00A4206C"/>
    <w:rsid w:val="00A50CA0"/>
    <w:rsid w:val="00A525CC"/>
    <w:rsid w:val="00A53E7C"/>
    <w:rsid w:val="00A5732D"/>
    <w:rsid w:val="00A60087"/>
    <w:rsid w:val="00A642FC"/>
    <w:rsid w:val="00A705E8"/>
    <w:rsid w:val="00A721F4"/>
    <w:rsid w:val="00A73C60"/>
    <w:rsid w:val="00A76372"/>
    <w:rsid w:val="00A8023D"/>
    <w:rsid w:val="00A86BC4"/>
    <w:rsid w:val="00A9392C"/>
    <w:rsid w:val="00A9462B"/>
    <w:rsid w:val="00A97B83"/>
    <w:rsid w:val="00A97D59"/>
    <w:rsid w:val="00AA0EFF"/>
    <w:rsid w:val="00AA3176"/>
    <w:rsid w:val="00AA3E09"/>
    <w:rsid w:val="00AA4BEF"/>
    <w:rsid w:val="00AA767E"/>
    <w:rsid w:val="00AA7ED8"/>
    <w:rsid w:val="00AB1659"/>
    <w:rsid w:val="00AB4962"/>
    <w:rsid w:val="00AB734E"/>
    <w:rsid w:val="00AB740F"/>
    <w:rsid w:val="00AC1A40"/>
    <w:rsid w:val="00AC1C92"/>
    <w:rsid w:val="00AC6F14"/>
    <w:rsid w:val="00AC70CB"/>
    <w:rsid w:val="00AC7221"/>
    <w:rsid w:val="00AD4677"/>
    <w:rsid w:val="00AD50C8"/>
    <w:rsid w:val="00AE26A4"/>
    <w:rsid w:val="00AE5961"/>
    <w:rsid w:val="00AE5CA6"/>
    <w:rsid w:val="00AF0745"/>
    <w:rsid w:val="00AF086F"/>
    <w:rsid w:val="00AF0D52"/>
    <w:rsid w:val="00AF4971"/>
    <w:rsid w:val="00AF5276"/>
    <w:rsid w:val="00AF7C86"/>
    <w:rsid w:val="00B01046"/>
    <w:rsid w:val="00B0197E"/>
    <w:rsid w:val="00B04CAC"/>
    <w:rsid w:val="00B04DF7"/>
    <w:rsid w:val="00B07030"/>
    <w:rsid w:val="00B11EC6"/>
    <w:rsid w:val="00B16C13"/>
    <w:rsid w:val="00B310F9"/>
    <w:rsid w:val="00B3729B"/>
    <w:rsid w:val="00B37866"/>
    <w:rsid w:val="00B412FB"/>
    <w:rsid w:val="00B44299"/>
    <w:rsid w:val="00B4576B"/>
    <w:rsid w:val="00B46350"/>
    <w:rsid w:val="00B46DF3"/>
    <w:rsid w:val="00B51B77"/>
    <w:rsid w:val="00B54C21"/>
    <w:rsid w:val="00B648C7"/>
    <w:rsid w:val="00B64C08"/>
    <w:rsid w:val="00B652AE"/>
    <w:rsid w:val="00B66E8F"/>
    <w:rsid w:val="00B72F56"/>
    <w:rsid w:val="00B765BB"/>
    <w:rsid w:val="00B80157"/>
    <w:rsid w:val="00B83D5E"/>
    <w:rsid w:val="00B8460A"/>
    <w:rsid w:val="00B8650D"/>
    <w:rsid w:val="00B879B4"/>
    <w:rsid w:val="00B90F07"/>
    <w:rsid w:val="00B92038"/>
    <w:rsid w:val="00B93A0C"/>
    <w:rsid w:val="00B97BB9"/>
    <w:rsid w:val="00BA0009"/>
    <w:rsid w:val="00BA24E7"/>
    <w:rsid w:val="00BA33F6"/>
    <w:rsid w:val="00BB02B5"/>
    <w:rsid w:val="00BB1863"/>
    <w:rsid w:val="00BB25EE"/>
    <w:rsid w:val="00BB363A"/>
    <w:rsid w:val="00BB6298"/>
    <w:rsid w:val="00BC10A0"/>
    <w:rsid w:val="00BC3009"/>
    <w:rsid w:val="00BC3EC8"/>
    <w:rsid w:val="00BC7BA2"/>
    <w:rsid w:val="00BD0F1A"/>
    <w:rsid w:val="00BD2364"/>
    <w:rsid w:val="00BD2624"/>
    <w:rsid w:val="00BD426B"/>
    <w:rsid w:val="00BD6AF0"/>
    <w:rsid w:val="00BD79F0"/>
    <w:rsid w:val="00BE2B4D"/>
    <w:rsid w:val="00BE7696"/>
    <w:rsid w:val="00BF6250"/>
    <w:rsid w:val="00C015F8"/>
    <w:rsid w:val="00C02C2A"/>
    <w:rsid w:val="00C07E26"/>
    <w:rsid w:val="00C1011C"/>
    <w:rsid w:val="00C12F94"/>
    <w:rsid w:val="00C17774"/>
    <w:rsid w:val="00C177C5"/>
    <w:rsid w:val="00C34EC3"/>
    <w:rsid w:val="00C4038C"/>
    <w:rsid w:val="00C40BEA"/>
    <w:rsid w:val="00C42BA2"/>
    <w:rsid w:val="00C44066"/>
    <w:rsid w:val="00C44E13"/>
    <w:rsid w:val="00C51920"/>
    <w:rsid w:val="00C60A41"/>
    <w:rsid w:val="00C62DE8"/>
    <w:rsid w:val="00C62DFB"/>
    <w:rsid w:val="00C630E6"/>
    <w:rsid w:val="00C63812"/>
    <w:rsid w:val="00C64AF3"/>
    <w:rsid w:val="00C66927"/>
    <w:rsid w:val="00C66F4D"/>
    <w:rsid w:val="00C67BB5"/>
    <w:rsid w:val="00C72713"/>
    <w:rsid w:val="00C76517"/>
    <w:rsid w:val="00C848EF"/>
    <w:rsid w:val="00C86600"/>
    <w:rsid w:val="00C87BCA"/>
    <w:rsid w:val="00C87EED"/>
    <w:rsid w:val="00C94506"/>
    <w:rsid w:val="00C954BC"/>
    <w:rsid w:val="00C97990"/>
    <w:rsid w:val="00CA1F0B"/>
    <w:rsid w:val="00CB110F"/>
    <w:rsid w:val="00CB2A2E"/>
    <w:rsid w:val="00CB338A"/>
    <w:rsid w:val="00CB79C5"/>
    <w:rsid w:val="00CC411F"/>
    <w:rsid w:val="00CC4B75"/>
    <w:rsid w:val="00CC730B"/>
    <w:rsid w:val="00CC732E"/>
    <w:rsid w:val="00CD2FCD"/>
    <w:rsid w:val="00CD47B1"/>
    <w:rsid w:val="00CD68F3"/>
    <w:rsid w:val="00CD7207"/>
    <w:rsid w:val="00CE0422"/>
    <w:rsid w:val="00CE0B06"/>
    <w:rsid w:val="00CE0DBE"/>
    <w:rsid w:val="00CE5E4D"/>
    <w:rsid w:val="00CE7E9C"/>
    <w:rsid w:val="00CF02C4"/>
    <w:rsid w:val="00CF167F"/>
    <w:rsid w:val="00CF2543"/>
    <w:rsid w:val="00CF29F8"/>
    <w:rsid w:val="00CF72E5"/>
    <w:rsid w:val="00D013EE"/>
    <w:rsid w:val="00D01F54"/>
    <w:rsid w:val="00D040F7"/>
    <w:rsid w:val="00D04A76"/>
    <w:rsid w:val="00D10FC7"/>
    <w:rsid w:val="00D11BE2"/>
    <w:rsid w:val="00D1519F"/>
    <w:rsid w:val="00D173C8"/>
    <w:rsid w:val="00D20E99"/>
    <w:rsid w:val="00D21C83"/>
    <w:rsid w:val="00D3312F"/>
    <w:rsid w:val="00D35BDD"/>
    <w:rsid w:val="00D52A52"/>
    <w:rsid w:val="00D62EFD"/>
    <w:rsid w:val="00D63006"/>
    <w:rsid w:val="00D664B1"/>
    <w:rsid w:val="00D72301"/>
    <w:rsid w:val="00D73F4B"/>
    <w:rsid w:val="00D82270"/>
    <w:rsid w:val="00D82F35"/>
    <w:rsid w:val="00D85276"/>
    <w:rsid w:val="00D90A1B"/>
    <w:rsid w:val="00D911DE"/>
    <w:rsid w:val="00D91B97"/>
    <w:rsid w:val="00D93034"/>
    <w:rsid w:val="00D93ACC"/>
    <w:rsid w:val="00D93C08"/>
    <w:rsid w:val="00D95DAC"/>
    <w:rsid w:val="00DA0B53"/>
    <w:rsid w:val="00DA42DF"/>
    <w:rsid w:val="00DB1171"/>
    <w:rsid w:val="00DB1519"/>
    <w:rsid w:val="00DB2840"/>
    <w:rsid w:val="00DB5FC0"/>
    <w:rsid w:val="00DB6B0F"/>
    <w:rsid w:val="00DC1BD3"/>
    <w:rsid w:val="00DC20D1"/>
    <w:rsid w:val="00DC2C1A"/>
    <w:rsid w:val="00DD66B4"/>
    <w:rsid w:val="00DE0328"/>
    <w:rsid w:val="00DE1972"/>
    <w:rsid w:val="00DE27AB"/>
    <w:rsid w:val="00DE55E0"/>
    <w:rsid w:val="00DE60FC"/>
    <w:rsid w:val="00DF0592"/>
    <w:rsid w:val="00DF18F2"/>
    <w:rsid w:val="00DF2AB3"/>
    <w:rsid w:val="00DF406E"/>
    <w:rsid w:val="00DF5F10"/>
    <w:rsid w:val="00DF7250"/>
    <w:rsid w:val="00E00CAA"/>
    <w:rsid w:val="00E03EBF"/>
    <w:rsid w:val="00E05209"/>
    <w:rsid w:val="00E05AC1"/>
    <w:rsid w:val="00E07CA8"/>
    <w:rsid w:val="00E11BCF"/>
    <w:rsid w:val="00E14B10"/>
    <w:rsid w:val="00E2258E"/>
    <w:rsid w:val="00E260C2"/>
    <w:rsid w:val="00E32596"/>
    <w:rsid w:val="00E35897"/>
    <w:rsid w:val="00E368F7"/>
    <w:rsid w:val="00E36EB8"/>
    <w:rsid w:val="00E37FB8"/>
    <w:rsid w:val="00E40B07"/>
    <w:rsid w:val="00E418C8"/>
    <w:rsid w:val="00E42326"/>
    <w:rsid w:val="00E43544"/>
    <w:rsid w:val="00E44D89"/>
    <w:rsid w:val="00E477EA"/>
    <w:rsid w:val="00E50697"/>
    <w:rsid w:val="00E55807"/>
    <w:rsid w:val="00E57792"/>
    <w:rsid w:val="00E63326"/>
    <w:rsid w:val="00E63B14"/>
    <w:rsid w:val="00E65CA0"/>
    <w:rsid w:val="00E70D05"/>
    <w:rsid w:val="00E70D9F"/>
    <w:rsid w:val="00E74533"/>
    <w:rsid w:val="00E82BE0"/>
    <w:rsid w:val="00E83810"/>
    <w:rsid w:val="00E86933"/>
    <w:rsid w:val="00E9605B"/>
    <w:rsid w:val="00E97298"/>
    <w:rsid w:val="00E97753"/>
    <w:rsid w:val="00EA0C51"/>
    <w:rsid w:val="00EA0FA3"/>
    <w:rsid w:val="00EA44C9"/>
    <w:rsid w:val="00EA784E"/>
    <w:rsid w:val="00EA7DE7"/>
    <w:rsid w:val="00EB5445"/>
    <w:rsid w:val="00EB7A8A"/>
    <w:rsid w:val="00EB7F4B"/>
    <w:rsid w:val="00EC23F1"/>
    <w:rsid w:val="00EC6FED"/>
    <w:rsid w:val="00EC7F3B"/>
    <w:rsid w:val="00ED4D9F"/>
    <w:rsid w:val="00ED5299"/>
    <w:rsid w:val="00ED5F33"/>
    <w:rsid w:val="00ED5FD6"/>
    <w:rsid w:val="00EE1CF6"/>
    <w:rsid w:val="00EE3A64"/>
    <w:rsid w:val="00EE50E5"/>
    <w:rsid w:val="00EE60F5"/>
    <w:rsid w:val="00EF01CF"/>
    <w:rsid w:val="00EF2157"/>
    <w:rsid w:val="00EF3F57"/>
    <w:rsid w:val="00EF71A2"/>
    <w:rsid w:val="00F02980"/>
    <w:rsid w:val="00F03590"/>
    <w:rsid w:val="00F03622"/>
    <w:rsid w:val="00F077FD"/>
    <w:rsid w:val="00F1639B"/>
    <w:rsid w:val="00F204F3"/>
    <w:rsid w:val="00F218AB"/>
    <w:rsid w:val="00F22CA0"/>
    <w:rsid w:val="00F238B3"/>
    <w:rsid w:val="00F24FED"/>
    <w:rsid w:val="00F25586"/>
    <w:rsid w:val="00F2651D"/>
    <w:rsid w:val="00F27362"/>
    <w:rsid w:val="00F31498"/>
    <w:rsid w:val="00F32FEF"/>
    <w:rsid w:val="00F33385"/>
    <w:rsid w:val="00F40888"/>
    <w:rsid w:val="00F41B1C"/>
    <w:rsid w:val="00F42E13"/>
    <w:rsid w:val="00F42F1C"/>
    <w:rsid w:val="00F43B44"/>
    <w:rsid w:val="00F440E5"/>
    <w:rsid w:val="00F448F6"/>
    <w:rsid w:val="00F52741"/>
    <w:rsid w:val="00F53D8A"/>
    <w:rsid w:val="00F5579A"/>
    <w:rsid w:val="00F626F7"/>
    <w:rsid w:val="00F71FF3"/>
    <w:rsid w:val="00F736F9"/>
    <w:rsid w:val="00F73833"/>
    <w:rsid w:val="00F91A7A"/>
    <w:rsid w:val="00F9211C"/>
    <w:rsid w:val="00FA095D"/>
    <w:rsid w:val="00FA1B58"/>
    <w:rsid w:val="00FA5EF6"/>
    <w:rsid w:val="00FA6C8B"/>
    <w:rsid w:val="00FA6CDA"/>
    <w:rsid w:val="00FA7527"/>
    <w:rsid w:val="00FA7C89"/>
    <w:rsid w:val="00FB1D7B"/>
    <w:rsid w:val="00FB4139"/>
    <w:rsid w:val="00FB476E"/>
    <w:rsid w:val="00FC0D90"/>
    <w:rsid w:val="00FC2EAA"/>
    <w:rsid w:val="00FC751F"/>
    <w:rsid w:val="00FC7D8C"/>
    <w:rsid w:val="00FD0E89"/>
    <w:rsid w:val="00FD0EDF"/>
    <w:rsid w:val="00FD3980"/>
    <w:rsid w:val="00FD431E"/>
    <w:rsid w:val="00FD50CA"/>
    <w:rsid w:val="00FD5A2C"/>
    <w:rsid w:val="00FD7779"/>
    <w:rsid w:val="00FE041C"/>
    <w:rsid w:val="00FE0D47"/>
    <w:rsid w:val="00FE1D5C"/>
    <w:rsid w:val="00FE2F8B"/>
    <w:rsid w:val="00FE3669"/>
    <w:rsid w:val="00FE4113"/>
    <w:rsid w:val="00FE5204"/>
    <w:rsid w:val="00FF287F"/>
    <w:rsid w:val="00FF7324"/>
    <w:rsid w:val="00FF74A8"/>
    <w:rsid w:val="49756CB7"/>
    <w:rsid w:val="4B489D71"/>
    <w:rsid w:val="728F0116"/>
    <w:rsid w:val="7EC02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27F52B9-2DB3-43AE-A800-E7AD856D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A3AD7"/>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915BF5"/>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15BF5"/>
    <w:rPr>
      <w:rFonts w:asciiTheme="minorHAnsi" w:hAnsiTheme="minorHAnsi"/>
      <w:sz w:val="24"/>
      <w:lang w:val="en-GB" w:eastAsia="en-US"/>
    </w:rPr>
  </w:style>
  <w:style w:type="character" w:customStyle="1" w:styleId="Heading2Char">
    <w:name w:val="Heading 2 Char"/>
    <w:basedOn w:val="DefaultParagraphFont"/>
    <w:link w:val="Heading2"/>
    <w:rsid w:val="00915BF5"/>
    <w:rPr>
      <w:rFonts w:asciiTheme="minorHAnsi" w:hAnsiTheme="minorHAnsi"/>
      <w:b/>
      <w:sz w:val="24"/>
      <w:lang w:val="en-GB" w:eastAsia="en-US"/>
    </w:rPr>
  </w:style>
  <w:style w:type="character" w:styleId="CommentReference">
    <w:name w:val="annotation reference"/>
    <w:basedOn w:val="DefaultParagraphFont"/>
    <w:semiHidden/>
    <w:unhideWhenUsed/>
    <w:rsid w:val="00953FB8"/>
    <w:rPr>
      <w:sz w:val="16"/>
      <w:szCs w:val="16"/>
    </w:rPr>
  </w:style>
  <w:style w:type="paragraph" w:styleId="CommentText">
    <w:name w:val="annotation text"/>
    <w:basedOn w:val="Normal"/>
    <w:link w:val="CommentTextChar"/>
    <w:unhideWhenUsed/>
    <w:rsid w:val="00953FB8"/>
    <w:rPr>
      <w:sz w:val="20"/>
    </w:rPr>
  </w:style>
  <w:style w:type="character" w:customStyle="1" w:styleId="CommentTextChar">
    <w:name w:val="Comment Text Char"/>
    <w:basedOn w:val="DefaultParagraphFont"/>
    <w:link w:val="CommentText"/>
    <w:rsid w:val="00953F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53FB8"/>
    <w:rPr>
      <w:b/>
      <w:bCs/>
    </w:rPr>
  </w:style>
  <w:style w:type="character" w:customStyle="1" w:styleId="CommentSubjectChar">
    <w:name w:val="Comment Subject Char"/>
    <w:basedOn w:val="CommentTextChar"/>
    <w:link w:val="CommentSubject"/>
    <w:semiHidden/>
    <w:rsid w:val="00953FB8"/>
    <w:rPr>
      <w:rFonts w:asciiTheme="minorHAnsi" w:hAnsiTheme="minorHAnsi"/>
      <w:b/>
      <w:bCs/>
      <w:lang w:val="en-GB" w:eastAsia="en-US"/>
    </w:rPr>
  </w:style>
  <w:style w:type="paragraph" w:styleId="Revision">
    <w:name w:val="Revision"/>
    <w:hidden/>
    <w:uiPriority w:val="99"/>
    <w:semiHidden/>
    <w:rsid w:val="00FE41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6F364-38CD-4FD9-81C8-08B226526F13}">
  <ds:schemaRefs>
    <ds:schemaRef ds:uri="http://schemas.openxmlformats.org/officeDocument/2006/bibliography"/>
  </ds:schemaRefs>
</ds:datastoreItem>
</file>

<file path=customXml/itemProps2.xml><?xml version="1.0" encoding="utf-8"?>
<ds:datastoreItem xmlns:ds="http://schemas.openxmlformats.org/officeDocument/2006/customXml" ds:itemID="{02A232CF-51B1-4530-8D80-C58D08140BBE}">
  <ds:schemaRefs>
    <ds:schemaRef ds:uri="http://schemas.microsoft.com/sharepoint/v3/contenttype/forms"/>
  </ds:schemaRefs>
</ds:datastoreItem>
</file>

<file path=customXml/itemProps3.xml><?xml version="1.0" encoding="utf-8"?>
<ds:datastoreItem xmlns:ds="http://schemas.openxmlformats.org/officeDocument/2006/customXml" ds:itemID="{E4D487F4-BEB8-42B2-AA71-EA89B47CCB63}">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B2A49810-F00B-4633-B378-FFAF1A61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2981</Words>
  <Characters>1019</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Chinese</cp:lastModifiedBy>
  <cp:revision>4</cp:revision>
  <cp:lastPrinted>2014-11-04T09:22:00Z</cp:lastPrinted>
  <dcterms:created xsi:type="dcterms:W3CDTF">2024-05-06T08:07:00Z</dcterms:created>
  <dcterms:modified xsi:type="dcterms:W3CDTF">2024-05-06T09:49:00Z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