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D25B8" w14:paraId="3F0E9EC4" w14:textId="77777777" w:rsidTr="00952667">
        <w:trPr>
          <w:cantSplit/>
          <w:trHeight w:val="1134"/>
        </w:trPr>
        <w:tc>
          <w:tcPr>
            <w:tcW w:w="6379" w:type="dxa"/>
          </w:tcPr>
          <w:p w14:paraId="68FE8375" w14:textId="60D4E501" w:rsidR="00307769" w:rsidRPr="00BD25B8" w:rsidRDefault="001011EB" w:rsidP="00307769">
            <w:pPr>
              <w:tabs>
                <w:tab w:val="clear" w:pos="1191"/>
                <w:tab w:val="clear" w:pos="1588"/>
                <w:tab w:val="clear" w:pos="1985"/>
              </w:tabs>
              <w:ind w:left="34"/>
              <w:rPr>
                <w:b/>
                <w:bCs/>
                <w:sz w:val="32"/>
                <w:szCs w:val="32"/>
                <w:lang w:val="fr-FR"/>
              </w:rPr>
            </w:pPr>
            <w:r w:rsidRPr="00BD25B8">
              <w:rPr>
                <w:b/>
                <w:bCs/>
                <w:sz w:val="32"/>
                <w:szCs w:val="32"/>
                <w:lang w:val="fr-FR"/>
              </w:rPr>
              <w:t xml:space="preserve">Groupe consultatif pour le développement </w:t>
            </w:r>
            <w:r w:rsidR="00307769" w:rsidRPr="00BD25B8">
              <w:rPr>
                <w:b/>
                <w:bCs/>
                <w:sz w:val="32"/>
                <w:szCs w:val="32"/>
                <w:lang w:val="fr-FR"/>
              </w:rPr>
              <w:br/>
            </w:r>
            <w:r w:rsidRPr="00BD25B8">
              <w:rPr>
                <w:b/>
                <w:bCs/>
                <w:sz w:val="32"/>
                <w:szCs w:val="32"/>
                <w:lang w:val="fr-FR"/>
              </w:rPr>
              <w:t>des télécommunications (GCDT</w:t>
            </w:r>
            <w:r w:rsidR="00307769" w:rsidRPr="00BD25B8">
              <w:rPr>
                <w:b/>
                <w:bCs/>
                <w:sz w:val="32"/>
                <w:szCs w:val="32"/>
                <w:lang w:val="fr-FR"/>
              </w:rPr>
              <w:t>)</w:t>
            </w:r>
          </w:p>
          <w:p w14:paraId="5F5F590A" w14:textId="114AEE46" w:rsidR="00307769" w:rsidRPr="00BD25B8" w:rsidRDefault="00307769" w:rsidP="001011EB">
            <w:pPr>
              <w:tabs>
                <w:tab w:val="clear" w:pos="1191"/>
                <w:tab w:val="clear" w:pos="1588"/>
                <w:tab w:val="clear" w:pos="1985"/>
              </w:tabs>
              <w:spacing w:after="120"/>
              <w:ind w:left="34"/>
              <w:rPr>
                <w:rFonts w:ascii="Verdana" w:hAnsi="Verdana"/>
                <w:sz w:val="28"/>
                <w:szCs w:val="28"/>
                <w:lang w:val="fr-FR"/>
              </w:rPr>
            </w:pPr>
            <w:r w:rsidRPr="00BD25B8">
              <w:rPr>
                <w:b/>
                <w:bCs/>
                <w:sz w:val="26"/>
                <w:szCs w:val="26"/>
                <w:lang w:val="fr-FR"/>
              </w:rPr>
              <w:t>3</w:t>
            </w:r>
            <w:r w:rsidR="00873313" w:rsidRPr="00BD25B8">
              <w:rPr>
                <w:b/>
                <w:bCs/>
                <w:sz w:val="26"/>
                <w:szCs w:val="26"/>
                <w:lang w:val="fr-FR"/>
              </w:rPr>
              <w:t>1</w:t>
            </w:r>
            <w:r w:rsidR="001011EB" w:rsidRPr="00BD25B8">
              <w:rPr>
                <w:b/>
                <w:bCs/>
                <w:sz w:val="26"/>
                <w:szCs w:val="26"/>
                <w:lang w:val="fr-FR"/>
              </w:rPr>
              <w:t>ème réunion</w:t>
            </w:r>
            <w:r w:rsidRPr="00BD25B8">
              <w:rPr>
                <w:b/>
                <w:bCs/>
                <w:sz w:val="26"/>
                <w:szCs w:val="26"/>
                <w:lang w:val="fr-FR"/>
              </w:rPr>
              <w:t xml:space="preserve">, </w:t>
            </w:r>
            <w:r w:rsidR="001011EB" w:rsidRPr="00BD25B8">
              <w:rPr>
                <w:b/>
                <w:bCs/>
                <w:sz w:val="26"/>
                <w:szCs w:val="26"/>
                <w:lang w:val="fr-FR"/>
              </w:rPr>
              <w:t>Genève</w:t>
            </w:r>
            <w:r w:rsidR="00D47E23" w:rsidRPr="00BD25B8">
              <w:rPr>
                <w:b/>
                <w:bCs/>
                <w:sz w:val="26"/>
                <w:szCs w:val="26"/>
                <w:lang w:val="fr-FR"/>
              </w:rPr>
              <w:t xml:space="preserve">, </w:t>
            </w:r>
            <w:r w:rsidR="001011EB" w:rsidRPr="00BD25B8">
              <w:rPr>
                <w:b/>
                <w:bCs/>
                <w:sz w:val="26"/>
                <w:szCs w:val="26"/>
                <w:lang w:val="fr-FR"/>
              </w:rPr>
              <w:t>Suisse</w:t>
            </w:r>
            <w:r w:rsidRPr="00BD25B8">
              <w:rPr>
                <w:b/>
                <w:bCs/>
                <w:sz w:val="26"/>
                <w:szCs w:val="26"/>
                <w:lang w:val="fr-FR"/>
              </w:rPr>
              <w:t xml:space="preserve">, </w:t>
            </w:r>
            <w:r w:rsidR="00873313" w:rsidRPr="00BD25B8">
              <w:rPr>
                <w:b/>
                <w:bCs/>
                <w:sz w:val="26"/>
                <w:szCs w:val="26"/>
                <w:lang w:val="fr-FR"/>
              </w:rPr>
              <w:t>20</w:t>
            </w:r>
            <w:r w:rsidRPr="00BD25B8">
              <w:rPr>
                <w:b/>
                <w:bCs/>
                <w:sz w:val="26"/>
                <w:szCs w:val="26"/>
                <w:lang w:val="fr-FR"/>
              </w:rPr>
              <w:t>-</w:t>
            </w:r>
            <w:r w:rsidR="00873313" w:rsidRPr="00BD25B8">
              <w:rPr>
                <w:b/>
                <w:bCs/>
                <w:sz w:val="26"/>
                <w:szCs w:val="26"/>
                <w:lang w:val="fr-FR"/>
              </w:rPr>
              <w:t>2</w:t>
            </w:r>
            <w:r w:rsidR="00930514" w:rsidRPr="00BD25B8">
              <w:rPr>
                <w:b/>
                <w:bCs/>
                <w:sz w:val="26"/>
                <w:szCs w:val="26"/>
                <w:lang w:val="fr-FR"/>
              </w:rPr>
              <w:t>3</w:t>
            </w:r>
            <w:r w:rsidR="00873313" w:rsidRPr="00BD25B8">
              <w:rPr>
                <w:b/>
                <w:bCs/>
                <w:sz w:val="26"/>
                <w:szCs w:val="26"/>
                <w:lang w:val="fr-FR"/>
              </w:rPr>
              <w:t xml:space="preserve"> mai</w:t>
            </w:r>
            <w:r w:rsidRPr="00BD25B8">
              <w:rPr>
                <w:b/>
                <w:bCs/>
                <w:sz w:val="26"/>
                <w:szCs w:val="26"/>
                <w:lang w:val="fr-FR"/>
              </w:rPr>
              <w:t xml:space="preserve"> 202</w:t>
            </w:r>
            <w:r w:rsidR="00873313" w:rsidRPr="00BD25B8">
              <w:rPr>
                <w:b/>
                <w:bCs/>
                <w:sz w:val="26"/>
                <w:szCs w:val="26"/>
                <w:lang w:val="fr-FR"/>
              </w:rPr>
              <w:t>4</w:t>
            </w:r>
          </w:p>
        </w:tc>
        <w:tc>
          <w:tcPr>
            <w:tcW w:w="3509" w:type="dxa"/>
          </w:tcPr>
          <w:p w14:paraId="67E7B4C4" w14:textId="0F52E4CC" w:rsidR="00307769" w:rsidRPr="00BD25B8" w:rsidRDefault="00307769" w:rsidP="00952667">
            <w:pPr>
              <w:spacing w:after="120"/>
              <w:ind w:right="142"/>
              <w:jc w:val="right"/>
              <w:rPr>
                <w:lang w:val="fr-FR"/>
              </w:rPr>
            </w:pPr>
            <w:r w:rsidRPr="00BD25B8">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D25B8" w14:paraId="3C13197B" w14:textId="77777777" w:rsidTr="0009076F">
        <w:trPr>
          <w:cantSplit/>
        </w:trPr>
        <w:tc>
          <w:tcPr>
            <w:tcW w:w="6379" w:type="dxa"/>
            <w:tcBorders>
              <w:top w:val="single" w:sz="12" w:space="0" w:color="auto"/>
            </w:tcBorders>
          </w:tcPr>
          <w:p w14:paraId="2EED9DB2" w14:textId="77777777" w:rsidR="00683C32" w:rsidRPr="00BD25B8"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BD25B8" w:rsidRDefault="00683C32" w:rsidP="00107E85">
            <w:pPr>
              <w:spacing w:before="0"/>
              <w:rPr>
                <w:b/>
                <w:bCs/>
                <w:sz w:val="20"/>
                <w:lang w:val="fr-FR"/>
              </w:rPr>
            </w:pPr>
          </w:p>
        </w:tc>
      </w:tr>
      <w:tr w:rsidR="00683C32" w:rsidRPr="00BD25B8" w14:paraId="0BB3FBC4" w14:textId="77777777" w:rsidTr="0009076F">
        <w:trPr>
          <w:cantSplit/>
        </w:trPr>
        <w:tc>
          <w:tcPr>
            <w:tcW w:w="6379" w:type="dxa"/>
          </w:tcPr>
          <w:p w14:paraId="43C54B3D" w14:textId="77777777" w:rsidR="00683C32" w:rsidRPr="00BD25B8" w:rsidRDefault="00683C32" w:rsidP="00400CCF">
            <w:pPr>
              <w:pStyle w:val="Committee"/>
              <w:spacing w:before="0"/>
              <w:rPr>
                <w:b w:val="0"/>
                <w:szCs w:val="24"/>
                <w:lang w:val="fr-FR"/>
              </w:rPr>
            </w:pPr>
          </w:p>
        </w:tc>
        <w:tc>
          <w:tcPr>
            <w:tcW w:w="3509" w:type="dxa"/>
          </w:tcPr>
          <w:p w14:paraId="02E44EE9" w14:textId="0420E9C2" w:rsidR="00683C32" w:rsidRPr="00BD25B8" w:rsidRDefault="0096201B" w:rsidP="00E25345">
            <w:pPr>
              <w:spacing w:before="0"/>
              <w:jc w:val="both"/>
              <w:rPr>
                <w:bCs/>
                <w:szCs w:val="24"/>
                <w:lang w:val="fr-FR"/>
              </w:rPr>
            </w:pPr>
            <w:r w:rsidRPr="00BD25B8">
              <w:rPr>
                <w:b/>
                <w:bCs/>
                <w:lang w:val="fr-FR"/>
              </w:rPr>
              <w:t xml:space="preserve">Document </w:t>
            </w:r>
            <w:bookmarkStart w:id="0" w:name="DocRef1"/>
            <w:bookmarkEnd w:id="0"/>
            <w:r w:rsidRPr="00BD25B8">
              <w:rPr>
                <w:b/>
                <w:bCs/>
                <w:lang w:val="fr-FR"/>
              </w:rPr>
              <w:t>TDAG</w:t>
            </w:r>
            <w:r w:rsidR="003242AB" w:rsidRPr="00BD25B8">
              <w:rPr>
                <w:b/>
                <w:bCs/>
                <w:lang w:val="fr-FR"/>
              </w:rPr>
              <w:t>-</w:t>
            </w:r>
            <w:r w:rsidR="00B648C7" w:rsidRPr="00BD25B8">
              <w:rPr>
                <w:b/>
                <w:bCs/>
                <w:lang w:val="fr-FR"/>
              </w:rPr>
              <w:t>2</w:t>
            </w:r>
            <w:bookmarkStart w:id="1" w:name="DocNo1"/>
            <w:bookmarkEnd w:id="1"/>
            <w:r w:rsidR="00873313" w:rsidRPr="00BD25B8">
              <w:rPr>
                <w:b/>
                <w:bCs/>
                <w:lang w:val="fr-FR"/>
              </w:rPr>
              <w:t>4</w:t>
            </w:r>
            <w:r w:rsidR="0009076F" w:rsidRPr="00BD25B8">
              <w:rPr>
                <w:b/>
                <w:bCs/>
                <w:lang w:val="fr-FR"/>
              </w:rPr>
              <w:t>/</w:t>
            </w:r>
            <w:r w:rsidR="00EE5979" w:rsidRPr="00BD25B8">
              <w:rPr>
                <w:b/>
                <w:bCs/>
                <w:szCs w:val="24"/>
                <w:lang w:val="fr-FR"/>
              </w:rPr>
              <w:t>7-F</w:t>
            </w:r>
          </w:p>
        </w:tc>
      </w:tr>
      <w:tr w:rsidR="00EE5979" w:rsidRPr="00BD25B8" w14:paraId="24D04936" w14:textId="77777777" w:rsidTr="0009076F">
        <w:trPr>
          <w:cantSplit/>
        </w:trPr>
        <w:tc>
          <w:tcPr>
            <w:tcW w:w="6379" w:type="dxa"/>
          </w:tcPr>
          <w:p w14:paraId="12CE4DBF" w14:textId="77777777" w:rsidR="00EE5979" w:rsidRPr="00BD25B8" w:rsidRDefault="00EE5979" w:rsidP="00EE5979">
            <w:pPr>
              <w:spacing w:before="0"/>
              <w:rPr>
                <w:b/>
                <w:bCs/>
                <w:smallCaps/>
                <w:szCs w:val="24"/>
                <w:lang w:val="fr-FR"/>
              </w:rPr>
            </w:pPr>
          </w:p>
        </w:tc>
        <w:tc>
          <w:tcPr>
            <w:tcW w:w="3509" w:type="dxa"/>
          </w:tcPr>
          <w:p w14:paraId="0F89640F" w14:textId="72A3A77B" w:rsidR="00EE5979" w:rsidRPr="00BD25B8" w:rsidRDefault="00EE5979" w:rsidP="00EE5979">
            <w:pPr>
              <w:spacing w:before="0"/>
              <w:rPr>
                <w:b/>
                <w:szCs w:val="24"/>
                <w:lang w:val="fr-FR"/>
              </w:rPr>
            </w:pPr>
            <w:bookmarkStart w:id="2" w:name="CreationDate"/>
            <w:bookmarkEnd w:id="2"/>
            <w:r w:rsidRPr="00BD25B8">
              <w:rPr>
                <w:b/>
                <w:bCs/>
                <w:szCs w:val="24"/>
                <w:lang w:val="fr-FR"/>
              </w:rPr>
              <w:t>21 mars 2024</w:t>
            </w:r>
          </w:p>
        </w:tc>
      </w:tr>
      <w:tr w:rsidR="00EE5979" w:rsidRPr="00BD25B8" w14:paraId="7B96545F" w14:textId="77777777" w:rsidTr="0009076F">
        <w:trPr>
          <w:cantSplit/>
        </w:trPr>
        <w:tc>
          <w:tcPr>
            <w:tcW w:w="6379" w:type="dxa"/>
          </w:tcPr>
          <w:p w14:paraId="65956FD3" w14:textId="77777777" w:rsidR="00EE5979" w:rsidRPr="00BD25B8" w:rsidRDefault="00EE5979" w:rsidP="00EE5979">
            <w:pPr>
              <w:spacing w:before="0"/>
              <w:rPr>
                <w:b/>
                <w:bCs/>
                <w:smallCaps/>
                <w:szCs w:val="24"/>
                <w:lang w:val="fr-FR"/>
              </w:rPr>
            </w:pPr>
          </w:p>
        </w:tc>
        <w:tc>
          <w:tcPr>
            <w:tcW w:w="3509" w:type="dxa"/>
          </w:tcPr>
          <w:p w14:paraId="30EFD39F" w14:textId="0CC855E0" w:rsidR="00EE5979" w:rsidRPr="00BD25B8" w:rsidRDefault="00EE5979" w:rsidP="00EE5979">
            <w:pPr>
              <w:spacing w:before="0"/>
              <w:rPr>
                <w:szCs w:val="24"/>
                <w:lang w:val="fr-FR"/>
              </w:rPr>
            </w:pPr>
            <w:r w:rsidRPr="00BD25B8">
              <w:rPr>
                <w:b/>
                <w:bCs/>
                <w:szCs w:val="24"/>
                <w:lang w:val="fr-FR"/>
              </w:rPr>
              <w:t>Original: anglais</w:t>
            </w:r>
          </w:p>
        </w:tc>
      </w:tr>
      <w:tr w:rsidR="00A13162" w:rsidRPr="00BD25B8" w14:paraId="31656E31" w14:textId="77777777" w:rsidTr="00107E85">
        <w:trPr>
          <w:cantSplit/>
          <w:trHeight w:val="852"/>
        </w:trPr>
        <w:tc>
          <w:tcPr>
            <w:tcW w:w="9888" w:type="dxa"/>
            <w:gridSpan w:val="2"/>
          </w:tcPr>
          <w:p w14:paraId="512FCA01" w14:textId="2C7AF279" w:rsidR="00A13162" w:rsidRPr="00BD25B8" w:rsidRDefault="00EE5979" w:rsidP="0030353C">
            <w:pPr>
              <w:pStyle w:val="Source"/>
              <w:rPr>
                <w:lang w:val="fr-FR"/>
              </w:rPr>
            </w:pPr>
            <w:bookmarkStart w:id="3" w:name="Source"/>
            <w:bookmarkEnd w:id="3"/>
            <w:r w:rsidRPr="00BD25B8">
              <w:rPr>
                <w:bCs/>
                <w:szCs w:val="28"/>
                <w:lang w:val="fr-FR"/>
              </w:rPr>
              <w:t>Directeur du Bureau de développement des télécommunications</w:t>
            </w:r>
          </w:p>
        </w:tc>
      </w:tr>
      <w:tr w:rsidR="00AC6F14" w:rsidRPr="00BD25B8" w14:paraId="2CBD3A36" w14:textId="77777777" w:rsidTr="00107E85">
        <w:trPr>
          <w:cantSplit/>
        </w:trPr>
        <w:tc>
          <w:tcPr>
            <w:tcW w:w="9888" w:type="dxa"/>
            <w:gridSpan w:val="2"/>
          </w:tcPr>
          <w:p w14:paraId="1B4121DF" w14:textId="2483D65C" w:rsidR="00AC6F14" w:rsidRPr="00BD25B8" w:rsidRDefault="00EE5979" w:rsidP="001011EB">
            <w:pPr>
              <w:pStyle w:val="Title1"/>
              <w:rPr>
                <w:lang w:val="fr-FR"/>
              </w:rPr>
            </w:pPr>
            <w:bookmarkStart w:id="4" w:name="Title"/>
            <w:bookmarkEnd w:id="4"/>
            <w:r w:rsidRPr="00BD25B8">
              <w:rPr>
                <w:szCs w:val="28"/>
                <w:lang w:val="fr-FR"/>
              </w:rPr>
              <w:t>Projets de l'UIT-D</w:t>
            </w:r>
          </w:p>
        </w:tc>
      </w:tr>
      <w:tr w:rsidR="00A721F4" w:rsidRPr="00BD25B8" w14:paraId="23A30231" w14:textId="77777777" w:rsidTr="00A721F4">
        <w:trPr>
          <w:cantSplit/>
        </w:trPr>
        <w:tc>
          <w:tcPr>
            <w:tcW w:w="9888" w:type="dxa"/>
            <w:gridSpan w:val="2"/>
            <w:tcBorders>
              <w:bottom w:val="single" w:sz="4" w:space="0" w:color="auto"/>
            </w:tcBorders>
          </w:tcPr>
          <w:p w14:paraId="726EE70E" w14:textId="77777777" w:rsidR="00A721F4" w:rsidRPr="00BD25B8" w:rsidRDefault="00A721F4" w:rsidP="0030353C">
            <w:pPr>
              <w:rPr>
                <w:lang w:val="fr-FR"/>
              </w:rPr>
            </w:pPr>
          </w:p>
        </w:tc>
      </w:tr>
      <w:tr w:rsidR="00A721F4" w:rsidRPr="00BD25B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BD25B8" w:rsidRDefault="001011EB" w:rsidP="00EA0C51">
            <w:pPr>
              <w:spacing w:after="120"/>
              <w:rPr>
                <w:b/>
                <w:bCs/>
                <w:szCs w:val="24"/>
                <w:lang w:val="fr-FR"/>
              </w:rPr>
            </w:pPr>
            <w:r w:rsidRPr="00BD25B8">
              <w:rPr>
                <w:b/>
                <w:bCs/>
                <w:szCs w:val="24"/>
                <w:lang w:val="fr-FR"/>
              </w:rPr>
              <w:t>Résumé</w:t>
            </w:r>
            <w:r w:rsidR="00A721F4" w:rsidRPr="00BD25B8">
              <w:rPr>
                <w:b/>
                <w:bCs/>
                <w:szCs w:val="24"/>
                <w:lang w:val="fr-FR"/>
              </w:rPr>
              <w:t>:</w:t>
            </w:r>
          </w:p>
          <w:p w14:paraId="387F951E" w14:textId="77777777" w:rsidR="00EE5979" w:rsidRPr="00BD25B8" w:rsidRDefault="00EE5979" w:rsidP="00EE5979">
            <w:pPr>
              <w:spacing w:after="120"/>
              <w:rPr>
                <w:rFonts w:cstheme="minorHAnsi"/>
                <w:szCs w:val="24"/>
                <w:lang w:val="fr-FR"/>
              </w:rPr>
            </w:pPr>
            <w:r w:rsidRPr="00BD25B8">
              <w:rPr>
                <w:szCs w:val="24"/>
                <w:lang w:val="fr-FR"/>
              </w:rPr>
              <w:t>L'Union internationale des télécommunications (UIT) a une double responsabilité en tant qu'institution spécialisée des Nations Unies et en tant qu'agent d'exécution. 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p>
          <w:p w14:paraId="4082D7E8" w14:textId="4C15B93B" w:rsidR="00A721F4" w:rsidRPr="00BD25B8" w:rsidRDefault="00EE5979" w:rsidP="00EE5979">
            <w:pPr>
              <w:spacing w:after="120"/>
              <w:rPr>
                <w:szCs w:val="24"/>
                <w:lang w:val="fr-FR"/>
              </w:rPr>
            </w:pPr>
            <w:r w:rsidRPr="00BD25B8">
              <w:rPr>
                <w:szCs w:val="24"/>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w:t>
            </w:r>
            <w:r w:rsidR="00A6197D" w:rsidRPr="00BD25B8">
              <w:rPr>
                <w:szCs w:val="24"/>
                <w:lang w:val="fr-FR"/>
              </w:rPr>
              <w:t> </w:t>
            </w:r>
            <w:r w:rsidRPr="00BD25B8">
              <w:rPr>
                <w:szCs w:val="24"/>
                <w:lang w:val="fr-FR"/>
              </w:rPr>
              <w:t>indépendants) et la région Europe, ainsi qu'à l'échelle multirégionale.</w:t>
            </w:r>
          </w:p>
          <w:p w14:paraId="76A1C541" w14:textId="23209CDB" w:rsidR="00A721F4" w:rsidRPr="00BD25B8" w:rsidRDefault="001011EB" w:rsidP="00EA0C51">
            <w:pPr>
              <w:spacing w:after="120"/>
              <w:rPr>
                <w:b/>
                <w:bCs/>
                <w:szCs w:val="24"/>
                <w:lang w:val="fr-FR"/>
              </w:rPr>
            </w:pPr>
            <w:r w:rsidRPr="00BD25B8">
              <w:rPr>
                <w:b/>
                <w:bCs/>
                <w:lang w:val="fr-FR"/>
              </w:rPr>
              <w:t>Suite à donner</w:t>
            </w:r>
            <w:r w:rsidR="00A721F4" w:rsidRPr="00BD25B8">
              <w:rPr>
                <w:b/>
                <w:bCs/>
                <w:lang w:val="fr-FR"/>
              </w:rPr>
              <w:t>:</w:t>
            </w:r>
          </w:p>
          <w:p w14:paraId="371956FC" w14:textId="21154399" w:rsidR="00A721F4" w:rsidRPr="00BD25B8" w:rsidRDefault="00EE5979" w:rsidP="00EA0C51">
            <w:pPr>
              <w:spacing w:after="120"/>
              <w:rPr>
                <w:szCs w:val="24"/>
                <w:lang w:val="fr-FR"/>
              </w:rPr>
            </w:pPr>
            <w:r w:rsidRPr="00BD25B8">
              <w:rPr>
                <w:szCs w:val="24"/>
                <w:lang w:val="fr-FR"/>
              </w:rPr>
              <w:t>Le GCDT est invité à prendre note du présent document et à donner des indications s'il y a lieu.</w:t>
            </w:r>
          </w:p>
          <w:p w14:paraId="622ACB80" w14:textId="39EE560D" w:rsidR="00A721F4" w:rsidRPr="00BD25B8" w:rsidRDefault="00A721F4" w:rsidP="00EA0C51">
            <w:pPr>
              <w:spacing w:after="120"/>
              <w:rPr>
                <w:b/>
                <w:bCs/>
                <w:szCs w:val="24"/>
                <w:lang w:val="fr-FR"/>
              </w:rPr>
            </w:pPr>
            <w:r w:rsidRPr="00BD25B8">
              <w:rPr>
                <w:b/>
                <w:bCs/>
                <w:szCs w:val="24"/>
                <w:lang w:val="fr-FR"/>
              </w:rPr>
              <w:t>R</w:t>
            </w:r>
            <w:r w:rsidR="001011EB" w:rsidRPr="00BD25B8">
              <w:rPr>
                <w:b/>
                <w:bCs/>
                <w:szCs w:val="24"/>
                <w:lang w:val="fr-FR"/>
              </w:rPr>
              <w:t>é</w:t>
            </w:r>
            <w:r w:rsidRPr="00BD25B8">
              <w:rPr>
                <w:b/>
                <w:bCs/>
                <w:szCs w:val="24"/>
                <w:lang w:val="fr-FR"/>
              </w:rPr>
              <w:t>f</w:t>
            </w:r>
            <w:r w:rsidR="001011EB" w:rsidRPr="00BD25B8">
              <w:rPr>
                <w:b/>
                <w:bCs/>
                <w:szCs w:val="24"/>
                <w:lang w:val="fr-FR"/>
              </w:rPr>
              <w:t>é</w:t>
            </w:r>
            <w:r w:rsidRPr="00BD25B8">
              <w:rPr>
                <w:b/>
                <w:bCs/>
                <w:szCs w:val="24"/>
                <w:lang w:val="fr-FR"/>
              </w:rPr>
              <w:t>rences:</w:t>
            </w:r>
          </w:p>
          <w:p w14:paraId="1ECDD20E" w14:textId="512BE36F" w:rsidR="00A721F4" w:rsidRPr="00BD25B8" w:rsidRDefault="00EE5979" w:rsidP="00EA0C51">
            <w:pPr>
              <w:spacing w:after="120"/>
              <w:rPr>
                <w:lang w:val="fr-FR"/>
              </w:rPr>
            </w:pPr>
            <w:r w:rsidRPr="00BD25B8">
              <w:rPr>
                <w:szCs w:val="24"/>
                <w:lang w:val="fr-FR"/>
              </w:rPr>
              <w:t>Résolutions 17 (Rév. Kigali, 2022) et 52 (Rév. Dubaï, 2014) de la Conférence mondiale de développement des télécommunications (CMDT) et Résolution 157 (Rév. Bucarest, 2022) de la Conférence de plénipotentiaires. Résolution 1418 du Conseil de l'UIT.</w:t>
            </w:r>
          </w:p>
        </w:tc>
      </w:tr>
    </w:tbl>
    <w:p w14:paraId="5B29B2A3" w14:textId="77777777" w:rsidR="00923CF1" w:rsidRPr="00BD25B8" w:rsidRDefault="00923CF1">
      <w:pPr>
        <w:tabs>
          <w:tab w:val="clear" w:pos="794"/>
          <w:tab w:val="clear" w:pos="1191"/>
          <w:tab w:val="clear" w:pos="1588"/>
          <w:tab w:val="clear" w:pos="1985"/>
        </w:tabs>
        <w:overflowPunct/>
        <w:autoSpaceDE/>
        <w:autoSpaceDN/>
        <w:adjustRightInd/>
        <w:spacing w:before="0"/>
        <w:textAlignment w:val="auto"/>
        <w:rPr>
          <w:lang w:val="fr-FR"/>
        </w:rPr>
      </w:pPr>
      <w:r w:rsidRPr="00BD25B8">
        <w:rPr>
          <w:lang w:val="fr-FR"/>
        </w:rPr>
        <w:br w:type="page"/>
      </w:r>
    </w:p>
    <w:p w14:paraId="3E402CF7" w14:textId="76A1E7A5" w:rsidR="00EE5979" w:rsidRPr="00BD25B8" w:rsidRDefault="00A6197D" w:rsidP="00A6197D">
      <w:pPr>
        <w:pStyle w:val="Heading1"/>
        <w:ind w:left="0" w:firstLine="0"/>
        <w:rPr>
          <w:lang w:val="fr-FR"/>
        </w:rPr>
      </w:pPr>
      <w:r w:rsidRPr="00BD25B8">
        <w:rPr>
          <w:lang w:val="fr-FR"/>
        </w:rPr>
        <w:lastRenderedPageBreak/>
        <w:t>1</w:t>
      </w:r>
      <w:r w:rsidRPr="00BD25B8">
        <w:rPr>
          <w:lang w:val="fr-FR"/>
        </w:rPr>
        <w:tab/>
      </w:r>
      <w:r w:rsidR="00EE5979" w:rsidRPr="00BD25B8">
        <w:rPr>
          <w:lang w:val="fr-FR"/>
        </w:rPr>
        <w:t>Introduction</w:t>
      </w:r>
    </w:p>
    <w:p w14:paraId="3F09E57C" w14:textId="138954CC" w:rsidR="00EE5979" w:rsidRPr="00BD25B8" w:rsidRDefault="00EE5979" w:rsidP="00A6197D">
      <w:pPr>
        <w:rPr>
          <w:rFonts w:cstheme="minorHAnsi"/>
          <w:lang w:val="fr-FR"/>
        </w:rPr>
      </w:pPr>
      <w:r w:rsidRPr="00BD25B8">
        <w:rPr>
          <w:lang w:val="fr-FR"/>
        </w:rPr>
        <w:t>Conformément aux Résolutions 17 (Rév. Kigali, 2022) et 52 (Rév. Dubaï, 2014) de la Conférence mondiale de développement des télécommunications (CMDT) et à la Résolution 157 (Rév.</w:t>
      </w:r>
      <w:r w:rsidR="00527004" w:rsidRPr="00BD25B8">
        <w:rPr>
          <w:lang w:val="fr-FR"/>
        </w:rPr>
        <w:t> </w:t>
      </w:r>
      <w:r w:rsidRPr="00BD25B8">
        <w:rPr>
          <w:lang w:val="fr-FR"/>
        </w:rPr>
        <w:t>Bucarest, 2022) de la Conférence de plénipotentiaires, le Bureau de développement des télécommunications (BDT) de l'UIT s'acquitte de la responsabilité de l'Union pour mettre en œuvre des projets dans le cadre du système de développement des Nations Unies ou d'autres arrangements de financement, afin de faciliter et d'améliorer le développement des télécommunications/technologies de l'information et de la communication (TIC), en offrant, organisant et coordonnant les activités de coopération et d'assistance techniques. Le présent rapport donne un aperçu de l'état d'avancement du portefeuille de projets de l'UIT en cours en</w:t>
      </w:r>
      <w:r w:rsidR="00BD25B8" w:rsidRPr="00BD25B8">
        <w:rPr>
          <w:lang w:val="fr-FR"/>
        </w:rPr>
        <w:t> </w:t>
      </w:r>
      <w:r w:rsidRPr="00BD25B8">
        <w:rPr>
          <w:lang w:val="fr-FR"/>
        </w:rPr>
        <w:t>2023</w:t>
      </w:r>
      <w:r w:rsidRPr="00BD25B8">
        <w:rPr>
          <w:rStyle w:val="FootnoteReference"/>
          <w:rFonts w:cstheme="minorHAnsi"/>
          <w:szCs w:val="18"/>
          <w:lang w:val="fr-FR"/>
        </w:rPr>
        <w:footnoteReference w:id="1"/>
      </w:r>
      <w:r w:rsidRPr="00BD25B8">
        <w:rPr>
          <w:lang w:val="fr-FR"/>
        </w:rPr>
        <w:t>.</w:t>
      </w:r>
    </w:p>
    <w:p w14:paraId="79B59325" w14:textId="55EB1320" w:rsidR="00EE5979" w:rsidRPr="00BD25B8" w:rsidRDefault="00A6197D" w:rsidP="00A6197D">
      <w:pPr>
        <w:pStyle w:val="Heading1"/>
        <w:rPr>
          <w:lang w:val="fr-FR"/>
        </w:rPr>
      </w:pPr>
      <w:r w:rsidRPr="00BD25B8">
        <w:rPr>
          <w:lang w:val="fr-FR"/>
        </w:rPr>
        <w:t>2</w:t>
      </w:r>
      <w:r w:rsidRPr="00BD25B8">
        <w:rPr>
          <w:lang w:val="fr-FR"/>
        </w:rPr>
        <w:tab/>
      </w:r>
      <w:r w:rsidR="00EE5979" w:rsidRPr="00BD25B8">
        <w:rPr>
          <w:lang w:val="fr-FR"/>
        </w:rPr>
        <w:t xml:space="preserve">Portefeuille de projets de l'UIT: </w:t>
      </w:r>
      <w:r w:rsidR="00527004" w:rsidRPr="00BD25B8">
        <w:rPr>
          <w:lang w:val="fr-FR"/>
        </w:rPr>
        <w:t>P</w:t>
      </w:r>
      <w:r w:rsidR="00EE5979" w:rsidRPr="00BD25B8">
        <w:rPr>
          <w:lang w:val="fr-FR"/>
        </w:rPr>
        <w:t>rojets en cours</w:t>
      </w:r>
    </w:p>
    <w:p w14:paraId="45DAEF1F" w14:textId="19A40518" w:rsidR="00EE5979" w:rsidRPr="00BD25B8" w:rsidRDefault="00A6197D" w:rsidP="00A6197D">
      <w:pPr>
        <w:pStyle w:val="Heading2"/>
        <w:rPr>
          <w:rFonts w:cstheme="minorHAnsi"/>
          <w:lang w:val="fr-FR"/>
        </w:rPr>
      </w:pPr>
      <w:r w:rsidRPr="00BD25B8">
        <w:rPr>
          <w:lang w:val="fr-FR"/>
        </w:rPr>
        <w:t>2.1</w:t>
      </w:r>
      <w:r w:rsidRPr="00BD25B8">
        <w:rPr>
          <w:lang w:val="fr-FR"/>
        </w:rPr>
        <w:tab/>
      </w:r>
      <w:r w:rsidR="00EE5979" w:rsidRPr="00BD25B8">
        <w:rPr>
          <w:lang w:val="fr-FR"/>
        </w:rPr>
        <w:t>Vue d'ensemble et répartition régionale</w:t>
      </w:r>
    </w:p>
    <w:p w14:paraId="7B145BB0" w14:textId="3649A6EA" w:rsidR="00EE5979" w:rsidRPr="00BD25B8" w:rsidRDefault="00EE5979" w:rsidP="00A6197D">
      <w:pPr>
        <w:rPr>
          <w:rFonts w:cstheme="minorHAnsi"/>
          <w:lang w:val="fr-FR"/>
        </w:rPr>
      </w:pPr>
      <w:r w:rsidRPr="00BD25B8">
        <w:rPr>
          <w:lang w:val="fr-FR"/>
        </w:rPr>
        <w:t>En 2023, le BDT a mis en œuvre 87 projets, d'un montant de 106,4 millions CHF. La Figure 1 illustre la répartition générale du portefeuille de projets de l'UIT par région et donne un aperçu 1) des fonds mobilisés pour appuyer la mise en œuvre de ces projets; 2) des fonds d'amorçage alloués par l'UIT au titre du Fonds pour le développement des TIC (FDTIC) ou d'autres Fonds de l'UIT pour appuyer la mise en œuvre des initiatives régionales approuvées par la CMDT-17 et la CMDT-22.</w:t>
      </w:r>
    </w:p>
    <w:p w14:paraId="570E7090" w14:textId="77777777" w:rsidR="00EE5979" w:rsidRPr="00BD25B8" w:rsidRDefault="00EE5979" w:rsidP="00A6197D">
      <w:pPr>
        <w:pStyle w:val="Figuretitle"/>
        <w:spacing w:before="240" w:after="240"/>
        <w:rPr>
          <w:rFonts w:cstheme="minorHAnsi"/>
          <w:lang w:val="fr-FR"/>
        </w:rPr>
      </w:pPr>
      <w:r w:rsidRPr="00BD25B8">
        <w:rPr>
          <w:lang w:val="fr-FR"/>
        </w:rPr>
        <w:t>Figure 1 – Vue d'ensemble des projets de l'UIT en cours, par région (en milliers CHF)</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169"/>
        <w:gridCol w:w="1343"/>
      </w:tblGrid>
      <w:tr w:rsidR="00EE5979" w:rsidRPr="00BD25B8" w14:paraId="50BEBD35" w14:textId="77777777" w:rsidTr="001F021C">
        <w:trPr>
          <w:trHeight w:val="852"/>
          <w:jc w:val="center"/>
        </w:trPr>
        <w:tc>
          <w:tcPr>
            <w:tcW w:w="985" w:type="dxa"/>
            <w:shd w:val="clear" w:color="auto" w:fill="8DB3E2" w:themeFill="text2" w:themeFillTint="66"/>
            <w:noWrap/>
            <w:vAlign w:val="center"/>
            <w:hideMark/>
          </w:tcPr>
          <w:p w14:paraId="60012771" w14:textId="77777777" w:rsidR="00EE5979" w:rsidRPr="00BD25B8" w:rsidRDefault="00EE5979" w:rsidP="00527004">
            <w:pPr>
              <w:pStyle w:val="Tablehead"/>
              <w:rPr>
                <w:rFonts w:eastAsiaTheme="minorEastAsia" w:cstheme="minorHAnsi"/>
                <w:sz w:val="20"/>
                <w:lang w:val="fr-FR"/>
              </w:rPr>
            </w:pPr>
            <w:r w:rsidRPr="00BD25B8">
              <w:rPr>
                <w:sz w:val="20"/>
                <w:lang w:val="fr-FR"/>
              </w:rPr>
              <w:t>Région</w:t>
            </w:r>
          </w:p>
        </w:tc>
        <w:tc>
          <w:tcPr>
            <w:tcW w:w="1170" w:type="dxa"/>
            <w:shd w:val="clear" w:color="auto" w:fill="8DB3E2" w:themeFill="text2" w:themeFillTint="66"/>
            <w:noWrap/>
            <w:vAlign w:val="center"/>
            <w:hideMark/>
          </w:tcPr>
          <w:p w14:paraId="2752FFCE" w14:textId="77777777" w:rsidR="00EE5979" w:rsidRPr="00BD25B8" w:rsidRDefault="00EE5979" w:rsidP="00527004">
            <w:pPr>
              <w:pStyle w:val="Tablehead"/>
              <w:rPr>
                <w:rFonts w:eastAsiaTheme="minorEastAsia" w:cstheme="minorHAnsi"/>
                <w:sz w:val="20"/>
                <w:lang w:val="fr-FR"/>
              </w:rPr>
            </w:pPr>
            <w:r w:rsidRPr="00BD25B8">
              <w:rPr>
                <w:sz w:val="20"/>
                <w:lang w:val="fr-FR"/>
              </w:rPr>
              <w:t>Nombre de projets</w:t>
            </w:r>
          </w:p>
        </w:tc>
        <w:tc>
          <w:tcPr>
            <w:tcW w:w="1449" w:type="dxa"/>
            <w:shd w:val="clear" w:color="auto" w:fill="8DB3E2" w:themeFill="text2" w:themeFillTint="66"/>
            <w:noWrap/>
            <w:vAlign w:val="center"/>
            <w:hideMark/>
          </w:tcPr>
          <w:p w14:paraId="362C4EF0" w14:textId="7B42C284" w:rsidR="00EE5979" w:rsidRPr="00BD25B8" w:rsidRDefault="00EE5979" w:rsidP="00527004">
            <w:pPr>
              <w:pStyle w:val="Tablehead"/>
              <w:rPr>
                <w:rFonts w:eastAsiaTheme="minorEastAsia" w:cstheme="minorHAnsi"/>
                <w:sz w:val="20"/>
                <w:lang w:val="fr-FR"/>
              </w:rPr>
            </w:pPr>
            <w:r w:rsidRPr="00BD25B8">
              <w:rPr>
                <w:sz w:val="20"/>
                <w:lang w:val="fr-FR"/>
              </w:rPr>
              <w:t>Fonds provenant de partenaires</w:t>
            </w:r>
          </w:p>
        </w:tc>
        <w:tc>
          <w:tcPr>
            <w:tcW w:w="1169" w:type="dxa"/>
            <w:shd w:val="clear" w:color="auto" w:fill="8DB3E2" w:themeFill="text2" w:themeFillTint="66"/>
            <w:noWrap/>
            <w:vAlign w:val="center"/>
          </w:tcPr>
          <w:p w14:paraId="5CDD2381" w14:textId="77777777" w:rsidR="00EE5979" w:rsidRPr="00BD25B8" w:rsidRDefault="00EE5979" w:rsidP="00527004">
            <w:pPr>
              <w:pStyle w:val="Tablehead"/>
              <w:rPr>
                <w:rFonts w:eastAsiaTheme="minorEastAsia" w:cstheme="minorHAnsi"/>
                <w:sz w:val="20"/>
                <w:lang w:val="fr-FR"/>
              </w:rPr>
            </w:pPr>
            <w:r w:rsidRPr="00BD25B8">
              <w:rPr>
                <w:sz w:val="20"/>
                <w:lang w:val="fr-FR"/>
              </w:rPr>
              <w:t>Fonds de l'UIT (FDTIC)</w:t>
            </w:r>
          </w:p>
        </w:tc>
        <w:tc>
          <w:tcPr>
            <w:tcW w:w="1169" w:type="dxa"/>
            <w:shd w:val="clear" w:color="auto" w:fill="8DB3E2" w:themeFill="text2" w:themeFillTint="66"/>
            <w:noWrap/>
            <w:vAlign w:val="center"/>
          </w:tcPr>
          <w:p w14:paraId="2AA7EF4B" w14:textId="77777777" w:rsidR="00EE5979" w:rsidRPr="00BD25B8" w:rsidRDefault="00EE5979" w:rsidP="00527004">
            <w:pPr>
              <w:pStyle w:val="Tablehead"/>
              <w:rPr>
                <w:rFonts w:eastAsiaTheme="minorEastAsia" w:cstheme="minorHAnsi"/>
                <w:sz w:val="20"/>
                <w:lang w:val="fr-FR"/>
              </w:rPr>
            </w:pPr>
            <w:r w:rsidRPr="00BD25B8">
              <w:rPr>
                <w:sz w:val="20"/>
                <w:lang w:val="fr-FR"/>
              </w:rPr>
              <w:t>Fonds de l'UIT (Initiatives régionales)</w:t>
            </w:r>
          </w:p>
        </w:tc>
        <w:tc>
          <w:tcPr>
            <w:tcW w:w="1343" w:type="dxa"/>
            <w:shd w:val="clear" w:color="auto" w:fill="8DB3E2" w:themeFill="text2" w:themeFillTint="66"/>
            <w:noWrap/>
            <w:vAlign w:val="center"/>
            <w:hideMark/>
          </w:tcPr>
          <w:p w14:paraId="0793EB83" w14:textId="77777777" w:rsidR="00EE5979" w:rsidRPr="00BD25B8" w:rsidRDefault="00EE5979" w:rsidP="00527004">
            <w:pPr>
              <w:pStyle w:val="Tablehead"/>
              <w:rPr>
                <w:rFonts w:eastAsiaTheme="minorEastAsia" w:cstheme="minorHAnsi"/>
                <w:sz w:val="20"/>
                <w:lang w:val="fr-FR"/>
              </w:rPr>
            </w:pPr>
            <w:r w:rsidRPr="00BD25B8">
              <w:rPr>
                <w:sz w:val="20"/>
                <w:lang w:val="fr-FR"/>
              </w:rPr>
              <w:t>Total du financement des projets</w:t>
            </w:r>
          </w:p>
        </w:tc>
      </w:tr>
      <w:tr w:rsidR="00EE5979" w:rsidRPr="00BD25B8" w14:paraId="5A1E9A6B" w14:textId="77777777" w:rsidTr="001F021C">
        <w:trPr>
          <w:trHeight w:val="54"/>
          <w:jc w:val="center"/>
        </w:trPr>
        <w:tc>
          <w:tcPr>
            <w:tcW w:w="985" w:type="dxa"/>
            <w:hideMark/>
          </w:tcPr>
          <w:p w14:paraId="406D7212" w14:textId="4B2D466D" w:rsidR="00EE5979" w:rsidRPr="00BD25B8" w:rsidRDefault="00EE5979" w:rsidP="00527004">
            <w:pPr>
              <w:pStyle w:val="Tabletext"/>
              <w:rPr>
                <w:rFonts w:cstheme="minorHAnsi"/>
                <w:sz w:val="20"/>
                <w:lang w:val="fr-FR"/>
              </w:rPr>
            </w:pPr>
            <w:r w:rsidRPr="00BD25B8">
              <w:rPr>
                <w:sz w:val="20"/>
                <w:lang w:val="fr-FR"/>
              </w:rPr>
              <w:t>AFR</w:t>
            </w:r>
          </w:p>
        </w:tc>
        <w:tc>
          <w:tcPr>
            <w:tcW w:w="1170" w:type="dxa"/>
            <w:noWrap/>
            <w:vAlign w:val="bottom"/>
            <w:hideMark/>
          </w:tcPr>
          <w:p w14:paraId="41BDF1E2"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13</w:t>
            </w:r>
          </w:p>
        </w:tc>
        <w:tc>
          <w:tcPr>
            <w:tcW w:w="1449" w:type="dxa"/>
            <w:vAlign w:val="bottom"/>
            <w:hideMark/>
          </w:tcPr>
          <w:p w14:paraId="2EF540AC"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11 732,4</w:t>
            </w:r>
          </w:p>
        </w:tc>
        <w:tc>
          <w:tcPr>
            <w:tcW w:w="1169" w:type="dxa"/>
            <w:vAlign w:val="bottom"/>
            <w:hideMark/>
          </w:tcPr>
          <w:p w14:paraId="11BECA99"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938,7</w:t>
            </w:r>
          </w:p>
        </w:tc>
        <w:tc>
          <w:tcPr>
            <w:tcW w:w="1169" w:type="dxa"/>
            <w:vAlign w:val="bottom"/>
            <w:hideMark/>
          </w:tcPr>
          <w:p w14:paraId="5F6F0754"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670,0</w:t>
            </w:r>
          </w:p>
        </w:tc>
        <w:tc>
          <w:tcPr>
            <w:tcW w:w="1343" w:type="dxa"/>
            <w:shd w:val="clear" w:color="auto" w:fill="DBE5F1" w:themeFill="accent1" w:themeFillTint="33"/>
            <w:vAlign w:val="bottom"/>
            <w:hideMark/>
          </w:tcPr>
          <w:p w14:paraId="417900C0"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13 913,1</w:t>
            </w:r>
          </w:p>
        </w:tc>
      </w:tr>
      <w:tr w:rsidR="00EE5979" w:rsidRPr="00BD25B8" w14:paraId="7445924C" w14:textId="77777777" w:rsidTr="001F021C">
        <w:trPr>
          <w:trHeight w:val="54"/>
          <w:jc w:val="center"/>
        </w:trPr>
        <w:tc>
          <w:tcPr>
            <w:tcW w:w="985" w:type="dxa"/>
            <w:hideMark/>
          </w:tcPr>
          <w:p w14:paraId="6316DE73" w14:textId="22F3A2D5" w:rsidR="00EE5979" w:rsidRPr="00BD25B8" w:rsidRDefault="00EE5979" w:rsidP="00527004">
            <w:pPr>
              <w:pStyle w:val="Tabletext"/>
              <w:rPr>
                <w:rFonts w:cstheme="minorHAnsi"/>
                <w:sz w:val="20"/>
                <w:lang w:val="fr-FR"/>
              </w:rPr>
            </w:pPr>
            <w:r w:rsidRPr="00BD25B8">
              <w:rPr>
                <w:sz w:val="20"/>
                <w:lang w:val="fr-FR"/>
              </w:rPr>
              <w:t>AMS</w:t>
            </w:r>
          </w:p>
        </w:tc>
        <w:tc>
          <w:tcPr>
            <w:tcW w:w="1170" w:type="dxa"/>
            <w:noWrap/>
            <w:vAlign w:val="bottom"/>
            <w:hideMark/>
          </w:tcPr>
          <w:p w14:paraId="7F60CAF9"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15</w:t>
            </w:r>
          </w:p>
        </w:tc>
        <w:tc>
          <w:tcPr>
            <w:tcW w:w="1449" w:type="dxa"/>
            <w:vAlign w:val="bottom"/>
            <w:hideMark/>
          </w:tcPr>
          <w:p w14:paraId="3F57B38F"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40 112,6</w:t>
            </w:r>
          </w:p>
        </w:tc>
        <w:tc>
          <w:tcPr>
            <w:tcW w:w="1169" w:type="dxa"/>
            <w:vAlign w:val="bottom"/>
            <w:hideMark/>
          </w:tcPr>
          <w:p w14:paraId="22904D97"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158,6</w:t>
            </w:r>
          </w:p>
        </w:tc>
        <w:tc>
          <w:tcPr>
            <w:tcW w:w="1169" w:type="dxa"/>
            <w:vAlign w:val="bottom"/>
            <w:hideMark/>
          </w:tcPr>
          <w:p w14:paraId="14FD6F20"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667,5</w:t>
            </w:r>
          </w:p>
        </w:tc>
        <w:tc>
          <w:tcPr>
            <w:tcW w:w="1343" w:type="dxa"/>
            <w:shd w:val="clear" w:color="auto" w:fill="DBE5F1" w:themeFill="accent1" w:themeFillTint="33"/>
            <w:vAlign w:val="bottom"/>
            <w:hideMark/>
          </w:tcPr>
          <w:p w14:paraId="599CED39"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41 008,4</w:t>
            </w:r>
          </w:p>
        </w:tc>
      </w:tr>
      <w:tr w:rsidR="00EE5979" w:rsidRPr="00BD25B8" w14:paraId="097748B0" w14:textId="77777777" w:rsidTr="001F021C">
        <w:trPr>
          <w:trHeight w:val="300"/>
          <w:jc w:val="center"/>
        </w:trPr>
        <w:tc>
          <w:tcPr>
            <w:tcW w:w="985" w:type="dxa"/>
            <w:hideMark/>
          </w:tcPr>
          <w:p w14:paraId="2C0A71B6" w14:textId="77BA9A0B" w:rsidR="00EE5979" w:rsidRPr="00BD25B8" w:rsidRDefault="00EE5979" w:rsidP="00527004">
            <w:pPr>
              <w:pStyle w:val="Tabletext"/>
              <w:rPr>
                <w:rFonts w:cstheme="minorHAnsi"/>
                <w:sz w:val="20"/>
                <w:lang w:val="fr-FR"/>
              </w:rPr>
            </w:pPr>
            <w:r w:rsidRPr="00BD25B8">
              <w:rPr>
                <w:sz w:val="20"/>
                <w:lang w:val="fr-FR"/>
              </w:rPr>
              <w:t>ARB</w:t>
            </w:r>
          </w:p>
        </w:tc>
        <w:tc>
          <w:tcPr>
            <w:tcW w:w="1170" w:type="dxa"/>
            <w:vAlign w:val="bottom"/>
            <w:hideMark/>
          </w:tcPr>
          <w:p w14:paraId="27B90F96"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7</w:t>
            </w:r>
          </w:p>
        </w:tc>
        <w:tc>
          <w:tcPr>
            <w:tcW w:w="1449" w:type="dxa"/>
            <w:vAlign w:val="bottom"/>
            <w:hideMark/>
          </w:tcPr>
          <w:p w14:paraId="0197B760"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4 311,1</w:t>
            </w:r>
          </w:p>
        </w:tc>
        <w:tc>
          <w:tcPr>
            <w:tcW w:w="1169" w:type="dxa"/>
            <w:vAlign w:val="bottom"/>
            <w:hideMark/>
          </w:tcPr>
          <w:p w14:paraId="34629519"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662,2</w:t>
            </w:r>
          </w:p>
        </w:tc>
        <w:tc>
          <w:tcPr>
            <w:tcW w:w="1169" w:type="dxa"/>
            <w:vAlign w:val="bottom"/>
            <w:hideMark/>
          </w:tcPr>
          <w:p w14:paraId="44FEB4E7"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88,0</w:t>
            </w:r>
          </w:p>
        </w:tc>
        <w:tc>
          <w:tcPr>
            <w:tcW w:w="1343" w:type="dxa"/>
            <w:shd w:val="clear" w:color="auto" w:fill="DBE5F1" w:themeFill="accent1" w:themeFillTint="33"/>
            <w:vAlign w:val="bottom"/>
            <w:hideMark/>
          </w:tcPr>
          <w:p w14:paraId="7A6ED892"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5 061,3</w:t>
            </w:r>
          </w:p>
        </w:tc>
      </w:tr>
      <w:tr w:rsidR="00EE5979" w:rsidRPr="00BD25B8" w14:paraId="2F322A00" w14:textId="77777777" w:rsidTr="001F021C">
        <w:trPr>
          <w:trHeight w:val="54"/>
          <w:jc w:val="center"/>
        </w:trPr>
        <w:tc>
          <w:tcPr>
            <w:tcW w:w="985" w:type="dxa"/>
            <w:vAlign w:val="center"/>
            <w:hideMark/>
          </w:tcPr>
          <w:p w14:paraId="402C2DED" w14:textId="77777777" w:rsidR="00EE5979" w:rsidRPr="00BD25B8" w:rsidRDefault="00EE5979" w:rsidP="00527004">
            <w:pPr>
              <w:pStyle w:val="Tabletext"/>
              <w:rPr>
                <w:rFonts w:cstheme="minorHAnsi"/>
                <w:sz w:val="20"/>
                <w:lang w:val="fr-FR"/>
              </w:rPr>
            </w:pPr>
            <w:r w:rsidRPr="00BD25B8">
              <w:rPr>
                <w:sz w:val="20"/>
                <w:lang w:val="fr-FR"/>
              </w:rPr>
              <w:t>ASP</w:t>
            </w:r>
          </w:p>
        </w:tc>
        <w:tc>
          <w:tcPr>
            <w:tcW w:w="1170" w:type="dxa"/>
            <w:noWrap/>
            <w:vAlign w:val="bottom"/>
            <w:hideMark/>
          </w:tcPr>
          <w:p w14:paraId="79EABA75"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14</w:t>
            </w:r>
          </w:p>
        </w:tc>
        <w:tc>
          <w:tcPr>
            <w:tcW w:w="1449" w:type="dxa"/>
            <w:vAlign w:val="bottom"/>
            <w:hideMark/>
          </w:tcPr>
          <w:p w14:paraId="3D0000C8"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6 948,8</w:t>
            </w:r>
          </w:p>
        </w:tc>
        <w:tc>
          <w:tcPr>
            <w:tcW w:w="1169" w:type="dxa"/>
            <w:vAlign w:val="bottom"/>
          </w:tcPr>
          <w:p w14:paraId="442AD03F"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345,4</w:t>
            </w:r>
          </w:p>
        </w:tc>
        <w:tc>
          <w:tcPr>
            <w:tcW w:w="1169" w:type="dxa"/>
            <w:vAlign w:val="bottom"/>
            <w:hideMark/>
          </w:tcPr>
          <w:p w14:paraId="3983E7B0"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440,0</w:t>
            </w:r>
          </w:p>
        </w:tc>
        <w:tc>
          <w:tcPr>
            <w:tcW w:w="1343" w:type="dxa"/>
            <w:shd w:val="clear" w:color="auto" w:fill="DBE5F1" w:themeFill="accent1" w:themeFillTint="33"/>
            <w:vAlign w:val="bottom"/>
            <w:hideMark/>
          </w:tcPr>
          <w:p w14:paraId="145C2CDF"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7 909,2</w:t>
            </w:r>
          </w:p>
        </w:tc>
      </w:tr>
      <w:tr w:rsidR="00EE5979" w:rsidRPr="00BD25B8" w14:paraId="24689F9D" w14:textId="77777777" w:rsidTr="001F021C">
        <w:trPr>
          <w:trHeight w:val="54"/>
          <w:jc w:val="center"/>
        </w:trPr>
        <w:tc>
          <w:tcPr>
            <w:tcW w:w="985" w:type="dxa"/>
            <w:hideMark/>
          </w:tcPr>
          <w:p w14:paraId="32820450" w14:textId="4CB4A1F0" w:rsidR="00EE5979" w:rsidRPr="00BD25B8" w:rsidRDefault="00EE5979" w:rsidP="00527004">
            <w:pPr>
              <w:pStyle w:val="Tabletext"/>
              <w:rPr>
                <w:rFonts w:cstheme="minorHAnsi"/>
                <w:sz w:val="20"/>
                <w:lang w:val="fr-FR"/>
              </w:rPr>
            </w:pPr>
            <w:r w:rsidRPr="00BD25B8">
              <w:rPr>
                <w:sz w:val="20"/>
                <w:lang w:val="fr-FR"/>
              </w:rPr>
              <w:t>CEI</w:t>
            </w:r>
          </w:p>
        </w:tc>
        <w:tc>
          <w:tcPr>
            <w:tcW w:w="1170" w:type="dxa"/>
            <w:vAlign w:val="bottom"/>
            <w:hideMark/>
          </w:tcPr>
          <w:p w14:paraId="40EC4163"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3</w:t>
            </w:r>
          </w:p>
        </w:tc>
        <w:tc>
          <w:tcPr>
            <w:tcW w:w="1449" w:type="dxa"/>
            <w:vAlign w:val="bottom"/>
            <w:hideMark/>
          </w:tcPr>
          <w:p w14:paraId="42954204"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253,7</w:t>
            </w:r>
          </w:p>
        </w:tc>
        <w:tc>
          <w:tcPr>
            <w:tcW w:w="1169" w:type="dxa"/>
            <w:vAlign w:val="bottom"/>
          </w:tcPr>
          <w:p w14:paraId="73125F21" w14:textId="77777777" w:rsidR="00EE5979" w:rsidRPr="00BD25B8" w:rsidRDefault="00EE5979" w:rsidP="00527004">
            <w:pPr>
              <w:pStyle w:val="Tabletext"/>
              <w:jc w:val="right"/>
              <w:rPr>
                <w:rFonts w:eastAsiaTheme="minorEastAsia" w:cstheme="minorHAnsi"/>
                <w:sz w:val="20"/>
                <w:lang w:val="fr-FR" w:eastAsia="zh-CN"/>
              </w:rPr>
            </w:pPr>
          </w:p>
        </w:tc>
        <w:tc>
          <w:tcPr>
            <w:tcW w:w="1169" w:type="dxa"/>
            <w:vAlign w:val="bottom"/>
            <w:hideMark/>
          </w:tcPr>
          <w:p w14:paraId="22D8605D"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443,8</w:t>
            </w:r>
          </w:p>
        </w:tc>
        <w:tc>
          <w:tcPr>
            <w:tcW w:w="1343" w:type="dxa"/>
            <w:shd w:val="clear" w:color="auto" w:fill="DBE5F1" w:themeFill="accent1" w:themeFillTint="33"/>
            <w:vAlign w:val="bottom"/>
            <w:hideMark/>
          </w:tcPr>
          <w:p w14:paraId="61F58E80"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697,5</w:t>
            </w:r>
          </w:p>
        </w:tc>
      </w:tr>
      <w:tr w:rsidR="00EE5979" w:rsidRPr="00BD25B8" w14:paraId="35EC8AC6" w14:textId="77777777" w:rsidTr="001F021C">
        <w:trPr>
          <w:trHeight w:val="54"/>
          <w:jc w:val="center"/>
        </w:trPr>
        <w:tc>
          <w:tcPr>
            <w:tcW w:w="985" w:type="dxa"/>
            <w:vAlign w:val="bottom"/>
            <w:hideMark/>
          </w:tcPr>
          <w:p w14:paraId="5CC01F14" w14:textId="77777777" w:rsidR="00EE5979" w:rsidRPr="00BD25B8" w:rsidRDefault="00EE5979" w:rsidP="00527004">
            <w:pPr>
              <w:pStyle w:val="Tabletext"/>
              <w:rPr>
                <w:rFonts w:cstheme="minorHAnsi"/>
                <w:sz w:val="20"/>
                <w:lang w:val="fr-FR"/>
              </w:rPr>
            </w:pPr>
            <w:r w:rsidRPr="00BD25B8">
              <w:rPr>
                <w:sz w:val="20"/>
                <w:lang w:val="fr-FR"/>
              </w:rPr>
              <w:t>EUR</w:t>
            </w:r>
          </w:p>
        </w:tc>
        <w:tc>
          <w:tcPr>
            <w:tcW w:w="1170" w:type="dxa"/>
            <w:vAlign w:val="bottom"/>
            <w:hideMark/>
          </w:tcPr>
          <w:p w14:paraId="51752253"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2</w:t>
            </w:r>
          </w:p>
        </w:tc>
        <w:tc>
          <w:tcPr>
            <w:tcW w:w="1449" w:type="dxa"/>
            <w:vAlign w:val="bottom"/>
            <w:hideMark/>
          </w:tcPr>
          <w:p w14:paraId="15B29EC0"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3 642,5</w:t>
            </w:r>
          </w:p>
        </w:tc>
        <w:tc>
          <w:tcPr>
            <w:tcW w:w="1169" w:type="dxa"/>
            <w:vAlign w:val="bottom"/>
          </w:tcPr>
          <w:p w14:paraId="0080E201" w14:textId="77777777" w:rsidR="00EE5979" w:rsidRPr="00BD25B8" w:rsidRDefault="00EE5979" w:rsidP="00527004">
            <w:pPr>
              <w:pStyle w:val="Tabletext"/>
              <w:jc w:val="right"/>
              <w:rPr>
                <w:rFonts w:eastAsiaTheme="minorEastAsia" w:cstheme="minorHAnsi"/>
                <w:sz w:val="20"/>
                <w:lang w:val="fr-FR" w:eastAsia="zh-CN"/>
              </w:rPr>
            </w:pPr>
          </w:p>
        </w:tc>
        <w:tc>
          <w:tcPr>
            <w:tcW w:w="1169" w:type="dxa"/>
            <w:vAlign w:val="bottom"/>
            <w:hideMark/>
          </w:tcPr>
          <w:p w14:paraId="6B6AE0F4"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47,5</w:t>
            </w:r>
          </w:p>
        </w:tc>
        <w:tc>
          <w:tcPr>
            <w:tcW w:w="1343" w:type="dxa"/>
            <w:shd w:val="clear" w:color="auto" w:fill="DBE5F1" w:themeFill="accent1" w:themeFillTint="33"/>
            <w:vAlign w:val="bottom"/>
            <w:hideMark/>
          </w:tcPr>
          <w:p w14:paraId="7E44F15D"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3 690,1</w:t>
            </w:r>
          </w:p>
        </w:tc>
      </w:tr>
      <w:tr w:rsidR="00EE5979" w:rsidRPr="00BD25B8" w14:paraId="32C18B2B" w14:textId="77777777" w:rsidTr="001F021C">
        <w:trPr>
          <w:trHeight w:val="54"/>
          <w:jc w:val="center"/>
        </w:trPr>
        <w:tc>
          <w:tcPr>
            <w:tcW w:w="985" w:type="dxa"/>
            <w:hideMark/>
          </w:tcPr>
          <w:p w14:paraId="4E94AFDC" w14:textId="77777777" w:rsidR="00EE5979" w:rsidRPr="00BD25B8" w:rsidRDefault="00EE5979" w:rsidP="00527004">
            <w:pPr>
              <w:pStyle w:val="Tabletext"/>
              <w:rPr>
                <w:rFonts w:cstheme="minorHAnsi"/>
                <w:sz w:val="20"/>
                <w:lang w:val="fr-FR"/>
              </w:rPr>
            </w:pPr>
            <w:bookmarkStart w:id="5" w:name="_Hlk161739046"/>
            <w:bookmarkEnd w:id="5"/>
            <w:r w:rsidRPr="00BD25B8">
              <w:rPr>
                <w:sz w:val="20"/>
                <w:lang w:val="fr-FR"/>
              </w:rPr>
              <w:t>Plusieurs régions</w:t>
            </w:r>
            <w:r w:rsidRPr="00BD25B8">
              <w:rPr>
                <w:sz w:val="20"/>
                <w:vertAlign w:val="superscript"/>
                <w:lang w:val="fr-FR"/>
              </w:rPr>
              <w:t>(*)</w:t>
            </w:r>
          </w:p>
        </w:tc>
        <w:tc>
          <w:tcPr>
            <w:tcW w:w="1170" w:type="dxa"/>
            <w:noWrap/>
            <w:vAlign w:val="bottom"/>
            <w:hideMark/>
          </w:tcPr>
          <w:p w14:paraId="392B7446" w14:textId="77777777" w:rsidR="00EE5979" w:rsidRPr="00BD25B8" w:rsidRDefault="00EE5979" w:rsidP="00527004">
            <w:pPr>
              <w:pStyle w:val="Tabletext"/>
              <w:jc w:val="center"/>
              <w:rPr>
                <w:rFonts w:eastAsiaTheme="minorEastAsia" w:cstheme="minorHAnsi"/>
                <w:sz w:val="20"/>
                <w:lang w:val="fr-FR"/>
              </w:rPr>
            </w:pPr>
            <w:r w:rsidRPr="00BD25B8">
              <w:rPr>
                <w:sz w:val="20"/>
                <w:lang w:val="fr-FR"/>
              </w:rPr>
              <w:t>33</w:t>
            </w:r>
          </w:p>
        </w:tc>
        <w:tc>
          <w:tcPr>
            <w:tcW w:w="1449" w:type="dxa"/>
            <w:vAlign w:val="bottom"/>
            <w:hideMark/>
          </w:tcPr>
          <w:p w14:paraId="531863BE"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27 794,1</w:t>
            </w:r>
          </w:p>
        </w:tc>
        <w:tc>
          <w:tcPr>
            <w:tcW w:w="1169" w:type="dxa"/>
            <w:vAlign w:val="bottom"/>
            <w:hideMark/>
          </w:tcPr>
          <w:p w14:paraId="69B74058"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4 394,6</w:t>
            </w:r>
          </w:p>
        </w:tc>
        <w:tc>
          <w:tcPr>
            <w:tcW w:w="1169" w:type="dxa"/>
            <w:vAlign w:val="bottom"/>
            <w:hideMark/>
          </w:tcPr>
          <w:p w14:paraId="362C6562" w14:textId="77777777" w:rsidR="00EE5979" w:rsidRPr="00BD25B8" w:rsidRDefault="00EE5979" w:rsidP="00527004">
            <w:pPr>
              <w:pStyle w:val="Tabletext"/>
              <w:jc w:val="right"/>
              <w:rPr>
                <w:rFonts w:eastAsiaTheme="minorEastAsia" w:cstheme="minorHAnsi"/>
                <w:sz w:val="20"/>
                <w:lang w:val="fr-FR"/>
              </w:rPr>
            </w:pPr>
            <w:r w:rsidRPr="00BD25B8">
              <w:rPr>
                <w:sz w:val="20"/>
                <w:lang w:val="fr-FR"/>
              </w:rPr>
              <w:t>1 551,8</w:t>
            </w:r>
          </w:p>
        </w:tc>
        <w:tc>
          <w:tcPr>
            <w:tcW w:w="1343" w:type="dxa"/>
            <w:shd w:val="clear" w:color="auto" w:fill="DBE5F1" w:themeFill="accent1" w:themeFillTint="33"/>
            <w:vAlign w:val="bottom"/>
            <w:hideMark/>
          </w:tcPr>
          <w:p w14:paraId="603A2C47"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34 122,8</w:t>
            </w:r>
          </w:p>
        </w:tc>
      </w:tr>
      <w:tr w:rsidR="00EE5979" w:rsidRPr="00BD25B8" w14:paraId="17AC35C7" w14:textId="77777777" w:rsidTr="001F021C">
        <w:trPr>
          <w:trHeight w:val="54"/>
          <w:jc w:val="center"/>
        </w:trPr>
        <w:tc>
          <w:tcPr>
            <w:tcW w:w="985" w:type="dxa"/>
            <w:shd w:val="clear" w:color="auto" w:fill="DBE5F1" w:themeFill="accent1" w:themeFillTint="33"/>
            <w:noWrap/>
            <w:vAlign w:val="center"/>
            <w:hideMark/>
          </w:tcPr>
          <w:p w14:paraId="4604AF43" w14:textId="77777777" w:rsidR="00EE5979" w:rsidRPr="00BD25B8" w:rsidRDefault="00EE5979" w:rsidP="00527004">
            <w:pPr>
              <w:pStyle w:val="Tabletext"/>
              <w:rPr>
                <w:rFonts w:cstheme="minorHAnsi"/>
                <w:b/>
                <w:bCs/>
                <w:sz w:val="20"/>
                <w:lang w:val="fr-FR"/>
              </w:rPr>
            </w:pPr>
            <w:r w:rsidRPr="00BD25B8">
              <w:rPr>
                <w:b/>
                <w:bCs/>
                <w:sz w:val="20"/>
                <w:lang w:val="fr-FR"/>
              </w:rPr>
              <w:t>Total</w:t>
            </w:r>
          </w:p>
        </w:tc>
        <w:tc>
          <w:tcPr>
            <w:tcW w:w="1170" w:type="dxa"/>
            <w:shd w:val="clear" w:color="auto" w:fill="DBE5F1" w:themeFill="accent1" w:themeFillTint="33"/>
            <w:noWrap/>
            <w:vAlign w:val="bottom"/>
            <w:hideMark/>
          </w:tcPr>
          <w:p w14:paraId="3CC4717C" w14:textId="77777777" w:rsidR="00EE5979" w:rsidRPr="00BD25B8" w:rsidRDefault="00EE5979" w:rsidP="00527004">
            <w:pPr>
              <w:pStyle w:val="Tabletext"/>
              <w:jc w:val="center"/>
              <w:rPr>
                <w:rFonts w:eastAsiaTheme="minorEastAsia" w:cstheme="minorHAnsi"/>
                <w:b/>
                <w:bCs/>
                <w:sz w:val="20"/>
                <w:lang w:val="fr-FR"/>
              </w:rPr>
            </w:pPr>
            <w:r w:rsidRPr="00BD25B8">
              <w:rPr>
                <w:b/>
                <w:bCs/>
                <w:sz w:val="20"/>
                <w:lang w:val="fr-FR"/>
              </w:rPr>
              <w:t>87</w:t>
            </w:r>
          </w:p>
        </w:tc>
        <w:tc>
          <w:tcPr>
            <w:tcW w:w="1449" w:type="dxa"/>
            <w:shd w:val="clear" w:color="auto" w:fill="DBE5F1" w:themeFill="accent1" w:themeFillTint="33"/>
            <w:noWrap/>
            <w:vAlign w:val="bottom"/>
            <w:hideMark/>
          </w:tcPr>
          <w:p w14:paraId="57427B36"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94 795,3</w:t>
            </w:r>
          </w:p>
        </w:tc>
        <w:tc>
          <w:tcPr>
            <w:tcW w:w="1169" w:type="dxa"/>
            <w:shd w:val="clear" w:color="auto" w:fill="DBE5F1" w:themeFill="accent1" w:themeFillTint="33"/>
            <w:noWrap/>
            <w:vAlign w:val="bottom"/>
            <w:hideMark/>
          </w:tcPr>
          <w:p w14:paraId="2C7DA64D"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6 499,5</w:t>
            </w:r>
          </w:p>
        </w:tc>
        <w:tc>
          <w:tcPr>
            <w:tcW w:w="1169" w:type="dxa"/>
            <w:shd w:val="clear" w:color="auto" w:fill="DBE5F1" w:themeFill="accent1" w:themeFillTint="33"/>
            <w:noWrap/>
            <w:vAlign w:val="bottom"/>
            <w:hideMark/>
          </w:tcPr>
          <w:p w14:paraId="6B61B016"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3 908,7</w:t>
            </w:r>
          </w:p>
        </w:tc>
        <w:tc>
          <w:tcPr>
            <w:tcW w:w="1343" w:type="dxa"/>
            <w:shd w:val="clear" w:color="auto" w:fill="DBE5F1" w:themeFill="accent1" w:themeFillTint="33"/>
            <w:noWrap/>
            <w:vAlign w:val="bottom"/>
            <w:hideMark/>
          </w:tcPr>
          <w:p w14:paraId="1DAD2D36" w14:textId="77777777" w:rsidR="00EE5979" w:rsidRPr="00BD25B8" w:rsidRDefault="00EE5979" w:rsidP="00527004">
            <w:pPr>
              <w:pStyle w:val="Tabletext"/>
              <w:jc w:val="right"/>
              <w:rPr>
                <w:rFonts w:eastAsiaTheme="minorEastAsia" w:cstheme="minorHAnsi"/>
                <w:b/>
                <w:bCs/>
                <w:sz w:val="20"/>
                <w:lang w:val="fr-FR"/>
              </w:rPr>
            </w:pPr>
            <w:r w:rsidRPr="00BD25B8">
              <w:rPr>
                <w:b/>
                <w:bCs/>
                <w:sz w:val="20"/>
                <w:lang w:val="fr-FR"/>
              </w:rPr>
              <w:t>106 402,4</w:t>
            </w:r>
          </w:p>
        </w:tc>
      </w:tr>
    </w:tbl>
    <w:p w14:paraId="4497DFDF" w14:textId="56AA6A7E" w:rsidR="00EE5979" w:rsidRPr="00BD25B8" w:rsidRDefault="00EE5979" w:rsidP="00527004">
      <w:pPr>
        <w:pStyle w:val="Tablelegend"/>
        <w:tabs>
          <w:tab w:val="clear" w:pos="284"/>
          <w:tab w:val="clear" w:pos="567"/>
          <w:tab w:val="clear" w:pos="851"/>
        </w:tabs>
        <w:rPr>
          <w:rFonts w:cstheme="minorHAnsi"/>
          <w:lang w:val="fr-FR"/>
        </w:rPr>
      </w:pPr>
      <w:r w:rsidRPr="00BD25B8">
        <w:rPr>
          <w:sz w:val="20"/>
          <w:lang w:val="fr-FR"/>
        </w:rPr>
        <w:tab/>
      </w:r>
      <w:r w:rsidRPr="00BD25B8">
        <w:rPr>
          <w:lang w:val="fr-FR"/>
        </w:rPr>
        <w:t>(*) Projets multirégionaux dont bénéficient toutes les régions.</w:t>
      </w:r>
    </w:p>
    <w:p w14:paraId="117439EB" w14:textId="20481892" w:rsidR="00EE5979" w:rsidRPr="00BD25B8" w:rsidRDefault="00A6197D" w:rsidP="00A6197D">
      <w:pPr>
        <w:pStyle w:val="Heading2"/>
        <w:rPr>
          <w:lang w:val="fr-FR"/>
        </w:rPr>
      </w:pPr>
      <w:r w:rsidRPr="00BD25B8">
        <w:rPr>
          <w:lang w:val="fr-FR"/>
        </w:rPr>
        <w:lastRenderedPageBreak/>
        <w:t>2.2</w:t>
      </w:r>
      <w:r w:rsidRPr="00BD25B8">
        <w:rPr>
          <w:lang w:val="fr-FR"/>
        </w:rPr>
        <w:tab/>
      </w:r>
      <w:r w:rsidR="00EE5979" w:rsidRPr="00BD25B8">
        <w:rPr>
          <w:lang w:val="fr-FR"/>
        </w:rPr>
        <w:t>Projets signés pendant la période considérée</w:t>
      </w:r>
    </w:p>
    <w:p w14:paraId="32DE9FEC" w14:textId="77777777" w:rsidR="00EE5979" w:rsidRPr="00BD25B8" w:rsidRDefault="00EE5979" w:rsidP="00A6197D">
      <w:pPr>
        <w:rPr>
          <w:rFonts w:cstheme="minorHAnsi"/>
          <w:lang w:val="fr-FR"/>
        </w:rPr>
      </w:pPr>
      <w:r w:rsidRPr="00BD25B8">
        <w:rPr>
          <w:lang w:val="fr-FR"/>
        </w:rPr>
        <w:t>En 2023, l'UIT a signé 23 nouveaux projets au total, d'un montant de 20,9 millions CHF</w:t>
      </w:r>
      <w:r w:rsidRPr="00BD25B8">
        <w:rPr>
          <w:rStyle w:val="FootnoteReference"/>
          <w:rFonts w:cstheme="minorHAnsi"/>
          <w:szCs w:val="18"/>
          <w:lang w:val="fr-FR"/>
        </w:rPr>
        <w:footnoteReference w:id="2"/>
      </w:r>
      <w:r w:rsidRPr="00BD25B8">
        <w:rPr>
          <w:lang w:val="fr-FR"/>
        </w:rPr>
        <w:t>. Ces chiffres confirment la tendance positive observée depuis 2017 relative à l'augmentation des fonds mobilisés par le BDT en faveur des projets (voir la Figure 2). On trouvera la liste des accords correspondants dans le Document INF/2.</w:t>
      </w:r>
    </w:p>
    <w:p w14:paraId="10D0AD26" w14:textId="77777777" w:rsidR="00EE5979" w:rsidRPr="00BD25B8" w:rsidRDefault="00EE5979" w:rsidP="00A6197D">
      <w:pPr>
        <w:pStyle w:val="Figuretitle"/>
        <w:spacing w:before="240" w:after="240"/>
        <w:rPr>
          <w:rFonts w:cstheme="minorHAnsi"/>
          <w:lang w:val="fr-FR"/>
        </w:rPr>
      </w:pPr>
      <w:r w:rsidRPr="00BD25B8">
        <w:rPr>
          <w:lang w:val="fr-FR"/>
        </w:rPr>
        <w:t>Figure 2 – Nouveaux projets signés par l'UIT (2013-2023)</w:t>
      </w:r>
    </w:p>
    <w:p w14:paraId="308F330B" w14:textId="0509DC2A" w:rsidR="00EE5979" w:rsidRPr="00BD25B8" w:rsidRDefault="009D40A2" w:rsidP="009D40A2">
      <w:pPr>
        <w:pStyle w:val="Figure"/>
        <w:rPr>
          <w:lang w:val="fr-FR"/>
        </w:rPr>
      </w:pPr>
      <w:r w:rsidRPr="00BD25B8">
        <w:rPr>
          <w:lang w:val="fr-FR"/>
        </w:rPr>
        <mc:AlternateContent>
          <mc:Choice Requires="wps">
            <w:drawing>
              <wp:anchor distT="0" distB="0" distL="114300" distR="114300" simplePos="0" relativeHeight="251659264" behindDoc="0" locked="0" layoutInCell="1" allowOverlap="1" wp14:anchorId="6380382B" wp14:editId="4FE981A0">
                <wp:simplePos x="0" y="0"/>
                <wp:positionH relativeFrom="column">
                  <wp:posOffset>2315845</wp:posOffset>
                </wp:positionH>
                <wp:positionV relativeFrom="paragraph">
                  <wp:posOffset>2093523</wp:posOffset>
                </wp:positionV>
                <wp:extent cx="2251494" cy="172529"/>
                <wp:effectExtent l="0" t="0" r="0" b="0"/>
                <wp:wrapNone/>
                <wp:docPr id="2033306212" name="Text Box 1"/>
                <wp:cNvGraphicFramePr/>
                <a:graphic xmlns:a="http://schemas.openxmlformats.org/drawingml/2006/main">
                  <a:graphicData uri="http://schemas.microsoft.com/office/word/2010/wordprocessingShape">
                    <wps:wsp>
                      <wps:cNvSpPr txBox="1"/>
                      <wps:spPr>
                        <a:xfrm>
                          <a:off x="0" y="0"/>
                          <a:ext cx="2251494" cy="172529"/>
                        </a:xfrm>
                        <a:prstGeom prst="rect">
                          <a:avLst/>
                        </a:prstGeom>
                        <a:solidFill>
                          <a:schemeClr val="lt1"/>
                        </a:solidFill>
                        <a:ln w="6350">
                          <a:noFill/>
                        </a:ln>
                      </wps:spPr>
                      <wps:txbx>
                        <w:txbxContent>
                          <w:p w14:paraId="550F6925" w14:textId="3D66B685" w:rsidR="009D40A2" w:rsidRPr="009D40A2" w:rsidRDefault="009D40A2" w:rsidP="009D40A2">
                            <w:pPr>
                              <w:spacing w:before="0"/>
                              <w:rPr>
                                <w:lang w:val="fr-FR"/>
                              </w:rPr>
                            </w:pPr>
                            <w:r w:rsidRPr="009D40A2">
                              <w:rPr>
                                <w:rFonts w:cstheme="minorHAnsi"/>
                                <w:sz w:val="18"/>
                                <w:szCs w:val="18"/>
                                <w:lang w:val="fr-CH"/>
                              </w:rPr>
                              <w:t>Financement total des projets signés (en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382B" id="_x0000_t202" coordsize="21600,21600" o:spt="202" path="m,l,21600r21600,l21600,xe">
                <v:stroke joinstyle="miter"/>
                <v:path gradientshapeok="t" o:connecttype="rect"/>
              </v:shapetype>
              <v:shape id="Text Box 1" o:spid="_x0000_s1026" type="#_x0000_t202" style="position:absolute;margin-left:182.35pt;margin-top:164.85pt;width:177.3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" fillcolor="white [3201]" stroked="f" strokeweight=".5pt">
                <v:textbox inset="0,0,0,0">
                  <w:txbxContent>
                    <w:p w14:paraId="550F6925" w14:textId="3D66B685" w:rsidR="009D40A2" w:rsidRPr="009D40A2" w:rsidRDefault="009D40A2" w:rsidP="009D40A2">
                      <w:pPr>
                        <w:spacing w:before="0"/>
                        <w:rPr>
                          <w:lang w:val="fr-FR"/>
                        </w:rPr>
                      </w:pPr>
                      <w:r w:rsidRPr="009D40A2">
                        <w:rPr>
                          <w:rFonts w:cstheme="minorHAnsi"/>
                          <w:sz w:val="18"/>
                          <w:szCs w:val="18"/>
                          <w:lang w:val="fr-CH"/>
                        </w:rPr>
                        <w:t>Financement total des projets signés (en CHF)</w:t>
                      </w:r>
                    </w:p>
                  </w:txbxContent>
                </v:textbox>
              </v:shape>
            </w:pict>
          </mc:Fallback>
        </mc:AlternateContent>
      </w:r>
      <w:r w:rsidR="00EE5979" w:rsidRPr="00BD25B8">
        <w:rPr>
          <w:lang w:val="fr-FR"/>
        </w:rPr>
        <w:drawing>
          <wp:inline distT="0" distB="0" distL="0" distR="0" wp14:anchorId="465FAC30" wp14:editId="5F5D77B1">
            <wp:extent cx="6120765" cy="2366645"/>
            <wp:effectExtent l="0" t="0" r="0" b="0"/>
            <wp:docPr id="78287140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BD8FCD" w14:textId="2633D7C5" w:rsidR="00EE5979" w:rsidRPr="00BD25B8" w:rsidRDefault="00EE5979" w:rsidP="009D40A2">
      <w:pPr>
        <w:rPr>
          <w:rFonts w:cstheme="minorHAnsi"/>
          <w:lang w:val="fr-FR"/>
        </w:rPr>
      </w:pPr>
      <w:r w:rsidRPr="00BD25B8">
        <w:rPr>
          <w:lang w:val="fr-FR"/>
        </w:rPr>
        <w:t>Ces nouveaux projets sont de nature multirégionale, régionale ou nationale. S'agissant des sources de financement, 93% du financement de ces nouveaux projets provient des fonds extrabudgétaires mobilisés par le BDT auprès de tiers, tandis que les 7% restants proviennent de fonds d'amorçage alloués par l'UIT. La Figure 3 est un diagramme montrant le pourcentage des fonds extrabudgétaires et des fonds de l'UIT contribuant au budget des projets.</w:t>
      </w:r>
    </w:p>
    <w:p w14:paraId="7842B497" w14:textId="0D4C0876" w:rsidR="00EE5979" w:rsidRPr="00BD25B8" w:rsidRDefault="00EE5979" w:rsidP="00A6197D">
      <w:pPr>
        <w:pStyle w:val="Figuretitle"/>
        <w:spacing w:before="240" w:after="240"/>
        <w:rPr>
          <w:rFonts w:cstheme="minorHAnsi"/>
          <w:lang w:val="fr-FR"/>
        </w:rPr>
      </w:pPr>
      <w:r w:rsidRPr="00BD25B8">
        <w:rPr>
          <w:lang w:val="fr-FR"/>
        </w:rPr>
        <w:t>Figure 3 – Sources de financement des projets de l'UIT (nouveaux projets signés en 2023)</w:t>
      </w:r>
    </w:p>
    <w:p w14:paraId="3216F9AB" w14:textId="0EDB9AC0" w:rsidR="00EE5979" w:rsidRPr="00BD25B8" w:rsidRDefault="009D40A2" w:rsidP="009D40A2">
      <w:pPr>
        <w:pStyle w:val="Figure"/>
        <w:jc w:val="center"/>
        <w:rPr>
          <w:lang w:val="fr-FR"/>
        </w:rPr>
      </w:pPr>
      <w:r w:rsidRPr="00BD25B8">
        <w:rPr>
          <w:lang w:val="fr-FR"/>
        </w:rPr>
        <mc:AlternateContent>
          <mc:Choice Requires="wps">
            <w:drawing>
              <wp:anchor distT="0" distB="0" distL="114300" distR="114300" simplePos="0" relativeHeight="251661312" behindDoc="0" locked="0" layoutInCell="1" allowOverlap="1" wp14:anchorId="2308AF98" wp14:editId="4BD778F6">
                <wp:simplePos x="0" y="0"/>
                <wp:positionH relativeFrom="column">
                  <wp:posOffset>3867198</wp:posOffset>
                </wp:positionH>
                <wp:positionV relativeFrom="paragraph">
                  <wp:posOffset>560070</wp:posOffset>
                </wp:positionV>
                <wp:extent cx="1173192" cy="181154"/>
                <wp:effectExtent l="0" t="0" r="8255" b="9525"/>
                <wp:wrapNone/>
                <wp:docPr id="1773892413" name="Text Box 1"/>
                <wp:cNvGraphicFramePr/>
                <a:graphic xmlns:a="http://schemas.openxmlformats.org/drawingml/2006/main">
                  <a:graphicData uri="http://schemas.microsoft.com/office/word/2010/wordprocessingShape">
                    <wps:wsp>
                      <wps:cNvSpPr txBox="1"/>
                      <wps:spPr>
                        <a:xfrm>
                          <a:off x="0" y="0"/>
                          <a:ext cx="1173192" cy="181154"/>
                        </a:xfrm>
                        <a:prstGeom prst="rect">
                          <a:avLst/>
                        </a:prstGeom>
                        <a:solidFill>
                          <a:schemeClr val="lt1"/>
                        </a:solidFill>
                        <a:ln w="6350">
                          <a:noFill/>
                        </a:ln>
                      </wps:spPr>
                      <wps:txbx>
                        <w:txbxContent>
                          <w:p w14:paraId="3B796179" w14:textId="02A2BF8F" w:rsidR="009D40A2" w:rsidRPr="009D40A2" w:rsidRDefault="009D40A2" w:rsidP="009D40A2">
                            <w:pPr>
                              <w:spacing w:before="0"/>
                              <w:rPr>
                                <w:lang w:val="fr-FR"/>
                              </w:rPr>
                            </w:pPr>
                            <w:r w:rsidRPr="009D40A2">
                              <w:rPr>
                                <w:rFonts w:cstheme="minorHAnsi"/>
                                <w:noProof/>
                                <w:sz w:val="18"/>
                                <w:szCs w:val="18"/>
                                <w:lang w:val="fr-CH"/>
                              </w:rPr>
                              <w:t>Fonds extrabudgétaires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AF98" id="_x0000_s1027" type="#_x0000_t202" style="position:absolute;left:0;text-align:left;margin-left:304.5pt;margin-top:44.1pt;width:92.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" fillcolor="white [3201]" stroked="f" strokeweight=".5pt">
                <v:textbox inset="0,0,0,0">
                  <w:txbxContent>
                    <w:p w14:paraId="3B796179" w14:textId="02A2BF8F" w:rsidR="009D40A2" w:rsidRPr="009D40A2" w:rsidRDefault="009D40A2" w:rsidP="009D40A2">
                      <w:pPr>
                        <w:spacing w:before="0"/>
                        <w:rPr>
                          <w:lang w:val="fr-FR"/>
                        </w:rPr>
                      </w:pPr>
                      <w:r w:rsidRPr="009D40A2">
                        <w:rPr>
                          <w:rFonts w:cstheme="minorHAnsi"/>
                          <w:noProof/>
                          <w:sz w:val="18"/>
                          <w:szCs w:val="18"/>
                          <w:lang w:val="fr-CH"/>
                        </w:rPr>
                        <w:t>Fonds extrabudgétaires</w:t>
                      </w:r>
                    </w:p>
                  </w:txbxContent>
                </v:textbox>
              </v:shape>
            </w:pict>
          </mc:Fallback>
        </mc:AlternateContent>
      </w:r>
      <w:r w:rsidRPr="00BD25B8">
        <w:rPr>
          <w:lang w:val="fr-FR"/>
        </w:rPr>
        <mc:AlternateContent>
          <mc:Choice Requires="wps">
            <w:drawing>
              <wp:anchor distT="0" distB="0" distL="114300" distR="114300" simplePos="0" relativeHeight="251663360" behindDoc="0" locked="0" layoutInCell="1" allowOverlap="1" wp14:anchorId="5EFCFD4D" wp14:editId="3AC129EF">
                <wp:simplePos x="0" y="0"/>
                <wp:positionH relativeFrom="column">
                  <wp:posOffset>3868049</wp:posOffset>
                </wp:positionH>
                <wp:positionV relativeFrom="paragraph">
                  <wp:posOffset>887730</wp:posOffset>
                </wp:positionV>
                <wp:extent cx="1723079" cy="336430"/>
                <wp:effectExtent l="0" t="0" r="0" b="6985"/>
                <wp:wrapNone/>
                <wp:docPr id="1280456853" name="Text Box 1"/>
                <wp:cNvGraphicFramePr/>
                <a:graphic xmlns:a="http://schemas.openxmlformats.org/drawingml/2006/main">
                  <a:graphicData uri="http://schemas.microsoft.com/office/word/2010/wordprocessingShape">
                    <wps:wsp>
                      <wps:cNvSpPr txBox="1"/>
                      <wps:spPr>
                        <a:xfrm>
                          <a:off x="0" y="0"/>
                          <a:ext cx="1723079" cy="336430"/>
                        </a:xfrm>
                        <a:prstGeom prst="rect">
                          <a:avLst/>
                        </a:prstGeom>
                        <a:solidFill>
                          <a:schemeClr val="lt1"/>
                        </a:solidFill>
                        <a:ln w="6350">
                          <a:noFill/>
                        </a:ln>
                      </wps:spPr>
                      <wps:txbx>
                        <w:txbxContent>
                          <w:p w14:paraId="72A4A05A" w14:textId="4F231B5D" w:rsidR="009D40A2" w:rsidRPr="009D40A2" w:rsidRDefault="009D40A2" w:rsidP="009D40A2">
                            <w:pPr>
                              <w:spacing w:before="0"/>
                              <w:rPr>
                                <w:lang w:val="fr-FR"/>
                              </w:rPr>
                            </w:pPr>
                            <w:r w:rsidRPr="009D40A2">
                              <w:rPr>
                                <w:rFonts w:cstheme="minorHAnsi"/>
                                <w:noProof/>
                                <w:sz w:val="18"/>
                                <w:szCs w:val="18"/>
                                <w:lang w:val="fr-CH"/>
                              </w:rPr>
                              <w:t>Fonds de l'UIT (FDTIC et Fonds alloués aux initiatives régionales)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FD4D" id="_x0000_s1028" type="#_x0000_t202" style="position:absolute;left:0;text-align:left;margin-left:304.55pt;margin-top:69.9pt;width:135.7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" fillcolor="white [3201]" stroked="f" strokeweight=".5pt">
                <v:textbox inset="0,0,0,0">
                  <w:txbxContent>
                    <w:p w14:paraId="72A4A05A" w14:textId="4F231B5D" w:rsidR="009D40A2" w:rsidRPr="009D40A2" w:rsidRDefault="009D40A2" w:rsidP="009D40A2">
                      <w:pPr>
                        <w:spacing w:before="0"/>
                        <w:rPr>
                          <w:lang w:val="fr-FR"/>
                        </w:rPr>
                      </w:pPr>
                      <w:r w:rsidRPr="009D40A2">
                        <w:rPr>
                          <w:rFonts w:cstheme="minorHAnsi"/>
                          <w:noProof/>
                          <w:sz w:val="18"/>
                          <w:szCs w:val="18"/>
                          <w:lang w:val="fr-CH"/>
                        </w:rPr>
                        <w:t>Fonds de l'UIT (FDTIC et Fonds alloués aux initiatives régionales)</w:t>
                      </w:r>
                    </w:p>
                  </w:txbxContent>
                </v:textbox>
              </v:shape>
            </w:pict>
          </mc:Fallback>
        </mc:AlternateContent>
      </w:r>
      <w:r w:rsidR="00EE5979" w:rsidRPr="00BD25B8">
        <w:rPr>
          <w:lang w:val="fr-FR"/>
        </w:rPr>
        <w:drawing>
          <wp:inline distT="0" distB="0" distL="0" distR="0" wp14:anchorId="1FC59B5E" wp14:editId="7AE6255C">
            <wp:extent cx="3957320" cy="1742032"/>
            <wp:effectExtent l="0" t="0" r="5080" b="0"/>
            <wp:docPr id="440717858" name="Chart 1">
              <a:extLst xmlns:a="http://schemas.openxmlformats.org/drawingml/2006/main">
                <a:ext uri="{FF2B5EF4-FFF2-40B4-BE49-F238E27FC236}">
                  <a16:creationId xmlns:a16="http://schemas.microsoft.com/office/drawing/2014/main" id="{7C87DC3D-E7EF-9DBA-F6F2-C4E742E59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089924" w14:textId="252F3242" w:rsidR="00EE5979" w:rsidRPr="00BD25B8" w:rsidRDefault="00A6197D" w:rsidP="00A6197D">
      <w:pPr>
        <w:pStyle w:val="Heading1"/>
        <w:rPr>
          <w:lang w:val="fr-FR"/>
        </w:rPr>
      </w:pPr>
      <w:r w:rsidRPr="00BD25B8">
        <w:rPr>
          <w:lang w:val="fr-FR"/>
        </w:rPr>
        <w:lastRenderedPageBreak/>
        <w:t>3</w:t>
      </w:r>
      <w:r w:rsidRPr="00BD25B8">
        <w:rPr>
          <w:lang w:val="fr-FR"/>
        </w:rPr>
        <w:tab/>
      </w:r>
      <w:r w:rsidR="00EE5979" w:rsidRPr="00BD25B8">
        <w:rPr>
          <w:lang w:val="fr-FR"/>
        </w:rPr>
        <w:t>Point sur l'allocation de fonds à l'appui des initiatives régionales approuvées par la CMDT-22</w:t>
      </w:r>
    </w:p>
    <w:p w14:paraId="24E7D7F7" w14:textId="0304810E" w:rsidR="00EE5979" w:rsidRPr="00BD25B8" w:rsidRDefault="00EE5979" w:rsidP="00A6197D">
      <w:pPr>
        <w:rPr>
          <w:rFonts w:cstheme="minorHAnsi"/>
          <w:lang w:val="fr-FR"/>
        </w:rPr>
      </w:pPr>
      <w:r w:rsidRPr="00BD25B8">
        <w:rPr>
          <w:lang w:val="fr-FR"/>
        </w:rPr>
        <w:t>À la session de 2023 du Conseil de l'UIT, les membres de l'Union ont approuvé le transfert d'un montant de 3 millions CHF du Fonds de roulement des expositions (EWCF) vers le compte de capital du Fonds pour le développement des TIC (FDTIC), afin de fournir des capitaux d'amorçage pour le financement des initiatives régionales</w:t>
      </w:r>
      <w:r w:rsidRPr="00BD25B8">
        <w:rPr>
          <w:rStyle w:val="FootnoteReference"/>
          <w:rFonts w:cstheme="minorHAnsi"/>
          <w:szCs w:val="18"/>
          <w:lang w:val="fr-FR"/>
        </w:rPr>
        <w:footnoteReference w:id="3"/>
      </w:r>
      <w:r w:rsidRPr="00BD25B8">
        <w:rPr>
          <w:lang w:val="fr-FR"/>
        </w:rPr>
        <w:t>.</w:t>
      </w:r>
    </w:p>
    <w:p w14:paraId="6D54E90F" w14:textId="5ED7B2A0" w:rsidR="00EE5979" w:rsidRPr="00BD25B8" w:rsidRDefault="00EE5979" w:rsidP="00A6197D">
      <w:pPr>
        <w:rPr>
          <w:rFonts w:cstheme="minorBidi"/>
          <w:lang w:val="fr-FR"/>
        </w:rPr>
      </w:pPr>
      <w:r w:rsidRPr="00BD25B8">
        <w:rPr>
          <w:lang w:val="fr-FR"/>
        </w:rPr>
        <w:t>Ces fonds ont déjà permis de signer un total de sept projets d'un montant estimé à 4,3 millions CHF (compte tenu uniquement des contributions en espèces versées par les partenaires), en utilisant 1,0 million CHF des fonds alloués par le Conseil (voir la Figure 4). Des informations détaillées sur ces projets sont disponibles sur le portail de l'UIT consacré aux projets</w:t>
      </w:r>
      <w:r w:rsidRPr="00BD25B8">
        <w:rPr>
          <w:rStyle w:val="FootnoteReference"/>
          <w:rFonts w:cstheme="minorHAnsi"/>
          <w:szCs w:val="18"/>
          <w:lang w:val="fr-FR"/>
        </w:rPr>
        <w:footnoteReference w:id="4"/>
      </w:r>
      <w:r w:rsidRPr="00BD25B8">
        <w:rPr>
          <w:lang w:val="fr-FR"/>
        </w:rPr>
        <w:t>.</w:t>
      </w:r>
    </w:p>
    <w:p w14:paraId="6D7DC57B" w14:textId="77777777" w:rsidR="00EE5979" w:rsidRPr="00BD25B8" w:rsidRDefault="00EE5979" w:rsidP="00A6197D">
      <w:pPr>
        <w:pStyle w:val="Figuretitle"/>
        <w:spacing w:before="240" w:after="240"/>
        <w:rPr>
          <w:rFonts w:cstheme="minorHAnsi"/>
          <w:lang w:val="fr-FR"/>
        </w:rPr>
      </w:pPr>
      <w:r w:rsidRPr="00BD25B8">
        <w:rPr>
          <w:lang w:val="fr-FR"/>
        </w:rPr>
        <w:t>Figure 4 – Projets financés au titre des fonds approuvés par le Conseil pour la mise en œuvre des initiatives régionales approuvées par la CMDT-22 (en milliers CHF)</w:t>
      </w:r>
    </w:p>
    <w:tbl>
      <w:tblPr>
        <w:tblW w:w="99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67"/>
        <w:gridCol w:w="2346"/>
        <w:gridCol w:w="886"/>
        <w:gridCol w:w="1379"/>
        <w:gridCol w:w="1029"/>
        <w:gridCol w:w="1029"/>
        <w:gridCol w:w="1029"/>
        <w:gridCol w:w="1110"/>
      </w:tblGrid>
      <w:tr w:rsidR="00EE5979" w:rsidRPr="00BD25B8" w14:paraId="02076F2C" w14:textId="77777777" w:rsidTr="0077550E">
        <w:trPr>
          <w:trHeight w:val="371"/>
          <w:tblHeader/>
        </w:trPr>
        <w:tc>
          <w:tcPr>
            <w:tcW w:w="1167" w:type="dxa"/>
            <w:shd w:val="clear" w:color="auto" w:fill="BFBFBF" w:themeFill="background1" w:themeFillShade="BF"/>
            <w:noWrap/>
            <w:vAlign w:val="center"/>
            <w:hideMark/>
          </w:tcPr>
          <w:p w14:paraId="0D0DE238" w14:textId="77777777" w:rsidR="00EE5979" w:rsidRPr="00BD25B8" w:rsidRDefault="00EE5979" w:rsidP="00A6197D">
            <w:pPr>
              <w:pStyle w:val="Tablehead"/>
              <w:rPr>
                <w:rFonts w:cstheme="minorHAnsi"/>
                <w:sz w:val="18"/>
                <w:szCs w:val="18"/>
                <w:lang w:val="fr-FR"/>
              </w:rPr>
            </w:pPr>
            <w:r w:rsidRPr="00BD25B8">
              <w:rPr>
                <w:sz w:val="18"/>
                <w:szCs w:val="18"/>
                <w:lang w:val="fr-FR"/>
              </w:rPr>
              <w:t>N</w:t>
            </w:r>
            <w:r w:rsidRPr="00BD25B8">
              <w:rPr>
                <w:sz w:val="18"/>
                <w:szCs w:val="18"/>
                <w:vertAlign w:val="superscript"/>
                <w:lang w:val="fr-FR"/>
              </w:rPr>
              <w:t>o</w:t>
            </w:r>
            <w:r w:rsidRPr="00BD25B8">
              <w:rPr>
                <w:sz w:val="18"/>
                <w:szCs w:val="18"/>
                <w:lang w:val="fr-FR"/>
              </w:rPr>
              <w:t xml:space="preserve"> ID du projet</w:t>
            </w:r>
          </w:p>
        </w:tc>
        <w:tc>
          <w:tcPr>
            <w:tcW w:w="2346" w:type="dxa"/>
            <w:shd w:val="clear" w:color="auto" w:fill="BFBFBF" w:themeFill="background1" w:themeFillShade="BF"/>
            <w:noWrap/>
            <w:vAlign w:val="center"/>
            <w:hideMark/>
          </w:tcPr>
          <w:p w14:paraId="68AC2C6C" w14:textId="77777777" w:rsidR="00EE5979" w:rsidRPr="00BD25B8" w:rsidRDefault="00EE5979" w:rsidP="00A6197D">
            <w:pPr>
              <w:pStyle w:val="Tablehead"/>
              <w:rPr>
                <w:rFonts w:cstheme="minorHAnsi"/>
                <w:sz w:val="18"/>
                <w:szCs w:val="18"/>
                <w:lang w:val="fr-FR"/>
              </w:rPr>
            </w:pPr>
            <w:r w:rsidRPr="00BD25B8">
              <w:rPr>
                <w:sz w:val="18"/>
                <w:szCs w:val="18"/>
                <w:lang w:val="fr-FR"/>
              </w:rPr>
              <w:t>Intitulé du projet</w:t>
            </w:r>
          </w:p>
        </w:tc>
        <w:tc>
          <w:tcPr>
            <w:tcW w:w="886" w:type="dxa"/>
            <w:shd w:val="clear" w:color="auto" w:fill="BFBFBF" w:themeFill="background1" w:themeFillShade="BF"/>
            <w:noWrap/>
            <w:vAlign w:val="center"/>
            <w:hideMark/>
          </w:tcPr>
          <w:p w14:paraId="30312046" w14:textId="77777777" w:rsidR="00EE5979" w:rsidRPr="00BD25B8" w:rsidRDefault="00EE5979" w:rsidP="00A6197D">
            <w:pPr>
              <w:pStyle w:val="Tablehead"/>
              <w:rPr>
                <w:rFonts w:cstheme="minorHAnsi"/>
                <w:sz w:val="18"/>
                <w:szCs w:val="18"/>
                <w:lang w:val="fr-FR"/>
              </w:rPr>
            </w:pPr>
            <w:r w:rsidRPr="00BD25B8">
              <w:rPr>
                <w:sz w:val="18"/>
                <w:szCs w:val="18"/>
                <w:lang w:val="fr-FR"/>
              </w:rPr>
              <w:t>Région</w:t>
            </w:r>
          </w:p>
        </w:tc>
        <w:tc>
          <w:tcPr>
            <w:tcW w:w="1379" w:type="dxa"/>
            <w:shd w:val="clear" w:color="auto" w:fill="BFBFBF" w:themeFill="background1" w:themeFillShade="BF"/>
            <w:noWrap/>
            <w:vAlign w:val="center"/>
            <w:hideMark/>
          </w:tcPr>
          <w:p w14:paraId="67AFECA0" w14:textId="77777777" w:rsidR="00EE5979" w:rsidRPr="00BD25B8" w:rsidRDefault="00EE5979" w:rsidP="00A6197D">
            <w:pPr>
              <w:pStyle w:val="Tablehead"/>
              <w:rPr>
                <w:rFonts w:cstheme="minorHAnsi"/>
                <w:sz w:val="18"/>
                <w:szCs w:val="18"/>
                <w:lang w:val="fr-FR"/>
              </w:rPr>
            </w:pPr>
            <w:r w:rsidRPr="00BD25B8">
              <w:rPr>
                <w:sz w:val="18"/>
                <w:szCs w:val="18"/>
                <w:lang w:val="fr-FR"/>
              </w:rPr>
              <w:t>Initiative régionale</w:t>
            </w:r>
          </w:p>
        </w:tc>
        <w:tc>
          <w:tcPr>
            <w:tcW w:w="1029" w:type="dxa"/>
            <w:shd w:val="clear" w:color="auto" w:fill="BFBFBF" w:themeFill="background1" w:themeFillShade="BF"/>
            <w:noWrap/>
            <w:vAlign w:val="center"/>
            <w:hideMark/>
          </w:tcPr>
          <w:p w14:paraId="6315B61A" w14:textId="77777777" w:rsidR="00EE5979" w:rsidRPr="00BD25B8" w:rsidRDefault="00EE5979" w:rsidP="00A6197D">
            <w:pPr>
              <w:pStyle w:val="Tablehead"/>
              <w:rPr>
                <w:rFonts w:cstheme="minorHAnsi"/>
                <w:sz w:val="18"/>
                <w:szCs w:val="18"/>
                <w:lang w:val="fr-FR"/>
              </w:rPr>
            </w:pPr>
            <w:r w:rsidRPr="00BD25B8">
              <w:rPr>
                <w:sz w:val="18"/>
                <w:szCs w:val="18"/>
                <w:lang w:val="fr-FR"/>
              </w:rPr>
              <w:t>Fonds extérieurs</w:t>
            </w:r>
          </w:p>
        </w:tc>
        <w:tc>
          <w:tcPr>
            <w:tcW w:w="1029" w:type="dxa"/>
            <w:shd w:val="clear" w:color="auto" w:fill="BFBFBF" w:themeFill="background1" w:themeFillShade="BF"/>
            <w:noWrap/>
            <w:vAlign w:val="center"/>
            <w:hideMark/>
          </w:tcPr>
          <w:p w14:paraId="52F7E693" w14:textId="77777777" w:rsidR="00EE5979" w:rsidRPr="00BD25B8" w:rsidRDefault="00EE5979" w:rsidP="00A6197D">
            <w:pPr>
              <w:pStyle w:val="Tablehead"/>
              <w:rPr>
                <w:rFonts w:cstheme="minorHAnsi"/>
                <w:sz w:val="18"/>
                <w:szCs w:val="18"/>
                <w:lang w:val="fr-FR"/>
              </w:rPr>
            </w:pPr>
            <w:r w:rsidRPr="00BD25B8">
              <w:rPr>
                <w:sz w:val="18"/>
                <w:szCs w:val="18"/>
                <w:lang w:val="fr-FR"/>
              </w:rPr>
              <w:t>Fonds de l'UIT</w:t>
            </w:r>
          </w:p>
        </w:tc>
        <w:tc>
          <w:tcPr>
            <w:tcW w:w="1029" w:type="dxa"/>
            <w:shd w:val="clear" w:color="auto" w:fill="BFBFBF" w:themeFill="background1" w:themeFillShade="BF"/>
            <w:noWrap/>
            <w:vAlign w:val="center"/>
            <w:hideMark/>
          </w:tcPr>
          <w:p w14:paraId="0B557B29" w14:textId="77777777" w:rsidR="00EE5979" w:rsidRPr="00BD25B8" w:rsidRDefault="00EE5979" w:rsidP="00A6197D">
            <w:pPr>
              <w:pStyle w:val="Tablehead"/>
              <w:rPr>
                <w:rFonts w:cstheme="minorHAnsi"/>
                <w:sz w:val="18"/>
                <w:szCs w:val="18"/>
                <w:lang w:val="fr-FR"/>
              </w:rPr>
            </w:pPr>
            <w:r w:rsidRPr="00BD25B8">
              <w:rPr>
                <w:sz w:val="18"/>
                <w:szCs w:val="18"/>
                <w:lang w:val="fr-FR"/>
              </w:rPr>
              <w:t>Total des fonds</w:t>
            </w:r>
          </w:p>
        </w:tc>
        <w:tc>
          <w:tcPr>
            <w:tcW w:w="1110" w:type="dxa"/>
            <w:shd w:val="clear" w:color="auto" w:fill="BFBFBF" w:themeFill="background1" w:themeFillShade="BF"/>
            <w:noWrap/>
            <w:vAlign w:val="center"/>
            <w:hideMark/>
          </w:tcPr>
          <w:p w14:paraId="69627AA1" w14:textId="77777777" w:rsidR="00EE5979" w:rsidRPr="00BD25B8" w:rsidRDefault="00EE5979" w:rsidP="00A6197D">
            <w:pPr>
              <w:pStyle w:val="Tablehead"/>
              <w:rPr>
                <w:rFonts w:cstheme="minorHAnsi"/>
                <w:sz w:val="18"/>
                <w:szCs w:val="18"/>
                <w:lang w:val="fr-FR"/>
              </w:rPr>
            </w:pPr>
            <w:r w:rsidRPr="00BD25B8">
              <w:rPr>
                <w:sz w:val="18"/>
                <w:szCs w:val="18"/>
                <w:lang w:val="fr-FR"/>
              </w:rPr>
              <w:t>Partenaire</w:t>
            </w:r>
          </w:p>
        </w:tc>
      </w:tr>
      <w:tr w:rsidR="00EE5979" w:rsidRPr="00BD25B8" w14:paraId="4F61C5FB" w14:textId="77777777" w:rsidTr="00A6197D">
        <w:trPr>
          <w:trHeight w:val="371"/>
        </w:trPr>
        <w:tc>
          <w:tcPr>
            <w:tcW w:w="1167" w:type="dxa"/>
            <w:noWrap/>
            <w:vAlign w:val="center"/>
            <w:hideMark/>
          </w:tcPr>
          <w:p w14:paraId="7240A80C"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7RAS24075</w:t>
            </w:r>
          </w:p>
        </w:tc>
        <w:tc>
          <w:tcPr>
            <w:tcW w:w="2346" w:type="dxa"/>
            <w:noWrap/>
            <w:vAlign w:val="center"/>
            <w:hideMark/>
          </w:tcPr>
          <w:p w14:paraId="357BD5FD"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Créer une économie circulaire pour le secteur de l'électronique et de l'électricité en Thaïlande et en Mongolie</w:t>
            </w:r>
          </w:p>
        </w:tc>
        <w:tc>
          <w:tcPr>
            <w:tcW w:w="886" w:type="dxa"/>
            <w:noWrap/>
            <w:vAlign w:val="center"/>
            <w:hideMark/>
          </w:tcPr>
          <w:p w14:paraId="6ACD1E9A"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w:t>
            </w:r>
          </w:p>
        </w:tc>
        <w:tc>
          <w:tcPr>
            <w:tcW w:w="1379" w:type="dxa"/>
            <w:noWrap/>
            <w:vAlign w:val="center"/>
            <w:hideMark/>
          </w:tcPr>
          <w:p w14:paraId="5A1BF606" w14:textId="09B3C8A2" w:rsidR="00EE5979" w:rsidRPr="00BD25B8" w:rsidRDefault="00EE5979" w:rsidP="00A6197D">
            <w:pPr>
              <w:pStyle w:val="Tabletext"/>
              <w:jc w:val="center"/>
              <w:rPr>
                <w:rFonts w:cstheme="minorHAnsi"/>
                <w:sz w:val="18"/>
                <w:szCs w:val="18"/>
                <w:lang w:val="fr-FR"/>
              </w:rPr>
            </w:pPr>
            <w:r w:rsidRPr="00BD25B8">
              <w:rPr>
                <w:sz w:val="18"/>
                <w:szCs w:val="18"/>
                <w:lang w:val="fr-FR"/>
              </w:rPr>
              <w:t xml:space="preserve">ASP2 – </w:t>
            </w:r>
            <w:r w:rsidR="00BA36EB" w:rsidRPr="00BD25B8">
              <w:rPr>
                <w:sz w:val="18"/>
                <w:szCs w:val="18"/>
                <w:lang w:val="fr-FR"/>
              </w:rPr>
              <w:t>Économie</w:t>
            </w:r>
            <w:r w:rsidRPr="00BD25B8">
              <w:rPr>
                <w:sz w:val="18"/>
                <w:szCs w:val="18"/>
                <w:lang w:val="fr-FR"/>
              </w:rPr>
              <w:t xml:space="preserve"> numérique et sociétés numériques inclusives</w:t>
            </w:r>
          </w:p>
        </w:tc>
        <w:tc>
          <w:tcPr>
            <w:tcW w:w="1029" w:type="dxa"/>
            <w:noWrap/>
            <w:vAlign w:val="center"/>
            <w:hideMark/>
          </w:tcPr>
          <w:p w14:paraId="7DBA3C96"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225 280</w:t>
            </w:r>
          </w:p>
        </w:tc>
        <w:tc>
          <w:tcPr>
            <w:tcW w:w="1029" w:type="dxa"/>
            <w:noWrap/>
            <w:vAlign w:val="center"/>
            <w:hideMark/>
          </w:tcPr>
          <w:p w14:paraId="6CB342B9"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52 800</w:t>
            </w:r>
          </w:p>
        </w:tc>
        <w:tc>
          <w:tcPr>
            <w:tcW w:w="1029" w:type="dxa"/>
            <w:noWrap/>
            <w:vAlign w:val="center"/>
            <w:hideMark/>
          </w:tcPr>
          <w:p w14:paraId="34139357"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278 080</w:t>
            </w:r>
          </w:p>
        </w:tc>
        <w:tc>
          <w:tcPr>
            <w:tcW w:w="1110" w:type="dxa"/>
            <w:noWrap/>
            <w:vAlign w:val="center"/>
            <w:hideMark/>
          </w:tcPr>
          <w:p w14:paraId="6E084C3E"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DITRDCA, Australie</w:t>
            </w:r>
          </w:p>
        </w:tc>
      </w:tr>
      <w:tr w:rsidR="00EE5979" w:rsidRPr="00BD25B8" w14:paraId="3121A7CB" w14:textId="77777777" w:rsidTr="00A6197D">
        <w:trPr>
          <w:trHeight w:val="371"/>
        </w:trPr>
        <w:tc>
          <w:tcPr>
            <w:tcW w:w="1167" w:type="dxa"/>
            <w:noWrap/>
            <w:vAlign w:val="center"/>
            <w:hideMark/>
          </w:tcPr>
          <w:p w14:paraId="74F517E8"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7RAS23073</w:t>
            </w:r>
          </w:p>
        </w:tc>
        <w:tc>
          <w:tcPr>
            <w:tcW w:w="2346" w:type="dxa"/>
            <w:noWrap/>
            <w:vAlign w:val="center"/>
            <w:hideMark/>
          </w:tcPr>
          <w:p w14:paraId="79A3046E"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Stratégies pour la cybersécurité dans la région du Pacifique</w:t>
            </w:r>
          </w:p>
        </w:tc>
        <w:tc>
          <w:tcPr>
            <w:tcW w:w="886" w:type="dxa"/>
            <w:noWrap/>
            <w:vAlign w:val="center"/>
            <w:hideMark/>
          </w:tcPr>
          <w:p w14:paraId="7DEDF88D"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w:t>
            </w:r>
          </w:p>
        </w:tc>
        <w:tc>
          <w:tcPr>
            <w:tcW w:w="1379" w:type="dxa"/>
            <w:noWrap/>
            <w:vAlign w:val="center"/>
            <w:hideMark/>
          </w:tcPr>
          <w:p w14:paraId="2D653E86"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ASP5 – TIC sûres et résilientes</w:t>
            </w:r>
          </w:p>
        </w:tc>
        <w:tc>
          <w:tcPr>
            <w:tcW w:w="1029" w:type="dxa"/>
            <w:noWrap/>
            <w:vAlign w:val="center"/>
            <w:hideMark/>
          </w:tcPr>
          <w:p w14:paraId="201C538D"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132 000</w:t>
            </w:r>
          </w:p>
        </w:tc>
        <w:tc>
          <w:tcPr>
            <w:tcW w:w="1029" w:type="dxa"/>
            <w:noWrap/>
            <w:vAlign w:val="center"/>
            <w:hideMark/>
          </w:tcPr>
          <w:p w14:paraId="79BE1CE3"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33 000</w:t>
            </w:r>
          </w:p>
        </w:tc>
        <w:tc>
          <w:tcPr>
            <w:tcW w:w="1029" w:type="dxa"/>
            <w:noWrap/>
            <w:vAlign w:val="center"/>
            <w:hideMark/>
          </w:tcPr>
          <w:p w14:paraId="0D673A69"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165 000</w:t>
            </w:r>
          </w:p>
        </w:tc>
        <w:tc>
          <w:tcPr>
            <w:tcW w:w="1110" w:type="dxa"/>
            <w:noWrap/>
            <w:vAlign w:val="center"/>
            <w:hideMark/>
          </w:tcPr>
          <w:p w14:paraId="4C38910E"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MIC, Japon</w:t>
            </w:r>
          </w:p>
        </w:tc>
      </w:tr>
      <w:tr w:rsidR="00EE5979" w:rsidRPr="00BD25B8" w14:paraId="63BD81A0" w14:textId="77777777" w:rsidTr="00A6197D">
        <w:trPr>
          <w:trHeight w:val="371"/>
        </w:trPr>
        <w:tc>
          <w:tcPr>
            <w:tcW w:w="1167" w:type="dxa"/>
            <w:noWrap/>
            <w:vAlign w:val="center"/>
            <w:hideMark/>
          </w:tcPr>
          <w:p w14:paraId="732EEB30"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7RAS24074</w:t>
            </w:r>
          </w:p>
        </w:tc>
        <w:tc>
          <w:tcPr>
            <w:tcW w:w="2346" w:type="dxa"/>
            <w:noWrap/>
            <w:vAlign w:val="center"/>
            <w:hideMark/>
          </w:tcPr>
          <w:p w14:paraId="6A018579" w14:textId="705D1AA2" w:rsidR="00EE5979" w:rsidRPr="00BD25B8" w:rsidRDefault="00EE5979" w:rsidP="00A6197D">
            <w:pPr>
              <w:pStyle w:val="Tabletext"/>
              <w:jc w:val="center"/>
              <w:rPr>
                <w:rFonts w:cstheme="minorHAnsi"/>
                <w:sz w:val="18"/>
                <w:szCs w:val="18"/>
                <w:lang w:val="fr-FR"/>
              </w:rPr>
            </w:pPr>
            <w:r w:rsidRPr="00BD25B8">
              <w:rPr>
                <w:sz w:val="18"/>
                <w:szCs w:val="18"/>
                <w:lang w:val="fr-FR"/>
              </w:rPr>
              <w:t>Améliorer l'infrastructure TIC résiliente en Asie</w:t>
            </w:r>
            <w:r w:rsidR="00BA36EB" w:rsidRPr="00BD25B8">
              <w:rPr>
                <w:sz w:val="18"/>
                <w:szCs w:val="18"/>
                <w:lang w:val="fr-FR"/>
              </w:rPr>
              <w:noBreakHyphen/>
            </w:r>
            <w:r w:rsidRPr="00BD25B8">
              <w:rPr>
                <w:sz w:val="18"/>
                <w:szCs w:val="18"/>
                <w:lang w:val="fr-FR"/>
              </w:rPr>
              <w:t>Pacifique (deuxième</w:t>
            </w:r>
            <w:r w:rsidR="00BA36EB" w:rsidRPr="00BD25B8">
              <w:rPr>
                <w:sz w:val="18"/>
                <w:szCs w:val="18"/>
                <w:lang w:val="fr-FR"/>
              </w:rPr>
              <w:t> </w:t>
            </w:r>
            <w:r w:rsidRPr="00BD25B8">
              <w:rPr>
                <w:sz w:val="18"/>
                <w:szCs w:val="18"/>
                <w:lang w:val="fr-FR"/>
              </w:rPr>
              <w:t>phase)</w:t>
            </w:r>
          </w:p>
        </w:tc>
        <w:tc>
          <w:tcPr>
            <w:tcW w:w="886" w:type="dxa"/>
            <w:noWrap/>
            <w:vAlign w:val="center"/>
            <w:hideMark/>
          </w:tcPr>
          <w:p w14:paraId="576A68AB"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w:t>
            </w:r>
          </w:p>
        </w:tc>
        <w:tc>
          <w:tcPr>
            <w:tcW w:w="1379" w:type="dxa"/>
            <w:noWrap/>
            <w:vAlign w:val="center"/>
            <w:hideMark/>
          </w:tcPr>
          <w:p w14:paraId="283E4FAC"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ASP5 – TIC sûres et résilientes</w:t>
            </w:r>
          </w:p>
        </w:tc>
        <w:tc>
          <w:tcPr>
            <w:tcW w:w="1029" w:type="dxa"/>
            <w:noWrap/>
            <w:vAlign w:val="center"/>
            <w:hideMark/>
          </w:tcPr>
          <w:p w14:paraId="7983545F"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132 000</w:t>
            </w:r>
          </w:p>
        </w:tc>
        <w:tc>
          <w:tcPr>
            <w:tcW w:w="1029" w:type="dxa"/>
            <w:noWrap/>
            <w:vAlign w:val="center"/>
            <w:hideMark/>
          </w:tcPr>
          <w:p w14:paraId="3E48A704"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33 000</w:t>
            </w:r>
          </w:p>
        </w:tc>
        <w:tc>
          <w:tcPr>
            <w:tcW w:w="1029" w:type="dxa"/>
            <w:noWrap/>
            <w:vAlign w:val="center"/>
            <w:hideMark/>
          </w:tcPr>
          <w:p w14:paraId="043C0A84"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165 000</w:t>
            </w:r>
          </w:p>
        </w:tc>
        <w:tc>
          <w:tcPr>
            <w:tcW w:w="1110" w:type="dxa"/>
            <w:noWrap/>
            <w:vAlign w:val="center"/>
            <w:hideMark/>
          </w:tcPr>
          <w:p w14:paraId="0E6C1710"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MIC, Japon</w:t>
            </w:r>
          </w:p>
        </w:tc>
      </w:tr>
      <w:tr w:rsidR="00EE5979" w:rsidRPr="00BD25B8" w14:paraId="25FA5FEA" w14:textId="77777777" w:rsidTr="00A6197D">
        <w:trPr>
          <w:trHeight w:val="371"/>
        </w:trPr>
        <w:tc>
          <w:tcPr>
            <w:tcW w:w="1167" w:type="dxa"/>
            <w:noWrap/>
            <w:vAlign w:val="center"/>
            <w:hideMark/>
          </w:tcPr>
          <w:p w14:paraId="7822B588"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7RAS24076</w:t>
            </w:r>
          </w:p>
        </w:tc>
        <w:tc>
          <w:tcPr>
            <w:tcW w:w="2346" w:type="dxa"/>
            <w:noWrap/>
            <w:vAlign w:val="center"/>
            <w:hideMark/>
          </w:tcPr>
          <w:p w14:paraId="669B1D83" w14:textId="3ED3A31A" w:rsidR="00EE5979" w:rsidRPr="00BD25B8" w:rsidRDefault="00EE5979" w:rsidP="00A6197D">
            <w:pPr>
              <w:pStyle w:val="Tabletext"/>
              <w:jc w:val="center"/>
              <w:rPr>
                <w:rFonts w:cstheme="minorHAnsi"/>
                <w:sz w:val="18"/>
                <w:szCs w:val="18"/>
                <w:lang w:val="fr-FR"/>
              </w:rPr>
            </w:pPr>
            <w:r w:rsidRPr="00BD25B8">
              <w:rPr>
                <w:sz w:val="18"/>
                <w:szCs w:val="18"/>
                <w:lang w:val="fr-FR"/>
              </w:rPr>
              <w:t>Étude de faisabilité: Répondre aux besoins particuliers des petits États insulaires en développement du Pacifique en matière de télécommunication/TIC</w:t>
            </w:r>
          </w:p>
        </w:tc>
        <w:tc>
          <w:tcPr>
            <w:tcW w:w="886" w:type="dxa"/>
            <w:noWrap/>
            <w:vAlign w:val="center"/>
            <w:hideMark/>
          </w:tcPr>
          <w:p w14:paraId="67C81536"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w:t>
            </w:r>
          </w:p>
        </w:tc>
        <w:tc>
          <w:tcPr>
            <w:tcW w:w="1379" w:type="dxa"/>
            <w:noWrap/>
            <w:vAlign w:val="center"/>
            <w:hideMark/>
          </w:tcPr>
          <w:p w14:paraId="01E2A4AB"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ASP1 – Besoins particuliers des PMA, des PEID et des PDSL</w:t>
            </w:r>
          </w:p>
        </w:tc>
        <w:tc>
          <w:tcPr>
            <w:tcW w:w="1029" w:type="dxa"/>
            <w:noWrap/>
            <w:vAlign w:val="center"/>
            <w:hideMark/>
          </w:tcPr>
          <w:p w14:paraId="6ED3E4BF"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501 526</w:t>
            </w:r>
          </w:p>
        </w:tc>
        <w:tc>
          <w:tcPr>
            <w:tcW w:w="1029" w:type="dxa"/>
            <w:noWrap/>
            <w:vAlign w:val="center"/>
            <w:hideMark/>
          </w:tcPr>
          <w:p w14:paraId="51FB6F2B"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166 320</w:t>
            </w:r>
          </w:p>
        </w:tc>
        <w:tc>
          <w:tcPr>
            <w:tcW w:w="1029" w:type="dxa"/>
            <w:noWrap/>
            <w:vAlign w:val="center"/>
            <w:hideMark/>
          </w:tcPr>
          <w:p w14:paraId="35E4B83D"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667 846</w:t>
            </w:r>
          </w:p>
        </w:tc>
        <w:tc>
          <w:tcPr>
            <w:tcW w:w="1110" w:type="dxa"/>
            <w:noWrap/>
            <w:vAlign w:val="center"/>
            <w:hideMark/>
          </w:tcPr>
          <w:p w14:paraId="227CBA0E"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DITRDCA, Australie</w:t>
            </w:r>
          </w:p>
        </w:tc>
      </w:tr>
      <w:tr w:rsidR="00EE5979" w:rsidRPr="00BD25B8" w14:paraId="7328618B" w14:textId="77777777" w:rsidTr="00A6197D">
        <w:trPr>
          <w:trHeight w:val="371"/>
        </w:trPr>
        <w:tc>
          <w:tcPr>
            <w:tcW w:w="1167" w:type="dxa"/>
            <w:noWrap/>
            <w:vAlign w:val="center"/>
            <w:hideMark/>
          </w:tcPr>
          <w:p w14:paraId="113E49A9"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7RAS23072</w:t>
            </w:r>
          </w:p>
        </w:tc>
        <w:tc>
          <w:tcPr>
            <w:tcW w:w="2346" w:type="dxa"/>
            <w:noWrap/>
            <w:vAlign w:val="center"/>
            <w:hideMark/>
          </w:tcPr>
          <w:p w14:paraId="1D9C8DF8"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Accélérer la transformation numérique en Asie-Pacifique</w:t>
            </w:r>
          </w:p>
        </w:tc>
        <w:tc>
          <w:tcPr>
            <w:tcW w:w="886" w:type="dxa"/>
            <w:noWrap/>
            <w:vAlign w:val="center"/>
            <w:hideMark/>
          </w:tcPr>
          <w:p w14:paraId="19FF3811"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ASP</w:t>
            </w:r>
          </w:p>
        </w:tc>
        <w:tc>
          <w:tcPr>
            <w:tcW w:w="1379" w:type="dxa"/>
            <w:noWrap/>
            <w:vAlign w:val="center"/>
            <w:hideMark/>
          </w:tcPr>
          <w:p w14:paraId="6F1696E6" w14:textId="1A90BCA5" w:rsidR="00EE5979" w:rsidRPr="00BD25B8" w:rsidRDefault="00EE5979" w:rsidP="00A6197D">
            <w:pPr>
              <w:pStyle w:val="Tabletext"/>
              <w:jc w:val="center"/>
              <w:rPr>
                <w:rFonts w:cstheme="minorHAnsi"/>
                <w:sz w:val="18"/>
                <w:szCs w:val="18"/>
                <w:lang w:val="fr-FR"/>
              </w:rPr>
            </w:pPr>
            <w:r w:rsidRPr="00BD25B8">
              <w:rPr>
                <w:sz w:val="18"/>
                <w:szCs w:val="18"/>
                <w:lang w:val="fr-FR"/>
              </w:rPr>
              <w:t xml:space="preserve">ASP2 – </w:t>
            </w:r>
            <w:r w:rsidR="00BA36EB" w:rsidRPr="00BD25B8">
              <w:rPr>
                <w:sz w:val="18"/>
                <w:szCs w:val="18"/>
                <w:lang w:val="fr-FR"/>
              </w:rPr>
              <w:t>Économie</w:t>
            </w:r>
            <w:r w:rsidRPr="00BD25B8">
              <w:rPr>
                <w:sz w:val="18"/>
                <w:szCs w:val="18"/>
                <w:lang w:val="fr-FR"/>
              </w:rPr>
              <w:t xml:space="preserve"> numérique et sociétés numériques inclusives</w:t>
            </w:r>
          </w:p>
        </w:tc>
        <w:tc>
          <w:tcPr>
            <w:tcW w:w="1029" w:type="dxa"/>
            <w:noWrap/>
            <w:vAlign w:val="center"/>
            <w:hideMark/>
          </w:tcPr>
          <w:p w14:paraId="50A7F4A2"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337 500</w:t>
            </w:r>
          </w:p>
        </w:tc>
        <w:tc>
          <w:tcPr>
            <w:tcW w:w="1029" w:type="dxa"/>
            <w:noWrap/>
            <w:vAlign w:val="center"/>
            <w:hideMark/>
          </w:tcPr>
          <w:p w14:paraId="5660C716"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67 500</w:t>
            </w:r>
          </w:p>
        </w:tc>
        <w:tc>
          <w:tcPr>
            <w:tcW w:w="1029" w:type="dxa"/>
            <w:noWrap/>
            <w:vAlign w:val="center"/>
            <w:hideMark/>
          </w:tcPr>
          <w:p w14:paraId="59C287D5"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405 000</w:t>
            </w:r>
          </w:p>
        </w:tc>
        <w:tc>
          <w:tcPr>
            <w:tcW w:w="1110" w:type="dxa"/>
            <w:noWrap/>
            <w:vAlign w:val="center"/>
            <w:hideMark/>
          </w:tcPr>
          <w:p w14:paraId="16E1E55A"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DITRDCA, Australie</w:t>
            </w:r>
          </w:p>
        </w:tc>
      </w:tr>
      <w:tr w:rsidR="00EE5979" w:rsidRPr="00BD25B8" w14:paraId="35DB529E" w14:textId="77777777" w:rsidTr="00A6197D">
        <w:trPr>
          <w:trHeight w:val="371"/>
        </w:trPr>
        <w:tc>
          <w:tcPr>
            <w:tcW w:w="1167" w:type="dxa"/>
            <w:noWrap/>
            <w:vAlign w:val="center"/>
          </w:tcPr>
          <w:p w14:paraId="6F330602"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7GLO23132</w:t>
            </w:r>
          </w:p>
        </w:tc>
        <w:tc>
          <w:tcPr>
            <w:tcW w:w="2346" w:type="dxa"/>
            <w:noWrap/>
            <w:vAlign w:val="center"/>
          </w:tcPr>
          <w:p w14:paraId="137A65F4"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Programme "jeunes chefs de file" dans le cadre de l'initiative Generation Connect</w:t>
            </w:r>
          </w:p>
        </w:tc>
        <w:tc>
          <w:tcPr>
            <w:tcW w:w="886" w:type="dxa"/>
            <w:noWrap/>
            <w:vAlign w:val="center"/>
          </w:tcPr>
          <w:p w14:paraId="59A5F26B"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Plusieurs régions</w:t>
            </w:r>
          </w:p>
        </w:tc>
        <w:tc>
          <w:tcPr>
            <w:tcW w:w="1379" w:type="dxa"/>
            <w:noWrap/>
            <w:vAlign w:val="center"/>
          </w:tcPr>
          <w:p w14:paraId="4E51D63A"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Plusieurs régions</w:t>
            </w:r>
          </w:p>
        </w:tc>
        <w:tc>
          <w:tcPr>
            <w:tcW w:w="1029" w:type="dxa"/>
            <w:noWrap/>
            <w:vAlign w:val="center"/>
          </w:tcPr>
          <w:p w14:paraId="3494435E"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1 104 976</w:t>
            </w:r>
          </w:p>
        </w:tc>
        <w:tc>
          <w:tcPr>
            <w:tcW w:w="1029" w:type="dxa"/>
            <w:noWrap/>
            <w:vAlign w:val="center"/>
          </w:tcPr>
          <w:p w14:paraId="36E92DE3"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440 000</w:t>
            </w:r>
          </w:p>
        </w:tc>
        <w:tc>
          <w:tcPr>
            <w:tcW w:w="1029" w:type="dxa"/>
            <w:noWrap/>
            <w:vAlign w:val="center"/>
          </w:tcPr>
          <w:p w14:paraId="2A9234E8"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1 544 976</w:t>
            </w:r>
          </w:p>
        </w:tc>
        <w:tc>
          <w:tcPr>
            <w:tcW w:w="1110" w:type="dxa"/>
            <w:noWrap/>
            <w:vAlign w:val="center"/>
          </w:tcPr>
          <w:p w14:paraId="46048125"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Huawei</w:t>
            </w:r>
          </w:p>
        </w:tc>
      </w:tr>
      <w:tr w:rsidR="00EE5979" w:rsidRPr="00BD25B8" w14:paraId="506D68FD" w14:textId="77777777" w:rsidTr="00A6197D">
        <w:trPr>
          <w:trHeight w:val="371"/>
        </w:trPr>
        <w:tc>
          <w:tcPr>
            <w:tcW w:w="1167" w:type="dxa"/>
            <w:noWrap/>
            <w:vAlign w:val="center"/>
          </w:tcPr>
          <w:p w14:paraId="39FD39A3"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lastRenderedPageBreak/>
              <w:t>7GLO23133</w:t>
            </w:r>
          </w:p>
        </w:tc>
        <w:tc>
          <w:tcPr>
            <w:tcW w:w="2346" w:type="dxa"/>
            <w:noWrap/>
            <w:vAlign w:val="center"/>
          </w:tcPr>
          <w:p w14:paraId="4298EB92"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Renforcer les compétences numériques au moyen des Centres de transformation numérique (DTC) – Deuxième phase</w:t>
            </w:r>
          </w:p>
        </w:tc>
        <w:tc>
          <w:tcPr>
            <w:tcW w:w="886" w:type="dxa"/>
            <w:noWrap/>
            <w:vAlign w:val="center"/>
          </w:tcPr>
          <w:p w14:paraId="7F921335"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Plusieurs régions</w:t>
            </w:r>
          </w:p>
        </w:tc>
        <w:tc>
          <w:tcPr>
            <w:tcW w:w="1379" w:type="dxa"/>
            <w:noWrap/>
            <w:vAlign w:val="center"/>
          </w:tcPr>
          <w:p w14:paraId="21F7C9EC"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Plusieurs régions</w:t>
            </w:r>
          </w:p>
        </w:tc>
        <w:tc>
          <w:tcPr>
            <w:tcW w:w="1029" w:type="dxa"/>
            <w:noWrap/>
            <w:vAlign w:val="center"/>
          </w:tcPr>
          <w:p w14:paraId="3A0A2B57"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832 000</w:t>
            </w:r>
          </w:p>
        </w:tc>
        <w:tc>
          <w:tcPr>
            <w:tcW w:w="1029" w:type="dxa"/>
            <w:noWrap/>
            <w:vAlign w:val="center"/>
          </w:tcPr>
          <w:p w14:paraId="332D82D2"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268 000</w:t>
            </w:r>
          </w:p>
        </w:tc>
        <w:tc>
          <w:tcPr>
            <w:tcW w:w="1029" w:type="dxa"/>
            <w:noWrap/>
            <w:vAlign w:val="center"/>
          </w:tcPr>
          <w:p w14:paraId="74008070"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1 100 000</w:t>
            </w:r>
          </w:p>
        </w:tc>
        <w:tc>
          <w:tcPr>
            <w:tcW w:w="1110" w:type="dxa"/>
            <w:noWrap/>
            <w:vAlign w:val="center"/>
          </w:tcPr>
          <w:p w14:paraId="524C33D6" w14:textId="77777777" w:rsidR="00EE5979" w:rsidRPr="00BD25B8" w:rsidRDefault="00EE5979" w:rsidP="00A6197D">
            <w:pPr>
              <w:pStyle w:val="Tabletext"/>
              <w:jc w:val="center"/>
              <w:rPr>
                <w:rFonts w:cstheme="minorHAnsi"/>
                <w:sz w:val="18"/>
                <w:szCs w:val="18"/>
                <w:lang w:val="fr-FR"/>
              </w:rPr>
            </w:pPr>
            <w:r w:rsidRPr="00BD25B8">
              <w:rPr>
                <w:sz w:val="18"/>
                <w:szCs w:val="18"/>
                <w:lang w:val="fr-FR"/>
              </w:rPr>
              <w:t>NORAD, Norvège</w:t>
            </w:r>
          </w:p>
        </w:tc>
      </w:tr>
      <w:tr w:rsidR="00EE5979" w:rsidRPr="00BD25B8" w14:paraId="0AD88295" w14:textId="77777777" w:rsidTr="00A6197D">
        <w:trPr>
          <w:trHeight w:val="371"/>
        </w:trPr>
        <w:tc>
          <w:tcPr>
            <w:tcW w:w="1167" w:type="dxa"/>
            <w:shd w:val="clear" w:color="auto" w:fill="D9D9D9" w:themeFill="background1" w:themeFillShade="D9"/>
            <w:noWrap/>
            <w:vAlign w:val="center"/>
          </w:tcPr>
          <w:p w14:paraId="1061A05C" w14:textId="77777777" w:rsidR="00EE5979" w:rsidRPr="00BD25B8" w:rsidRDefault="00EE5979" w:rsidP="00A6197D">
            <w:pPr>
              <w:pStyle w:val="Tabletext"/>
              <w:jc w:val="center"/>
              <w:rPr>
                <w:rFonts w:cstheme="minorHAnsi"/>
                <w:b/>
                <w:bCs/>
                <w:sz w:val="18"/>
                <w:szCs w:val="18"/>
                <w:lang w:val="fr-FR"/>
              </w:rPr>
            </w:pPr>
          </w:p>
        </w:tc>
        <w:tc>
          <w:tcPr>
            <w:tcW w:w="2346" w:type="dxa"/>
            <w:shd w:val="clear" w:color="auto" w:fill="D9D9D9" w:themeFill="background1" w:themeFillShade="D9"/>
            <w:noWrap/>
            <w:vAlign w:val="center"/>
          </w:tcPr>
          <w:p w14:paraId="0C5192DC" w14:textId="77777777" w:rsidR="00EE5979" w:rsidRPr="00BD25B8" w:rsidRDefault="00EE5979" w:rsidP="00A6197D">
            <w:pPr>
              <w:pStyle w:val="Tabletext"/>
              <w:jc w:val="center"/>
              <w:rPr>
                <w:rFonts w:cstheme="minorHAnsi"/>
                <w:b/>
                <w:bCs/>
                <w:sz w:val="18"/>
                <w:szCs w:val="18"/>
                <w:lang w:val="fr-FR"/>
              </w:rPr>
            </w:pPr>
            <w:r w:rsidRPr="00BD25B8">
              <w:rPr>
                <w:b/>
                <w:bCs/>
                <w:sz w:val="18"/>
                <w:szCs w:val="18"/>
                <w:lang w:val="fr-FR"/>
              </w:rPr>
              <w:t>Total</w:t>
            </w:r>
          </w:p>
        </w:tc>
        <w:tc>
          <w:tcPr>
            <w:tcW w:w="886" w:type="dxa"/>
            <w:shd w:val="clear" w:color="auto" w:fill="D9D9D9" w:themeFill="background1" w:themeFillShade="D9"/>
            <w:noWrap/>
            <w:vAlign w:val="center"/>
          </w:tcPr>
          <w:p w14:paraId="307BC68F" w14:textId="77777777" w:rsidR="00EE5979" w:rsidRPr="00BD25B8" w:rsidRDefault="00EE5979" w:rsidP="00A6197D">
            <w:pPr>
              <w:pStyle w:val="Tabletext"/>
              <w:jc w:val="center"/>
              <w:rPr>
                <w:rFonts w:cstheme="minorHAnsi"/>
                <w:b/>
                <w:bCs/>
                <w:sz w:val="18"/>
                <w:szCs w:val="18"/>
                <w:lang w:val="fr-FR"/>
              </w:rPr>
            </w:pPr>
          </w:p>
        </w:tc>
        <w:tc>
          <w:tcPr>
            <w:tcW w:w="1379" w:type="dxa"/>
            <w:shd w:val="clear" w:color="auto" w:fill="D9D9D9" w:themeFill="background1" w:themeFillShade="D9"/>
            <w:noWrap/>
            <w:vAlign w:val="center"/>
          </w:tcPr>
          <w:p w14:paraId="177D1E1D" w14:textId="77777777" w:rsidR="00EE5979" w:rsidRPr="00BD25B8" w:rsidRDefault="00EE5979" w:rsidP="00A6197D">
            <w:pPr>
              <w:pStyle w:val="Tabletext"/>
              <w:jc w:val="center"/>
              <w:rPr>
                <w:rFonts w:cstheme="minorHAnsi"/>
                <w:b/>
                <w:bCs/>
                <w:sz w:val="18"/>
                <w:szCs w:val="18"/>
                <w:lang w:val="fr-FR"/>
              </w:rPr>
            </w:pPr>
          </w:p>
        </w:tc>
        <w:tc>
          <w:tcPr>
            <w:tcW w:w="1029" w:type="dxa"/>
            <w:shd w:val="clear" w:color="auto" w:fill="D9D9D9" w:themeFill="background1" w:themeFillShade="D9"/>
            <w:noWrap/>
            <w:vAlign w:val="center"/>
          </w:tcPr>
          <w:p w14:paraId="35F900EC" w14:textId="77777777" w:rsidR="00EE5979" w:rsidRPr="00BD25B8" w:rsidRDefault="00EE5979" w:rsidP="00A6197D">
            <w:pPr>
              <w:pStyle w:val="Tabletext"/>
              <w:jc w:val="center"/>
              <w:rPr>
                <w:rFonts w:cstheme="minorHAnsi"/>
                <w:b/>
                <w:bCs/>
                <w:sz w:val="18"/>
                <w:szCs w:val="18"/>
                <w:lang w:val="fr-FR"/>
              </w:rPr>
            </w:pPr>
            <w:r w:rsidRPr="00BD25B8">
              <w:rPr>
                <w:b/>
                <w:bCs/>
                <w:sz w:val="18"/>
                <w:szCs w:val="18"/>
                <w:lang w:val="fr-FR"/>
              </w:rPr>
              <w:t>3 265 282</w:t>
            </w:r>
          </w:p>
        </w:tc>
        <w:tc>
          <w:tcPr>
            <w:tcW w:w="1029" w:type="dxa"/>
            <w:shd w:val="clear" w:color="auto" w:fill="D9D9D9" w:themeFill="background1" w:themeFillShade="D9"/>
            <w:noWrap/>
            <w:vAlign w:val="center"/>
          </w:tcPr>
          <w:p w14:paraId="2CA53507" w14:textId="77777777" w:rsidR="00EE5979" w:rsidRPr="00BD25B8" w:rsidRDefault="00EE5979" w:rsidP="00A6197D">
            <w:pPr>
              <w:pStyle w:val="Tabletext"/>
              <w:jc w:val="center"/>
              <w:rPr>
                <w:rFonts w:cstheme="minorHAnsi"/>
                <w:b/>
                <w:bCs/>
                <w:sz w:val="18"/>
                <w:szCs w:val="18"/>
                <w:lang w:val="fr-FR"/>
              </w:rPr>
            </w:pPr>
            <w:r w:rsidRPr="00BD25B8">
              <w:rPr>
                <w:b/>
                <w:bCs/>
                <w:sz w:val="18"/>
                <w:szCs w:val="18"/>
                <w:lang w:val="fr-FR"/>
              </w:rPr>
              <w:t>1 060 620</w:t>
            </w:r>
          </w:p>
        </w:tc>
        <w:tc>
          <w:tcPr>
            <w:tcW w:w="1029" w:type="dxa"/>
            <w:shd w:val="clear" w:color="auto" w:fill="D9D9D9" w:themeFill="background1" w:themeFillShade="D9"/>
            <w:noWrap/>
            <w:vAlign w:val="center"/>
          </w:tcPr>
          <w:p w14:paraId="58F01878" w14:textId="77777777" w:rsidR="00EE5979" w:rsidRPr="00BD25B8" w:rsidRDefault="00EE5979" w:rsidP="00A6197D">
            <w:pPr>
              <w:pStyle w:val="Tabletext"/>
              <w:jc w:val="center"/>
              <w:rPr>
                <w:rFonts w:cstheme="minorHAnsi"/>
                <w:b/>
                <w:bCs/>
                <w:sz w:val="18"/>
                <w:szCs w:val="18"/>
                <w:lang w:val="fr-FR"/>
              </w:rPr>
            </w:pPr>
            <w:r w:rsidRPr="00BD25B8">
              <w:rPr>
                <w:b/>
                <w:bCs/>
                <w:sz w:val="18"/>
                <w:szCs w:val="18"/>
                <w:lang w:val="fr-FR"/>
              </w:rPr>
              <w:t>4 325 902</w:t>
            </w:r>
          </w:p>
        </w:tc>
        <w:tc>
          <w:tcPr>
            <w:tcW w:w="1110" w:type="dxa"/>
            <w:shd w:val="clear" w:color="auto" w:fill="D9D9D9" w:themeFill="background1" w:themeFillShade="D9"/>
            <w:noWrap/>
            <w:vAlign w:val="center"/>
          </w:tcPr>
          <w:p w14:paraId="0DE7A603" w14:textId="77777777" w:rsidR="00EE5979" w:rsidRPr="00BD25B8" w:rsidRDefault="00EE5979" w:rsidP="00A6197D">
            <w:pPr>
              <w:pStyle w:val="Tabletext"/>
              <w:jc w:val="center"/>
              <w:rPr>
                <w:rFonts w:cstheme="minorHAnsi"/>
                <w:b/>
                <w:bCs/>
                <w:sz w:val="18"/>
                <w:szCs w:val="18"/>
                <w:lang w:val="fr-FR"/>
              </w:rPr>
            </w:pPr>
          </w:p>
        </w:tc>
      </w:tr>
    </w:tbl>
    <w:p w14:paraId="2F16382A" w14:textId="77777777" w:rsidR="00EE5979" w:rsidRPr="00BD25B8" w:rsidRDefault="00EE5979" w:rsidP="00A6197D">
      <w:pPr>
        <w:pStyle w:val="Note"/>
        <w:rPr>
          <w:rFonts w:cstheme="minorHAnsi"/>
          <w:lang w:val="fr-FR"/>
        </w:rPr>
      </w:pPr>
      <w:r w:rsidRPr="00BD25B8">
        <w:rPr>
          <w:lang w:val="fr-FR"/>
        </w:rPr>
        <w:t>Note: Tous les fonds ont été convertis en CHF.</w:t>
      </w:r>
    </w:p>
    <w:p w14:paraId="02757948" w14:textId="03E5266C" w:rsidR="00EE5979" w:rsidRPr="00BD25B8" w:rsidRDefault="00EE5979" w:rsidP="00EE5979">
      <w:pPr>
        <w:widowControl w:val="0"/>
        <w:spacing w:after="120"/>
        <w:rPr>
          <w:rFonts w:cstheme="minorHAnsi"/>
          <w:szCs w:val="24"/>
          <w:lang w:val="fr-FR"/>
        </w:rPr>
      </w:pPr>
      <w:r w:rsidRPr="00BD25B8">
        <w:rPr>
          <w:szCs w:val="24"/>
          <w:lang w:val="fr-FR"/>
        </w:rPr>
        <w:t>D'autres progrès sont attendus en 2024 pour clore l'affectation des fonds restants aux projets éligibles, au profit de toutes les régions de l'UIT. Il importe de noter que l'UIT n'étant pas une institution de financement, la possibilité de signer de nouveaux projets dépend dans une large mesure de la disponibilité de partenaires financiers désireux de soutenir les travaux de l'UIT.</w:t>
      </w:r>
    </w:p>
    <w:p w14:paraId="6FBA6059" w14:textId="6C71EBD4" w:rsidR="00EE5979" w:rsidRPr="00BD25B8" w:rsidRDefault="00A6197D" w:rsidP="00A6197D">
      <w:pPr>
        <w:pStyle w:val="Heading1"/>
        <w:ind w:left="0" w:firstLine="0"/>
        <w:rPr>
          <w:lang w:val="fr-FR"/>
        </w:rPr>
      </w:pPr>
      <w:r w:rsidRPr="00BD25B8">
        <w:rPr>
          <w:lang w:val="fr-FR"/>
        </w:rPr>
        <w:t>4</w:t>
      </w:r>
      <w:r w:rsidRPr="00BD25B8">
        <w:rPr>
          <w:lang w:val="fr-FR"/>
        </w:rPr>
        <w:tab/>
      </w:r>
      <w:r w:rsidR="00EE5979" w:rsidRPr="00BD25B8">
        <w:rPr>
          <w:lang w:val="fr-FR"/>
        </w:rPr>
        <w:t>Renforcer les pratiques en matière de gestion des projets au BDT</w:t>
      </w:r>
    </w:p>
    <w:p w14:paraId="5C0F2214" w14:textId="77777777" w:rsidR="00EE5979" w:rsidRPr="00BD25B8" w:rsidRDefault="00EE5979" w:rsidP="00A6197D">
      <w:pPr>
        <w:rPr>
          <w:rFonts w:cstheme="minorHAnsi"/>
          <w:lang w:val="fr-FR"/>
        </w:rPr>
      </w:pPr>
      <w:r w:rsidRPr="00BD25B8">
        <w:rPr>
          <w:lang w:val="fr-FR"/>
        </w:rPr>
        <w:t>En 2023, le BDT a continué de renforcer les pratiques en matière de gestion des projets pour tous les projets de l'UIT. On trouvera dans la liste ci-dessous un résumé des activités menées en 2023 et mises en œuvre en collaboration étroite avec d'autres fonctions d'appui compétentes de l'UIT:</w:t>
      </w:r>
    </w:p>
    <w:p w14:paraId="4B9B51D3" w14:textId="5668B9E4" w:rsidR="00EE5979" w:rsidRPr="00BD25B8" w:rsidRDefault="00A6197D" w:rsidP="00A6197D">
      <w:pPr>
        <w:pStyle w:val="enumlev1"/>
        <w:rPr>
          <w:rFonts w:cstheme="minorHAnsi"/>
          <w:b/>
          <w:bCs/>
          <w:lang w:val="fr-FR"/>
        </w:rPr>
      </w:pPr>
      <w:r w:rsidRPr="00BD25B8">
        <w:rPr>
          <w:i/>
          <w:iCs/>
          <w:lang w:val="fr-FR"/>
        </w:rPr>
        <w:t>–</w:t>
      </w:r>
      <w:r w:rsidRPr="00BD25B8">
        <w:rPr>
          <w:i/>
          <w:iCs/>
          <w:lang w:val="fr-FR"/>
        </w:rPr>
        <w:tab/>
      </w:r>
      <w:r w:rsidR="00EE5979" w:rsidRPr="00BD25B8">
        <w:rPr>
          <w:b/>
          <w:bCs/>
          <w:i/>
          <w:iCs/>
          <w:lang w:val="fr-FR"/>
        </w:rPr>
        <w:t>Comité directeur des projets du BDT:</w:t>
      </w:r>
      <w:r w:rsidR="00EE5979" w:rsidRPr="00BD25B8">
        <w:rPr>
          <w:lang w:val="fr-FR"/>
        </w:rPr>
        <w:t xml:space="preserve"> Le Comité directeur des projets du BDT a continué de se réunir tous les mois en 2023 pour évaluer la viabilité et la pertinence des propositions de projet avant qu'elles deviennent des projets, pour examiner et approuver les projets avant qu'ils soient approuvés par les partenaires et pour superviser la mise en œuvre et la clôture des projets en cas de problème. Les décisions prises par le Comité font l'objet d'un suivi régulier par la Division d'appui aux projets, qui rend compte de leur application au Comité.</w:t>
      </w:r>
    </w:p>
    <w:p w14:paraId="209EEF76" w14:textId="08FFAA1F" w:rsidR="00EE5979" w:rsidRPr="00BD25B8" w:rsidRDefault="00A6197D" w:rsidP="00A6197D">
      <w:pPr>
        <w:pStyle w:val="enumlev1"/>
        <w:rPr>
          <w:rFonts w:cstheme="minorHAnsi"/>
          <w:b/>
          <w:bCs/>
          <w:lang w:val="fr-FR"/>
        </w:rPr>
      </w:pPr>
      <w:r w:rsidRPr="00BD25B8">
        <w:rPr>
          <w:i/>
          <w:iCs/>
          <w:lang w:val="fr-FR"/>
        </w:rPr>
        <w:t>–</w:t>
      </w:r>
      <w:r w:rsidRPr="00BD25B8">
        <w:rPr>
          <w:i/>
          <w:iCs/>
          <w:lang w:val="fr-FR"/>
        </w:rPr>
        <w:tab/>
      </w:r>
      <w:r w:rsidR="00EE5979" w:rsidRPr="00BD25B8">
        <w:rPr>
          <w:b/>
          <w:bCs/>
          <w:i/>
          <w:iCs/>
          <w:lang w:val="fr-FR"/>
        </w:rPr>
        <w:t>Création d'un nouveau groupe de "Projets soumis à un contrôle spécial":</w:t>
      </w:r>
      <w:r w:rsidR="00EE5979" w:rsidRPr="00BD25B8">
        <w:rPr>
          <w:lang w:val="fr-FR"/>
        </w:rPr>
        <w:t xml:space="preserve"> En 2023, le Comité des projets du BDT a mis en place un nouveau mécanisme en vue de renforcer le contrôle des projets dont la mise en œuvre pose des problèmes de longue date. Ce nouveau mécanisme, qui prévoit l'organisation de réunions hebdomadaires avec les équipes de projet et la présentation de rapports internes sur une base plus régulière, s'est avéré utile pour remettre les projets sur la bonne voie lorsque des problèmes surviennent.</w:t>
      </w:r>
    </w:p>
    <w:p w14:paraId="0C553340" w14:textId="532E132B" w:rsidR="00EE5979" w:rsidRPr="00BD25B8" w:rsidRDefault="00A6197D" w:rsidP="00A6197D">
      <w:pPr>
        <w:pStyle w:val="enumlev1"/>
        <w:rPr>
          <w:rFonts w:cstheme="minorHAnsi"/>
          <w:b/>
          <w:bCs/>
          <w:lang w:val="fr-FR"/>
        </w:rPr>
      </w:pPr>
      <w:r w:rsidRPr="00BD25B8">
        <w:rPr>
          <w:i/>
          <w:iCs/>
          <w:lang w:val="fr-FR"/>
        </w:rPr>
        <w:t>–</w:t>
      </w:r>
      <w:r w:rsidRPr="00BD25B8">
        <w:rPr>
          <w:i/>
          <w:iCs/>
          <w:lang w:val="fr-FR"/>
        </w:rPr>
        <w:tab/>
      </w:r>
      <w:r w:rsidR="00EE5979" w:rsidRPr="00BD25B8">
        <w:rPr>
          <w:b/>
          <w:bCs/>
          <w:i/>
          <w:iCs/>
          <w:lang w:val="fr-FR"/>
        </w:rPr>
        <w:t>Série de formations à l'intention des responsables de projet:</w:t>
      </w:r>
      <w:r w:rsidR="00EE5979" w:rsidRPr="00BD25B8">
        <w:rPr>
          <w:lang w:val="fr-FR"/>
        </w:rPr>
        <w:t xml:space="preserve"> En 2023, le BDT a organisé une nouvelle série de sessions régulières de formation et de sessions d'échange d'informations à l'intention des responsables de projet. Ces sessions visaient à harmoniser les pratiques en matière de projets à l'échelle du BDT, à renforcer le réseau de responsables de projet et à perfectionner leurs compétences dans des domaines liés aux activités de l'UIT. Ce programme se poursuivra tout au long de l'année 2024.</w:t>
      </w:r>
    </w:p>
    <w:p w14:paraId="3B9BC643" w14:textId="29A24365" w:rsidR="00EE5979" w:rsidRPr="00BD25B8" w:rsidRDefault="00A6197D" w:rsidP="00A6197D">
      <w:pPr>
        <w:pStyle w:val="enumlev1"/>
        <w:rPr>
          <w:rFonts w:cstheme="minorHAnsi"/>
          <w:lang w:val="fr-FR"/>
        </w:rPr>
      </w:pPr>
      <w:r w:rsidRPr="00BD25B8">
        <w:rPr>
          <w:i/>
          <w:iCs/>
          <w:lang w:val="fr-FR"/>
        </w:rPr>
        <w:t>–</w:t>
      </w:r>
      <w:r w:rsidRPr="00BD25B8">
        <w:rPr>
          <w:i/>
          <w:iCs/>
          <w:lang w:val="fr-FR"/>
        </w:rPr>
        <w:tab/>
      </w:r>
      <w:r w:rsidR="00EE5979" w:rsidRPr="00BD25B8">
        <w:rPr>
          <w:b/>
          <w:bCs/>
          <w:i/>
          <w:iCs/>
          <w:lang w:val="fr-FR"/>
        </w:rPr>
        <w:t>Suivi des projets de l'UIT:</w:t>
      </w:r>
      <w:r w:rsidR="00EE5979" w:rsidRPr="00BD25B8">
        <w:rPr>
          <w:lang w:val="fr-FR"/>
        </w:rPr>
        <w:t xml:space="preserve"> Tous les projets de l'UIT continuent de faire l'objet d'un suivi quotidien et de rapports à la fin de chaque trimestre. Les résultats de ces travaux sont mis à la disposition de la direction du BDT et des responsables de projets au moyen de rapports d'évaluation trimestriels, ainsi que par l'intermédiaire de tableaux de bord des contrôles internes, qui permettent de prendre des décisions fondées sur des données en ce qui concerne les projets.</w:t>
      </w:r>
    </w:p>
    <w:p w14:paraId="6211D207" w14:textId="51004D50" w:rsidR="00EE5979" w:rsidRPr="00BD25B8" w:rsidRDefault="00A6197D" w:rsidP="0077550E">
      <w:pPr>
        <w:pStyle w:val="enumlev1"/>
        <w:keepNext/>
        <w:keepLines/>
        <w:rPr>
          <w:rFonts w:cstheme="minorHAnsi"/>
          <w:lang w:val="fr-FR"/>
        </w:rPr>
      </w:pPr>
      <w:r w:rsidRPr="00BD25B8">
        <w:rPr>
          <w:i/>
          <w:iCs/>
          <w:lang w:val="fr-FR"/>
        </w:rPr>
        <w:lastRenderedPageBreak/>
        <w:t>–</w:t>
      </w:r>
      <w:r w:rsidRPr="00BD25B8">
        <w:rPr>
          <w:i/>
          <w:iCs/>
          <w:lang w:val="fr-FR"/>
        </w:rPr>
        <w:tab/>
      </w:r>
      <w:r w:rsidR="00EE5979" w:rsidRPr="00BD25B8">
        <w:rPr>
          <w:b/>
          <w:bCs/>
          <w:i/>
          <w:iCs/>
          <w:lang w:val="fr-FR"/>
        </w:rPr>
        <w:t>Renforcement de l'établissement de rapports à l'intention des partenaires:</w:t>
      </w:r>
      <w:r w:rsidR="00EE5979" w:rsidRPr="00BD25B8">
        <w:rPr>
          <w:lang w:val="fr-FR"/>
        </w:rPr>
        <w:t xml:space="preserve"> Fin 2023, le BDT a mis en place une nouvelle politique pour faire en sorte que tous les partenaires de projet reçoivent des rapports réguliers au moins une fois tous les six (6) mois, comprenant des renseignements détaillés sur les résultats obtenus dans le cadre des projets qu'ils financent, ainsi que des informations financières. Cette mesure a été introduite à la suite des commentaires reçus du GCDT en 2023. Ces rapports des donateurs ne sont pas fournis à la demande des donateurs, mais visent à assurer la transparence et l'établissement de rapports de meilleure qualité et en temps opportun.</w:t>
      </w:r>
    </w:p>
    <w:p w14:paraId="60B340A4" w14:textId="13A2C4D1" w:rsidR="00EE5979" w:rsidRPr="00BD25B8" w:rsidRDefault="00A6197D" w:rsidP="00A6197D">
      <w:pPr>
        <w:pStyle w:val="enumlev1"/>
        <w:rPr>
          <w:rFonts w:cstheme="minorBidi"/>
          <w:lang w:val="fr-FR"/>
        </w:rPr>
      </w:pPr>
      <w:r w:rsidRPr="00BD25B8">
        <w:rPr>
          <w:i/>
          <w:iCs/>
          <w:lang w:val="fr-FR"/>
        </w:rPr>
        <w:t>–</w:t>
      </w:r>
      <w:r w:rsidRPr="00BD25B8">
        <w:rPr>
          <w:i/>
          <w:iCs/>
          <w:lang w:val="fr-FR"/>
        </w:rPr>
        <w:tab/>
      </w:r>
      <w:r w:rsidR="00EE5979" w:rsidRPr="00BD25B8">
        <w:rPr>
          <w:b/>
          <w:bCs/>
          <w:i/>
          <w:iCs/>
          <w:lang w:val="fr-FR"/>
        </w:rPr>
        <w:t>Nouveau tableau de bord des projets pour les États Membres de l'UIT:</w:t>
      </w:r>
      <w:r w:rsidR="00EE5979" w:rsidRPr="00BD25B8">
        <w:rPr>
          <w:lang w:val="fr-FR"/>
        </w:rPr>
        <w:t xml:space="preserve"> Afin de donner suite aux commentaires du GCDT, l'UIT a mis en ligne un nouveau tableau de bord interactif des projets, qui fournit aux membres de l'UIT des informations supplémentaires sur l'état d'avancement du portefeuille de projets de l'UIT-D. Ce nouveau tableau de bord est accessible aux titulaires d'un compte utilisateur UIT disposant d'un accès TIES depuis le portail consacré aux projets du BDT</w:t>
      </w:r>
      <w:r w:rsidR="00EE5979" w:rsidRPr="00BD25B8">
        <w:rPr>
          <w:rStyle w:val="FootnoteReference"/>
          <w:rFonts w:cstheme="minorHAnsi"/>
          <w:szCs w:val="18"/>
          <w:lang w:val="fr-FR"/>
        </w:rPr>
        <w:footnoteReference w:id="5"/>
      </w:r>
      <w:r w:rsidR="00EE5979" w:rsidRPr="00BD25B8">
        <w:rPr>
          <w:lang w:val="fr-FR"/>
        </w:rPr>
        <w:t>.</w:t>
      </w:r>
    </w:p>
    <w:p w14:paraId="57C3B535" w14:textId="22429937" w:rsidR="00EE5979" w:rsidRPr="00BD25B8" w:rsidRDefault="00A6197D" w:rsidP="00A6197D">
      <w:pPr>
        <w:pStyle w:val="Heading1"/>
        <w:ind w:left="0" w:firstLine="0"/>
        <w:rPr>
          <w:lang w:val="fr-FR"/>
        </w:rPr>
      </w:pPr>
      <w:r w:rsidRPr="00BD25B8">
        <w:rPr>
          <w:lang w:val="fr-FR"/>
        </w:rPr>
        <w:t>5</w:t>
      </w:r>
      <w:r w:rsidRPr="00BD25B8">
        <w:rPr>
          <w:lang w:val="fr-FR"/>
        </w:rPr>
        <w:tab/>
      </w:r>
      <w:r w:rsidR="00EE5979" w:rsidRPr="00BD25B8">
        <w:rPr>
          <w:lang w:val="fr-FR"/>
        </w:rPr>
        <w:t>Conclusions</w:t>
      </w:r>
    </w:p>
    <w:p w14:paraId="0A0BA619" w14:textId="666535BA" w:rsidR="00EE5979" w:rsidRPr="00BD25B8" w:rsidRDefault="00EE5979" w:rsidP="00A6197D">
      <w:pPr>
        <w:rPr>
          <w:rFonts w:cstheme="minorHAnsi"/>
          <w:lang w:val="fr-FR"/>
        </w:rPr>
      </w:pPr>
      <w:r w:rsidRPr="00BD25B8">
        <w:rPr>
          <w:lang w:val="fr-FR"/>
        </w:rPr>
        <w:t>Le portefeuille de projets du BDT continue de produire des résultats concrets sur le terrain et constitue ainsi un mécanisme essentiel permettant au Bureau de fournir une assistance technique aux États Membres de l'UIT, de mobiliser les Membres du Secteur de l'UIT-D et de fournir de nouveaux produits et services dans le domaine du développement du numérique.</w:t>
      </w:r>
    </w:p>
    <w:p w14:paraId="7BEFB983" w14:textId="53CB1C6D" w:rsidR="00EE5979" w:rsidRPr="00BD25B8" w:rsidRDefault="00EE5979" w:rsidP="00A6197D">
      <w:pPr>
        <w:rPr>
          <w:rFonts w:cstheme="minorHAnsi"/>
          <w:lang w:val="fr-FR"/>
        </w:rPr>
      </w:pPr>
      <w:r w:rsidRPr="00BD25B8">
        <w:rPr>
          <w:lang w:val="fr-FR"/>
        </w:rPr>
        <w:t>L'année 2023 a été une année importante pour la mobilisation de ressources extrabudgétaires au BDT, avec la signature de plus de 23 millions CHF de fonds pour appuyer les activités de l'UIT-D sur le terrain, ce qui confirme la tendance positive observée depuis 2017. Ces résultats sont le fruit de la coordination entre l'équipe d'appui aux projets, la Division de mobilisation des ressources et des partenariats, et le service des relations avec les membres et le secteur privé du Département des partenariats pour le développement du numérique au sein du BDT</w:t>
      </w:r>
      <w:r w:rsidRPr="00BD25B8">
        <w:rPr>
          <w:rStyle w:val="FootnoteReference"/>
          <w:rFonts w:cstheme="minorHAnsi"/>
          <w:szCs w:val="18"/>
          <w:lang w:val="fr-FR"/>
        </w:rPr>
        <w:footnoteReference w:id="6"/>
      </w:r>
      <w:r w:rsidRPr="00BD25B8">
        <w:rPr>
          <w:lang w:val="fr-FR"/>
        </w:rPr>
        <w:t>.</w:t>
      </w:r>
    </w:p>
    <w:p w14:paraId="36ACCBC7" w14:textId="320E651B" w:rsidR="00EE5979" w:rsidRPr="00BD25B8" w:rsidRDefault="00EE5979" w:rsidP="00A6197D">
      <w:pPr>
        <w:rPr>
          <w:rFonts w:cstheme="minorHAnsi"/>
          <w:lang w:val="fr-FR"/>
        </w:rPr>
      </w:pPr>
      <w:r w:rsidRPr="00BD25B8">
        <w:rPr>
          <w:lang w:val="fr-FR"/>
        </w:rPr>
        <w:t>Même si 90% du financement des projets provient de fonds extrabudgétaires, il est important de souligner que la nouvelle attribution des fonds décidée par le Conseil de l'UIT à sa session de 2023 s'avère essentielle pour appuyer la signature de nouveaux projets dans toutes les régions, étant donné que les fonds de l'UIT sont utilisés en tant que fonds complémentaires – ce qui est une condition préalable pour certaines institutions de financement.</w:t>
      </w:r>
    </w:p>
    <w:p w14:paraId="1E126E6E" w14:textId="33818641" w:rsidR="00EE5979" w:rsidRPr="00BD25B8" w:rsidRDefault="00EE5979" w:rsidP="00A6197D">
      <w:pPr>
        <w:rPr>
          <w:rFonts w:cstheme="minorHAnsi"/>
          <w:lang w:val="fr-FR"/>
        </w:rPr>
      </w:pPr>
      <w:r w:rsidRPr="00BD25B8">
        <w:rPr>
          <w:lang w:val="fr-FR"/>
        </w:rPr>
        <w:t>L'UIT n'a de cesse de renforcer ses pratiques en matière de gestion des projets, afin d'assurer la bonne exécution de tous les projets signés. En 2023, le portefeuille de projets de l'UIT a également augmenté le niveau des fonds mis en œuvre au cours de l'année, ce qui a contribué à mener à bonne fin 30 projets dont les activités sont arrivées à leur terme au cours de l'année.</w:t>
      </w:r>
    </w:p>
    <w:p w14:paraId="44234355" w14:textId="21F77F85" w:rsidR="00EE5979" w:rsidRPr="00BD25B8" w:rsidRDefault="00EE5979" w:rsidP="0077550E">
      <w:pPr>
        <w:keepNext/>
        <w:keepLines/>
        <w:rPr>
          <w:rFonts w:cstheme="minorHAnsi"/>
          <w:lang w:val="fr-FR"/>
        </w:rPr>
      </w:pPr>
      <w:r w:rsidRPr="00BD25B8">
        <w:rPr>
          <w:lang w:val="fr-FR"/>
        </w:rPr>
        <w:lastRenderedPageBreak/>
        <w:t>Le GCDT est invité à continuer de donner des orientations et des conseils sur la manière de renforcer encore les pratiques du BDT en matière de projets, et à recenser les mesures à prendre pour assurer une collaboration fructueuse avec les institutions de financement, les donateurs et d'autres partenaires de développement.</w:t>
      </w:r>
    </w:p>
    <w:p w14:paraId="16573086" w14:textId="77777777" w:rsidR="00A6197D" w:rsidRPr="00BD25B8" w:rsidRDefault="00A6197D">
      <w:pPr>
        <w:jc w:val="center"/>
        <w:rPr>
          <w:lang w:val="fr-FR"/>
        </w:rPr>
      </w:pPr>
      <w:bookmarkStart w:id="6" w:name="Proposal"/>
      <w:bookmarkEnd w:id="6"/>
      <w:r w:rsidRPr="00BD25B8">
        <w:rPr>
          <w:lang w:val="fr-FR"/>
        </w:rPr>
        <w:t>______________</w:t>
      </w:r>
    </w:p>
    <w:sectPr w:rsidR="00A6197D" w:rsidRPr="00BD25B8"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E5979" w:rsidRPr="00EE5979" w14:paraId="695D1810" w14:textId="77777777" w:rsidTr="00EE5979">
      <w:tc>
        <w:tcPr>
          <w:tcW w:w="1526" w:type="dxa"/>
          <w:tcBorders>
            <w:top w:val="single" w:sz="4" w:space="0" w:color="000000"/>
          </w:tcBorders>
          <w:shd w:val="clear" w:color="auto" w:fill="auto"/>
        </w:tcPr>
        <w:p w14:paraId="746E5A61" w14:textId="77777777" w:rsidR="00EE5979" w:rsidRPr="001011EB" w:rsidRDefault="00EE5979" w:rsidP="00EE5979">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EE5979" w:rsidRPr="001011EB" w:rsidRDefault="00EE5979" w:rsidP="00EE5979">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7660AF0" w14:textId="77D6F021" w:rsidR="00EE5979" w:rsidRPr="001011EB" w:rsidRDefault="00EE5979" w:rsidP="00EE5979">
          <w:pPr>
            <w:pStyle w:val="FirstFooter"/>
            <w:tabs>
              <w:tab w:val="left" w:pos="2302"/>
            </w:tabs>
            <w:rPr>
              <w:sz w:val="18"/>
              <w:szCs w:val="18"/>
              <w:lang w:val="fr-CH"/>
            </w:rPr>
          </w:pPr>
          <w:r>
            <w:t>M. Jose Maria Diaz Batanero, Chef de la Division de l'appui aux projets, Bureau de développement des télécommunications</w:t>
          </w:r>
        </w:p>
      </w:tc>
      <w:bookmarkStart w:id="7" w:name="OrgName"/>
      <w:bookmarkEnd w:id="7"/>
    </w:tr>
    <w:tr w:rsidR="00EE5979" w:rsidRPr="001011EB" w14:paraId="61167678" w14:textId="77777777" w:rsidTr="00EE5979">
      <w:tc>
        <w:tcPr>
          <w:tcW w:w="1526" w:type="dxa"/>
          <w:shd w:val="clear" w:color="auto" w:fill="auto"/>
        </w:tcPr>
        <w:p w14:paraId="33710823" w14:textId="77777777" w:rsidR="00EE5979" w:rsidRPr="001011EB" w:rsidRDefault="00EE5979" w:rsidP="00EE5979">
          <w:pPr>
            <w:pStyle w:val="FirstFooter"/>
            <w:tabs>
              <w:tab w:val="left" w:pos="1559"/>
              <w:tab w:val="left" w:pos="3828"/>
            </w:tabs>
            <w:rPr>
              <w:sz w:val="20"/>
              <w:lang w:val="fr-CH"/>
            </w:rPr>
          </w:pPr>
        </w:p>
      </w:tc>
      <w:tc>
        <w:tcPr>
          <w:tcW w:w="2410" w:type="dxa"/>
          <w:shd w:val="clear" w:color="auto" w:fill="auto"/>
        </w:tcPr>
        <w:p w14:paraId="1251F6E4" w14:textId="7949FD7A" w:rsidR="00EE5979" w:rsidRPr="001011EB" w:rsidRDefault="00EE5979" w:rsidP="00EE5979">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1225553" w14:textId="0BC717A1" w:rsidR="00EE5979" w:rsidRPr="001011EB" w:rsidRDefault="00EE5979" w:rsidP="00EE5979">
          <w:pPr>
            <w:pStyle w:val="FirstFooter"/>
            <w:tabs>
              <w:tab w:val="left" w:pos="2302"/>
            </w:tabs>
            <w:rPr>
              <w:sz w:val="18"/>
              <w:szCs w:val="18"/>
              <w:lang w:val="fr-CH"/>
            </w:rPr>
          </w:pPr>
          <w:r w:rsidRPr="004E7218">
            <w:t>+41 22 730 5495</w:t>
          </w:r>
        </w:p>
      </w:tc>
      <w:bookmarkStart w:id="8" w:name="PhoneNo"/>
      <w:bookmarkEnd w:id="8"/>
    </w:tr>
    <w:tr w:rsidR="00EE5979" w:rsidRPr="001011EB" w14:paraId="0299A231" w14:textId="77777777" w:rsidTr="00EE5979">
      <w:tc>
        <w:tcPr>
          <w:tcW w:w="1526" w:type="dxa"/>
          <w:shd w:val="clear" w:color="auto" w:fill="auto"/>
        </w:tcPr>
        <w:p w14:paraId="35CBC438" w14:textId="77777777" w:rsidR="00EE5979" w:rsidRPr="001011EB" w:rsidRDefault="00EE5979" w:rsidP="00EE5979">
          <w:pPr>
            <w:pStyle w:val="FirstFooter"/>
            <w:tabs>
              <w:tab w:val="left" w:pos="1559"/>
              <w:tab w:val="left" w:pos="3828"/>
            </w:tabs>
            <w:rPr>
              <w:sz w:val="20"/>
              <w:lang w:val="fr-CH"/>
            </w:rPr>
          </w:pPr>
        </w:p>
      </w:tc>
      <w:tc>
        <w:tcPr>
          <w:tcW w:w="2410" w:type="dxa"/>
          <w:shd w:val="clear" w:color="auto" w:fill="auto"/>
        </w:tcPr>
        <w:p w14:paraId="65335E06" w14:textId="490F0FC2" w:rsidR="00EE5979" w:rsidRPr="001011EB" w:rsidRDefault="00EE5979" w:rsidP="00EE5979">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3BA3674F" w14:textId="6FE235DB" w:rsidR="00EE5979" w:rsidRPr="001011EB" w:rsidRDefault="00EE5979" w:rsidP="00EE5979">
          <w:pPr>
            <w:pStyle w:val="FirstFooter"/>
            <w:tabs>
              <w:tab w:val="left" w:pos="2302"/>
            </w:tabs>
            <w:rPr>
              <w:sz w:val="18"/>
              <w:szCs w:val="18"/>
              <w:lang w:val="fr-CH"/>
            </w:rPr>
          </w:pPr>
          <w:hyperlink r:id="rId1" w:history="1">
            <w:r w:rsidRPr="00DC415D">
              <w:rPr>
                <w:rStyle w:val="Hyperlink"/>
              </w:rPr>
              <w:t>jose.bata</w:t>
            </w:r>
            <w:r w:rsidRPr="00DC415D">
              <w:rPr>
                <w:rStyle w:val="Hyperlink"/>
              </w:rPr>
              <w:t>n</w:t>
            </w:r>
            <w:r w:rsidRPr="00DC415D">
              <w:rPr>
                <w:rStyle w:val="Hyperlink"/>
              </w:rPr>
              <w:t xml:space="preserve">ero@itu.int </w:t>
            </w:r>
          </w:hyperlink>
        </w:p>
      </w:tc>
      <w:bookmarkStart w:id="9" w:name="Email"/>
      <w:bookmarkEnd w:id="9"/>
    </w:tr>
  </w:tbl>
  <w:p w14:paraId="40A321D0" w14:textId="50FEB05F" w:rsidR="00721657" w:rsidRPr="001011EB" w:rsidRDefault="00BD25B8"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A342DCF" w14:textId="23F8F127" w:rsidR="00EE5979" w:rsidRPr="00525D0D" w:rsidRDefault="00EE5979" w:rsidP="00EE5979">
      <w:pPr>
        <w:pStyle w:val="FootnoteText"/>
        <w:spacing w:before="0"/>
        <w:ind w:left="0" w:firstLine="0"/>
        <w:rPr>
          <w:i/>
          <w:iCs/>
          <w:sz w:val="20"/>
          <w:lang w:val="fr-CH"/>
        </w:rPr>
      </w:pPr>
      <w:r w:rsidRPr="00FB5283">
        <w:rPr>
          <w:rStyle w:val="FootnoteReference"/>
          <w:i/>
          <w:iCs/>
          <w:sz w:val="20"/>
          <w:lang w:val="fr-FR"/>
        </w:rPr>
        <w:footnoteRef/>
      </w:r>
      <w:r w:rsidR="009D40A2">
        <w:rPr>
          <w:lang w:val="fr-FR"/>
        </w:rPr>
        <w:tab/>
      </w:r>
      <w:r>
        <w:rPr>
          <w:i/>
          <w:iCs/>
          <w:lang w:val="fr-FR"/>
        </w:rPr>
        <w:t>Les chiffres figurant dans le présent rapport correspondent au solde financier à la clôture des comptes de 2023 (solde au 31 décembre 2023).</w:t>
      </w:r>
    </w:p>
  </w:footnote>
  <w:footnote w:id="2">
    <w:p w14:paraId="6ECE53E9" w14:textId="55621D67" w:rsidR="00EE5979" w:rsidRPr="00613D55" w:rsidRDefault="00EE5979" w:rsidP="009D40A2">
      <w:pPr>
        <w:pStyle w:val="FootnoteText"/>
        <w:tabs>
          <w:tab w:val="clear" w:pos="255"/>
          <w:tab w:val="clear" w:pos="794"/>
          <w:tab w:val="left" w:pos="0"/>
          <w:tab w:val="left" w:pos="284"/>
        </w:tabs>
        <w:spacing w:before="0"/>
        <w:ind w:left="0" w:firstLine="0"/>
        <w:rPr>
          <w:i/>
          <w:iCs/>
          <w:sz w:val="20"/>
          <w:lang w:val="fr-CH"/>
        </w:rPr>
      </w:pPr>
      <w:r w:rsidRPr="00613D55">
        <w:rPr>
          <w:rStyle w:val="FootnoteReference"/>
          <w:i/>
          <w:iCs/>
          <w:sz w:val="20"/>
          <w:lang w:val="fr-FR"/>
        </w:rPr>
        <w:footnoteRef/>
      </w:r>
      <w:r w:rsidR="009D40A2">
        <w:rPr>
          <w:i/>
          <w:iCs/>
          <w:lang w:val="fr-FR"/>
        </w:rPr>
        <w:tab/>
      </w:r>
      <w:r w:rsidRPr="00613D55">
        <w:rPr>
          <w:i/>
          <w:iCs/>
          <w:lang w:val="fr-FR"/>
        </w:rPr>
        <w:t>Il convient de noter que ce chiffre n</w:t>
      </w:r>
      <w:r>
        <w:rPr>
          <w:i/>
          <w:iCs/>
          <w:lang w:val="fr-FR"/>
        </w:rPr>
        <w:t>'</w:t>
      </w:r>
      <w:r w:rsidRPr="00613D55">
        <w:rPr>
          <w:i/>
          <w:iCs/>
          <w:lang w:val="fr-FR"/>
        </w:rPr>
        <w:t>inclut pas les autres accords de partenariat tels que les accords de parrainage ou les accords de contributions volontaires, qui sont indiqués dans le Document TDAG-24/4-F.</w:t>
      </w:r>
    </w:p>
  </w:footnote>
  <w:footnote w:id="3">
    <w:p w14:paraId="7C75F931" w14:textId="3DA1D13F" w:rsidR="00EE5979" w:rsidRPr="007D2BFB" w:rsidRDefault="00EE5979" w:rsidP="00EE5979">
      <w:pPr>
        <w:pStyle w:val="FootnoteText"/>
        <w:spacing w:before="0"/>
        <w:ind w:left="0" w:firstLine="0"/>
        <w:rPr>
          <w:i/>
          <w:iCs/>
          <w:sz w:val="20"/>
          <w:lang w:val="fr-CH"/>
        </w:rPr>
      </w:pPr>
      <w:r w:rsidRPr="007D2BFB">
        <w:rPr>
          <w:rStyle w:val="FootnoteReference"/>
          <w:i/>
          <w:iCs/>
          <w:sz w:val="20"/>
          <w:lang w:val="fr-FR"/>
        </w:rPr>
        <w:footnoteRef/>
      </w:r>
      <w:r w:rsidR="00A6197D">
        <w:rPr>
          <w:i/>
          <w:iCs/>
          <w:lang w:val="fr-FR"/>
        </w:rPr>
        <w:tab/>
      </w:r>
      <w:r w:rsidRPr="007D2BFB">
        <w:rPr>
          <w:i/>
          <w:iCs/>
          <w:lang w:val="fr-FR"/>
        </w:rPr>
        <w:t>Pour de plus amples renseignements, voir la Résolution 1418</w:t>
      </w:r>
      <w:r>
        <w:rPr>
          <w:i/>
          <w:iCs/>
          <w:lang w:val="fr-FR"/>
        </w:rPr>
        <w:t xml:space="preserve"> du Conseil</w:t>
      </w:r>
      <w:r w:rsidRPr="007D2BFB">
        <w:rPr>
          <w:i/>
          <w:iCs/>
          <w:lang w:val="fr-FR"/>
        </w:rPr>
        <w:t xml:space="preserve">, </w:t>
      </w:r>
      <w:r>
        <w:rPr>
          <w:i/>
          <w:iCs/>
          <w:lang w:val="fr-FR"/>
        </w:rPr>
        <w:t>disponible</w:t>
      </w:r>
      <w:r w:rsidRPr="007D2BFB">
        <w:rPr>
          <w:i/>
          <w:iCs/>
          <w:lang w:val="fr-FR"/>
        </w:rPr>
        <w:t xml:space="preserve"> à l</w:t>
      </w:r>
      <w:r>
        <w:rPr>
          <w:i/>
          <w:iCs/>
          <w:lang w:val="fr-FR"/>
        </w:rPr>
        <w:t>'</w:t>
      </w:r>
      <w:r w:rsidRPr="007D2BFB">
        <w:rPr>
          <w:i/>
          <w:iCs/>
          <w:lang w:val="fr-FR"/>
        </w:rPr>
        <w:t>adresse</w:t>
      </w:r>
      <w:r w:rsidR="00BA36EB">
        <w:rPr>
          <w:i/>
          <w:iCs/>
          <w:lang w:val="fr-FR"/>
        </w:rPr>
        <w:t>:</w:t>
      </w:r>
      <w:r w:rsidRPr="007D2BFB">
        <w:rPr>
          <w:i/>
          <w:iCs/>
          <w:lang w:val="fr-FR"/>
        </w:rPr>
        <w:t xml:space="preserve"> </w:t>
      </w:r>
      <w:hyperlink r:id="rId1" w:history="1">
        <w:r w:rsidRPr="00204265">
          <w:rPr>
            <w:rStyle w:val="Hyperlink"/>
            <w:i/>
            <w:iCs/>
            <w:lang w:val="fr-FR"/>
          </w:rPr>
          <w:t>https://www.itu.in</w:t>
        </w:r>
        <w:r w:rsidRPr="00204265">
          <w:rPr>
            <w:rStyle w:val="Hyperlink"/>
            <w:i/>
            <w:iCs/>
            <w:lang w:val="fr-FR"/>
          </w:rPr>
          <w:t>t</w:t>
        </w:r>
        <w:r w:rsidRPr="00204265">
          <w:rPr>
            <w:rStyle w:val="Hyperlink"/>
            <w:i/>
            <w:iCs/>
            <w:lang w:val="fr-FR"/>
          </w:rPr>
          <w:t>/md/S23-CL-C-0116/</w:t>
        </w:r>
      </w:hyperlink>
      <w:r>
        <w:rPr>
          <w:i/>
          <w:iCs/>
          <w:lang w:val="fr-FR"/>
        </w:rPr>
        <w:t>.</w:t>
      </w:r>
    </w:p>
  </w:footnote>
  <w:footnote w:id="4">
    <w:p w14:paraId="54E5CE33" w14:textId="7038E958" w:rsidR="00EE5979" w:rsidRPr="009E1B33" w:rsidRDefault="00EE5979" w:rsidP="00EE5979">
      <w:pPr>
        <w:pStyle w:val="FootnoteText"/>
        <w:spacing w:before="0"/>
        <w:ind w:left="0" w:firstLine="0"/>
        <w:rPr>
          <w:i/>
          <w:iCs/>
          <w:sz w:val="20"/>
          <w:lang w:val="fr-CH"/>
        </w:rPr>
      </w:pPr>
      <w:r w:rsidRPr="009E1B33">
        <w:rPr>
          <w:rStyle w:val="FootnoteReference"/>
          <w:i/>
          <w:iCs/>
          <w:sz w:val="20"/>
          <w:lang w:val="fr-FR"/>
        </w:rPr>
        <w:footnoteRef/>
      </w:r>
      <w:r w:rsidR="00A6197D">
        <w:rPr>
          <w:i/>
          <w:iCs/>
          <w:lang w:val="fr-CH"/>
        </w:rPr>
        <w:tab/>
      </w:r>
      <w:r w:rsidRPr="009E1B33">
        <w:rPr>
          <w:i/>
          <w:iCs/>
          <w:lang w:val="fr-CH"/>
        </w:rPr>
        <w:t xml:space="preserve">Consultable à l'adresse suivante: </w:t>
      </w:r>
      <w:hyperlink r:id="rId2" w:history="1">
        <w:r w:rsidRPr="009E1B33">
          <w:rPr>
            <w:rStyle w:val="Hyperlink"/>
            <w:i/>
            <w:iCs/>
            <w:lang w:val="fr-CH"/>
          </w:rPr>
          <w:t>https://www.itu.int/ne</w:t>
        </w:r>
        <w:r w:rsidRPr="009E1B33">
          <w:rPr>
            <w:rStyle w:val="Hyperlink"/>
            <w:i/>
            <w:iCs/>
            <w:lang w:val="fr-CH"/>
          </w:rPr>
          <w:t>t</w:t>
        </w:r>
        <w:r w:rsidRPr="009E1B33">
          <w:rPr>
            <w:rStyle w:val="Hyperlink"/>
            <w:i/>
            <w:iCs/>
            <w:lang w:val="fr-CH"/>
          </w:rPr>
          <w:t>4/itu-d/icteye/</w:t>
        </w:r>
      </w:hyperlink>
      <w:r w:rsidRPr="009E1B33">
        <w:rPr>
          <w:i/>
          <w:iCs/>
          <w:lang w:val="fr-CH"/>
        </w:rPr>
        <w:t>.</w:t>
      </w:r>
    </w:p>
  </w:footnote>
  <w:footnote w:id="5">
    <w:p w14:paraId="0F246F0B" w14:textId="743C5135" w:rsidR="00EE5979" w:rsidRPr="00210153" w:rsidRDefault="00EE5979" w:rsidP="00A6197D">
      <w:pPr>
        <w:pStyle w:val="FootnoteText"/>
        <w:tabs>
          <w:tab w:val="clear" w:pos="255"/>
          <w:tab w:val="left" w:pos="284"/>
        </w:tabs>
        <w:spacing w:before="0"/>
        <w:ind w:left="0" w:firstLine="0"/>
        <w:rPr>
          <w:i/>
          <w:iCs/>
          <w:sz w:val="20"/>
          <w:lang w:val="fr-CH"/>
        </w:rPr>
      </w:pPr>
      <w:r w:rsidRPr="00210153">
        <w:rPr>
          <w:rStyle w:val="FootnoteReference"/>
          <w:i/>
          <w:iCs/>
          <w:sz w:val="20"/>
          <w:lang w:val="fr-FR"/>
        </w:rPr>
        <w:footnoteRef/>
      </w:r>
      <w:r w:rsidR="00A6197D">
        <w:rPr>
          <w:i/>
          <w:iCs/>
          <w:lang w:val="fr-FR"/>
        </w:rPr>
        <w:tab/>
      </w:r>
      <w:r>
        <w:rPr>
          <w:i/>
          <w:iCs/>
          <w:lang w:val="fr-FR"/>
        </w:rPr>
        <w:t>Disponible</w:t>
      </w:r>
      <w:r w:rsidRPr="009E1B33">
        <w:rPr>
          <w:i/>
          <w:iCs/>
          <w:lang w:val="fr-CH"/>
        </w:rPr>
        <w:t xml:space="preserve"> à l'adresse suivante: </w:t>
      </w:r>
      <w:hyperlink r:id="rId3" w:history="1">
        <w:r w:rsidRPr="00204265">
          <w:rPr>
            <w:rStyle w:val="Hyperlink"/>
            <w:i/>
            <w:iCs/>
            <w:lang w:val="fr-FR"/>
          </w:rPr>
          <w:t>https://w</w:t>
        </w:r>
        <w:r w:rsidRPr="00204265">
          <w:rPr>
            <w:rStyle w:val="Hyperlink"/>
            <w:i/>
            <w:iCs/>
            <w:lang w:val="fr-FR"/>
          </w:rPr>
          <w:t>w</w:t>
        </w:r>
        <w:r w:rsidRPr="00204265">
          <w:rPr>
            <w:rStyle w:val="Hyperlink"/>
            <w:i/>
            <w:iCs/>
            <w:lang w:val="fr-FR"/>
          </w:rPr>
          <w:t>w.itu.int/en/ITU-D/Projects</w:t>
        </w:r>
      </w:hyperlink>
      <w:r>
        <w:rPr>
          <w:i/>
          <w:iCs/>
          <w:lang w:val="fr-FR"/>
        </w:rPr>
        <w:t>.</w:t>
      </w:r>
    </w:p>
  </w:footnote>
  <w:footnote w:id="6">
    <w:p w14:paraId="03C4BDC9" w14:textId="4610529D" w:rsidR="00EE5979" w:rsidRPr="00525D0D" w:rsidRDefault="00EE5979" w:rsidP="00A6197D">
      <w:pPr>
        <w:pStyle w:val="FootnoteText"/>
        <w:tabs>
          <w:tab w:val="clear" w:pos="255"/>
          <w:tab w:val="clear" w:pos="794"/>
          <w:tab w:val="clear" w:pos="1191"/>
          <w:tab w:val="clear" w:pos="1588"/>
          <w:tab w:val="clear" w:pos="1985"/>
          <w:tab w:val="left" w:pos="284"/>
        </w:tabs>
        <w:spacing w:before="0"/>
        <w:ind w:left="0" w:firstLine="0"/>
        <w:rPr>
          <w:rFonts w:cstheme="minorHAnsi"/>
          <w:i/>
          <w:iCs/>
          <w:sz w:val="20"/>
          <w:lang w:val="fr-CH"/>
        </w:rPr>
      </w:pPr>
      <w:r w:rsidRPr="00FB5283">
        <w:rPr>
          <w:rStyle w:val="FootnoteReference"/>
          <w:i/>
          <w:iCs/>
          <w:sz w:val="20"/>
          <w:lang w:val="fr-FR"/>
        </w:rPr>
        <w:footnoteRef/>
      </w:r>
      <w:r w:rsidR="00A6197D">
        <w:rPr>
          <w:lang w:val="fr-FR"/>
        </w:rPr>
        <w:tab/>
      </w:r>
      <w:r>
        <w:rPr>
          <w:i/>
          <w:iCs/>
          <w:lang w:val="fr-FR"/>
        </w:rPr>
        <w:t>De plus amples renseignements sur les partenariats et la mobilisation des ressources à l'UIT-D sont disponibles dans les Documents TDAG-24/4-F et INF/1, ainsi que dans le Document TDAG</w:t>
      </w:r>
      <w:r w:rsidR="00012B02">
        <w:rPr>
          <w:i/>
          <w:iCs/>
          <w:lang w:val="fr-FR"/>
        </w:rPr>
        <w:noBreakHyphen/>
      </w:r>
      <w:r>
        <w:rPr>
          <w:i/>
          <w:iCs/>
          <w:lang w:val="fr-FR"/>
        </w:rPr>
        <w:t>24/8-F (Membres du Secteur UIT-D, Associés et établissements universitaires participant aux travaux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9656F0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EE5979">
      <w:rPr>
        <w:sz w:val="22"/>
        <w:szCs w:val="22"/>
        <w:lang w:val="de-CH"/>
      </w:rPr>
      <w:t>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AAC4D1EC"/>
    <w:lvl w:ilvl="0">
      <w:start w:val="1"/>
      <w:numFmt w:val="decimal"/>
      <w:lvlText w:val="%1."/>
      <w:lvlJc w:val="left"/>
      <w:pPr>
        <w:ind w:left="360" w:hanging="360"/>
      </w:pPr>
      <w:rPr>
        <w:lang w:val="fr-CH"/>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875146577">
    <w:abstractNumId w:val="2"/>
  </w:num>
  <w:num w:numId="2" w16cid:durableId="2552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2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2B02"/>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0D1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7004"/>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550E"/>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0A2"/>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197D"/>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36EB"/>
    <w:rsid w:val="00BB02B5"/>
    <w:rsid w:val="00BB1863"/>
    <w:rsid w:val="00BB25EE"/>
    <w:rsid w:val="00BB363A"/>
    <w:rsid w:val="00BC10A0"/>
    <w:rsid w:val="00BC7BA2"/>
    <w:rsid w:val="00BD25B8"/>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E5979"/>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EE5979"/>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EE5979"/>
    <w:rPr>
      <w:rFonts w:asciiTheme="minorHAnsi" w:hAnsiTheme="minorHAnsi"/>
      <w:sz w:val="24"/>
      <w:lang w:val="en-GB" w:eastAsia="en-US"/>
    </w:rPr>
  </w:style>
  <w:style w:type="paragraph" w:customStyle="1" w:styleId="Figure">
    <w:name w:val="Figure"/>
    <w:basedOn w:val="Normal"/>
    <w:rsid w:val="009D40A2"/>
    <w:pPr>
      <w:spacing w:after="120"/>
    </w:pPr>
    <w:rPr>
      <w:rFonts w:cstheme="minorHAnsi"/>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jose.batanero@itu.int%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fr/ITU-D/Projects/Pages/default.aspx" TargetMode="External"/><Relationship Id="rId2" Type="http://schemas.openxmlformats.org/officeDocument/2006/relationships/hyperlink" Target="https://www.itu.int/net4/itu-d/icteye/" TargetMode="External"/><Relationship Id="rId1" Type="http://schemas.openxmlformats.org/officeDocument/2006/relationships/hyperlink" Target="https://www.itu.int/md/S23-CL-C-011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'[PRJ database for TDAG 2024 report.xlsx]Projects per year'!$B$2</c:f>
              <c:strCache>
                <c:ptCount val="1"/>
                <c:pt idx="0">
                  <c:v> Total project funding signed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'[PRJ database for TDAG 2024 report.xlsx]Projects per year'!$A$6:$A$16</c:f>
              <c:numCache>
                <c:formatCode>0_);\(0\)</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'[PRJ database for TDAG 2024 report.xlsx]Projects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20965339.076000001</c:v>
                </c:pt>
              </c:numCache>
            </c:numRef>
          </c:val>
          <c:extLst>
            <c:ext xmlns:c16="http://schemas.microsoft.com/office/drawing/2014/chart" uri="{C3380CC4-5D6E-409C-BE32-E72D297353CC}">
              <c16:uniqueId val="{00000000-710B-4186-98EB-519BBAA09607}"/>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fr-FR"/>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E7-4D7A-BFD6-238426606E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E7-4D7A-BFD6-238426606E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'[PRJ database for TDAG 2024 report.xlsx]Projects signed 2023'!$J$2:$J$3</c:f>
              <c:strCache>
                <c:ptCount val="2"/>
                <c:pt idx="0">
                  <c:v>Extra-budgetary funds</c:v>
                </c:pt>
                <c:pt idx="1">
                  <c:v>ITU funds 
(ICT-DF and RI funds)</c:v>
                </c:pt>
              </c:strCache>
            </c:strRef>
          </c:cat>
          <c:val>
            <c:numRef>
              <c:f>'[PRJ database for TDAG 2024 report.xlsx]Projects signed 2023'!$K$2:$K$3</c:f>
              <c:numCache>
                <c:formatCode>#,##0.0,</c:formatCode>
                <c:ptCount val="2"/>
                <c:pt idx="0">
                  <c:v>15775737</c:v>
                </c:pt>
                <c:pt idx="1">
                  <c:v>1176881</c:v>
                </c:pt>
              </c:numCache>
            </c:numRef>
          </c:val>
          <c:extLst>
            <c:ext xmlns:c16="http://schemas.microsoft.com/office/drawing/2014/chart" uri="{C3380CC4-5D6E-409C-BE32-E72D297353CC}">
              <c16:uniqueId val="{00000004-08E7-4D7A-BFD6-238426606E2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2111</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8</cp:revision>
  <cp:lastPrinted>2014-11-04T09:22:00Z</cp:lastPrinted>
  <dcterms:created xsi:type="dcterms:W3CDTF">2024-03-28T14:04:00Z</dcterms:created>
  <dcterms:modified xsi:type="dcterms:W3CDTF">2024-03-28T14:50:00Z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