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379"/>
        <w:gridCol w:w="3509"/>
      </w:tblGrid>
      <w:tr w:rsidR="00307769" w:rsidRPr="00D8041C" w14:paraId="3F0E9EC4" w14:textId="77777777" w:rsidTr="00952667">
        <w:trPr>
          <w:cantSplit/>
          <w:trHeight w:val="1134"/>
        </w:trPr>
        <w:tc>
          <w:tcPr>
            <w:tcW w:w="6379" w:type="dxa"/>
          </w:tcPr>
          <w:p w14:paraId="68FE8375" w14:textId="6390CADE" w:rsidR="00307769" w:rsidRPr="00D8041C" w:rsidRDefault="00B42366" w:rsidP="00307769">
            <w:pPr>
              <w:tabs>
                <w:tab w:val="clear" w:pos="1191"/>
                <w:tab w:val="clear" w:pos="1588"/>
                <w:tab w:val="clear" w:pos="1985"/>
              </w:tabs>
              <w:ind w:left="34"/>
              <w:rPr>
                <w:b/>
                <w:bCs/>
                <w:sz w:val="32"/>
                <w:szCs w:val="32"/>
                <w:lang w:val="es-ES_tradnl"/>
              </w:rPr>
            </w:pPr>
            <w:r w:rsidRPr="00D8041C">
              <w:rPr>
                <w:b/>
                <w:bCs/>
                <w:sz w:val="32"/>
                <w:szCs w:val="32"/>
                <w:lang w:val="es-ES_tradnl"/>
              </w:rPr>
              <w:t>Grupo Asesor de Desarrollo de las Telecomunicaciones</w:t>
            </w:r>
            <w:r w:rsidR="00307769" w:rsidRPr="00D8041C">
              <w:rPr>
                <w:b/>
                <w:bCs/>
                <w:sz w:val="32"/>
                <w:szCs w:val="32"/>
                <w:lang w:val="es-ES_tradnl"/>
              </w:rPr>
              <w:t xml:space="preserve"> (</w:t>
            </w:r>
            <w:r w:rsidRPr="00D8041C">
              <w:rPr>
                <w:b/>
                <w:bCs/>
                <w:sz w:val="32"/>
                <w:szCs w:val="32"/>
                <w:lang w:val="es-ES_tradnl"/>
              </w:rPr>
              <w:t>GADT</w:t>
            </w:r>
            <w:r w:rsidR="00307769" w:rsidRPr="00D8041C">
              <w:rPr>
                <w:b/>
                <w:bCs/>
                <w:sz w:val="32"/>
                <w:szCs w:val="32"/>
                <w:lang w:val="es-ES_tradnl"/>
              </w:rPr>
              <w:t>)</w:t>
            </w:r>
          </w:p>
          <w:p w14:paraId="5F5F590A" w14:textId="09229892" w:rsidR="00307769" w:rsidRPr="00D8041C" w:rsidRDefault="00307769" w:rsidP="00307769">
            <w:pPr>
              <w:tabs>
                <w:tab w:val="clear" w:pos="1191"/>
                <w:tab w:val="clear" w:pos="1588"/>
                <w:tab w:val="clear" w:pos="1985"/>
              </w:tabs>
              <w:spacing w:after="120"/>
              <w:ind w:left="34"/>
              <w:rPr>
                <w:rFonts w:ascii="Verdana" w:hAnsi="Verdana"/>
                <w:sz w:val="28"/>
                <w:szCs w:val="28"/>
                <w:lang w:val="es-ES_tradnl"/>
              </w:rPr>
            </w:pPr>
            <w:r w:rsidRPr="00D8041C">
              <w:rPr>
                <w:b/>
                <w:bCs/>
                <w:sz w:val="26"/>
                <w:szCs w:val="26"/>
                <w:lang w:val="es-ES_tradnl"/>
              </w:rPr>
              <w:t>3</w:t>
            </w:r>
            <w:r w:rsidR="00341DA6">
              <w:rPr>
                <w:b/>
                <w:bCs/>
                <w:sz w:val="26"/>
                <w:szCs w:val="26"/>
                <w:lang w:val="es-ES_tradnl"/>
              </w:rPr>
              <w:t>1</w:t>
            </w:r>
            <w:r w:rsidR="00B42366" w:rsidRPr="00D8041C">
              <w:rPr>
                <w:b/>
                <w:bCs/>
                <w:sz w:val="26"/>
                <w:szCs w:val="26"/>
                <w:lang w:val="es-ES_tradnl"/>
              </w:rPr>
              <w:t xml:space="preserve">ª reunión, Ginebra, Suiza, </w:t>
            </w:r>
            <w:r w:rsidR="00341DA6">
              <w:rPr>
                <w:b/>
                <w:bCs/>
                <w:sz w:val="26"/>
                <w:szCs w:val="26"/>
                <w:lang w:val="es-ES_tradnl"/>
              </w:rPr>
              <w:t>20</w:t>
            </w:r>
            <w:r w:rsidRPr="00D8041C">
              <w:rPr>
                <w:b/>
                <w:bCs/>
                <w:sz w:val="26"/>
                <w:szCs w:val="26"/>
                <w:lang w:val="es-ES_tradnl"/>
              </w:rPr>
              <w:t>-2</w:t>
            </w:r>
            <w:r w:rsidR="00B9710C">
              <w:rPr>
                <w:b/>
                <w:bCs/>
                <w:sz w:val="26"/>
                <w:szCs w:val="26"/>
                <w:lang w:val="es-ES_tradnl"/>
              </w:rPr>
              <w:t>3</w:t>
            </w:r>
            <w:r w:rsidRPr="00D8041C">
              <w:rPr>
                <w:b/>
                <w:bCs/>
                <w:sz w:val="26"/>
                <w:szCs w:val="26"/>
                <w:lang w:val="es-ES_tradnl"/>
              </w:rPr>
              <w:t xml:space="preserve"> </w:t>
            </w:r>
            <w:r w:rsidR="00B42366" w:rsidRPr="00D8041C">
              <w:rPr>
                <w:b/>
                <w:bCs/>
                <w:sz w:val="26"/>
                <w:szCs w:val="26"/>
                <w:lang w:val="es-ES_tradnl"/>
              </w:rPr>
              <w:t xml:space="preserve">de </w:t>
            </w:r>
            <w:r w:rsidR="00341DA6">
              <w:rPr>
                <w:b/>
                <w:bCs/>
                <w:sz w:val="26"/>
                <w:szCs w:val="26"/>
                <w:lang w:val="es-ES_tradnl"/>
              </w:rPr>
              <w:t>mayo</w:t>
            </w:r>
            <w:r w:rsidR="00B42366" w:rsidRPr="00D8041C">
              <w:rPr>
                <w:b/>
                <w:bCs/>
                <w:sz w:val="26"/>
                <w:szCs w:val="26"/>
                <w:lang w:val="es-ES_tradnl"/>
              </w:rPr>
              <w:t xml:space="preserve"> de</w:t>
            </w:r>
            <w:r w:rsidRPr="00D8041C">
              <w:rPr>
                <w:b/>
                <w:bCs/>
                <w:sz w:val="26"/>
                <w:szCs w:val="26"/>
                <w:lang w:val="es-ES_tradnl"/>
              </w:rPr>
              <w:t xml:space="preserve"> 2023</w:t>
            </w:r>
          </w:p>
        </w:tc>
        <w:tc>
          <w:tcPr>
            <w:tcW w:w="3509" w:type="dxa"/>
          </w:tcPr>
          <w:p w14:paraId="67E7B4C4" w14:textId="0F52E4CC" w:rsidR="00307769" w:rsidRPr="00D8041C" w:rsidRDefault="00307769" w:rsidP="00952667">
            <w:pPr>
              <w:spacing w:after="120"/>
              <w:ind w:right="142"/>
              <w:jc w:val="right"/>
              <w:rPr>
                <w:lang w:val="es-ES_tradnl"/>
              </w:rPr>
            </w:pPr>
            <w:r w:rsidRPr="00D8041C">
              <w:rPr>
                <w:noProof/>
                <w:lang w:val="es-ES_tradnl" w:eastAsia="fr-FR"/>
              </w:rPr>
              <w:drawing>
                <wp:inline distT="0" distB="0" distL="0" distR="0" wp14:anchorId="7A20172F" wp14:editId="3C26654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D8041C" w14:paraId="3C13197B" w14:textId="77777777" w:rsidTr="0009076F">
        <w:trPr>
          <w:cantSplit/>
        </w:trPr>
        <w:tc>
          <w:tcPr>
            <w:tcW w:w="6379" w:type="dxa"/>
            <w:tcBorders>
              <w:top w:val="single" w:sz="12" w:space="0" w:color="auto"/>
            </w:tcBorders>
          </w:tcPr>
          <w:p w14:paraId="2EED9DB2" w14:textId="77777777" w:rsidR="00683C32" w:rsidRPr="00D8041C" w:rsidRDefault="00683C32" w:rsidP="00107E85">
            <w:pPr>
              <w:spacing w:before="0"/>
              <w:rPr>
                <w:rFonts w:cs="Arial"/>
                <w:b/>
                <w:bCs/>
                <w:sz w:val="20"/>
                <w:lang w:val="es-ES_tradnl"/>
              </w:rPr>
            </w:pPr>
          </w:p>
        </w:tc>
        <w:tc>
          <w:tcPr>
            <w:tcW w:w="3509" w:type="dxa"/>
            <w:tcBorders>
              <w:top w:val="single" w:sz="12" w:space="0" w:color="auto"/>
            </w:tcBorders>
          </w:tcPr>
          <w:p w14:paraId="6CC77CFE" w14:textId="77777777" w:rsidR="00683C32" w:rsidRPr="00D8041C" w:rsidRDefault="00683C32" w:rsidP="00107E85">
            <w:pPr>
              <w:spacing w:before="0"/>
              <w:rPr>
                <w:b/>
                <w:bCs/>
                <w:sz w:val="20"/>
                <w:lang w:val="es-ES_tradnl"/>
              </w:rPr>
            </w:pPr>
          </w:p>
        </w:tc>
      </w:tr>
      <w:tr w:rsidR="00D54726" w:rsidRPr="00D54726" w14:paraId="0BB3FBC4" w14:textId="77777777" w:rsidTr="0009076F">
        <w:trPr>
          <w:cantSplit/>
        </w:trPr>
        <w:tc>
          <w:tcPr>
            <w:tcW w:w="6379" w:type="dxa"/>
          </w:tcPr>
          <w:p w14:paraId="43C54B3D" w14:textId="77777777" w:rsidR="00D54726" w:rsidRPr="00D8041C" w:rsidRDefault="00D54726" w:rsidP="00D54726">
            <w:pPr>
              <w:pStyle w:val="Committee"/>
              <w:spacing w:before="0"/>
              <w:rPr>
                <w:b w:val="0"/>
                <w:szCs w:val="24"/>
                <w:lang w:val="es-ES_tradnl"/>
              </w:rPr>
            </w:pPr>
          </w:p>
        </w:tc>
        <w:tc>
          <w:tcPr>
            <w:tcW w:w="3509" w:type="dxa"/>
          </w:tcPr>
          <w:p w14:paraId="02E44EE9" w14:textId="49BC5002" w:rsidR="00D54726" w:rsidRPr="00D8041C" w:rsidRDefault="00D54726" w:rsidP="00D54726">
            <w:pPr>
              <w:spacing w:before="0"/>
              <w:jc w:val="both"/>
              <w:rPr>
                <w:bCs/>
                <w:szCs w:val="24"/>
                <w:lang w:val="es-ES_tradnl"/>
              </w:rPr>
            </w:pPr>
            <w:r>
              <w:rPr>
                <w:b/>
                <w:bCs/>
                <w:lang w:val="es-ES_tradnl"/>
              </w:rPr>
              <w:t xml:space="preserve">Revisión 1 al </w:t>
            </w:r>
            <w:r>
              <w:rPr>
                <w:b/>
                <w:bCs/>
                <w:lang w:val="es-ES_tradnl"/>
              </w:rPr>
              <w:br/>
            </w:r>
            <w:r w:rsidRPr="0053284F">
              <w:rPr>
                <w:b/>
                <w:bCs/>
                <w:lang w:val="es-ES_tradnl"/>
              </w:rPr>
              <w:t xml:space="preserve">Documento </w:t>
            </w:r>
            <w:bookmarkStart w:id="0" w:name="DocRef1"/>
            <w:bookmarkEnd w:id="0"/>
            <w:r w:rsidRPr="0053284F">
              <w:rPr>
                <w:b/>
                <w:bCs/>
                <w:lang w:val="es-ES_tradnl"/>
              </w:rPr>
              <w:t>TDAG-2</w:t>
            </w:r>
            <w:bookmarkStart w:id="1" w:name="DocNo1"/>
            <w:bookmarkEnd w:id="1"/>
            <w:r w:rsidRPr="0053284F">
              <w:rPr>
                <w:b/>
                <w:bCs/>
                <w:lang w:val="es-ES_tradnl"/>
              </w:rPr>
              <w:t>4/4-S</w:t>
            </w:r>
          </w:p>
        </w:tc>
      </w:tr>
      <w:tr w:rsidR="00D54726" w:rsidRPr="00D8041C" w14:paraId="24D04936" w14:textId="77777777" w:rsidTr="0009076F">
        <w:trPr>
          <w:cantSplit/>
        </w:trPr>
        <w:tc>
          <w:tcPr>
            <w:tcW w:w="6379" w:type="dxa"/>
          </w:tcPr>
          <w:p w14:paraId="12CE4DBF" w14:textId="77777777" w:rsidR="00D54726" w:rsidRPr="00D8041C" w:rsidRDefault="00D54726" w:rsidP="00D54726">
            <w:pPr>
              <w:spacing w:before="0"/>
              <w:rPr>
                <w:b/>
                <w:bCs/>
                <w:smallCaps/>
                <w:szCs w:val="24"/>
                <w:lang w:val="es-ES_tradnl"/>
              </w:rPr>
            </w:pPr>
          </w:p>
        </w:tc>
        <w:tc>
          <w:tcPr>
            <w:tcW w:w="3509" w:type="dxa"/>
          </w:tcPr>
          <w:p w14:paraId="0F89640F" w14:textId="710D23A4" w:rsidR="00D54726" w:rsidRPr="00D8041C" w:rsidRDefault="00D54726" w:rsidP="00D54726">
            <w:pPr>
              <w:spacing w:before="0"/>
              <w:rPr>
                <w:b/>
                <w:szCs w:val="24"/>
                <w:lang w:val="es-ES_tradnl"/>
              </w:rPr>
            </w:pPr>
            <w:bookmarkStart w:id="2" w:name="CreationDate"/>
            <w:bookmarkEnd w:id="2"/>
            <w:r>
              <w:rPr>
                <w:b/>
                <w:bCs/>
                <w:szCs w:val="28"/>
                <w:lang w:val="es-ES_tradnl"/>
              </w:rPr>
              <w:t>7 de mayo</w:t>
            </w:r>
            <w:r w:rsidRPr="0053284F">
              <w:rPr>
                <w:b/>
                <w:bCs/>
                <w:szCs w:val="28"/>
                <w:lang w:val="es-ES_tradnl"/>
              </w:rPr>
              <w:t xml:space="preserve"> de 2024</w:t>
            </w:r>
          </w:p>
        </w:tc>
      </w:tr>
      <w:tr w:rsidR="00D54726" w:rsidRPr="00D8041C" w14:paraId="7B96545F" w14:textId="77777777" w:rsidTr="0009076F">
        <w:trPr>
          <w:cantSplit/>
        </w:trPr>
        <w:tc>
          <w:tcPr>
            <w:tcW w:w="6379" w:type="dxa"/>
          </w:tcPr>
          <w:p w14:paraId="65956FD3" w14:textId="77777777" w:rsidR="00D54726" w:rsidRPr="00D8041C" w:rsidRDefault="00D54726" w:rsidP="00D54726">
            <w:pPr>
              <w:spacing w:before="0"/>
              <w:rPr>
                <w:b/>
                <w:bCs/>
                <w:smallCaps/>
                <w:szCs w:val="24"/>
                <w:lang w:val="es-ES_tradnl"/>
              </w:rPr>
            </w:pPr>
          </w:p>
        </w:tc>
        <w:tc>
          <w:tcPr>
            <w:tcW w:w="3509" w:type="dxa"/>
          </w:tcPr>
          <w:p w14:paraId="30EFD39F" w14:textId="3DD20D27" w:rsidR="00D54726" w:rsidRPr="00D8041C" w:rsidRDefault="00D54726" w:rsidP="00D54726">
            <w:pPr>
              <w:spacing w:before="0"/>
              <w:rPr>
                <w:szCs w:val="24"/>
                <w:lang w:val="es-ES_tradnl"/>
              </w:rPr>
            </w:pPr>
            <w:r w:rsidRPr="0053284F">
              <w:rPr>
                <w:b/>
                <w:lang w:val="es-ES_tradnl"/>
              </w:rPr>
              <w:t>Original:</w:t>
            </w:r>
            <w:bookmarkStart w:id="3" w:name="Original"/>
            <w:bookmarkEnd w:id="3"/>
            <w:r w:rsidRPr="0053284F">
              <w:rPr>
                <w:b/>
                <w:lang w:val="es-ES_tradnl"/>
              </w:rPr>
              <w:t xml:space="preserve"> inglés</w:t>
            </w:r>
          </w:p>
        </w:tc>
      </w:tr>
      <w:tr w:rsidR="00D54726" w:rsidRPr="00D54726" w14:paraId="31656E31" w14:textId="77777777" w:rsidTr="00107E85">
        <w:trPr>
          <w:cantSplit/>
          <w:trHeight w:val="852"/>
        </w:trPr>
        <w:tc>
          <w:tcPr>
            <w:tcW w:w="9888" w:type="dxa"/>
            <w:gridSpan w:val="2"/>
          </w:tcPr>
          <w:p w14:paraId="512FCA01" w14:textId="5D3E1EE8" w:rsidR="00D54726" w:rsidRPr="00D8041C" w:rsidRDefault="00D54726" w:rsidP="00D54726">
            <w:pPr>
              <w:pStyle w:val="Source"/>
              <w:rPr>
                <w:lang w:val="es-ES_tradnl"/>
              </w:rPr>
            </w:pPr>
            <w:bookmarkStart w:id="4" w:name="Source"/>
            <w:bookmarkEnd w:id="4"/>
            <w:r w:rsidRPr="0053284F">
              <w:rPr>
                <w:bCs/>
                <w:lang w:val="es-ES_tradnl"/>
              </w:rPr>
              <w:t>Director de la Oficina de Desarrollo de las Telecomunicaciones</w:t>
            </w:r>
          </w:p>
        </w:tc>
      </w:tr>
      <w:tr w:rsidR="00D54726" w:rsidRPr="00D54726" w14:paraId="2CBD3A36" w14:textId="77777777" w:rsidTr="00107E85">
        <w:trPr>
          <w:cantSplit/>
        </w:trPr>
        <w:tc>
          <w:tcPr>
            <w:tcW w:w="9888" w:type="dxa"/>
            <w:gridSpan w:val="2"/>
          </w:tcPr>
          <w:p w14:paraId="1B4121DF" w14:textId="6EC40426" w:rsidR="00D54726" w:rsidRPr="00D8041C" w:rsidRDefault="00D54726" w:rsidP="00D54726">
            <w:pPr>
              <w:pStyle w:val="Title1"/>
              <w:rPr>
                <w:lang w:val="es-ES_tradnl"/>
              </w:rPr>
            </w:pPr>
            <w:bookmarkStart w:id="5" w:name="Title"/>
            <w:bookmarkEnd w:id="5"/>
            <w:r w:rsidRPr="0053284F">
              <w:rPr>
                <w:lang w:val="es-ES_tradnl"/>
              </w:rPr>
              <w:t>Asociaciones y movilización de recursos en el UIT-D</w:t>
            </w:r>
          </w:p>
        </w:tc>
      </w:tr>
      <w:tr w:rsidR="00D54726" w:rsidRPr="00D54726" w14:paraId="23A30231" w14:textId="77777777" w:rsidTr="00A721F4">
        <w:trPr>
          <w:cantSplit/>
        </w:trPr>
        <w:tc>
          <w:tcPr>
            <w:tcW w:w="9888" w:type="dxa"/>
            <w:gridSpan w:val="2"/>
            <w:tcBorders>
              <w:bottom w:val="single" w:sz="4" w:space="0" w:color="auto"/>
            </w:tcBorders>
          </w:tcPr>
          <w:p w14:paraId="726EE70E" w14:textId="77777777" w:rsidR="00D54726" w:rsidRPr="00D8041C" w:rsidRDefault="00D54726" w:rsidP="00D54726">
            <w:pPr>
              <w:rPr>
                <w:lang w:val="es-ES_tradnl"/>
              </w:rPr>
            </w:pPr>
          </w:p>
        </w:tc>
      </w:tr>
      <w:tr w:rsidR="00D54726" w:rsidRPr="00D54726" w14:paraId="590033C8" w14:textId="77777777" w:rsidTr="00A721F4">
        <w:trPr>
          <w:cantSplit/>
        </w:trPr>
        <w:tc>
          <w:tcPr>
            <w:tcW w:w="9888" w:type="dxa"/>
            <w:gridSpan w:val="2"/>
            <w:tcBorders>
              <w:top w:val="single" w:sz="4" w:space="0" w:color="auto"/>
              <w:left w:val="single" w:sz="4" w:space="0" w:color="auto"/>
              <w:bottom w:val="single" w:sz="4" w:space="0" w:color="auto"/>
              <w:right w:val="single" w:sz="4" w:space="0" w:color="auto"/>
            </w:tcBorders>
          </w:tcPr>
          <w:p w14:paraId="24AD322D" w14:textId="77777777" w:rsidR="00D54726" w:rsidRPr="0053284F" w:rsidRDefault="00D54726" w:rsidP="00D54726">
            <w:pPr>
              <w:spacing w:after="120"/>
              <w:rPr>
                <w:b/>
                <w:bCs/>
                <w:szCs w:val="24"/>
                <w:lang w:val="es-ES_tradnl"/>
              </w:rPr>
            </w:pPr>
            <w:r w:rsidRPr="0053284F">
              <w:rPr>
                <w:b/>
                <w:bCs/>
                <w:szCs w:val="24"/>
                <w:lang w:val="es-ES_tradnl"/>
              </w:rPr>
              <w:t>Resumen:</w:t>
            </w:r>
          </w:p>
          <w:p w14:paraId="236AA9FD" w14:textId="77777777" w:rsidR="00D54726" w:rsidRPr="0053284F" w:rsidRDefault="00D54726" w:rsidP="00D54726">
            <w:pPr>
              <w:spacing w:after="120"/>
              <w:rPr>
                <w:lang w:val="es-ES_tradnl"/>
              </w:rPr>
            </w:pPr>
            <w:r w:rsidRPr="0053284F">
              <w:rPr>
                <w:lang w:val="es-ES_tradnl"/>
              </w:rPr>
              <w:t>La importancia que revisten las asociaciones y la movilización de recursos se puso de relieve en la Conferencia Mundial de Desarrollo de las Telecomunicaciones de 2022 (CMDT-22). En el presente documento se informa sobre las asociaciones y las actividades de movilización de recursos llevadas a cabo en 2023.</w:t>
            </w:r>
          </w:p>
          <w:p w14:paraId="4E0806E2" w14:textId="77777777" w:rsidR="00D54726" w:rsidRPr="0053284F" w:rsidRDefault="00D54726" w:rsidP="00D54726">
            <w:pPr>
              <w:spacing w:after="120"/>
              <w:rPr>
                <w:b/>
                <w:bCs/>
                <w:szCs w:val="24"/>
                <w:lang w:val="es-ES_tradnl"/>
              </w:rPr>
            </w:pPr>
            <w:r w:rsidRPr="0053284F">
              <w:rPr>
                <w:b/>
                <w:bCs/>
                <w:lang w:val="es-ES_tradnl"/>
              </w:rPr>
              <w:t>Acción solicitada:</w:t>
            </w:r>
          </w:p>
          <w:p w14:paraId="24FCD9E1" w14:textId="77777777" w:rsidR="00D54726" w:rsidRPr="0053284F" w:rsidRDefault="00D54726" w:rsidP="00D54726">
            <w:pPr>
              <w:spacing w:after="120"/>
              <w:rPr>
                <w:lang w:val="es-ES_tradnl"/>
              </w:rPr>
            </w:pPr>
            <w:r w:rsidRPr="0053284F">
              <w:rPr>
                <w:lang w:val="es-ES_tradnl"/>
              </w:rPr>
              <w:t>Se invita al GADT a tomar nota del presente documento y a formular los comentarios que estime convenientes.</w:t>
            </w:r>
          </w:p>
          <w:p w14:paraId="133F550C" w14:textId="77777777" w:rsidR="00D54726" w:rsidRPr="0053284F" w:rsidRDefault="00D54726" w:rsidP="00D54726">
            <w:pPr>
              <w:spacing w:after="120"/>
              <w:rPr>
                <w:b/>
                <w:bCs/>
                <w:szCs w:val="24"/>
                <w:lang w:val="es-ES_tradnl"/>
              </w:rPr>
            </w:pPr>
            <w:r w:rsidRPr="0053284F">
              <w:rPr>
                <w:b/>
                <w:bCs/>
                <w:szCs w:val="24"/>
                <w:lang w:val="es-ES_tradnl"/>
              </w:rPr>
              <w:t>Referencias:</w:t>
            </w:r>
          </w:p>
          <w:p w14:paraId="7FAE6BB2" w14:textId="77777777" w:rsidR="00D54726" w:rsidRPr="0053284F" w:rsidRDefault="00D54726" w:rsidP="00D54726">
            <w:pPr>
              <w:spacing w:after="120"/>
              <w:rPr>
                <w:lang w:val="es-ES_tradnl"/>
              </w:rPr>
            </w:pPr>
            <w:r w:rsidRPr="0053284F">
              <w:rPr>
                <w:lang w:val="es-ES_tradnl"/>
              </w:rPr>
              <w:t>Secciones 3.1 y 3.3 del Plan de Acción de Kigali</w:t>
            </w:r>
          </w:p>
          <w:p w14:paraId="616690A9" w14:textId="77777777" w:rsidR="00D54726" w:rsidRPr="0053284F" w:rsidRDefault="00D54726" w:rsidP="00D54726">
            <w:pPr>
              <w:spacing w:after="120"/>
              <w:rPr>
                <w:lang w:val="es-ES_tradnl"/>
              </w:rPr>
            </w:pPr>
            <w:r w:rsidRPr="0053284F">
              <w:rPr>
                <w:lang w:val="es-ES_tradnl"/>
              </w:rPr>
              <w:t>Resolución 17 (Rev. Kigali, 2022)</w:t>
            </w:r>
          </w:p>
          <w:p w14:paraId="1ECDD20E" w14:textId="36C88D1F" w:rsidR="00D54726" w:rsidRPr="00D8041C" w:rsidRDefault="00D54726" w:rsidP="00D54726">
            <w:pPr>
              <w:spacing w:after="120"/>
              <w:rPr>
                <w:lang w:val="es-ES_tradnl"/>
              </w:rPr>
            </w:pPr>
            <w:r w:rsidRPr="0053284F">
              <w:rPr>
                <w:lang w:val="es-ES_tradnl"/>
              </w:rPr>
              <w:t>Declaración de la CMDT-22</w:t>
            </w:r>
          </w:p>
        </w:tc>
      </w:tr>
    </w:tbl>
    <w:p w14:paraId="72F5CF96" w14:textId="77777777" w:rsidR="00923CF1" w:rsidRPr="00D8041C" w:rsidRDefault="00923CF1" w:rsidP="00935FF0">
      <w:pPr>
        <w:rPr>
          <w:lang w:val="es-ES_tradnl"/>
        </w:rPr>
      </w:pPr>
    </w:p>
    <w:p w14:paraId="5B29B2A3" w14:textId="77777777" w:rsidR="00923CF1" w:rsidRPr="00D8041C" w:rsidRDefault="00923CF1">
      <w:pPr>
        <w:tabs>
          <w:tab w:val="clear" w:pos="794"/>
          <w:tab w:val="clear" w:pos="1191"/>
          <w:tab w:val="clear" w:pos="1588"/>
          <w:tab w:val="clear" w:pos="1985"/>
        </w:tabs>
        <w:overflowPunct/>
        <w:autoSpaceDE/>
        <w:autoSpaceDN/>
        <w:adjustRightInd/>
        <w:spacing w:before="0"/>
        <w:textAlignment w:val="auto"/>
        <w:rPr>
          <w:lang w:val="es-ES_tradnl"/>
        </w:rPr>
      </w:pPr>
      <w:r w:rsidRPr="00D8041C">
        <w:rPr>
          <w:lang w:val="es-ES_tradnl"/>
        </w:rPr>
        <w:br w:type="page"/>
      </w:r>
    </w:p>
    <w:p w14:paraId="60F4C084" w14:textId="77777777" w:rsidR="00D54726" w:rsidRPr="0053284F" w:rsidRDefault="00D54726" w:rsidP="00D54726">
      <w:pPr>
        <w:pStyle w:val="Heading1"/>
        <w:rPr>
          <w:lang w:val="es-ES_tradnl"/>
        </w:rPr>
      </w:pPr>
      <w:bookmarkStart w:id="6" w:name="Proposal"/>
      <w:bookmarkEnd w:id="6"/>
      <w:r w:rsidRPr="0053284F">
        <w:rPr>
          <w:lang w:val="es-ES_tradnl"/>
        </w:rPr>
        <w:lastRenderedPageBreak/>
        <w:t>1</w:t>
      </w:r>
      <w:r w:rsidRPr="0053284F">
        <w:rPr>
          <w:lang w:val="es-ES_tradnl"/>
        </w:rPr>
        <w:tab/>
        <w:t>Antecedentes</w:t>
      </w:r>
    </w:p>
    <w:p w14:paraId="288A8263" w14:textId="77777777" w:rsidR="00D54726" w:rsidRPr="0053284F" w:rsidRDefault="00D54726" w:rsidP="00D54726">
      <w:pPr>
        <w:rPr>
          <w:szCs w:val="24"/>
          <w:lang w:val="es-ES_tradnl"/>
        </w:rPr>
      </w:pPr>
      <w:r w:rsidRPr="0053284F">
        <w:rPr>
          <w:lang w:val="es-ES_tradnl"/>
        </w:rPr>
        <w:t>La Conferencia Mundial de Desarrollo de las Telecomunicaciones de 2022 (CMDT-22) reconoció la importancia de la movilización de recursos y la cooperación internacional como una nueva prioridad del UIT-D y facilitador del Plan de Acción de Kigali, a saber, que "esta prioridad tiene por objeto movilizar y atraer recursos y fomentar la cooperación internacional sobre cuestiones relativas al desarrollo de las telecomunicaciones/TIC. Esta prioridad temática también es transversal, al proporcionar recursos y fomentar la cooperación internacional para obtener resultados globales pertinentes. Se debe dar prioridad y prestar la debida atención a las necesidades de los países en desarrollo, los países menos adelantados, los pequeños Estados insulares en desarrollo, los países en desarrollo sin litoral y los países con economías en transición, así como las poblaciones insuficientemente atendidas y vulnerables". (Plan de Acción de Kigali</w:t>
      </w:r>
      <w:r w:rsidRPr="0053284F">
        <w:rPr>
          <w:szCs w:val="24"/>
          <w:lang w:val="es-ES_tradnl"/>
        </w:rPr>
        <w:t>).</w:t>
      </w:r>
    </w:p>
    <w:p w14:paraId="64B8E229" w14:textId="77777777" w:rsidR="00D54726" w:rsidRPr="0053284F" w:rsidRDefault="00D54726" w:rsidP="00D54726">
      <w:pPr>
        <w:rPr>
          <w:bCs/>
          <w:szCs w:val="24"/>
          <w:lang w:val="es-ES_tradnl"/>
        </w:rPr>
      </w:pPr>
      <w:r w:rsidRPr="0053284F">
        <w:rPr>
          <w:bCs/>
          <w:szCs w:val="24"/>
          <w:lang w:val="es-ES_tradnl"/>
        </w:rPr>
        <w:t>En la Resolución 17 (Rev. Kigali, 2022), "Ejecución en los planos nacional, regional, interregional y mundial de las iniciativas regionales aprobadas y cooperación al respecto", se encarga al Director de la BDT "que garantice que la BDT facilite la participación activa de las organizaciones regionales y subregionales de telecomunicaciones en las diferentes fases de gestión de proyectos establecidas por la UIT, así como la creación de asociaciones y la movilización de recursos, con miras a promover eficazmente la implementación de las iniciativas regionales".</w:t>
      </w:r>
    </w:p>
    <w:p w14:paraId="23C922B3" w14:textId="77777777" w:rsidR="00D54726" w:rsidRPr="0053284F" w:rsidRDefault="00D54726" w:rsidP="00D54726">
      <w:pPr>
        <w:pStyle w:val="Heading1"/>
        <w:rPr>
          <w:bCs/>
          <w:lang w:val="es-ES_tradnl"/>
        </w:rPr>
      </w:pPr>
      <w:r w:rsidRPr="0053284F">
        <w:rPr>
          <w:lang w:val="es-ES_tradnl"/>
        </w:rPr>
        <w:t>2</w:t>
      </w:r>
      <w:r w:rsidRPr="0053284F">
        <w:rPr>
          <w:lang w:val="es-ES_tradnl"/>
        </w:rPr>
        <w:tab/>
        <w:t>Objetivo estratégico del UIT-D: asociaciones y movilización de recursos</w:t>
      </w:r>
    </w:p>
    <w:p w14:paraId="764504C4" w14:textId="77777777" w:rsidR="00D54726" w:rsidRPr="0053284F" w:rsidRDefault="00D54726" w:rsidP="00D54726">
      <w:pPr>
        <w:rPr>
          <w:szCs w:val="24"/>
          <w:lang w:val="es-ES_tradnl"/>
        </w:rPr>
      </w:pPr>
      <w:r w:rsidRPr="0053284F">
        <w:rPr>
          <w:lang w:val="es-ES_tradnl"/>
        </w:rPr>
        <w:t>De acuerdo con los resultados de la CMDT-22, el objetivo es facilitar, desarrollar y reforzar las asociaciones y la colaboración internacional con el mayor número posible de socios tanto de países desarrollados como en desarrollo, a fin de aumentar la coordinación, la compartición de conocimientos y la movilización de recursos para la ejecución de programas, actividades e iniciativas para el desarrollo sostenible</w:t>
      </w:r>
      <w:r w:rsidRPr="0053284F">
        <w:rPr>
          <w:szCs w:val="24"/>
          <w:lang w:val="es-ES_tradnl"/>
        </w:rPr>
        <w:t>.</w:t>
      </w:r>
    </w:p>
    <w:p w14:paraId="50D4C7F1" w14:textId="77777777" w:rsidR="00D54726" w:rsidRPr="0053284F" w:rsidRDefault="00D54726" w:rsidP="00D54726">
      <w:pPr>
        <w:pStyle w:val="Heading1"/>
        <w:rPr>
          <w:bCs/>
          <w:lang w:val="es-ES_tradnl"/>
        </w:rPr>
      </w:pPr>
      <w:r w:rsidRPr="0053284F">
        <w:rPr>
          <w:lang w:val="es-ES_tradnl"/>
        </w:rPr>
        <w:t>3</w:t>
      </w:r>
      <w:r w:rsidRPr="0053284F">
        <w:rPr>
          <w:lang w:val="es-ES_tradnl"/>
        </w:rPr>
        <w:tab/>
        <w:t xml:space="preserve">Asociaciones y movilización de recursos en </w:t>
      </w:r>
      <w:r w:rsidRPr="0053284F">
        <w:rPr>
          <w:bCs/>
          <w:lang w:val="es-ES_tradnl"/>
        </w:rPr>
        <w:t>2023</w:t>
      </w:r>
    </w:p>
    <w:p w14:paraId="0E074265" w14:textId="4FCBA855" w:rsidR="00D54726" w:rsidRPr="0053284F" w:rsidRDefault="00D54726" w:rsidP="00D54726">
      <w:pPr>
        <w:rPr>
          <w:lang w:val="es-ES_tradnl"/>
        </w:rPr>
      </w:pPr>
      <w:r w:rsidRPr="0053284F">
        <w:rPr>
          <w:lang w:val="es-ES_tradnl"/>
        </w:rPr>
        <w:t xml:space="preserve">En 2023, gracias a los esfuerzos combinados de los Miembros y los socios de la UIT, y también del personal de la Sede y sobre el terreno de la BDT, la BDT firmó </w:t>
      </w:r>
      <w:r>
        <w:rPr>
          <w:lang w:val="es-ES_tradnl"/>
        </w:rPr>
        <w:t>88</w:t>
      </w:r>
      <w:r w:rsidRPr="0053284F">
        <w:rPr>
          <w:lang w:val="es-ES_tradnl"/>
        </w:rPr>
        <w:t xml:space="preserve"> acuerdos, de los cuales </w:t>
      </w:r>
      <w:r>
        <w:rPr>
          <w:lang w:val="es-ES_tradnl"/>
        </w:rPr>
        <w:t>53</w:t>
      </w:r>
      <w:r w:rsidRPr="0053284F">
        <w:rPr>
          <w:lang w:val="es-ES_tradnl"/>
        </w:rPr>
        <w:t xml:space="preserve"> tenían contribuciones financieras que ascendían a unos </w:t>
      </w:r>
      <w:r>
        <w:rPr>
          <w:lang w:val="es-ES_tradnl"/>
        </w:rPr>
        <w:t>24,2</w:t>
      </w:r>
      <w:r w:rsidRPr="0053284F">
        <w:rPr>
          <w:lang w:val="es-ES_tradnl"/>
        </w:rPr>
        <w:t> millones USD, distribuidos como sigue:</w:t>
      </w:r>
    </w:p>
    <w:p w14:paraId="478AC800" w14:textId="77777777" w:rsidR="00D54726" w:rsidRPr="0053284F" w:rsidRDefault="00D54726" w:rsidP="00D54726">
      <w:pPr>
        <w:keepNext/>
        <w:tabs>
          <w:tab w:val="clear" w:pos="794"/>
          <w:tab w:val="clear" w:pos="1191"/>
          <w:tab w:val="clear" w:pos="1588"/>
          <w:tab w:val="clear" w:pos="1985"/>
        </w:tabs>
        <w:spacing w:after="120"/>
        <w:jc w:val="center"/>
        <w:rPr>
          <w:sz w:val="22"/>
          <w:szCs w:val="22"/>
          <w:lang w:val="es-ES_tradnl"/>
        </w:rPr>
      </w:pPr>
      <w:r w:rsidRPr="0053284F">
        <w:rPr>
          <w:noProof/>
          <w:lang w:val="es-ES_tradnl"/>
        </w:rPr>
        <w:drawing>
          <wp:inline distT="0" distB="0" distL="0" distR="0" wp14:anchorId="752375BB" wp14:editId="6C686B1C">
            <wp:extent cx="6008370" cy="2237015"/>
            <wp:effectExtent l="0" t="0" r="11430" b="11430"/>
            <wp:docPr id="1975929464" name="Chart 1">
              <a:extLst xmlns:a="http://schemas.openxmlformats.org/drawingml/2006/main">
                <a:ext uri="{FF2B5EF4-FFF2-40B4-BE49-F238E27FC236}">
                  <a16:creationId xmlns:a16="http://schemas.microsoft.com/office/drawing/2014/main" id="{03C5564D-9CB3-4096-9912-87FC754861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278164" w14:textId="77777777" w:rsidR="00D54726" w:rsidRPr="0053284F" w:rsidRDefault="00D54726" w:rsidP="00D54726">
      <w:pPr>
        <w:rPr>
          <w:lang w:val="es-ES_tradnl"/>
        </w:rPr>
      </w:pPr>
      <w:r w:rsidRPr="0053284F">
        <w:rPr>
          <w:lang w:val="es-ES_tradnl"/>
        </w:rPr>
        <w:t xml:space="preserve">La lista de acuerdos firmados por la BDT figura en el Documento </w:t>
      </w:r>
      <w:hyperlink r:id="rId12">
        <w:r w:rsidRPr="0053284F">
          <w:rPr>
            <w:rStyle w:val="Hyperlink"/>
            <w:lang w:val="es-ES_tradnl"/>
          </w:rPr>
          <w:t>TDAG24/INF/1</w:t>
        </w:r>
      </w:hyperlink>
      <w:r w:rsidRPr="0053284F">
        <w:rPr>
          <w:lang w:val="es-ES_tradnl"/>
        </w:rPr>
        <w:t>.</w:t>
      </w:r>
    </w:p>
    <w:p w14:paraId="309BA78E" w14:textId="6B924F6C" w:rsidR="00D54726" w:rsidRPr="0053284F" w:rsidRDefault="00D54726" w:rsidP="00D54726">
      <w:pPr>
        <w:rPr>
          <w:lang w:val="es-ES_tradnl"/>
        </w:rPr>
      </w:pPr>
      <w:r w:rsidRPr="0053284F">
        <w:rPr>
          <w:lang w:val="es-ES_tradnl"/>
        </w:rPr>
        <w:t xml:space="preserve">Entre los socios de la BDT que han firmado acuerdos de asociación con contribuciones financieras o sin ellas en 2023, el 50% eran Estados Miembros, el 27% eran Miembros de Sector del UIT-D, el </w:t>
      </w:r>
      <w:r w:rsidRPr="0053284F">
        <w:rPr>
          <w:lang w:val="es-ES_tradnl"/>
        </w:rPr>
        <w:lastRenderedPageBreak/>
        <w:t>15% eran Instituciones Académicas y el 8% eran organizaciones regionales y otras organizaciones internacionales, según las categorías de Miembros de la UIT</w:t>
      </w:r>
      <w:r w:rsidR="00026C76">
        <w:rPr>
          <w:rStyle w:val="FootnoteReference"/>
          <w:lang w:val="es-ES_tradnl"/>
        </w:rPr>
        <w:footnoteReference w:customMarkFollows="1" w:id="1"/>
        <w:t>1</w:t>
      </w:r>
      <w:r w:rsidRPr="0053284F">
        <w:rPr>
          <w:lang w:val="es-ES_tradnl"/>
        </w:rPr>
        <w:t>.</w:t>
      </w:r>
    </w:p>
    <w:p w14:paraId="5E77BE56" w14:textId="77777777" w:rsidR="00D54726" w:rsidRPr="0053284F" w:rsidRDefault="00D54726" w:rsidP="00D54726">
      <w:pPr>
        <w:rPr>
          <w:lang w:val="es-ES_tradnl"/>
        </w:rPr>
      </w:pPr>
      <w:r w:rsidRPr="0053284F">
        <w:rPr>
          <w:lang w:val="es-ES_tradnl"/>
        </w:rPr>
        <w:t>La BDT firmó contribuciones financieras con socios de diferentes tipos, distribuidos con arreglo al siguiente gráfico:</w:t>
      </w:r>
    </w:p>
    <w:p w14:paraId="32CDDB95" w14:textId="5305ACBB" w:rsidR="00D54726" w:rsidRDefault="00D54726" w:rsidP="00D54726">
      <w:pPr>
        <w:tabs>
          <w:tab w:val="clear" w:pos="794"/>
          <w:tab w:val="clear" w:pos="1191"/>
          <w:tab w:val="clear" w:pos="1588"/>
          <w:tab w:val="clear" w:pos="1985"/>
        </w:tabs>
        <w:spacing w:before="0"/>
        <w:jc w:val="both"/>
        <w:rPr>
          <w:sz w:val="22"/>
          <w:szCs w:val="22"/>
          <w:lang w:val="es-ES_tradnl"/>
        </w:rPr>
      </w:pPr>
    </w:p>
    <w:p w14:paraId="74057B9B" w14:textId="030CDF68" w:rsidR="00D54726" w:rsidRPr="00A42879" w:rsidRDefault="00D54726" w:rsidP="00A42879">
      <w:pPr>
        <w:tabs>
          <w:tab w:val="clear" w:pos="794"/>
          <w:tab w:val="clear" w:pos="1191"/>
          <w:tab w:val="clear" w:pos="1588"/>
          <w:tab w:val="clear" w:pos="1985"/>
        </w:tabs>
        <w:spacing w:before="0"/>
        <w:jc w:val="both"/>
        <w:rPr>
          <w:sz w:val="22"/>
          <w:szCs w:val="22"/>
          <w:lang w:val="es-ES_tradnl"/>
        </w:rPr>
      </w:pPr>
      <w:r>
        <w:rPr>
          <w:noProof/>
        </w:rPr>
        <w:drawing>
          <wp:inline distT="0" distB="0" distL="0" distR="0" wp14:anchorId="40705549" wp14:editId="355B8188">
            <wp:extent cx="6120765" cy="2623185"/>
            <wp:effectExtent l="0" t="0" r="13335" b="5715"/>
            <wp:docPr id="151270089" name="Chart 1">
              <a:extLst xmlns:a="http://schemas.openxmlformats.org/drawingml/2006/main">
                <a:ext uri="{FF2B5EF4-FFF2-40B4-BE49-F238E27FC236}">
                  <a16:creationId xmlns:a16="http://schemas.microsoft.com/office/drawing/2014/main" id="{42CCFDAF-71C1-B51B-606B-CA93072765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63E551" w14:textId="201D4E61" w:rsidR="00D54726" w:rsidRPr="0053284F" w:rsidRDefault="00D54726" w:rsidP="00D54726">
      <w:pPr>
        <w:spacing w:after="120"/>
        <w:rPr>
          <w:lang w:val="es-ES_tradnl"/>
        </w:rPr>
      </w:pPr>
      <w:r w:rsidRPr="0053284F">
        <w:rPr>
          <w:lang w:val="es-ES_tradnl"/>
        </w:rPr>
        <w:t xml:space="preserve">Los diez donantes de la BDT con más contribuciones financieras en 2023 se indican en el cuadro siguiente. La lista completa de donantes está disponible en el Documento </w:t>
      </w:r>
      <w:hyperlink r:id="rId14">
        <w:r w:rsidRPr="0053284F">
          <w:rPr>
            <w:rStyle w:val="Hyperlink"/>
            <w:lang w:val="es-ES_tradnl"/>
          </w:rPr>
          <w:t>TDAG24/INF/1</w:t>
        </w:r>
      </w:hyperlink>
      <w:r w:rsidRPr="0053284F">
        <w:rPr>
          <w:lang w:val="es-ES_tradnl"/>
        </w:rPr>
        <w:t>:</w:t>
      </w:r>
    </w:p>
    <w:tbl>
      <w:tblPr>
        <w:tblStyle w:val="TableGrid"/>
        <w:tblW w:w="962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6227"/>
        <w:gridCol w:w="3402"/>
      </w:tblGrid>
      <w:tr w:rsidR="00D54726" w:rsidRPr="00D54726" w14:paraId="4FD6DB2F" w14:textId="77777777" w:rsidTr="00144FED">
        <w:tc>
          <w:tcPr>
            <w:tcW w:w="6227" w:type="dxa"/>
            <w:shd w:val="clear" w:color="auto" w:fill="DBE5F1" w:themeFill="accent1" w:themeFillTint="33"/>
            <w:vAlign w:val="center"/>
          </w:tcPr>
          <w:p w14:paraId="40611F94" w14:textId="77777777" w:rsidR="00D54726" w:rsidRPr="00026C76" w:rsidRDefault="00D54726" w:rsidP="00144FED">
            <w:pPr>
              <w:pStyle w:val="Tablehead"/>
              <w:rPr>
                <w:sz w:val="20"/>
                <w:lang w:val="es-ES_tradnl"/>
              </w:rPr>
            </w:pPr>
            <w:r w:rsidRPr="00026C76">
              <w:rPr>
                <w:sz w:val="20"/>
                <w:lang w:val="es-ES_tradnl"/>
              </w:rPr>
              <w:t>Socio</w:t>
            </w:r>
          </w:p>
        </w:tc>
        <w:tc>
          <w:tcPr>
            <w:tcW w:w="3402" w:type="dxa"/>
            <w:shd w:val="clear" w:color="auto" w:fill="DBE5F1" w:themeFill="accent1" w:themeFillTint="33"/>
            <w:vAlign w:val="center"/>
          </w:tcPr>
          <w:p w14:paraId="690551B8" w14:textId="77777777" w:rsidR="00D54726" w:rsidRPr="00026C76" w:rsidRDefault="00D54726" w:rsidP="00144FED">
            <w:pPr>
              <w:pStyle w:val="Tablehead"/>
              <w:rPr>
                <w:sz w:val="20"/>
                <w:lang w:val="es-ES_tradnl"/>
              </w:rPr>
            </w:pPr>
            <w:r w:rsidRPr="00026C76">
              <w:rPr>
                <w:sz w:val="20"/>
                <w:lang w:val="es-ES_tradnl"/>
              </w:rPr>
              <w:t>Contribuciones financieras firmadas</w:t>
            </w:r>
          </w:p>
          <w:p w14:paraId="0C1D01B3" w14:textId="77777777" w:rsidR="00D54726" w:rsidRPr="00026C76" w:rsidRDefault="00D54726" w:rsidP="00144FED">
            <w:pPr>
              <w:pStyle w:val="Tablehead"/>
              <w:rPr>
                <w:b w:val="0"/>
                <w:bCs/>
                <w:sz w:val="20"/>
                <w:lang w:val="es-ES_tradnl"/>
              </w:rPr>
            </w:pPr>
            <w:r w:rsidRPr="00026C76">
              <w:rPr>
                <w:b w:val="0"/>
                <w:bCs/>
                <w:sz w:val="20"/>
                <w:lang w:val="es-ES_tradnl"/>
              </w:rPr>
              <w:t>(en USD a la fecha de firma)</w:t>
            </w:r>
          </w:p>
        </w:tc>
      </w:tr>
      <w:tr w:rsidR="00D54726" w:rsidRPr="0053284F" w14:paraId="6858AE9D" w14:textId="77777777" w:rsidTr="00144FED">
        <w:tc>
          <w:tcPr>
            <w:tcW w:w="6227" w:type="dxa"/>
          </w:tcPr>
          <w:p w14:paraId="00A38BE5" w14:textId="77777777" w:rsidR="00D54726" w:rsidRPr="00026C76" w:rsidRDefault="00D54726" w:rsidP="00144FED">
            <w:pPr>
              <w:pStyle w:val="Tabletext"/>
              <w:rPr>
                <w:sz w:val="20"/>
                <w:lang w:val="es-ES_tradnl"/>
              </w:rPr>
            </w:pPr>
            <w:r w:rsidRPr="00026C76">
              <w:rPr>
                <w:sz w:val="20"/>
                <w:lang w:val="es-ES_tradnl"/>
              </w:rPr>
              <w:t>Comisión Europea</w:t>
            </w:r>
          </w:p>
        </w:tc>
        <w:tc>
          <w:tcPr>
            <w:tcW w:w="3402" w:type="dxa"/>
          </w:tcPr>
          <w:p w14:paraId="1D3A804C" w14:textId="77777777" w:rsidR="00D54726" w:rsidRPr="00026C76" w:rsidRDefault="00D54726" w:rsidP="00144FED">
            <w:pPr>
              <w:pStyle w:val="Tabletext"/>
              <w:jc w:val="center"/>
              <w:rPr>
                <w:sz w:val="20"/>
                <w:lang w:val="es-ES_tradnl"/>
              </w:rPr>
            </w:pPr>
            <w:r w:rsidRPr="00026C76">
              <w:rPr>
                <w:sz w:val="20"/>
                <w:lang w:val="es-ES_tradnl"/>
              </w:rPr>
              <w:t>12,74 millones USD</w:t>
            </w:r>
          </w:p>
        </w:tc>
      </w:tr>
      <w:tr w:rsidR="00D54726" w:rsidRPr="0053284F" w14:paraId="4FE4CCFB" w14:textId="77777777" w:rsidTr="00144FED">
        <w:tc>
          <w:tcPr>
            <w:tcW w:w="6227" w:type="dxa"/>
          </w:tcPr>
          <w:p w14:paraId="2D2F9B8F" w14:textId="77777777" w:rsidR="00D54726" w:rsidRPr="00026C76" w:rsidRDefault="00D54726" w:rsidP="00144FED">
            <w:pPr>
              <w:pStyle w:val="Tabletext"/>
              <w:rPr>
                <w:sz w:val="20"/>
                <w:lang w:val="es-ES_tradnl"/>
              </w:rPr>
            </w:pPr>
            <w:r w:rsidRPr="00026C76">
              <w:rPr>
                <w:sz w:val="20"/>
                <w:lang w:val="es-ES_tradnl"/>
              </w:rPr>
              <w:t>Huawei Technologies Co., Ltd.</w:t>
            </w:r>
          </w:p>
        </w:tc>
        <w:tc>
          <w:tcPr>
            <w:tcW w:w="3402" w:type="dxa"/>
          </w:tcPr>
          <w:p w14:paraId="166F88EE" w14:textId="77777777" w:rsidR="00D54726" w:rsidRPr="00026C76" w:rsidRDefault="00D54726" w:rsidP="00144FED">
            <w:pPr>
              <w:pStyle w:val="Tabletext"/>
              <w:jc w:val="center"/>
              <w:rPr>
                <w:sz w:val="20"/>
                <w:lang w:val="es-ES_tradnl"/>
              </w:rPr>
            </w:pPr>
            <w:r w:rsidRPr="00026C76">
              <w:rPr>
                <w:sz w:val="20"/>
                <w:lang w:val="es-ES_tradnl"/>
              </w:rPr>
              <w:t>1,52 millones USD</w:t>
            </w:r>
          </w:p>
        </w:tc>
      </w:tr>
      <w:tr w:rsidR="00D54726" w:rsidRPr="0053284F" w14:paraId="3B1E0C59" w14:textId="77777777" w:rsidTr="00144FED">
        <w:trPr>
          <w:trHeight w:val="354"/>
        </w:trPr>
        <w:tc>
          <w:tcPr>
            <w:tcW w:w="6227" w:type="dxa"/>
          </w:tcPr>
          <w:p w14:paraId="17988DB5" w14:textId="77777777" w:rsidR="00D54726" w:rsidRPr="00026C76" w:rsidRDefault="00D54726" w:rsidP="00144FED">
            <w:pPr>
              <w:pStyle w:val="Tabletext"/>
              <w:rPr>
                <w:sz w:val="20"/>
                <w:lang w:val="es-ES_tradnl"/>
              </w:rPr>
            </w:pPr>
            <w:r w:rsidRPr="00026C76">
              <w:rPr>
                <w:sz w:val="20"/>
                <w:lang w:val="es-ES_tradnl"/>
              </w:rPr>
              <w:t>Deutsche Gesellschaft für Internationale Zusammenarbeit GmbH</w:t>
            </w:r>
          </w:p>
        </w:tc>
        <w:tc>
          <w:tcPr>
            <w:tcW w:w="3402" w:type="dxa"/>
          </w:tcPr>
          <w:p w14:paraId="52810808" w14:textId="77777777" w:rsidR="00D54726" w:rsidRPr="00026C76" w:rsidRDefault="00D54726" w:rsidP="00144FED">
            <w:pPr>
              <w:pStyle w:val="Tabletext"/>
              <w:jc w:val="center"/>
              <w:rPr>
                <w:sz w:val="20"/>
                <w:lang w:val="es-ES_tradnl"/>
              </w:rPr>
            </w:pPr>
            <w:r w:rsidRPr="00026C76">
              <w:rPr>
                <w:sz w:val="20"/>
                <w:lang w:val="es-ES_tradnl"/>
              </w:rPr>
              <w:t>1,43 millones USD</w:t>
            </w:r>
          </w:p>
        </w:tc>
      </w:tr>
      <w:tr w:rsidR="00D54726" w:rsidRPr="0053284F" w14:paraId="214BEB34" w14:textId="77777777" w:rsidTr="00144FED">
        <w:trPr>
          <w:trHeight w:val="535"/>
        </w:trPr>
        <w:tc>
          <w:tcPr>
            <w:tcW w:w="6227" w:type="dxa"/>
          </w:tcPr>
          <w:p w14:paraId="0ACC8C53" w14:textId="77777777" w:rsidR="00D54726" w:rsidRPr="00026C76" w:rsidRDefault="00D54726" w:rsidP="00144FED">
            <w:pPr>
              <w:pStyle w:val="Tabletext"/>
              <w:rPr>
                <w:sz w:val="20"/>
                <w:lang w:val="es-ES_tradnl"/>
              </w:rPr>
            </w:pPr>
            <w:r w:rsidRPr="00026C76">
              <w:rPr>
                <w:sz w:val="20"/>
                <w:lang w:val="es-ES_tradnl"/>
              </w:rPr>
              <w:t>Departamento de Infraestructura, Transporte, Desarrollo Regional, Comunicaciones y Arte, Australia</w:t>
            </w:r>
          </w:p>
        </w:tc>
        <w:tc>
          <w:tcPr>
            <w:tcW w:w="3402" w:type="dxa"/>
          </w:tcPr>
          <w:p w14:paraId="64300565" w14:textId="77777777" w:rsidR="00D54726" w:rsidRPr="00026C76" w:rsidRDefault="00D54726" w:rsidP="00144FED">
            <w:pPr>
              <w:pStyle w:val="Tabletext"/>
              <w:jc w:val="center"/>
              <w:rPr>
                <w:sz w:val="20"/>
                <w:lang w:val="es-ES_tradnl"/>
              </w:rPr>
            </w:pPr>
            <w:r w:rsidRPr="00026C76">
              <w:rPr>
                <w:sz w:val="20"/>
                <w:lang w:val="es-ES_tradnl"/>
              </w:rPr>
              <w:t>0,92 millones USD</w:t>
            </w:r>
          </w:p>
        </w:tc>
      </w:tr>
      <w:tr w:rsidR="00D54726" w:rsidRPr="0053284F" w14:paraId="165E8FA1" w14:textId="77777777" w:rsidTr="00144FED">
        <w:trPr>
          <w:trHeight w:val="350"/>
        </w:trPr>
        <w:tc>
          <w:tcPr>
            <w:tcW w:w="6227" w:type="dxa"/>
          </w:tcPr>
          <w:p w14:paraId="788AF8DD" w14:textId="77777777" w:rsidR="00D54726" w:rsidRPr="00026C76" w:rsidRDefault="00D54726" w:rsidP="00144FED">
            <w:pPr>
              <w:pStyle w:val="Tabletext"/>
              <w:rPr>
                <w:sz w:val="20"/>
                <w:lang w:val="es-ES_tradnl"/>
              </w:rPr>
            </w:pPr>
            <w:r w:rsidRPr="00026C76">
              <w:rPr>
                <w:sz w:val="20"/>
                <w:lang w:val="es-ES_tradnl"/>
              </w:rPr>
              <w:t>Agencia de Cooperación para el Desarrollo de Noruega</w:t>
            </w:r>
          </w:p>
        </w:tc>
        <w:tc>
          <w:tcPr>
            <w:tcW w:w="3402" w:type="dxa"/>
          </w:tcPr>
          <w:p w14:paraId="067A215D" w14:textId="77777777" w:rsidR="00D54726" w:rsidRPr="00026C76" w:rsidRDefault="00D54726" w:rsidP="00144FED">
            <w:pPr>
              <w:pStyle w:val="Tabletext"/>
              <w:jc w:val="center"/>
              <w:rPr>
                <w:sz w:val="20"/>
                <w:lang w:val="es-ES_tradnl"/>
              </w:rPr>
            </w:pPr>
            <w:r w:rsidRPr="00026C76">
              <w:rPr>
                <w:sz w:val="20"/>
                <w:lang w:val="es-ES_tradnl"/>
              </w:rPr>
              <w:t>0,92 millones USD</w:t>
            </w:r>
          </w:p>
        </w:tc>
      </w:tr>
      <w:tr w:rsidR="00D54726" w:rsidRPr="0053284F" w14:paraId="124627E6" w14:textId="77777777" w:rsidTr="00144FED">
        <w:trPr>
          <w:trHeight w:val="399"/>
        </w:trPr>
        <w:tc>
          <w:tcPr>
            <w:tcW w:w="6227" w:type="dxa"/>
          </w:tcPr>
          <w:p w14:paraId="44B8D8B9" w14:textId="77777777" w:rsidR="00D54726" w:rsidRPr="00026C76" w:rsidRDefault="00D54726" w:rsidP="00144FED">
            <w:pPr>
              <w:pStyle w:val="Tabletext"/>
              <w:rPr>
                <w:sz w:val="20"/>
                <w:lang w:val="es-ES_tradnl"/>
              </w:rPr>
            </w:pPr>
            <w:r w:rsidRPr="00026C76">
              <w:rPr>
                <w:sz w:val="20"/>
                <w:lang w:val="es-ES_tradnl"/>
              </w:rPr>
              <w:t>Comisión de las Comunicaciones, el Espacio y la Tecnología, Arabia Saudita</w:t>
            </w:r>
          </w:p>
        </w:tc>
        <w:tc>
          <w:tcPr>
            <w:tcW w:w="3402" w:type="dxa"/>
          </w:tcPr>
          <w:p w14:paraId="025F04C2" w14:textId="77777777" w:rsidR="00D54726" w:rsidRPr="00026C76" w:rsidRDefault="00D54726" w:rsidP="00144FED">
            <w:pPr>
              <w:pStyle w:val="Tabletext"/>
              <w:jc w:val="center"/>
              <w:rPr>
                <w:sz w:val="20"/>
                <w:lang w:val="es-ES_tradnl"/>
              </w:rPr>
            </w:pPr>
            <w:r w:rsidRPr="00026C76">
              <w:rPr>
                <w:sz w:val="20"/>
                <w:lang w:val="es-ES_tradnl"/>
              </w:rPr>
              <w:t>0,77 millones USD</w:t>
            </w:r>
          </w:p>
        </w:tc>
      </w:tr>
      <w:tr w:rsidR="00D54726" w:rsidRPr="0053284F" w14:paraId="2B89F4CC" w14:textId="77777777" w:rsidTr="00144FED">
        <w:trPr>
          <w:trHeight w:val="339"/>
        </w:trPr>
        <w:tc>
          <w:tcPr>
            <w:tcW w:w="6227" w:type="dxa"/>
          </w:tcPr>
          <w:p w14:paraId="2875567C" w14:textId="77777777" w:rsidR="00D54726" w:rsidRPr="00026C76" w:rsidRDefault="00D54726" w:rsidP="00144FED">
            <w:pPr>
              <w:pStyle w:val="Tabletext"/>
              <w:rPr>
                <w:sz w:val="20"/>
                <w:lang w:val="es-ES_tradnl"/>
              </w:rPr>
            </w:pPr>
            <w:r w:rsidRPr="00026C76">
              <w:rPr>
                <w:sz w:val="20"/>
                <w:lang w:val="es-ES_tradnl"/>
              </w:rPr>
              <w:t>Ministerio de Asuntos Internos y Comunicaciones, Japón</w:t>
            </w:r>
          </w:p>
        </w:tc>
        <w:tc>
          <w:tcPr>
            <w:tcW w:w="3402" w:type="dxa"/>
          </w:tcPr>
          <w:p w14:paraId="388398CE" w14:textId="77777777" w:rsidR="00D54726" w:rsidRPr="00026C76" w:rsidRDefault="00D54726" w:rsidP="00144FED">
            <w:pPr>
              <w:pStyle w:val="Tabletext"/>
              <w:jc w:val="center"/>
              <w:rPr>
                <w:sz w:val="20"/>
                <w:lang w:val="es-ES_tradnl"/>
              </w:rPr>
            </w:pPr>
            <w:r w:rsidRPr="00026C76">
              <w:rPr>
                <w:sz w:val="20"/>
                <w:lang w:val="es-ES_tradnl"/>
              </w:rPr>
              <w:t>0,73 millones USD</w:t>
            </w:r>
          </w:p>
        </w:tc>
      </w:tr>
      <w:tr w:rsidR="00D54726" w:rsidRPr="0053284F" w14:paraId="3C75AC4E" w14:textId="77777777" w:rsidTr="00144FED">
        <w:trPr>
          <w:trHeight w:val="339"/>
        </w:trPr>
        <w:tc>
          <w:tcPr>
            <w:tcW w:w="6227" w:type="dxa"/>
          </w:tcPr>
          <w:p w14:paraId="66810768" w14:textId="77777777" w:rsidR="00D54726" w:rsidRPr="00026C76" w:rsidRDefault="00D54726" w:rsidP="00144FED">
            <w:pPr>
              <w:pStyle w:val="Tabletext"/>
              <w:rPr>
                <w:sz w:val="20"/>
                <w:lang w:val="es-ES_tradnl"/>
              </w:rPr>
            </w:pPr>
            <w:r w:rsidRPr="00026C76">
              <w:rPr>
                <w:sz w:val="20"/>
                <w:lang w:val="es-ES_tradnl"/>
              </w:rPr>
              <w:t>Ministerio de Relaciones Exteriores, del Commonwealth y de Desarrollo, Reino Unido</w:t>
            </w:r>
          </w:p>
          <w:p w14:paraId="7F05FDB0" w14:textId="77777777" w:rsidR="00D54726" w:rsidRPr="00026C76" w:rsidRDefault="00D54726" w:rsidP="00144FED">
            <w:pPr>
              <w:pStyle w:val="Tabletext"/>
              <w:rPr>
                <w:sz w:val="20"/>
                <w:lang w:val="es-ES_tradnl"/>
              </w:rPr>
            </w:pPr>
            <w:r w:rsidRPr="00026C76">
              <w:rPr>
                <w:sz w:val="20"/>
                <w:lang w:val="es-ES_tradnl"/>
              </w:rPr>
              <w:t>Departamento de Estado de los Estados Unidos</w:t>
            </w:r>
          </w:p>
        </w:tc>
        <w:tc>
          <w:tcPr>
            <w:tcW w:w="3402" w:type="dxa"/>
          </w:tcPr>
          <w:p w14:paraId="23E25222" w14:textId="77777777" w:rsidR="00D54726" w:rsidRPr="00026C76" w:rsidRDefault="00D54726" w:rsidP="00144FED">
            <w:pPr>
              <w:pStyle w:val="Tabletext"/>
              <w:jc w:val="center"/>
              <w:rPr>
                <w:sz w:val="20"/>
                <w:lang w:val="es-ES_tradnl"/>
              </w:rPr>
            </w:pPr>
            <w:r w:rsidRPr="00026C76">
              <w:rPr>
                <w:sz w:val="20"/>
                <w:lang w:val="es-ES_tradnl"/>
              </w:rPr>
              <w:t>0,54 millones USD</w:t>
            </w:r>
            <w:r w:rsidRPr="00026C76">
              <w:rPr>
                <w:sz w:val="20"/>
                <w:lang w:val="es-ES_tradnl"/>
              </w:rPr>
              <w:br/>
            </w:r>
            <w:r w:rsidRPr="00026C76">
              <w:rPr>
                <w:sz w:val="20"/>
                <w:lang w:val="es-ES_tradnl"/>
              </w:rPr>
              <w:br/>
              <w:t>0,30 millones USD</w:t>
            </w:r>
          </w:p>
        </w:tc>
      </w:tr>
      <w:tr w:rsidR="00D54726" w:rsidRPr="0053284F" w14:paraId="2CB0C592" w14:textId="77777777" w:rsidTr="00144FED">
        <w:trPr>
          <w:trHeight w:val="279"/>
        </w:trPr>
        <w:tc>
          <w:tcPr>
            <w:tcW w:w="6227" w:type="dxa"/>
          </w:tcPr>
          <w:p w14:paraId="096010E5" w14:textId="77777777" w:rsidR="00D54726" w:rsidRPr="00026C76" w:rsidRDefault="00D54726" w:rsidP="00144FED">
            <w:pPr>
              <w:pStyle w:val="Tabletext"/>
              <w:rPr>
                <w:sz w:val="20"/>
                <w:lang w:val="es-ES_tradnl"/>
              </w:rPr>
            </w:pPr>
            <w:r w:rsidRPr="00026C76">
              <w:rPr>
                <w:sz w:val="20"/>
                <w:lang w:val="es-ES_tradnl"/>
              </w:rPr>
              <w:t>Qualcomm</w:t>
            </w:r>
          </w:p>
        </w:tc>
        <w:tc>
          <w:tcPr>
            <w:tcW w:w="3402" w:type="dxa"/>
          </w:tcPr>
          <w:p w14:paraId="4574CB87" w14:textId="77777777" w:rsidR="00D54726" w:rsidRPr="00026C76" w:rsidRDefault="00D54726" w:rsidP="00144FED">
            <w:pPr>
              <w:pStyle w:val="Tabletext"/>
              <w:jc w:val="center"/>
              <w:rPr>
                <w:sz w:val="20"/>
                <w:lang w:val="es-ES_tradnl"/>
              </w:rPr>
            </w:pPr>
            <w:r w:rsidRPr="00026C76">
              <w:rPr>
                <w:sz w:val="20"/>
                <w:lang w:val="es-ES_tradnl"/>
              </w:rPr>
              <w:t>0,30 millones USD</w:t>
            </w:r>
          </w:p>
        </w:tc>
      </w:tr>
      <w:tr w:rsidR="00D54726" w:rsidRPr="0053284F" w14:paraId="2080184A" w14:textId="77777777" w:rsidTr="00144FED">
        <w:trPr>
          <w:trHeight w:val="313"/>
        </w:trPr>
        <w:tc>
          <w:tcPr>
            <w:tcW w:w="6227" w:type="dxa"/>
          </w:tcPr>
          <w:p w14:paraId="14984F7A" w14:textId="77777777" w:rsidR="00D54726" w:rsidRPr="00026C76" w:rsidRDefault="00D54726" w:rsidP="00144FED">
            <w:pPr>
              <w:pStyle w:val="Tabletext"/>
              <w:rPr>
                <w:sz w:val="20"/>
                <w:lang w:val="es-ES_tradnl"/>
              </w:rPr>
            </w:pPr>
            <w:r w:rsidRPr="00026C76">
              <w:rPr>
                <w:sz w:val="20"/>
                <w:lang w:val="es-ES_tradnl"/>
              </w:rPr>
              <w:t>Fondo de la Naciones Unidas para la Infancia</w:t>
            </w:r>
          </w:p>
        </w:tc>
        <w:tc>
          <w:tcPr>
            <w:tcW w:w="3402" w:type="dxa"/>
          </w:tcPr>
          <w:p w14:paraId="322DC234" w14:textId="77777777" w:rsidR="00D54726" w:rsidRPr="00026C76" w:rsidRDefault="00D54726" w:rsidP="00144FED">
            <w:pPr>
              <w:pStyle w:val="Tabletext"/>
              <w:jc w:val="center"/>
              <w:rPr>
                <w:sz w:val="20"/>
                <w:lang w:val="es-ES_tradnl"/>
              </w:rPr>
            </w:pPr>
            <w:r w:rsidRPr="00026C76">
              <w:rPr>
                <w:sz w:val="20"/>
                <w:lang w:val="es-ES_tradnl"/>
              </w:rPr>
              <w:t>0,30 millones USD</w:t>
            </w:r>
          </w:p>
        </w:tc>
      </w:tr>
      <w:tr w:rsidR="00D54726" w:rsidRPr="0053284F" w14:paraId="0D2DFBE5" w14:textId="77777777" w:rsidTr="00144FED">
        <w:trPr>
          <w:trHeight w:val="54"/>
        </w:trPr>
        <w:tc>
          <w:tcPr>
            <w:tcW w:w="6227" w:type="dxa"/>
          </w:tcPr>
          <w:p w14:paraId="6D3088BA" w14:textId="77777777" w:rsidR="00D54726" w:rsidRPr="00026C76" w:rsidRDefault="00D54726" w:rsidP="00144FED">
            <w:pPr>
              <w:tabs>
                <w:tab w:val="clear" w:pos="794"/>
                <w:tab w:val="clear" w:pos="1191"/>
                <w:tab w:val="clear" w:pos="1588"/>
                <w:tab w:val="clear" w:pos="1985"/>
              </w:tabs>
              <w:spacing w:before="60" w:after="60"/>
              <w:rPr>
                <w:sz w:val="20"/>
                <w:lang w:val="es-ES_tradnl"/>
              </w:rPr>
            </w:pPr>
          </w:p>
        </w:tc>
        <w:tc>
          <w:tcPr>
            <w:tcW w:w="3402" w:type="dxa"/>
          </w:tcPr>
          <w:p w14:paraId="79FA2A19" w14:textId="77777777" w:rsidR="00D54726" w:rsidRPr="00026C76" w:rsidRDefault="00D54726" w:rsidP="00144FED">
            <w:pPr>
              <w:tabs>
                <w:tab w:val="clear" w:pos="794"/>
                <w:tab w:val="clear" w:pos="1191"/>
                <w:tab w:val="clear" w:pos="1588"/>
                <w:tab w:val="clear" w:pos="1985"/>
              </w:tabs>
              <w:spacing w:before="60" w:after="60"/>
              <w:jc w:val="center"/>
              <w:rPr>
                <w:sz w:val="20"/>
                <w:lang w:val="es-ES_tradnl"/>
              </w:rPr>
            </w:pPr>
          </w:p>
        </w:tc>
      </w:tr>
    </w:tbl>
    <w:p w14:paraId="04928BF0" w14:textId="4C717BD4" w:rsidR="00D54726" w:rsidRPr="0053284F" w:rsidRDefault="00D54726" w:rsidP="00590CC6">
      <w:pPr>
        <w:rPr>
          <w:lang w:val="es-ES_tradnl"/>
        </w:rPr>
      </w:pPr>
      <w:r w:rsidRPr="0053284F">
        <w:rPr>
          <w:lang w:val="es-ES_tradnl"/>
        </w:rPr>
        <w:t>A continuación se muestra la distribución por región y las prioridades del UIT-D de los acuerdos con socios firmados por la BDT en 2023:</w:t>
      </w:r>
    </w:p>
    <w:p w14:paraId="0C2DFCCF" w14:textId="2FA94526" w:rsidR="007F0675" w:rsidRPr="00D66DC2" w:rsidRDefault="00D54726" w:rsidP="00D66DC2">
      <w:pPr>
        <w:rPr>
          <w:lang w:val="es-ES_tradnl"/>
        </w:rPr>
      </w:pPr>
      <w:r>
        <w:rPr>
          <w:noProof/>
        </w:rPr>
        <w:lastRenderedPageBreak/>
        <w:drawing>
          <wp:inline distT="0" distB="0" distL="0" distR="0" wp14:anchorId="4DEC499E" wp14:editId="2585C672">
            <wp:extent cx="6120765" cy="2307590"/>
            <wp:effectExtent l="0" t="0" r="13335" b="16510"/>
            <wp:docPr id="566146656" name="Chart 1">
              <a:extLst xmlns:a="http://schemas.openxmlformats.org/drawingml/2006/main">
                <a:ext uri="{FF2B5EF4-FFF2-40B4-BE49-F238E27FC236}">
                  <a16:creationId xmlns:a16="http://schemas.microsoft.com/office/drawing/2014/main" id="{9C958CB6-60F7-4DBE-90E8-2CE5847638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C60C7B1" w14:textId="77777777" w:rsidR="00D54726" w:rsidRPr="0053284F" w:rsidRDefault="00D54726" w:rsidP="00D54726">
      <w:pPr>
        <w:spacing w:before="0"/>
        <w:jc w:val="both"/>
        <w:rPr>
          <w:sz w:val="6"/>
          <w:szCs w:val="6"/>
          <w:lang w:val="es-ES_tradnl"/>
        </w:rPr>
      </w:pPr>
      <w:r>
        <w:rPr>
          <w:noProof/>
          <w:sz w:val="6"/>
          <w:szCs w:val="6"/>
          <w:lang w:val="es-ES_tradnl"/>
        </w:rPr>
        <w:drawing>
          <wp:inline distT="0" distB="0" distL="0" distR="0" wp14:anchorId="7917859E" wp14:editId="166DE893">
            <wp:extent cx="6169660" cy="301180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69660" cy="3011805"/>
                    </a:xfrm>
                    <a:prstGeom prst="rect">
                      <a:avLst/>
                    </a:prstGeom>
                    <a:noFill/>
                  </pic:spPr>
                </pic:pic>
              </a:graphicData>
            </a:graphic>
          </wp:inline>
        </w:drawing>
      </w:r>
    </w:p>
    <w:p w14:paraId="57D9B029" w14:textId="77777777" w:rsidR="00D54726" w:rsidRPr="0053284F" w:rsidRDefault="00D54726" w:rsidP="00D54726">
      <w:pPr>
        <w:keepNext/>
        <w:spacing w:after="120"/>
        <w:rPr>
          <w:szCs w:val="24"/>
          <w:lang w:val="es-ES_tradnl"/>
        </w:rPr>
      </w:pPr>
      <w:r w:rsidRPr="0053284F">
        <w:rPr>
          <w:szCs w:val="24"/>
          <w:lang w:val="es-ES_tradnl"/>
        </w:rPr>
        <w:t>En los gráficos siguientes se ofrece una comparación de los acuerdos y las contribuciones financieras que se han firmado en 2022 y en 2023:</w:t>
      </w:r>
    </w:p>
    <w:p w14:paraId="135384AC" w14:textId="40917A89" w:rsidR="00D54726" w:rsidRPr="00590CC6" w:rsidRDefault="00D54726" w:rsidP="00590CC6">
      <w:pPr>
        <w:spacing w:after="120"/>
        <w:jc w:val="both"/>
        <w:rPr>
          <w:rFonts w:ascii="Tenorite" w:hAnsi="Tenorite" w:cs="Arial"/>
          <w:szCs w:val="24"/>
          <w:lang w:val="es-ES"/>
        </w:rPr>
      </w:pPr>
      <w:r w:rsidRPr="0073095C">
        <w:rPr>
          <w:rFonts w:ascii="Tenorite" w:hAnsi="Tenorite"/>
          <w:noProof/>
          <w:sz w:val="18"/>
          <w:szCs w:val="18"/>
        </w:rPr>
        <w:drawing>
          <wp:inline distT="0" distB="0" distL="0" distR="0" wp14:anchorId="7008A265" wp14:editId="164AE48B">
            <wp:extent cx="2413000" cy="1671955"/>
            <wp:effectExtent l="0" t="0" r="6350" b="4445"/>
            <wp:docPr id="625466969" name="Chart 1">
              <a:extLst xmlns:a="http://schemas.openxmlformats.org/drawingml/2006/main">
                <a:ext uri="{FF2B5EF4-FFF2-40B4-BE49-F238E27FC236}">
                  <a16:creationId xmlns:a16="http://schemas.microsoft.com/office/drawing/2014/main" id="{51CE50D9-C911-4FBE-AFFC-5F4DE909F5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374EA3">
        <w:rPr>
          <w:rFonts w:ascii="Tenorite" w:hAnsi="Tenorite" w:cs="Arial"/>
          <w:szCs w:val="24"/>
          <w:lang w:val="es-ES"/>
        </w:rPr>
        <w:t xml:space="preserve"> </w:t>
      </w:r>
      <w:r w:rsidRPr="000E3153">
        <w:rPr>
          <w:rFonts w:ascii="Tenorite" w:hAnsi="Tenorite"/>
          <w:noProof/>
          <w:sz w:val="22"/>
          <w:szCs w:val="22"/>
        </w:rPr>
        <w:drawing>
          <wp:inline distT="0" distB="0" distL="0" distR="0" wp14:anchorId="522E790B" wp14:editId="0F4BAA69">
            <wp:extent cx="3421380" cy="1662430"/>
            <wp:effectExtent l="0" t="0" r="7620" b="13970"/>
            <wp:docPr id="1749198888" name="Chart 1">
              <a:extLst xmlns:a="http://schemas.openxmlformats.org/drawingml/2006/main">
                <a:ext uri="{FF2B5EF4-FFF2-40B4-BE49-F238E27FC236}">
                  <a16:creationId xmlns:a16="http://schemas.microsoft.com/office/drawing/2014/main" id="{81D9F19A-9E82-43ED-BA4E-5AD79D3E92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6158138" w14:textId="77777777" w:rsidR="00D54726" w:rsidRPr="0053284F" w:rsidRDefault="00D54726" w:rsidP="00D54726">
      <w:pPr>
        <w:pStyle w:val="Heading1"/>
        <w:rPr>
          <w:bCs/>
          <w:lang w:val="es-ES_tradnl"/>
        </w:rPr>
      </w:pPr>
      <w:r w:rsidRPr="0053284F">
        <w:rPr>
          <w:lang w:val="es-ES_tradnl"/>
        </w:rPr>
        <w:t>4</w:t>
      </w:r>
      <w:r w:rsidRPr="0053284F">
        <w:rPr>
          <w:lang w:val="es-ES_tradnl"/>
        </w:rPr>
        <w:tab/>
        <w:t>Acciones y resultados clave</w:t>
      </w:r>
    </w:p>
    <w:p w14:paraId="020B06CE" w14:textId="1B04EDCB" w:rsidR="00D54726" w:rsidRPr="0053284F" w:rsidRDefault="00D54726" w:rsidP="00D54726">
      <w:pPr>
        <w:rPr>
          <w:rStyle w:val="ui-provider"/>
          <w:lang w:val="es-ES_tradnl"/>
        </w:rPr>
      </w:pPr>
      <w:r w:rsidRPr="0053284F">
        <w:rPr>
          <w:lang w:val="es-ES_tradnl"/>
        </w:rPr>
        <w:t xml:space="preserve">Para informar sobre el impacto de los trabajos de la BDT financiados conjuntamente con los socios se están publicando testimonios destacados aquí: </w:t>
      </w:r>
      <w:hyperlink r:id="rId19" w:anchor="/es" w:history="1">
        <w:r w:rsidR="00026C76">
          <w:rPr>
            <w:rStyle w:val="Hyperlink"/>
            <w:lang w:val="es-ES_tradnl"/>
          </w:rPr>
          <w:t>https://www.itu.int/itu-d/sites/digital-impact-unlocked/all-stories/2024-edition/#/es</w:t>
        </w:r>
      </w:hyperlink>
    </w:p>
    <w:p w14:paraId="7C10CEEB" w14:textId="77777777" w:rsidR="00D54726" w:rsidRPr="0053284F" w:rsidRDefault="00D54726" w:rsidP="00D54726">
      <w:pPr>
        <w:rPr>
          <w:lang w:val="es-ES_tradnl"/>
        </w:rPr>
      </w:pPr>
      <w:r w:rsidRPr="0053284F">
        <w:rPr>
          <w:rStyle w:val="ui-provider"/>
          <w:lang w:val="es-ES_tradnl"/>
        </w:rPr>
        <w:lastRenderedPageBreak/>
        <w:t>A continuación se presentan algunas acciones realizadas para mejorar las asociaciones y la movilización de recursos:</w:t>
      </w:r>
    </w:p>
    <w:p w14:paraId="2BDF1585" w14:textId="55E4E3EA" w:rsidR="00D54726" w:rsidRPr="0053284F" w:rsidRDefault="00D54726" w:rsidP="00D54726">
      <w:pPr>
        <w:pStyle w:val="enumlev1"/>
        <w:rPr>
          <w:lang w:val="es-ES_tradnl"/>
        </w:rPr>
      </w:pPr>
      <w:r w:rsidRPr="0053284F">
        <w:rPr>
          <w:b/>
          <w:bCs/>
          <w:lang w:val="es-ES_tradnl"/>
        </w:rPr>
        <w:t>•</w:t>
      </w:r>
      <w:r w:rsidRPr="0053284F">
        <w:rPr>
          <w:b/>
          <w:bCs/>
          <w:lang w:val="es-ES_tradnl"/>
        </w:rPr>
        <w:tab/>
        <w:t>Cultivo/fortalecimiento de las relaciones con los socios actuales:</w:t>
      </w:r>
      <w:r w:rsidRPr="0053284F">
        <w:rPr>
          <w:lang w:val="es-ES_tradnl"/>
        </w:rPr>
        <w:t xml:space="preserve"> Los socios de la BDT son de diferentes tipos (entidades gubernamentales, instituciones financieras, incluidos bancos regionales de desarrollo, organizaciones regionales e internacionales, entidades del sector privado, organismos de las Naciones Unidas, instituciones académicas, etc.), tanto de países tanto desarrollados como de países en desarrollo, que comparten experiencias y conocimientos especializados y contribuyen financieramente a la ejecución de programas, actividades e iniciativas en favor del desarrollo sostenible</w:t>
      </w:r>
      <w:r w:rsidR="00026C76">
        <w:rPr>
          <w:rStyle w:val="FootnoteReference"/>
          <w:lang w:val="es-ES_tradnl"/>
        </w:rPr>
        <w:footnoteReference w:customMarkFollows="1" w:id="2"/>
        <w:t>2</w:t>
      </w:r>
      <w:r w:rsidRPr="0053284F">
        <w:rPr>
          <w:szCs w:val="24"/>
          <w:lang w:val="es-ES_tradnl"/>
        </w:rPr>
        <w:t>.</w:t>
      </w:r>
      <w:r w:rsidRPr="0053284F">
        <w:rPr>
          <w:lang w:val="es-ES_tradnl"/>
        </w:rPr>
        <w:t xml:space="preserve"> Dado que el éxito de las asociaciones y la movilización de recursos depende de la existencia de una relación de calidad, basada en la seguridad, la confianza y el respeto, y teniendo en cuenta que la creación de esa relación requiere tiempo, la BDT presta una atención especial a cuidar la relación con sus socios más antiguos, incluidos los indicados en el Documento </w:t>
      </w:r>
      <w:hyperlink r:id="rId20" w:history="1">
        <w:r w:rsidRPr="0053284F">
          <w:rPr>
            <w:rStyle w:val="Hyperlink"/>
            <w:szCs w:val="24"/>
            <w:lang w:val="es-ES_tradnl"/>
          </w:rPr>
          <w:t>TDAG</w:t>
        </w:r>
        <w:r w:rsidRPr="0053284F">
          <w:rPr>
            <w:rStyle w:val="Hyperlink"/>
            <w:szCs w:val="24"/>
            <w:lang w:val="es-ES_tradnl"/>
          </w:rPr>
          <w:noBreakHyphen/>
          <w:t>2</w:t>
        </w:r>
        <w:r w:rsidRPr="0053284F">
          <w:rPr>
            <w:rStyle w:val="Hyperlink"/>
            <w:szCs w:val="24"/>
            <w:lang w:val="es-ES_tradnl"/>
          </w:rPr>
          <w:t>4</w:t>
        </w:r>
        <w:r w:rsidRPr="0053284F">
          <w:rPr>
            <w:rStyle w:val="Hyperlink"/>
            <w:szCs w:val="24"/>
            <w:lang w:val="es-ES_tradnl"/>
          </w:rPr>
          <w:t>/INF/1</w:t>
        </w:r>
      </w:hyperlink>
      <w:r w:rsidRPr="0053284F">
        <w:rPr>
          <w:szCs w:val="24"/>
          <w:lang w:val="es-ES_tradnl"/>
        </w:rPr>
        <w:t>.</w:t>
      </w:r>
    </w:p>
    <w:p w14:paraId="28495B5F" w14:textId="77777777" w:rsidR="00D54726" w:rsidRPr="0053284F" w:rsidRDefault="00D54726" w:rsidP="00D54726">
      <w:pPr>
        <w:pStyle w:val="enumlev1"/>
        <w:rPr>
          <w:lang w:val="es-ES_tradnl"/>
        </w:rPr>
      </w:pPr>
      <w:r w:rsidRPr="0053284F">
        <w:rPr>
          <w:b/>
          <w:bCs/>
          <w:lang w:val="es-ES_tradnl"/>
        </w:rPr>
        <w:t>•</w:t>
      </w:r>
      <w:r w:rsidRPr="0053284F">
        <w:rPr>
          <w:b/>
          <w:bCs/>
          <w:lang w:val="es-ES_tradnl"/>
        </w:rPr>
        <w:tab/>
        <w:t>Presentación a nuevos socios potenciales</w:t>
      </w:r>
      <w:r w:rsidRPr="0053284F">
        <w:rPr>
          <w:lang w:val="es-ES_tradnl"/>
        </w:rPr>
        <w:t>: Al tiempo que presta una atención especial a cuidar la relación con los socios actuales y entablar una relación duradera, la BDT también reconoce la importancia de ampliar y diversificar su conjunto de socios mediante actividades de divulgación y campañas de comunicación adecuadamente enfocadas a nuevos socios potenciales. Para hacerlo y garantizar el enfoque estratégico, la BDT ha establecido una correspondencia, ha establecido perfiles y ha lanzado campañas prospectivas a fin de mejorar el perfil de la UIT/BDT, identificar sinergias y discutir posibles oportunidades de asociación.</w:t>
      </w:r>
    </w:p>
    <w:p w14:paraId="21430D00" w14:textId="77777777" w:rsidR="00D54726" w:rsidRPr="0053284F" w:rsidRDefault="00D54726" w:rsidP="00D54726">
      <w:pPr>
        <w:pStyle w:val="enumlev1"/>
        <w:rPr>
          <w:lang w:val="es-ES_tradnl"/>
        </w:rPr>
      </w:pPr>
      <w:r w:rsidRPr="0053284F">
        <w:rPr>
          <w:b/>
          <w:bCs/>
          <w:lang w:val="es-ES_tradnl"/>
        </w:rPr>
        <w:t>•</w:t>
      </w:r>
      <w:r w:rsidRPr="0053284F">
        <w:rPr>
          <w:b/>
          <w:bCs/>
          <w:lang w:val="es-ES_tradnl"/>
        </w:rPr>
        <w:tab/>
        <w:t>Intensificación de la colaboración con los organismos de las Naciones Unidas</w:t>
      </w:r>
      <w:r w:rsidRPr="0053284F">
        <w:rPr>
          <w:lang w:val="es-ES_tradnl"/>
        </w:rPr>
        <w:t>: La BDT sigue trabajando en colaboración estrecha con otros organismos de las Naciones Unidas para aumentar su visibilidad, incluida la función única de la UIT como organización líder en el ámbito de las telecomunicaciones/TIC, aumentando las sinergias y el intercambio de conocimientos, y generando nuevas y mayores fuentes de financiación gracias a la capacidad de convocatoria multilateral. La colaboración estrecha con los organismos afines de las Naciones Unidas ofrece a la BDT oportunidades de acceder a financiación para la ejecución conjunta de proyectos a escala nacional, regional y mundial con miras a la Agenda 2030</w:t>
      </w:r>
      <w:r w:rsidRPr="0053284F">
        <w:rPr>
          <w:rFonts w:ascii="Calibri" w:eastAsia="Calibri" w:hAnsi="Calibri" w:cs="Calibri"/>
          <w:szCs w:val="24"/>
          <w:lang w:val="es-ES_tradnl"/>
        </w:rPr>
        <w:t>.</w:t>
      </w:r>
    </w:p>
    <w:p w14:paraId="24568966" w14:textId="77777777" w:rsidR="00D54726" w:rsidRPr="0053284F" w:rsidRDefault="00D54726" w:rsidP="00D54726">
      <w:pPr>
        <w:rPr>
          <w:lang w:val="es-ES_tradnl"/>
        </w:rPr>
      </w:pPr>
      <w:r w:rsidRPr="0053284F">
        <w:rPr>
          <w:lang w:val="es-ES_tradnl"/>
        </w:rPr>
        <w:t>Las medidas anteriores permitieron aumentar significativamente las contribuciones financieras firmadas por la BDT en 2023 para apoyar la ejecución de proyectos, programas e iniciativas de desarrollo a escala nacional, regional y mundial.</w:t>
      </w:r>
    </w:p>
    <w:p w14:paraId="42F77476" w14:textId="7CCDC29F" w:rsidR="00D54726" w:rsidRPr="0053284F" w:rsidRDefault="00D54726" w:rsidP="00996362">
      <w:pPr>
        <w:pStyle w:val="Figurelegend"/>
        <w:rPr>
          <w:sz w:val="22"/>
          <w:szCs w:val="18"/>
          <w:lang w:val="es-ES_tradnl"/>
        </w:rPr>
      </w:pPr>
      <w:r>
        <w:rPr>
          <w:noProof/>
        </w:rPr>
        <w:lastRenderedPageBreak/>
        <w:drawing>
          <wp:inline distT="0" distB="0" distL="0" distR="0" wp14:anchorId="3E94FF27" wp14:editId="6A874EF0">
            <wp:extent cx="6120765" cy="2665095"/>
            <wp:effectExtent l="0" t="0" r="13335" b="1905"/>
            <wp:docPr id="1711329037" name="Chart 1">
              <a:extLst xmlns:a="http://schemas.openxmlformats.org/drawingml/2006/main">
                <a:ext uri="{FF2B5EF4-FFF2-40B4-BE49-F238E27FC236}">
                  <a16:creationId xmlns:a16="http://schemas.microsoft.com/office/drawing/2014/main" id="{4C5F8E9C-C52C-065A-9C9F-4D37F7F1F9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A3B9841" w14:textId="77777777" w:rsidR="00D54726" w:rsidRPr="0053284F" w:rsidRDefault="00D54726" w:rsidP="00D54726">
      <w:pPr>
        <w:pStyle w:val="Heading1"/>
        <w:rPr>
          <w:lang w:val="es-ES_tradnl"/>
        </w:rPr>
      </w:pPr>
      <w:r w:rsidRPr="0053284F">
        <w:rPr>
          <w:lang w:val="es-ES_tradnl"/>
        </w:rPr>
        <w:t>5</w:t>
      </w:r>
      <w:r w:rsidRPr="0053284F">
        <w:rPr>
          <w:lang w:val="es-ES_tradnl"/>
        </w:rPr>
        <w:tab/>
        <w:t>Perspectivas de futuro</w:t>
      </w:r>
    </w:p>
    <w:p w14:paraId="4B4CB0BB" w14:textId="77777777" w:rsidR="00D54726" w:rsidRPr="0053284F" w:rsidRDefault="00D54726" w:rsidP="00D54726">
      <w:pPr>
        <w:rPr>
          <w:lang w:val="es-ES_tradnl"/>
        </w:rPr>
      </w:pPr>
      <w:r w:rsidRPr="0053284F">
        <w:rPr>
          <w:lang w:val="es-ES_tradnl"/>
        </w:rPr>
        <w:t>La BDT reconoce y agradece los esfuerzos de sus antiguos socios, así como de los nuevos socios, que han hecho posible que la BDT ejecute proyectos, programas e iniciativas en los planos nacional, regional y mundial. La BDT continuará cultivando y alimentando su relación con diferentes partes interesadas, desde Estados Miembros y organismos de las Naciones Unidas hasta bancos de desarrollo, el sector privado y la industria.</w:t>
      </w:r>
    </w:p>
    <w:p w14:paraId="5824DBD6" w14:textId="77777777" w:rsidR="00D54726" w:rsidRPr="0053284F" w:rsidRDefault="00D54726" w:rsidP="00D54726">
      <w:pPr>
        <w:pStyle w:val="Reasons"/>
        <w:rPr>
          <w:lang w:val="es-ES_tradnl"/>
        </w:rPr>
      </w:pPr>
    </w:p>
    <w:p w14:paraId="19127BC8" w14:textId="77777777" w:rsidR="00D54726" w:rsidRPr="0053284F" w:rsidRDefault="00D54726" w:rsidP="00D54726">
      <w:pPr>
        <w:jc w:val="center"/>
        <w:rPr>
          <w:lang w:val="es-ES_tradnl"/>
        </w:rPr>
      </w:pPr>
      <w:r w:rsidRPr="0053284F">
        <w:rPr>
          <w:lang w:val="es-ES_tradnl"/>
        </w:rPr>
        <w:t>______________</w:t>
      </w:r>
    </w:p>
    <w:sectPr w:rsidR="00D54726" w:rsidRPr="0053284F" w:rsidSect="00473791">
      <w:headerReference w:type="default" r:id="rId22"/>
      <w:footerReference w:type="first" r:id="rId23"/>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3433" w14:textId="77777777" w:rsidR="00003C43" w:rsidRDefault="00003C43">
      <w:r>
        <w:separator/>
      </w:r>
    </w:p>
  </w:endnote>
  <w:endnote w:type="continuationSeparator" w:id="0">
    <w:p w14:paraId="5EDB957E" w14:textId="77777777" w:rsidR="00003C43" w:rsidRDefault="0000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906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enorite">
    <w:altName w:val="Tenorite"/>
    <w:charset w:val="00"/>
    <w:family w:val="auto"/>
    <w:pitch w:val="variable"/>
    <w:sig w:usb0="80000003" w:usb1="00000001"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410"/>
      <w:gridCol w:w="5987"/>
    </w:tblGrid>
    <w:tr w:rsidR="00D54726" w:rsidRPr="00D54726" w14:paraId="695D1810" w14:textId="77777777" w:rsidTr="00D54726">
      <w:tc>
        <w:tcPr>
          <w:tcW w:w="1526" w:type="dxa"/>
          <w:tcBorders>
            <w:top w:val="single" w:sz="4" w:space="0" w:color="000000"/>
          </w:tcBorders>
          <w:shd w:val="clear" w:color="auto" w:fill="auto"/>
        </w:tcPr>
        <w:p w14:paraId="746E5A61" w14:textId="51807E3E" w:rsidR="00D54726" w:rsidRPr="00D54726" w:rsidRDefault="00D54726" w:rsidP="00D54726">
          <w:pPr>
            <w:pStyle w:val="FirstFooter"/>
            <w:tabs>
              <w:tab w:val="left" w:pos="1559"/>
              <w:tab w:val="left" w:pos="3828"/>
            </w:tabs>
            <w:rPr>
              <w:sz w:val="18"/>
              <w:szCs w:val="18"/>
              <w:lang w:val="es-ES_tradnl"/>
            </w:rPr>
          </w:pPr>
          <w:r w:rsidRPr="00D54726">
            <w:rPr>
              <w:sz w:val="18"/>
              <w:szCs w:val="18"/>
              <w:lang w:val="es-ES_tradnl"/>
            </w:rPr>
            <w:t>Contacto:</w:t>
          </w:r>
        </w:p>
      </w:tc>
      <w:tc>
        <w:tcPr>
          <w:tcW w:w="2410" w:type="dxa"/>
          <w:tcBorders>
            <w:top w:val="single" w:sz="4" w:space="0" w:color="000000"/>
          </w:tcBorders>
          <w:shd w:val="clear" w:color="auto" w:fill="auto"/>
        </w:tcPr>
        <w:p w14:paraId="488E41E2" w14:textId="28495F32" w:rsidR="00D54726" w:rsidRPr="00D54726" w:rsidRDefault="00D54726" w:rsidP="00D54726">
          <w:pPr>
            <w:pStyle w:val="FirstFooter"/>
            <w:tabs>
              <w:tab w:val="left" w:pos="2302"/>
            </w:tabs>
            <w:ind w:left="2302" w:hanging="2302"/>
            <w:rPr>
              <w:sz w:val="18"/>
              <w:szCs w:val="18"/>
              <w:lang w:val="es-ES_tradnl"/>
            </w:rPr>
          </w:pPr>
          <w:r w:rsidRPr="00D54726">
            <w:rPr>
              <w:sz w:val="18"/>
              <w:szCs w:val="18"/>
              <w:lang w:val="es-ES_tradnl"/>
            </w:rPr>
            <w:t>Nombre/Organización/Entidad:</w:t>
          </w:r>
        </w:p>
      </w:tc>
      <w:tc>
        <w:tcPr>
          <w:tcW w:w="5987" w:type="dxa"/>
          <w:tcBorders>
            <w:top w:val="single" w:sz="4" w:space="0" w:color="000000"/>
          </w:tcBorders>
        </w:tcPr>
        <w:p w14:paraId="2D6F8CFC" w14:textId="66EF04B3" w:rsidR="00D54726" w:rsidRPr="00D54726" w:rsidRDefault="00D54726" w:rsidP="00D54726">
          <w:pPr>
            <w:pStyle w:val="FirstFooter"/>
            <w:tabs>
              <w:tab w:val="left" w:pos="2302"/>
            </w:tabs>
            <w:rPr>
              <w:sz w:val="18"/>
              <w:szCs w:val="18"/>
              <w:lang w:val="es-ES_tradnl"/>
            </w:rPr>
          </w:pPr>
          <w:r w:rsidRPr="00D54726">
            <w:rPr>
              <w:sz w:val="18"/>
              <w:szCs w:val="18"/>
              <w:lang w:val="es-ES"/>
            </w:rPr>
            <w:t>Sra. Sandrine Guyot, Jefa del Servicio de Asociaciones y Movilización de Recursos, Departamento de Asociaciones para el Desarrollo Digital, BDT</w:t>
          </w:r>
        </w:p>
      </w:tc>
      <w:bookmarkStart w:id="7" w:name="OrgName"/>
      <w:bookmarkEnd w:id="7"/>
    </w:tr>
    <w:tr w:rsidR="00D54726" w:rsidRPr="00842E57" w14:paraId="61167678" w14:textId="77777777" w:rsidTr="00D54726">
      <w:tc>
        <w:tcPr>
          <w:tcW w:w="1526" w:type="dxa"/>
          <w:shd w:val="clear" w:color="auto" w:fill="auto"/>
        </w:tcPr>
        <w:p w14:paraId="33710823" w14:textId="77777777" w:rsidR="00D54726" w:rsidRPr="00D54726" w:rsidRDefault="00D54726" w:rsidP="00D54726">
          <w:pPr>
            <w:pStyle w:val="FirstFooter"/>
            <w:tabs>
              <w:tab w:val="left" w:pos="1559"/>
              <w:tab w:val="left" w:pos="3828"/>
            </w:tabs>
            <w:rPr>
              <w:sz w:val="18"/>
              <w:szCs w:val="18"/>
              <w:lang w:val="es-ES_tradnl"/>
            </w:rPr>
          </w:pPr>
        </w:p>
      </w:tc>
      <w:tc>
        <w:tcPr>
          <w:tcW w:w="2410" w:type="dxa"/>
          <w:shd w:val="clear" w:color="auto" w:fill="auto"/>
        </w:tcPr>
        <w:p w14:paraId="1251F6E4" w14:textId="273356A3" w:rsidR="00D54726" w:rsidRPr="00D54726" w:rsidRDefault="00D54726" w:rsidP="00D54726">
          <w:pPr>
            <w:pStyle w:val="FirstFooter"/>
            <w:tabs>
              <w:tab w:val="left" w:pos="2302"/>
            </w:tabs>
            <w:rPr>
              <w:sz w:val="18"/>
              <w:szCs w:val="18"/>
              <w:lang w:val="es-ES_tradnl"/>
            </w:rPr>
          </w:pPr>
          <w:r w:rsidRPr="00D54726">
            <w:rPr>
              <w:sz w:val="18"/>
              <w:szCs w:val="18"/>
              <w:lang w:val="es-ES_tradnl"/>
            </w:rPr>
            <w:t>Tel</w:t>
          </w:r>
          <w:r w:rsidR="00A10223">
            <w:rPr>
              <w:sz w:val="18"/>
              <w:szCs w:val="18"/>
              <w:lang w:val="es-ES_tradnl"/>
            </w:rPr>
            <w:t>éfono</w:t>
          </w:r>
          <w:r w:rsidRPr="00D54726">
            <w:rPr>
              <w:sz w:val="18"/>
              <w:szCs w:val="18"/>
              <w:lang w:val="es-ES_tradnl"/>
            </w:rPr>
            <w:t>.:</w:t>
          </w:r>
        </w:p>
      </w:tc>
      <w:tc>
        <w:tcPr>
          <w:tcW w:w="5987" w:type="dxa"/>
        </w:tcPr>
        <w:p w14:paraId="7A2DE31A" w14:textId="7A94328C" w:rsidR="00D54726" w:rsidRPr="00D54726" w:rsidRDefault="00D54726" w:rsidP="00D54726">
          <w:pPr>
            <w:pStyle w:val="FirstFooter"/>
            <w:tabs>
              <w:tab w:val="left" w:pos="2302"/>
            </w:tabs>
            <w:rPr>
              <w:sz w:val="18"/>
              <w:szCs w:val="18"/>
              <w:lang w:val="es-ES_tradnl"/>
            </w:rPr>
          </w:pPr>
          <w:r w:rsidRPr="00D54726">
            <w:rPr>
              <w:sz w:val="18"/>
              <w:szCs w:val="18"/>
              <w:lang w:val="en-US"/>
            </w:rPr>
            <w:t>+41 22 7305100</w:t>
          </w:r>
        </w:p>
      </w:tc>
      <w:bookmarkStart w:id="8" w:name="PhoneNo"/>
      <w:bookmarkEnd w:id="8"/>
    </w:tr>
    <w:tr w:rsidR="00D54726" w:rsidRPr="00842E57" w14:paraId="0299A231" w14:textId="77777777" w:rsidTr="00D54726">
      <w:tc>
        <w:tcPr>
          <w:tcW w:w="1526" w:type="dxa"/>
          <w:shd w:val="clear" w:color="auto" w:fill="auto"/>
        </w:tcPr>
        <w:p w14:paraId="35CBC438" w14:textId="77777777" w:rsidR="00D54726" w:rsidRPr="00D54726" w:rsidRDefault="00D54726" w:rsidP="00D54726">
          <w:pPr>
            <w:pStyle w:val="FirstFooter"/>
            <w:tabs>
              <w:tab w:val="left" w:pos="1559"/>
              <w:tab w:val="left" w:pos="3828"/>
            </w:tabs>
            <w:rPr>
              <w:sz w:val="18"/>
              <w:szCs w:val="18"/>
              <w:lang w:val="es-ES_tradnl"/>
            </w:rPr>
          </w:pPr>
        </w:p>
      </w:tc>
      <w:tc>
        <w:tcPr>
          <w:tcW w:w="2410" w:type="dxa"/>
          <w:shd w:val="clear" w:color="auto" w:fill="auto"/>
        </w:tcPr>
        <w:p w14:paraId="65335E06" w14:textId="676092A0" w:rsidR="00D54726" w:rsidRPr="00D54726" w:rsidRDefault="00D54726" w:rsidP="00D54726">
          <w:pPr>
            <w:pStyle w:val="FirstFooter"/>
            <w:tabs>
              <w:tab w:val="left" w:pos="2302"/>
            </w:tabs>
            <w:rPr>
              <w:sz w:val="18"/>
              <w:szCs w:val="18"/>
              <w:lang w:val="es-ES_tradnl"/>
            </w:rPr>
          </w:pPr>
          <w:r w:rsidRPr="00D54726">
            <w:rPr>
              <w:sz w:val="18"/>
              <w:szCs w:val="18"/>
              <w:lang w:val="es-ES_tradnl"/>
            </w:rPr>
            <w:t>Correo-e:</w:t>
          </w:r>
        </w:p>
      </w:tc>
      <w:tc>
        <w:tcPr>
          <w:tcW w:w="5987" w:type="dxa"/>
        </w:tcPr>
        <w:p w14:paraId="1A364879" w14:textId="226417CD" w:rsidR="00D54726" w:rsidRPr="00D54726" w:rsidRDefault="00D54726" w:rsidP="00D54726">
          <w:pPr>
            <w:pStyle w:val="FirstFooter"/>
            <w:tabs>
              <w:tab w:val="left" w:pos="2302"/>
            </w:tabs>
            <w:rPr>
              <w:sz w:val="18"/>
              <w:szCs w:val="18"/>
              <w:lang w:val="es-ES_tradnl"/>
            </w:rPr>
          </w:pPr>
          <w:hyperlink r:id="rId1" w:history="1">
            <w:r w:rsidRPr="00D54726">
              <w:rPr>
                <w:rStyle w:val="Hyperlink"/>
                <w:sz w:val="18"/>
                <w:szCs w:val="18"/>
                <w:lang w:val="en-US"/>
              </w:rPr>
              <w:t>sandrine.guyot@itu.int</w:t>
            </w:r>
          </w:hyperlink>
          <w:r w:rsidRPr="00D54726">
            <w:rPr>
              <w:sz w:val="18"/>
              <w:szCs w:val="18"/>
              <w:lang w:val="en-US"/>
            </w:rPr>
            <w:t xml:space="preserve"> </w:t>
          </w:r>
        </w:p>
      </w:tc>
      <w:bookmarkStart w:id="9" w:name="Email"/>
      <w:bookmarkEnd w:id="9"/>
    </w:tr>
  </w:tbl>
  <w:p w14:paraId="5AEFE7F9" w14:textId="77777777" w:rsidR="0059420B" w:rsidRDefault="0059420B" w:rsidP="00B80157">
    <w:pPr>
      <w:pStyle w:val="Footer"/>
      <w:jc w:val="center"/>
      <w:rPr>
        <w:lang w:val="en-GB"/>
      </w:rPr>
    </w:pPr>
  </w:p>
  <w:p w14:paraId="40A321D0" w14:textId="78E43D36" w:rsidR="00721657" w:rsidRPr="003C6C09" w:rsidRDefault="00C37BFA" w:rsidP="003C6C09">
    <w:pPr>
      <w:pStyle w:val="Footer"/>
      <w:jc w:val="center"/>
      <w:rPr>
        <w:caps w:val="0"/>
        <w:noProof w:val="0"/>
        <w:color w:val="0000FF" w:themeColor="hyperlink"/>
        <w:sz w:val="18"/>
        <w:szCs w:val="18"/>
        <w:u w:val="single"/>
        <w:lang w:val="en-US"/>
      </w:rPr>
    </w:pPr>
    <w:hyperlink r:id="rId2" w:history="1">
      <w:r w:rsidR="008B47C7" w:rsidRPr="003C6C09">
        <w:rPr>
          <w:rStyle w:val="Hyperlink"/>
          <w:caps w:val="0"/>
          <w:noProof w:val="0"/>
          <w:sz w:val="18"/>
          <w:szCs w:val="18"/>
          <w:lang w:val="en-US"/>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183DE" w14:textId="77777777" w:rsidR="00003C43" w:rsidRDefault="00003C43">
      <w:r>
        <w:t>____________________</w:t>
      </w:r>
    </w:p>
  </w:footnote>
  <w:footnote w:type="continuationSeparator" w:id="0">
    <w:p w14:paraId="33092081" w14:textId="77777777" w:rsidR="00003C43" w:rsidRDefault="00003C43">
      <w:r>
        <w:continuationSeparator/>
      </w:r>
    </w:p>
  </w:footnote>
  <w:footnote w:id="1">
    <w:p w14:paraId="66FDD4F3" w14:textId="1C4C31BB" w:rsidR="00026C76" w:rsidRPr="00026C76" w:rsidRDefault="00026C76">
      <w:pPr>
        <w:pStyle w:val="FootnoteText"/>
        <w:rPr>
          <w:lang w:val="es-ES"/>
        </w:rPr>
      </w:pPr>
      <w:r>
        <w:rPr>
          <w:rStyle w:val="FootnoteReference"/>
        </w:rPr>
        <w:t>1</w:t>
      </w:r>
      <w:r>
        <w:tab/>
      </w:r>
      <w:hyperlink r:id="rId1" w:history="1">
        <w:r w:rsidRPr="00F276E1">
          <w:rPr>
            <w:rStyle w:val="Hyperlink"/>
            <w:sz w:val="20"/>
          </w:rPr>
          <w:t>https://www.itu.int/itu-d/sites/partnerships/</w:t>
        </w:r>
      </w:hyperlink>
    </w:p>
  </w:footnote>
  <w:footnote w:id="2">
    <w:p w14:paraId="560802F5" w14:textId="219E31A0" w:rsidR="00026C76" w:rsidRPr="00026C76" w:rsidRDefault="00026C76">
      <w:pPr>
        <w:pStyle w:val="FootnoteText"/>
        <w:rPr>
          <w:lang w:val="es-ES"/>
        </w:rPr>
      </w:pPr>
      <w:r w:rsidRPr="00026C76">
        <w:rPr>
          <w:rStyle w:val="FootnoteReference"/>
          <w:lang w:val="es-ES"/>
        </w:rPr>
        <w:t>2</w:t>
      </w:r>
      <w:r w:rsidRPr="00026C76">
        <w:rPr>
          <w:lang w:val="es-ES"/>
        </w:rPr>
        <w:tab/>
      </w:r>
      <w:hyperlink r:id="rId2" w:history="1">
        <w:r w:rsidRPr="00026C76">
          <w:rPr>
            <w:rStyle w:val="Hyperlink"/>
            <w:sz w:val="20"/>
            <w:lang w:val="es-ES"/>
          </w:rPr>
          <w:t>https://www.itu.int/en/ITU-D/MembersPartners/Pages/Partners/List-of-Partners.aspx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FE77" w14:textId="67CAAFFE" w:rsidR="00721657" w:rsidRPr="00A525CC" w:rsidRDefault="00A525CC" w:rsidP="00307769">
    <w:pPr>
      <w:tabs>
        <w:tab w:val="clear" w:pos="794"/>
        <w:tab w:val="clear" w:pos="1191"/>
        <w:tab w:val="clear" w:pos="1588"/>
        <w:tab w:val="clear" w:pos="1985"/>
        <w:tab w:val="center" w:pos="4820"/>
        <w:tab w:val="right" w:pos="9639"/>
      </w:tabs>
      <w:ind w:right="1"/>
      <w:rPr>
        <w:rStyle w:val="PageNumber"/>
      </w:rPr>
    </w:pPr>
    <w:r w:rsidRPr="00972BCD">
      <w:rPr>
        <w:sz w:val="22"/>
        <w:szCs w:val="22"/>
      </w:rPr>
      <w:tab/>
    </w:r>
    <w:r w:rsidRPr="00A54E72">
      <w:rPr>
        <w:sz w:val="22"/>
        <w:szCs w:val="22"/>
        <w:lang w:val="de-CH"/>
      </w:rPr>
      <w:t>TDAG</w:t>
    </w:r>
    <w:r w:rsidR="003242AB">
      <w:rPr>
        <w:sz w:val="22"/>
        <w:szCs w:val="22"/>
        <w:lang w:val="de-CH"/>
      </w:rPr>
      <w:t>-</w:t>
    </w:r>
    <w:r w:rsidR="00923CF1">
      <w:rPr>
        <w:sz w:val="22"/>
        <w:szCs w:val="22"/>
        <w:lang w:val="de-CH"/>
      </w:rPr>
      <w:t>2</w:t>
    </w:r>
    <w:r w:rsidR="00341DA6">
      <w:rPr>
        <w:sz w:val="22"/>
        <w:szCs w:val="22"/>
        <w:lang w:val="de-CH"/>
      </w:rPr>
      <w:t>4</w:t>
    </w:r>
    <w:r w:rsidRPr="00A54E72">
      <w:rPr>
        <w:sz w:val="22"/>
        <w:szCs w:val="22"/>
        <w:lang w:val="de-CH"/>
      </w:rPr>
      <w:t>/</w:t>
    </w:r>
    <w:r w:rsidR="00D54726">
      <w:rPr>
        <w:sz w:val="22"/>
        <w:szCs w:val="22"/>
        <w:lang w:val="de-CH"/>
      </w:rPr>
      <w:t>(Rev.1)</w:t>
    </w:r>
    <w:r w:rsidR="00D54726" w:rsidRPr="006D271A">
      <w:rPr>
        <w:sz w:val="22"/>
        <w:szCs w:val="22"/>
        <w:lang w:val="de-CH"/>
      </w:rPr>
      <w:t>-</w:t>
    </w:r>
    <w:r w:rsidR="00842E57">
      <w:rPr>
        <w:sz w:val="22"/>
        <w:szCs w:val="22"/>
        <w:lang w:val="de-CH"/>
      </w:rPr>
      <w:t>S</w:t>
    </w:r>
    <w:r w:rsidRPr="006D271A">
      <w:rPr>
        <w:sz w:val="22"/>
        <w:szCs w:val="22"/>
        <w:lang w:val="de-CH"/>
      </w:rPr>
      <w:tab/>
    </w:r>
    <w:r w:rsidR="00842E57">
      <w:rPr>
        <w:sz w:val="22"/>
        <w:szCs w:val="22"/>
        <w:lang w:val="de-CH"/>
      </w:rPr>
      <w:t>Página</w:t>
    </w:r>
    <w:r w:rsidRPr="006D271A">
      <w:rPr>
        <w:sz w:val="22"/>
        <w:szCs w:val="22"/>
        <w:lang w:val="de-CH"/>
      </w:rPr>
      <w:t xml:space="preserv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4D7DAB">
      <w:rPr>
        <w:noProof/>
        <w:sz w:val="22"/>
        <w:szCs w:val="22"/>
        <w:lang w:val="de-CH"/>
      </w:rPr>
      <w:t>2</w:t>
    </w:r>
    <w:r w:rsidRPr="00972BCD">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16cid:durableId="9702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5791"/>
    <w:rsid w:val="00010827"/>
    <w:rsid w:val="00015089"/>
    <w:rsid w:val="0002520B"/>
    <w:rsid w:val="00026C76"/>
    <w:rsid w:val="00037A9E"/>
    <w:rsid w:val="00037F91"/>
    <w:rsid w:val="000539F1"/>
    <w:rsid w:val="00054747"/>
    <w:rsid w:val="0005527A"/>
    <w:rsid w:val="00055A2A"/>
    <w:rsid w:val="000615C1"/>
    <w:rsid w:val="00061675"/>
    <w:rsid w:val="000743AA"/>
    <w:rsid w:val="0009076F"/>
    <w:rsid w:val="0009225C"/>
    <w:rsid w:val="000A17C4"/>
    <w:rsid w:val="000A36A4"/>
    <w:rsid w:val="000B2352"/>
    <w:rsid w:val="000C7B84"/>
    <w:rsid w:val="000D261B"/>
    <w:rsid w:val="000D58A3"/>
    <w:rsid w:val="000E3ED4"/>
    <w:rsid w:val="000E3F9C"/>
    <w:rsid w:val="000F1550"/>
    <w:rsid w:val="000F251B"/>
    <w:rsid w:val="000F5FE8"/>
    <w:rsid w:val="000F6644"/>
    <w:rsid w:val="00100833"/>
    <w:rsid w:val="00102F72"/>
    <w:rsid w:val="00107E85"/>
    <w:rsid w:val="00113EE8"/>
    <w:rsid w:val="0011455A"/>
    <w:rsid w:val="00114A65"/>
    <w:rsid w:val="00126EBF"/>
    <w:rsid w:val="00133061"/>
    <w:rsid w:val="00141699"/>
    <w:rsid w:val="00147000"/>
    <w:rsid w:val="00163091"/>
    <w:rsid w:val="001645CB"/>
    <w:rsid w:val="00166305"/>
    <w:rsid w:val="00167545"/>
    <w:rsid w:val="001703C6"/>
    <w:rsid w:val="00173781"/>
    <w:rsid w:val="00175ADF"/>
    <w:rsid w:val="00175CAE"/>
    <w:rsid w:val="001828DB"/>
    <w:rsid w:val="001850FE"/>
    <w:rsid w:val="00185135"/>
    <w:rsid w:val="0019037C"/>
    <w:rsid w:val="001905A9"/>
    <w:rsid w:val="00191273"/>
    <w:rsid w:val="001942A7"/>
    <w:rsid w:val="0019587B"/>
    <w:rsid w:val="001A163D"/>
    <w:rsid w:val="001A441E"/>
    <w:rsid w:val="001A6733"/>
    <w:rsid w:val="001B357F"/>
    <w:rsid w:val="001C3444"/>
    <w:rsid w:val="001C3702"/>
    <w:rsid w:val="001C4656"/>
    <w:rsid w:val="001C46BC"/>
    <w:rsid w:val="001D1E06"/>
    <w:rsid w:val="001F23E6"/>
    <w:rsid w:val="001F4238"/>
    <w:rsid w:val="00200A38"/>
    <w:rsid w:val="00200A46"/>
    <w:rsid w:val="00211B6F"/>
    <w:rsid w:val="002137D1"/>
    <w:rsid w:val="00217CC3"/>
    <w:rsid w:val="00220AB6"/>
    <w:rsid w:val="0022120F"/>
    <w:rsid w:val="0022754A"/>
    <w:rsid w:val="00236560"/>
    <w:rsid w:val="0023662E"/>
    <w:rsid w:val="00245D0F"/>
    <w:rsid w:val="002548C3"/>
    <w:rsid w:val="00257ACD"/>
    <w:rsid w:val="00262908"/>
    <w:rsid w:val="0026355A"/>
    <w:rsid w:val="002650F4"/>
    <w:rsid w:val="002715FD"/>
    <w:rsid w:val="002770B1"/>
    <w:rsid w:val="00285B33"/>
    <w:rsid w:val="00287A3C"/>
    <w:rsid w:val="002A2FC6"/>
    <w:rsid w:val="002B71EA"/>
    <w:rsid w:val="002C1125"/>
    <w:rsid w:val="002C1EC7"/>
    <w:rsid w:val="002C3015"/>
    <w:rsid w:val="002C4342"/>
    <w:rsid w:val="002C7EA3"/>
    <w:rsid w:val="002D20AE"/>
    <w:rsid w:val="002D6C61"/>
    <w:rsid w:val="002E2104"/>
    <w:rsid w:val="002E2DAC"/>
    <w:rsid w:val="002E6963"/>
    <w:rsid w:val="002E6F8F"/>
    <w:rsid w:val="002F05D8"/>
    <w:rsid w:val="002F2DE0"/>
    <w:rsid w:val="002F5E25"/>
    <w:rsid w:val="0030353C"/>
    <w:rsid w:val="00307769"/>
    <w:rsid w:val="003125C3"/>
    <w:rsid w:val="00312AE6"/>
    <w:rsid w:val="00317D1A"/>
    <w:rsid w:val="003211FF"/>
    <w:rsid w:val="003242AB"/>
    <w:rsid w:val="00327247"/>
    <w:rsid w:val="00327A9D"/>
    <w:rsid w:val="0033130E"/>
    <w:rsid w:val="0033269C"/>
    <w:rsid w:val="00341DA6"/>
    <w:rsid w:val="00351C79"/>
    <w:rsid w:val="0035516C"/>
    <w:rsid w:val="00355A4C"/>
    <w:rsid w:val="003604FB"/>
    <w:rsid w:val="00360B73"/>
    <w:rsid w:val="00377F39"/>
    <w:rsid w:val="00380B71"/>
    <w:rsid w:val="0038365A"/>
    <w:rsid w:val="00386A89"/>
    <w:rsid w:val="0039648E"/>
    <w:rsid w:val="003A5AFE"/>
    <w:rsid w:val="003A5D5F"/>
    <w:rsid w:val="003A7FFE"/>
    <w:rsid w:val="003B0A63"/>
    <w:rsid w:val="003B50E1"/>
    <w:rsid w:val="003C1746"/>
    <w:rsid w:val="003C2AA9"/>
    <w:rsid w:val="003C58BF"/>
    <w:rsid w:val="003C6C09"/>
    <w:rsid w:val="003D451D"/>
    <w:rsid w:val="003E4961"/>
    <w:rsid w:val="003F2DD8"/>
    <w:rsid w:val="003F3F2D"/>
    <w:rsid w:val="003F50B2"/>
    <w:rsid w:val="00400CCF"/>
    <w:rsid w:val="00401BFF"/>
    <w:rsid w:val="00404424"/>
    <w:rsid w:val="0041156B"/>
    <w:rsid w:val="004122C5"/>
    <w:rsid w:val="00413B78"/>
    <w:rsid w:val="00416DDE"/>
    <w:rsid w:val="0044411E"/>
    <w:rsid w:val="00453435"/>
    <w:rsid w:val="00460089"/>
    <w:rsid w:val="00466398"/>
    <w:rsid w:val="0047306D"/>
    <w:rsid w:val="00473791"/>
    <w:rsid w:val="00476E48"/>
    <w:rsid w:val="00481DE9"/>
    <w:rsid w:val="0049128B"/>
    <w:rsid w:val="00493B49"/>
    <w:rsid w:val="00495501"/>
    <w:rsid w:val="004A070A"/>
    <w:rsid w:val="004A320E"/>
    <w:rsid w:val="004A4E9C"/>
    <w:rsid w:val="004A532D"/>
    <w:rsid w:val="004B1A3C"/>
    <w:rsid w:val="004D2CC3"/>
    <w:rsid w:val="004D35CB"/>
    <w:rsid w:val="004D7DAB"/>
    <w:rsid w:val="004E20E5"/>
    <w:rsid w:val="004E4600"/>
    <w:rsid w:val="004E64EA"/>
    <w:rsid w:val="004E7828"/>
    <w:rsid w:val="004F46AA"/>
    <w:rsid w:val="004F6A70"/>
    <w:rsid w:val="00500AD7"/>
    <w:rsid w:val="00502ABF"/>
    <w:rsid w:val="00504DB0"/>
    <w:rsid w:val="00507C35"/>
    <w:rsid w:val="00510735"/>
    <w:rsid w:val="00514D2F"/>
    <w:rsid w:val="0054420E"/>
    <w:rsid w:val="00544D1B"/>
    <w:rsid w:val="00545DC0"/>
    <w:rsid w:val="00545F6C"/>
    <w:rsid w:val="005477D9"/>
    <w:rsid w:val="0055720C"/>
    <w:rsid w:val="00561796"/>
    <w:rsid w:val="005632DD"/>
    <w:rsid w:val="0056423B"/>
    <w:rsid w:val="00573424"/>
    <w:rsid w:val="0057402F"/>
    <w:rsid w:val="00581653"/>
    <w:rsid w:val="005849D6"/>
    <w:rsid w:val="00585367"/>
    <w:rsid w:val="005871A1"/>
    <w:rsid w:val="0058737E"/>
    <w:rsid w:val="00590CC6"/>
    <w:rsid w:val="00592518"/>
    <w:rsid w:val="00592E87"/>
    <w:rsid w:val="0059420B"/>
    <w:rsid w:val="00594C4D"/>
    <w:rsid w:val="005A33B0"/>
    <w:rsid w:val="005C2DC2"/>
    <w:rsid w:val="005C304A"/>
    <w:rsid w:val="005C3D69"/>
    <w:rsid w:val="005C7C98"/>
    <w:rsid w:val="005D2C3A"/>
    <w:rsid w:val="005D55A4"/>
    <w:rsid w:val="005D57C8"/>
    <w:rsid w:val="005D7761"/>
    <w:rsid w:val="005D7A5B"/>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23F30"/>
    <w:rsid w:val="00625FB8"/>
    <w:rsid w:val="006261BD"/>
    <w:rsid w:val="00635EDB"/>
    <w:rsid w:val="0064734E"/>
    <w:rsid w:val="00650137"/>
    <w:rsid w:val="006509D7"/>
    <w:rsid w:val="00651CE8"/>
    <w:rsid w:val="0065521B"/>
    <w:rsid w:val="00671EF6"/>
    <w:rsid w:val="0067205B"/>
    <w:rsid w:val="006748F8"/>
    <w:rsid w:val="00680489"/>
    <w:rsid w:val="00683C32"/>
    <w:rsid w:val="00690BB2"/>
    <w:rsid w:val="00693D09"/>
    <w:rsid w:val="006A6549"/>
    <w:rsid w:val="006A7710"/>
    <w:rsid w:val="006A7A61"/>
    <w:rsid w:val="006B1E59"/>
    <w:rsid w:val="006B2FFB"/>
    <w:rsid w:val="006C10A2"/>
    <w:rsid w:val="006C1F18"/>
    <w:rsid w:val="006D40D5"/>
    <w:rsid w:val="006F009A"/>
    <w:rsid w:val="006F3D93"/>
    <w:rsid w:val="007019B1"/>
    <w:rsid w:val="00721657"/>
    <w:rsid w:val="007279A8"/>
    <w:rsid w:val="00727B1A"/>
    <w:rsid w:val="00741337"/>
    <w:rsid w:val="00750580"/>
    <w:rsid w:val="00752258"/>
    <w:rsid w:val="007529E1"/>
    <w:rsid w:val="00762880"/>
    <w:rsid w:val="00762AD6"/>
    <w:rsid w:val="00762E02"/>
    <w:rsid w:val="00772290"/>
    <w:rsid w:val="00777265"/>
    <w:rsid w:val="007805E7"/>
    <w:rsid w:val="0078222A"/>
    <w:rsid w:val="00787D48"/>
    <w:rsid w:val="00795294"/>
    <w:rsid w:val="007A4E50"/>
    <w:rsid w:val="007B06F9"/>
    <w:rsid w:val="007B18A7"/>
    <w:rsid w:val="007B250E"/>
    <w:rsid w:val="007C27FC"/>
    <w:rsid w:val="007C51FF"/>
    <w:rsid w:val="007D50E4"/>
    <w:rsid w:val="007E2DC5"/>
    <w:rsid w:val="007F0675"/>
    <w:rsid w:val="007F1CC7"/>
    <w:rsid w:val="008027AC"/>
    <w:rsid w:val="008028CE"/>
    <w:rsid w:val="0080332E"/>
    <w:rsid w:val="008141E0"/>
    <w:rsid w:val="00816EE1"/>
    <w:rsid w:val="00816F88"/>
    <w:rsid w:val="00821996"/>
    <w:rsid w:val="00822323"/>
    <w:rsid w:val="00827BC6"/>
    <w:rsid w:val="008300AD"/>
    <w:rsid w:val="00833024"/>
    <w:rsid w:val="008419B1"/>
    <w:rsid w:val="00842E57"/>
    <w:rsid w:val="00844A56"/>
    <w:rsid w:val="00845B11"/>
    <w:rsid w:val="00852081"/>
    <w:rsid w:val="00872B6E"/>
    <w:rsid w:val="00874DFD"/>
    <w:rsid w:val="008802F9"/>
    <w:rsid w:val="00883086"/>
    <w:rsid w:val="00884EBD"/>
    <w:rsid w:val="008879FD"/>
    <w:rsid w:val="00894C37"/>
    <w:rsid w:val="008A00EA"/>
    <w:rsid w:val="008A3F93"/>
    <w:rsid w:val="008A6236"/>
    <w:rsid w:val="008A6E1C"/>
    <w:rsid w:val="008A72FD"/>
    <w:rsid w:val="008B2EDF"/>
    <w:rsid w:val="008B47C7"/>
    <w:rsid w:val="008B54CB"/>
    <w:rsid w:val="008B5A3D"/>
    <w:rsid w:val="008C4010"/>
    <w:rsid w:val="008C4FDF"/>
    <w:rsid w:val="008C6B1F"/>
    <w:rsid w:val="008D5E4F"/>
    <w:rsid w:val="008E34F0"/>
    <w:rsid w:val="008F14F5"/>
    <w:rsid w:val="008F71C1"/>
    <w:rsid w:val="00902D41"/>
    <w:rsid w:val="00902F49"/>
    <w:rsid w:val="00904230"/>
    <w:rsid w:val="00914004"/>
    <w:rsid w:val="00922EC1"/>
    <w:rsid w:val="00923CF1"/>
    <w:rsid w:val="009301F1"/>
    <w:rsid w:val="009307DF"/>
    <w:rsid w:val="009359B8"/>
    <w:rsid w:val="00935FF0"/>
    <w:rsid w:val="009431F8"/>
    <w:rsid w:val="00947A35"/>
    <w:rsid w:val="00952667"/>
    <w:rsid w:val="0096201B"/>
    <w:rsid w:val="00962081"/>
    <w:rsid w:val="00966CB5"/>
    <w:rsid w:val="00975786"/>
    <w:rsid w:val="00981CB7"/>
    <w:rsid w:val="00983E1F"/>
    <w:rsid w:val="00993F46"/>
    <w:rsid w:val="00996362"/>
    <w:rsid w:val="00997358"/>
    <w:rsid w:val="009A452B"/>
    <w:rsid w:val="009B050C"/>
    <w:rsid w:val="009B087F"/>
    <w:rsid w:val="009B2AF4"/>
    <w:rsid w:val="009C110B"/>
    <w:rsid w:val="009C5441"/>
    <w:rsid w:val="009D119F"/>
    <w:rsid w:val="009D49A2"/>
    <w:rsid w:val="009F3940"/>
    <w:rsid w:val="009F3EB2"/>
    <w:rsid w:val="009F6EB1"/>
    <w:rsid w:val="00A10223"/>
    <w:rsid w:val="00A11D05"/>
    <w:rsid w:val="00A13162"/>
    <w:rsid w:val="00A20267"/>
    <w:rsid w:val="00A3158C"/>
    <w:rsid w:val="00A32DF3"/>
    <w:rsid w:val="00A33E32"/>
    <w:rsid w:val="00A35E20"/>
    <w:rsid w:val="00A36F6D"/>
    <w:rsid w:val="00A42879"/>
    <w:rsid w:val="00A50CA0"/>
    <w:rsid w:val="00A525CC"/>
    <w:rsid w:val="00A53E7C"/>
    <w:rsid w:val="00A60087"/>
    <w:rsid w:val="00A705E8"/>
    <w:rsid w:val="00A721F4"/>
    <w:rsid w:val="00A9392C"/>
    <w:rsid w:val="00A9462B"/>
    <w:rsid w:val="00A97D59"/>
    <w:rsid w:val="00AA3E09"/>
    <w:rsid w:val="00AA4BEF"/>
    <w:rsid w:val="00AB1659"/>
    <w:rsid w:val="00AB4962"/>
    <w:rsid w:val="00AB734E"/>
    <w:rsid w:val="00AB740F"/>
    <w:rsid w:val="00AC6F14"/>
    <w:rsid w:val="00AC7221"/>
    <w:rsid w:val="00AD4677"/>
    <w:rsid w:val="00AE5961"/>
    <w:rsid w:val="00AF0745"/>
    <w:rsid w:val="00AF1401"/>
    <w:rsid w:val="00AF4971"/>
    <w:rsid w:val="00AF5276"/>
    <w:rsid w:val="00AF7C86"/>
    <w:rsid w:val="00B01046"/>
    <w:rsid w:val="00B310F9"/>
    <w:rsid w:val="00B37866"/>
    <w:rsid w:val="00B412FB"/>
    <w:rsid w:val="00B42366"/>
    <w:rsid w:val="00B4576B"/>
    <w:rsid w:val="00B46350"/>
    <w:rsid w:val="00B46DF3"/>
    <w:rsid w:val="00B648C7"/>
    <w:rsid w:val="00B66E8F"/>
    <w:rsid w:val="00B80157"/>
    <w:rsid w:val="00B82FB3"/>
    <w:rsid w:val="00B83D5E"/>
    <w:rsid w:val="00B8460A"/>
    <w:rsid w:val="00B8650D"/>
    <w:rsid w:val="00B879B4"/>
    <w:rsid w:val="00B90F07"/>
    <w:rsid w:val="00B94F2B"/>
    <w:rsid w:val="00B9710C"/>
    <w:rsid w:val="00B97BB9"/>
    <w:rsid w:val="00BA0009"/>
    <w:rsid w:val="00BB02B5"/>
    <w:rsid w:val="00BB1863"/>
    <w:rsid w:val="00BB25EE"/>
    <w:rsid w:val="00BB363A"/>
    <w:rsid w:val="00BC10A0"/>
    <w:rsid w:val="00BC7BA2"/>
    <w:rsid w:val="00BD426B"/>
    <w:rsid w:val="00BD79F0"/>
    <w:rsid w:val="00BE2B4D"/>
    <w:rsid w:val="00C015F8"/>
    <w:rsid w:val="00C02C2A"/>
    <w:rsid w:val="00C07E26"/>
    <w:rsid w:val="00C1011C"/>
    <w:rsid w:val="00C12F94"/>
    <w:rsid w:val="00C177C5"/>
    <w:rsid w:val="00C34EC3"/>
    <w:rsid w:val="00C37BFA"/>
    <w:rsid w:val="00C4038C"/>
    <w:rsid w:val="00C42BA2"/>
    <w:rsid w:val="00C44066"/>
    <w:rsid w:val="00C44E13"/>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A1F0B"/>
    <w:rsid w:val="00CB110F"/>
    <w:rsid w:val="00CB2A2E"/>
    <w:rsid w:val="00CB338A"/>
    <w:rsid w:val="00CB79C5"/>
    <w:rsid w:val="00CC411F"/>
    <w:rsid w:val="00CC4B75"/>
    <w:rsid w:val="00CC732E"/>
    <w:rsid w:val="00CD2FCD"/>
    <w:rsid w:val="00CD7207"/>
    <w:rsid w:val="00CE0422"/>
    <w:rsid w:val="00CE0DBE"/>
    <w:rsid w:val="00CE5E4D"/>
    <w:rsid w:val="00CF02C4"/>
    <w:rsid w:val="00CF167F"/>
    <w:rsid w:val="00CF72E5"/>
    <w:rsid w:val="00D013EE"/>
    <w:rsid w:val="00D01F54"/>
    <w:rsid w:val="00D040F7"/>
    <w:rsid w:val="00D04A76"/>
    <w:rsid w:val="00D109CB"/>
    <w:rsid w:val="00D10FC7"/>
    <w:rsid w:val="00D1519F"/>
    <w:rsid w:val="00D20E99"/>
    <w:rsid w:val="00D21C83"/>
    <w:rsid w:val="00D35BDD"/>
    <w:rsid w:val="00D54726"/>
    <w:rsid w:val="00D63006"/>
    <w:rsid w:val="00D66DC2"/>
    <w:rsid w:val="00D72301"/>
    <w:rsid w:val="00D8041C"/>
    <w:rsid w:val="00D911DE"/>
    <w:rsid w:val="00D91B97"/>
    <w:rsid w:val="00D93ACC"/>
    <w:rsid w:val="00D93C08"/>
    <w:rsid w:val="00D95DAC"/>
    <w:rsid w:val="00DA0B53"/>
    <w:rsid w:val="00DB1171"/>
    <w:rsid w:val="00DB1519"/>
    <w:rsid w:val="00DB2840"/>
    <w:rsid w:val="00DC1BD3"/>
    <w:rsid w:val="00DC2C1A"/>
    <w:rsid w:val="00DD66B4"/>
    <w:rsid w:val="00DE1972"/>
    <w:rsid w:val="00DE27AB"/>
    <w:rsid w:val="00DF2AB3"/>
    <w:rsid w:val="00DF7250"/>
    <w:rsid w:val="00E00CAA"/>
    <w:rsid w:val="00E03EBF"/>
    <w:rsid w:val="00E05209"/>
    <w:rsid w:val="00E05AC1"/>
    <w:rsid w:val="00E11BCF"/>
    <w:rsid w:val="00E2258E"/>
    <w:rsid w:val="00E260C2"/>
    <w:rsid w:val="00E32596"/>
    <w:rsid w:val="00E368F7"/>
    <w:rsid w:val="00E36EB8"/>
    <w:rsid w:val="00E37FB8"/>
    <w:rsid w:val="00E40B07"/>
    <w:rsid w:val="00E42326"/>
    <w:rsid w:val="00E43544"/>
    <w:rsid w:val="00E44D89"/>
    <w:rsid w:val="00E477EA"/>
    <w:rsid w:val="00E55807"/>
    <w:rsid w:val="00E63B14"/>
    <w:rsid w:val="00E65CA0"/>
    <w:rsid w:val="00E70D9F"/>
    <w:rsid w:val="00E83810"/>
    <w:rsid w:val="00E86933"/>
    <w:rsid w:val="00E9605B"/>
    <w:rsid w:val="00E97298"/>
    <w:rsid w:val="00E97753"/>
    <w:rsid w:val="00EA0C51"/>
    <w:rsid w:val="00EA7DE7"/>
    <w:rsid w:val="00EB7A8A"/>
    <w:rsid w:val="00EC6FED"/>
    <w:rsid w:val="00EC7F3B"/>
    <w:rsid w:val="00ED5299"/>
    <w:rsid w:val="00EE3A64"/>
    <w:rsid w:val="00EE50E5"/>
    <w:rsid w:val="00EF01CF"/>
    <w:rsid w:val="00F03590"/>
    <w:rsid w:val="00F03622"/>
    <w:rsid w:val="00F077FD"/>
    <w:rsid w:val="00F13F72"/>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52741"/>
    <w:rsid w:val="00F53D8A"/>
    <w:rsid w:val="00F626F7"/>
    <w:rsid w:val="00F736F9"/>
    <w:rsid w:val="00F73833"/>
    <w:rsid w:val="00F9211C"/>
    <w:rsid w:val="00FA095D"/>
    <w:rsid w:val="00FA6C8B"/>
    <w:rsid w:val="00FA6CDA"/>
    <w:rsid w:val="00FA7C89"/>
    <w:rsid w:val="00FB4139"/>
    <w:rsid w:val="00FB476E"/>
    <w:rsid w:val="00FC0D90"/>
    <w:rsid w:val="00FC7D8C"/>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9FAF29E"/>
  <w15:docId w15:val="{DDEE480D-52BF-4038-9942-1B7C16C2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qFormat/>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styleId="UnresolvedMention">
    <w:name w:val="Unresolved Mention"/>
    <w:basedOn w:val="DefaultParagraphFont"/>
    <w:uiPriority w:val="99"/>
    <w:semiHidden/>
    <w:unhideWhenUsed/>
    <w:rsid w:val="003C6C09"/>
    <w:rPr>
      <w:color w:val="605E5C"/>
      <w:shd w:val="clear" w:color="auto" w:fill="E1DFDD"/>
    </w:rPr>
  </w:style>
  <w:style w:type="character" w:customStyle="1" w:styleId="ui-provider">
    <w:name w:val="ui-provider"/>
    <w:basedOn w:val="DefaultParagraphFont"/>
    <w:rsid w:val="00D54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chart" Target="charts/chart5.xml"/><Relationship Id="rId3" Type="http://schemas.openxmlformats.org/officeDocument/2006/relationships/customXml" Target="../customXml/item3.xml"/><Relationship Id="rId21" Type="http://schemas.openxmlformats.org/officeDocument/2006/relationships/chart" Target="charts/chart6.xml"/><Relationship Id="rId7" Type="http://schemas.openxmlformats.org/officeDocument/2006/relationships/webSettings" Target="webSettings.xml"/><Relationship Id="rId12" Type="http://schemas.openxmlformats.org/officeDocument/2006/relationships/hyperlink" Target="https://www.itu.int/md/D22-TDAG31-INF-0001/es" TargetMode="Externa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itu.int/md/D22-TDAG31-INF-0001/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hart" Target="charts/chart3.xm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itu.int/itu-d/sites/digital-impact-unlocked/all-stories/2024-edi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D22-TDAG31-INF-0001/e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itu.int/es/ITU-D/Conferences/TDAG/Pages/default.aspx" TargetMode="External"/><Relationship Id="rId1" Type="http://schemas.openxmlformats.org/officeDocument/2006/relationships/hyperlink" Target="mailto:sandrine.guyot@itu.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tu.int/en/ITU-D/MembersPartners/Pages/Partners/List-of-Partners.aspx" TargetMode="External"/><Relationship Id="rId1" Type="http://schemas.openxmlformats.org/officeDocument/2006/relationships/hyperlink" Target="https://www.itu.int/itu-d/sites/partnership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ituint-my.sharepoint.com/personal/anna_perlin_itu_int/Documents/Desktop/Quaterly%20report%20Q4/Report%20Q4%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ituint-my.sharepoint.com/personal/sandrine_guyot_itu_int/Documents/Desktop/Copy%20of%20TDAG24%20Charts%20For%20translation_rev3May2024.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https://ituint-my.sharepoint.com/personal/sandrine_guyot_itu_int/Documents/Desktop/Copy%20of%20TDAG24%20Charts%20For%20translation_rev3May2024.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oleObject" Target="https://ituint-my.sharepoint.com/personal/anna_perlin_itu_int/Documents/Desktop/Quaterly%20report%20Q4/Report%20Q4%2020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ituint-my.sharepoint.com/personal/anna_perlin_itu_int/Documents/Desktop/Quaterly%20report%20Q4/Report%20Q4%202023.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3.xml"/></Relationships>
</file>

<file path=word/charts/_rels/chart6.xml.rels><?xml version="1.0" encoding="UTF-8" standalone="yes"?>
<Relationships xmlns="http://schemas.openxmlformats.org/package/2006/relationships"><Relationship Id="rId3" Type="http://schemas.openxmlformats.org/officeDocument/2006/relationships/oleObject" Target="https://ituint-my.sharepoint.com/personal/sandrine_guyot_itu_int/Documents/Desktop/Copy%20of%20TDAG24%20Charts%20For%20translation_rev3May2024.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GB" sz="1200" b="1"/>
              <a:t>Acuerdos de cofinanciación (2023)</a:t>
            </a:r>
          </a:p>
        </c:rich>
      </c:tx>
      <c:layout>
        <c:manualLayout>
          <c:xMode val="edge"/>
          <c:yMode val="edge"/>
          <c:x val="0.22538767076488675"/>
          <c:y val="3.7245644200754199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5158077702914987E-2"/>
          <c:y val="0.21385453180008274"/>
          <c:w val="0.93888888888888888"/>
          <c:h val="0.6714577865266842"/>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1D4-486C-BE66-E11D61975936}"/>
              </c:ext>
            </c:extLst>
          </c:dPt>
          <c:dPt>
            <c:idx val="1"/>
            <c:bubble3D val="0"/>
            <c:explosion val="34"/>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1D4-486C-BE66-E11D61975936}"/>
              </c:ext>
            </c:extLst>
          </c:dPt>
          <c:dLbls>
            <c:dLbl>
              <c:idx val="0"/>
              <c:layout>
                <c:manualLayout>
                  <c:x val="4.1067705010475283E-2"/>
                  <c:y val="5.3567216937620364E-2"/>
                </c:manualLayout>
              </c:layout>
              <c:tx>
                <c:rich>
                  <a:bodyPr/>
                  <a:lstStyle/>
                  <a:p>
                    <a:r>
                      <a:rPr lang="en-US" sz="1000" b="1">
                        <a:solidFill>
                          <a:schemeClr val="tx2">
                            <a:lumMod val="50000"/>
                          </a:schemeClr>
                        </a:solidFill>
                      </a:rPr>
                      <a:t>UIT (</a:t>
                    </a:r>
                    <a:r>
                      <a:rPr lang="en-US" sz="1000" b="1" baseline="0">
                        <a:solidFill>
                          <a:schemeClr val="tx2">
                            <a:lumMod val="50000"/>
                          </a:schemeClr>
                        </a:solidFill>
                      </a:rPr>
                      <a:t>9%)</a:t>
                    </a:r>
                  </a:p>
                </c:rich>
              </c:tx>
              <c:dLblPos val="bestFit"/>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1D4-486C-BE66-E11D61975936}"/>
                </c:ext>
              </c:extLst>
            </c:dLbl>
            <c:dLbl>
              <c:idx val="1"/>
              <c:layout>
                <c:manualLayout>
                  <c:x val="0.14995847459460712"/>
                  <c:y val="-0.28382491950846178"/>
                </c:manualLayout>
              </c:layout>
              <c:tx>
                <c:rich>
                  <a:bodyPr/>
                  <a:lstStyle/>
                  <a:p>
                    <a:r>
                      <a:rPr lang="en-US" sz="1000" b="1">
                        <a:solidFill>
                          <a:schemeClr val="bg1"/>
                        </a:solidFill>
                      </a:rPr>
                      <a:t>Socios (</a:t>
                    </a:r>
                    <a:r>
                      <a:rPr lang="en-US" sz="1000" b="1" baseline="0">
                        <a:solidFill>
                          <a:schemeClr val="bg1"/>
                        </a:solidFill>
                      </a:rPr>
                      <a:t>91%)</a:t>
                    </a:r>
                  </a:p>
                </c:rich>
              </c:tx>
              <c:dLblPos val="bestFit"/>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1D4-486C-BE66-E11D6197593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'[Report Q4 2023.xlsx]% ITU vs partners'!$D$5:$E$5</c:f>
              <c:strCache>
                <c:ptCount val="2"/>
                <c:pt idx="0">
                  <c:v>ITU component</c:v>
                </c:pt>
                <c:pt idx="1">
                  <c:v>Partner's component </c:v>
                </c:pt>
              </c:strCache>
            </c:strRef>
          </c:cat>
          <c:val>
            <c:numRef>
              <c:f>'[Report Q4 2023.xlsx]% ITU vs partners'!$D$7:$E$7</c:f>
              <c:numCache>
                <c:formatCode>0.00%</c:formatCode>
                <c:ptCount val="2"/>
                <c:pt idx="0">
                  <c:v>9.1467667605435649E-2</c:v>
                </c:pt>
                <c:pt idx="1">
                  <c:v>0.90853233239456432</c:v>
                </c:pt>
              </c:numCache>
            </c:numRef>
          </c:val>
          <c:extLst>
            <c:ext xmlns:c16="http://schemas.microsoft.com/office/drawing/2014/chart" uri="{C3380CC4-5D6E-409C-BE32-E72D297353CC}">
              <c16:uniqueId val="{00000004-41D4-486C-BE66-E11D61975936}"/>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spcBef>
          <a:spcPts val="600"/>
        </a:spcBef>
        <a:spcAft>
          <a:spcPts val="600"/>
        </a:spcAf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sz="1100" b="1" i="0" u="none" strike="noStrike" kern="1200" spc="0" baseline="0">
                <a:solidFill>
                  <a:sysClr val="windowText" lastClr="000000">
                    <a:lumMod val="65000"/>
                    <a:lumOff val="35000"/>
                  </a:sysClr>
                </a:solidFill>
              </a:rPr>
              <a:t>Contribuciones financieras de los socios de la BDT (2023)</a:t>
            </a:r>
            <a:endParaRPr lang="en-GB"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DC6-4F4D-B5DC-39C24C291DD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DC6-4F4D-B5DC-39C24C291DD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DC6-4F4D-B5DC-39C24C291DD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DC6-4F4D-B5DC-39C24C291DD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DC6-4F4D-B5DC-39C24C291DD9}"/>
              </c:ext>
            </c:extLst>
          </c:dPt>
          <c:dLbls>
            <c:dLbl>
              <c:idx val="0"/>
              <c:layout>
                <c:manualLayout>
                  <c:x val="-7.9125280853691252E-3"/>
                  <c:y val="5.797397064475531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C6-4F4D-B5DC-39C24C291DD9}"/>
                </c:ext>
              </c:extLst>
            </c:dLbl>
            <c:dLbl>
              <c:idx val="1"/>
              <c:layout>
                <c:manualLayout>
                  <c:x val="2.4352121337969093E-3"/>
                  <c:y val="4.052736950782362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C6-4F4D-B5DC-39C24C291DD9}"/>
                </c:ext>
              </c:extLst>
            </c:dLbl>
            <c:dLbl>
              <c:idx val="2"/>
              <c:layout>
                <c:manualLayout>
                  <c:x val="2.3436202671546671E-3"/>
                  <c:y val="2.338572530263333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C6-4F4D-B5DC-39C24C291DD9}"/>
                </c:ext>
              </c:extLst>
            </c:dLbl>
            <c:dLbl>
              <c:idx val="3"/>
              <c:layout>
                <c:manualLayout>
                  <c:x val="-6.865481684070575E-3"/>
                  <c:y val="1.052720885817745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C6-4F4D-B5DC-39C24C291DD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PartnersCont.!$B$2:$B$6</c:f>
              <c:strCache>
                <c:ptCount val="5"/>
                <c:pt idx="0">
                  <c:v>Financial Institutions</c:v>
                </c:pt>
                <c:pt idx="1">
                  <c:v>Governmental entities</c:v>
                </c:pt>
                <c:pt idx="2">
                  <c:v>Private sector (incl. foundations)</c:v>
                </c:pt>
                <c:pt idx="3">
                  <c:v>UN organizations</c:v>
                </c:pt>
                <c:pt idx="4">
                  <c:v>Academia</c:v>
                </c:pt>
              </c:strCache>
            </c:strRef>
          </c:cat>
          <c:val>
            <c:numRef>
              <c:f>PartnersCont.!$C$2:$C$6</c:f>
              <c:numCache>
                <c:formatCode>0.00%</c:formatCode>
                <c:ptCount val="5"/>
                <c:pt idx="0">
                  <c:v>0.57969999999999999</c:v>
                </c:pt>
                <c:pt idx="1">
                  <c:v>0.2923</c:v>
                </c:pt>
                <c:pt idx="2">
                  <c:v>9.4200000000000006E-2</c:v>
                </c:pt>
                <c:pt idx="3">
                  <c:v>3.3399999999999999E-2</c:v>
                </c:pt>
                <c:pt idx="4">
                  <c:v>3.4217732450181261E-4</c:v>
                </c:pt>
              </c:numCache>
            </c:numRef>
          </c:val>
          <c:extLst>
            <c:ext xmlns:c16="http://schemas.microsoft.com/office/drawing/2014/chart" uri="{C3380CC4-5D6E-409C-BE32-E72D297353CC}">
              <c16:uniqueId val="{0000000A-1DC6-4F4D-B5DC-39C24C291DD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8503606028365649"/>
          <c:y val="0.327698328765678"/>
          <c:w val="0.28858271800992197"/>
          <c:h val="0.34876606398275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1" i="0" u="none" strike="noStrike" kern="1200" spc="0" baseline="0">
                <a:solidFill>
                  <a:sysClr val="windowText" lastClr="000000">
                    <a:lumMod val="65000"/>
                    <a:lumOff val="35000"/>
                  </a:sysClr>
                </a:solidFill>
              </a:rPr>
              <a:t>Distribución de los acuerdos firmados, por Región</a:t>
            </a:r>
          </a:p>
          <a:p>
            <a:pPr>
              <a:defRPr/>
            </a:pPr>
            <a:r>
              <a:rPr lang="en-GB" sz="1200" b="1" i="0" u="none" strike="noStrike" kern="1200" spc="0" baseline="0">
                <a:solidFill>
                  <a:sysClr val="windowText" lastClr="000000">
                    <a:lumMod val="65000"/>
                    <a:lumOff val="35000"/>
                  </a:sysClr>
                </a:solidFill>
              </a:rPr>
              <a:t>(2023)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Regions!$C$1</c:f>
              <c:strCache>
                <c:ptCount val="1"/>
                <c:pt idx="0">
                  <c:v>Number of Agreements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Regions!$B$2:$B$8</c:f>
              <c:strCache>
                <c:ptCount val="7"/>
                <c:pt idx="0">
                  <c:v>Africa</c:v>
                </c:pt>
                <c:pt idx="1">
                  <c:v>Americas</c:v>
                </c:pt>
                <c:pt idx="2">
                  <c:v>Arab States</c:v>
                </c:pt>
                <c:pt idx="3">
                  <c:v>Asia-Pacific</c:v>
                </c:pt>
                <c:pt idx="4">
                  <c:v>CIS</c:v>
                </c:pt>
                <c:pt idx="5">
                  <c:v>Europe </c:v>
                </c:pt>
                <c:pt idx="6">
                  <c:v>Multi-regions</c:v>
                </c:pt>
              </c:strCache>
            </c:strRef>
          </c:cat>
          <c:val>
            <c:numRef>
              <c:f>Regions!$C$2:$C$8</c:f>
              <c:numCache>
                <c:formatCode>0%</c:formatCode>
                <c:ptCount val="7"/>
                <c:pt idx="0">
                  <c:v>0.16</c:v>
                </c:pt>
                <c:pt idx="1">
                  <c:v>0.11</c:v>
                </c:pt>
                <c:pt idx="2">
                  <c:v>0.02</c:v>
                </c:pt>
                <c:pt idx="3">
                  <c:v>0.23</c:v>
                </c:pt>
                <c:pt idx="4">
                  <c:v>0.02</c:v>
                </c:pt>
                <c:pt idx="5">
                  <c:v>0.11</c:v>
                </c:pt>
                <c:pt idx="6">
                  <c:v>0.35</c:v>
                </c:pt>
              </c:numCache>
            </c:numRef>
          </c:val>
          <c:extLst>
            <c:ext xmlns:c16="http://schemas.microsoft.com/office/drawing/2014/chart" uri="{C3380CC4-5D6E-409C-BE32-E72D297353CC}">
              <c16:uniqueId val="{00000000-D45F-48B6-AB93-D1D1DCB66845}"/>
            </c:ext>
          </c:extLst>
        </c:ser>
        <c:ser>
          <c:idx val="1"/>
          <c:order val="1"/>
          <c:tx>
            <c:strRef>
              <c:f>Regions!$D$1</c:f>
              <c:strCache>
                <c:ptCount val="1"/>
                <c:pt idx="0">
                  <c:v>Funds signed</c:v>
                </c:pt>
              </c:strCache>
            </c:strRef>
          </c:tx>
          <c:spPr>
            <a:solidFill>
              <a:schemeClr val="accent2"/>
            </a:solidFill>
            <a:ln>
              <a:noFill/>
            </a:ln>
            <a:effectLst/>
          </c:spPr>
          <c:invertIfNegative val="0"/>
          <c:dLbls>
            <c:dLbl>
              <c:idx val="4"/>
              <c:tx>
                <c:rich>
                  <a:bodyPr/>
                  <a:lstStyle/>
                  <a:p>
                    <a:r>
                      <a:rPr lang="en-US"/>
                      <a:t>0,1%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45F-48B6-AB93-D1D1DCB66845}"/>
                </c:ext>
              </c:extLst>
            </c:dLbl>
            <c:dLbl>
              <c:idx val="5"/>
              <c:tx>
                <c:rich>
                  <a:bodyPr/>
                  <a:lstStyle/>
                  <a:p>
                    <a:r>
                      <a:rPr lang="en-US"/>
                      <a:t>0,1%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45F-48B6-AB93-D1D1DCB6684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Regions!$B$2:$B$8</c:f>
              <c:strCache>
                <c:ptCount val="7"/>
                <c:pt idx="0">
                  <c:v>Africa</c:v>
                </c:pt>
                <c:pt idx="1">
                  <c:v>Americas</c:v>
                </c:pt>
                <c:pt idx="2">
                  <c:v>Arab States</c:v>
                </c:pt>
                <c:pt idx="3">
                  <c:v>Asia-Pacific</c:v>
                </c:pt>
                <c:pt idx="4">
                  <c:v>CIS</c:v>
                </c:pt>
                <c:pt idx="5">
                  <c:v>Europe </c:v>
                </c:pt>
                <c:pt idx="6">
                  <c:v>Multi-regions</c:v>
                </c:pt>
              </c:strCache>
            </c:strRef>
          </c:cat>
          <c:val>
            <c:numRef>
              <c:f>Regions!$D$2:$D$8</c:f>
              <c:numCache>
                <c:formatCode>0%</c:formatCode>
                <c:ptCount val="7"/>
                <c:pt idx="0">
                  <c:v>0.16</c:v>
                </c:pt>
                <c:pt idx="1">
                  <c:v>0.09</c:v>
                </c:pt>
                <c:pt idx="2">
                  <c:v>0.02</c:v>
                </c:pt>
                <c:pt idx="3">
                  <c:v>0.06</c:v>
                </c:pt>
                <c:pt idx="4">
                  <c:v>1E-3</c:v>
                </c:pt>
                <c:pt idx="5">
                  <c:v>1E-3</c:v>
                </c:pt>
                <c:pt idx="6">
                  <c:v>0.67</c:v>
                </c:pt>
              </c:numCache>
            </c:numRef>
          </c:val>
          <c:extLst>
            <c:ext xmlns:c16="http://schemas.microsoft.com/office/drawing/2014/chart" uri="{C3380CC4-5D6E-409C-BE32-E72D297353CC}">
              <c16:uniqueId val="{00000003-D45F-48B6-AB93-D1D1DCB66845}"/>
            </c:ext>
          </c:extLst>
        </c:ser>
        <c:dLbls>
          <c:dLblPos val="outEnd"/>
          <c:showLegendKey val="0"/>
          <c:showVal val="1"/>
          <c:showCatName val="0"/>
          <c:showSerName val="0"/>
          <c:showPercent val="0"/>
          <c:showBubbleSize val="0"/>
        </c:dLbls>
        <c:gapWidth val="219"/>
        <c:overlap val="-27"/>
        <c:axId val="207598304"/>
        <c:axId val="207588224"/>
      </c:barChart>
      <c:catAx>
        <c:axId val="207598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7588224"/>
        <c:crosses val="autoZero"/>
        <c:auto val="1"/>
        <c:lblAlgn val="ctr"/>
        <c:lblOffset val="100"/>
        <c:noMultiLvlLbl val="0"/>
      </c:catAx>
      <c:valAx>
        <c:axId val="207588224"/>
        <c:scaling>
          <c:orientation val="minMax"/>
        </c:scaling>
        <c:delete val="1"/>
        <c:axPos val="l"/>
        <c:numFmt formatCode="0%" sourceLinked="1"/>
        <c:majorTickMark val="none"/>
        <c:minorTickMark val="none"/>
        <c:tickLblPos val="nextTo"/>
        <c:crossAx val="207598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GB" sz="1200" b="1">
                <a:latin typeface="+mn-lt"/>
              </a:rPr>
              <a:t>Número de acuerdos firmados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'[Report Q4 2023.xlsx]2022 vs 2023'!$C$11</c:f>
              <c:strCache>
                <c:ptCount val="1"/>
                <c:pt idx="0">
                  <c:v>2022</c:v>
                </c:pt>
              </c:strCache>
            </c:strRef>
          </c:tx>
          <c:spPr>
            <a:solidFill>
              <a:schemeClr val="accent1"/>
            </a:solidFill>
            <a:ln>
              <a:noFill/>
            </a:ln>
            <a:effectLst/>
          </c:spPr>
          <c:invertIfNegative val="0"/>
          <c:dLbls>
            <c:dLbl>
              <c:idx val="0"/>
              <c:tx>
                <c:rich>
                  <a:bodyPr/>
                  <a:lstStyle/>
                  <a:p>
                    <a:r>
                      <a:rPr lang="en-US"/>
                      <a:t>75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D6B-49C1-BB3B-447F4966119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 Q4 2023.xlsx]2022 vs 2023'!$D$10</c:f>
              <c:strCache>
                <c:ptCount val="1"/>
                <c:pt idx="0">
                  <c:v>Number of Agreements signed</c:v>
                </c:pt>
              </c:strCache>
            </c:strRef>
          </c:cat>
          <c:val>
            <c:numRef>
              <c:f>'[Report Q4 2023.xlsx]2022 vs 2023'!$D$11</c:f>
              <c:numCache>
                <c:formatCode>General</c:formatCode>
                <c:ptCount val="1"/>
                <c:pt idx="0">
                  <c:v>71</c:v>
                </c:pt>
              </c:numCache>
            </c:numRef>
          </c:val>
          <c:extLst>
            <c:ext xmlns:c16="http://schemas.microsoft.com/office/drawing/2014/chart" uri="{C3380CC4-5D6E-409C-BE32-E72D297353CC}">
              <c16:uniqueId val="{00000001-ED6B-49C1-BB3B-447F4966119C}"/>
            </c:ext>
          </c:extLst>
        </c:ser>
        <c:ser>
          <c:idx val="1"/>
          <c:order val="1"/>
          <c:tx>
            <c:strRef>
              <c:f>'[Report Q4 2023.xlsx]2022 vs 2023'!$C$12</c:f>
              <c:strCache>
                <c:ptCount val="1"/>
                <c:pt idx="0">
                  <c:v>2023</c:v>
                </c:pt>
              </c:strCache>
            </c:strRef>
          </c:tx>
          <c:spPr>
            <a:solidFill>
              <a:schemeClr val="accent2"/>
            </a:solidFill>
            <a:ln>
              <a:noFill/>
            </a:ln>
            <a:effectLst/>
          </c:spPr>
          <c:invertIfNegative val="0"/>
          <c:dLbls>
            <c:dLbl>
              <c:idx val="0"/>
              <c:tx>
                <c:rich>
                  <a:bodyPr/>
                  <a:lstStyle/>
                  <a:p>
                    <a:r>
                      <a:rPr lang="en-US"/>
                      <a:t>88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D6B-49C1-BB3B-447F4966119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 Q4 2023.xlsx]2022 vs 2023'!$D$10</c:f>
              <c:strCache>
                <c:ptCount val="1"/>
                <c:pt idx="0">
                  <c:v>Number of Agreements signed</c:v>
                </c:pt>
              </c:strCache>
            </c:strRef>
          </c:cat>
          <c:val>
            <c:numRef>
              <c:f>'[Report Q4 2023.xlsx]2022 vs 2023'!$D$12</c:f>
              <c:numCache>
                <c:formatCode>General</c:formatCode>
                <c:ptCount val="1"/>
                <c:pt idx="0">
                  <c:v>85</c:v>
                </c:pt>
              </c:numCache>
            </c:numRef>
          </c:val>
          <c:extLst>
            <c:ext xmlns:c16="http://schemas.microsoft.com/office/drawing/2014/chart" uri="{C3380CC4-5D6E-409C-BE32-E72D297353CC}">
              <c16:uniqueId val="{00000003-ED6B-49C1-BB3B-447F4966119C}"/>
            </c:ext>
          </c:extLst>
        </c:ser>
        <c:dLbls>
          <c:dLblPos val="outEnd"/>
          <c:showLegendKey val="0"/>
          <c:showVal val="1"/>
          <c:showCatName val="0"/>
          <c:showSerName val="0"/>
          <c:showPercent val="0"/>
          <c:showBubbleSize val="0"/>
        </c:dLbls>
        <c:gapWidth val="219"/>
        <c:overlap val="-27"/>
        <c:axId val="2014102720"/>
        <c:axId val="2014103200"/>
      </c:barChart>
      <c:catAx>
        <c:axId val="2014102720"/>
        <c:scaling>
          <c:orientation val="minMax"/>
        </c:scaling>
        <c:delete val="1"/>
        <c:axPos val="b"/>
        <c:numFmt formatCode="General" sourceLinked="1"/>
        <c:majorTickMark val="none"/>
        <c:minorTickMark val="none"/>
        <c:tickLblPos val="nextTo"/>
        <c:crossAx val="2014103200"/>
        <c:crosses val="autoZero"/>
        <c:auto val="1"/>
        <c:lblAlgn val="ctr"/>
        <c:lblOffset val="100"/>
        <c:noMultiLvlLbl val="0"/>
      </c:catAx>
      <c:valAx>
        <c:axId val="2014103200"/>
        <c:scaling>
          <c:orientation val="minMax"/>
        </c:scaling>
        <c:delete val="1"/>
        <c:axPos val="l"/>
        <c:numFmt formatCode="General" sourceLinked="1"/>
        <c:majorTickMark val="none"/>
        <c:minorTickMark val="none"/>
        <c:tickLblPos val="nextTo"/>
        <c:crossAx val="201410272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a:t>Contribuciones financieras</a:t>
            </a:r>
            <a:r>
              <a:rPr lang="en-GB" sz="1200" b="1" baseline="0"/>
              <a:t> firmadas</a:t>
            </a:r>
            <a:endParaRPr lang="en-GB" sz="1200" b="1"/>
          </a:p>
          <a:p>
            <a:pPr>
              <a:defRPr sz="1200" b="1"/>
            </a:pPr>
            <a:r>
              <a:rPr lang="en-GB" sz="1200" b="1"/>
              <a:t>(en</a:t>
            </a:r>
            <a:r>
              <a:rPr lang="en-GB" sz="1200" b="1" baseline="0"/>
              <a:t> millones de </a:t>
            </a:r>
            <a:r>
              <a:rPr lang="en-GB" sz="1200" b="1"/>
              <a:t>USD)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'[Report Q4 2023.xlsx]2022 vs 2023'!$K$19</c:f>
              <c:strCache>
                <c:ptCount val="1"/>
                <c:pt idx="0">
                  <c:v>2022</c:v>
                </c:pt>
              </c:strCache>
            </c:strRef>
          </c:tx>
          <c:spPr>
            <a:solidFill>
              <a:schemeClr val="accent1"/>
            </a:solidFill>
            <a:ln>
              <a:noFill/>
            </a:ln>
            <a:effectLst/>
          </c:spPr>
          <c:invertIfNegative val="0"/>
          <c:dLbls>
            <c:dLbl>
              <c:idx val="0"/>
              <c:tx>
                <c:rich>
                  <a:bodyPr/>
                  <a:lstStyle/>
                  <a:p>
                    <a:r>
                      <a:rPr lang="en-US"/>
                      <a:t>9,0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984-493A-9C78-6F21D9DC7DA3}"/>
                </c:ext>
              </c:extLst>
            </c:dLbl>
            <c:dLbl>
              <c:idx val="1"/>
              <c:layout>
                <c:manualLayout>
                  <c:x val="-5.9590838769864425E-17"/>
                  <c:y val="6.7272115708039018E-3"/>
                </c:manualLayout>
              </c:layout>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984-493A-9C78-6F21D9DC7DA3}"/>
                </c:ext>
              </c:extLst>
            </c:dLbl>
            <c:dLbl>
              <c:idx val="2"/>
              <c:tx>
                <c:rich>
                  <a:bodyPr/>
                  <a:lstStyle/>
                  <a:p>
                    <a:r>
                      <a:rPr lang="en-US"/>
                      <a:t>10,0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984-493A-9C78-6F21D9DC7DA3}"/>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 Q4 2023.xlsx]2022 vs 2023'!$J$20:$J$22</c:f>
              <c:strCache>
                <c:ptCount val="3"/>
                <c:pt idx="0">
                  <c:v>Partners</c:v>
                </c:pt>
                <c:pt idx="1">
                  <c:v>ITU </c:v>
                </c:pt>
                <c:pt idx="2">
                  <c:v>Total </c:v>
                </c:pt>
              </c:strCache>
            </c:strRef>
          </c:cat>
          <c:val>
            <c:numRef>
              <c:f>'[Report Q4 2023.xlsx]2022 vs 2023'!$K$20:$K$22</c:f>
              <c:numCache>
                <c:formatCode>_-* #,##0_-;\-* #,##0_-;_-* "-"??_-;_-@_-</c:formatCode>
                <c:ptCount val="3"/>
                <c:pt idx="0">
                  <c:v>8734847</c:v>
                </c:pt>
                <c:pt idx="1">
                  <c:v>934924</c:v>
                </c:pt>
                <c:pt idx="2">
                  <c:v>9669771</c:v>
                </c:pt>
              </c:numCache>
            </c:numRef>
          </c:val>
          <c:extLst>
            <c:ext xmlns:c16="http://schemas.microsoft.com/office/drawing/2014/chart" uri="{C3380CC4-5D6E-409C-BE32-E72D297353CC}">
              <c16:uniqueId val="{00000003-8984-493A-9C78-6F21D9DC7DA3}"/>
            </c:ext>
          </c:extLst>
        </c:ser>
        <c:ser>
          <c:idx val="1"/>
          <c:order val="1"/>
          <c:tx>
            <c:strRef>
              <c:f>'[Report Q4 2023.xlsx]2022 vs 2023'!$L$19</c:f>
              <c:strCache>
                <c:ptCount val="1"/>
                <c:pt idx="0">
                  <c:v>2023</c:v>
                </c:pt>
              </c:strCache>
            </c:strRef>
          </c:tx>
          <c:spPr>
            <a:solidFill>
              <a:schemeClr val="accent2"/>
            </a:solidFill>
            <a:ln>
              <a:noFill/>
            </a:ln>
            <a:effectLst/>
          </c:spPr>
          <c:invertIfNegative val="0"/>
          <c:dLbls>
            <c:dLbl>
              <c:idx val="0"/>
              <c:tx>
                <c:rich>
                  <a:bodyPr/>
                  <a:lstStyle/>
                  <a:p>
                    <a:r>
                      <a:rPr lang="en-US"/>
                      <a:t>22,2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984-493A-9C78-6F21D9DC7DA3}"/>
                </c:ext>
              </c:extLst>
            </c:dLbl>
            <c:dLbl>
              <c:idx val="1"/>
              <c:layout>
                <c:manualLayout>
                  <c:x val="-4.6683584347177853E-3"/>
                  <c:y val="4.2164255199684296E-3"/>
                </c:manualLayout>
              </c:layout>
              <c:tx>
                <c:rich>
                  <a:bodyPr/>
                  <a:lstStyle/>
                  <a:p>
                    <a:r>
                      <a:rPr lang="en-US"/>
                      <a:t>2,1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984-493A-9C78-6F21D9DC7DA3}"/>
                </c:ext>
              </c:extLst>
            </c:dLbl>
            <c:dLbl>
              <c:idx val="2"/>
              <c:tx>
                <c:rich>
                  <a:bodyPr/>
                  <a:lstStyle/>
                  <a:p>
                    <a:r>
                      <a:rPr lang="en-US"/>
                      <a:t>24,3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984-493A-9C78-6F21D9DC7DA3}"/>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 Q4 2023.xlsx]2022 vs 2023'!$J$20:$J$22</c:f>
              <c:strCache>
                <c:ptCount val="3"/>
                <c:pt idx="0">
                  <c:v>Partners</c:v>
                </c:pt>
                <c:pt idx="1">
                  <c:v>ITU </c:v>
                </c:pt>
                <c:pt idx="2">
                  <c:v>Total </c:v>
                </c:pt>
              </c:strCache>
            </c:strRef>
          </c:cat>
          <c:val>
            <c:numRef>
              <c:f>'[Report Q4 2023.xlsx]2022 vs 2023'!$L$20:$L$22</c:f>
              <c:numCache>
                <c:formatCode>_-* #,##0_-;\-* #,##0_-;_-* "-"??_-;_-@_-</c:formatCode>
                <c:ptCount val="3"/>
                <c:pt idx="0">
                  <c:v>21026231</c:v>
                </c:pt>
                <c:pt idx="1">
                  <c:v>2116843</c:v>
                </c:pt>
                <c:pt idx="2">
                  <c:v>23143074</c:v>
                </c:pt>
              </c:numCache>
            </c:numRef>
          </c:val>
          <c:extLst>
            <c:ext xmlns:c16="http://schemas.microsoft.com/office/drawing/2014/chart" uri="{C3380CC4-5D6E-409C-BE32-E72D297353CC}">
              <c16:uniqueId val="{00000007-8984-493A-9C78-6F21D9DC7DA3}"/>
            </c:ext>
          </c:extLst>
        </c:ser>
        <c:dLbls>
          <c:dLblPos val="outEnd"/>
          <c:showLegendKey val="0"/>
          <c:showVal val="1"/>
          <c:showCatName val="0"/>
          <c:showSerName val="0"/>
          <c:showPercent val="0"/>
          <c:showBubbleSize val="0"/>
        </c:dLbls>
        <c:gapWidth val="219"/>
        <c:overlap val="-27"/>
        <c:axId val="722256"/>
        <c:axId val="722736"/>
      </c:barChart>
      <c:catAx>
        <c:axId val="722256"/>
        <c:scaling>
          <c:orientation val="minMax"/>
        </c:scaling>
        <c:delete val="1"/>
        <c:axPos val="b"/>
        <c:numFmt formatCode="General" sourceLinked="1"/>
        <c:majorTickMark val="out"/>
        <c:minorTickMark val="none"/>
        <c:tickLblPos val="nextTo"/>
        <c:crossAx val="722736"/>
        <c:crosses val="autoZero"/>
        <c:auto val="1"/>
        <c:lblAlgn val="ctr"/>
        <c:lblOffset val="100"/>
        <c:noMultiLvlLbl val="0"/>
      </c:catAx>
      <c:valAx>
        <c:axId val="722736"/>
        <c:scaling>
          <c:orientation val="minMax"/>
        </c:scaling>
        <c:delete val="1"/>
        <c:axPos val="l"/>
        <c:numFmt formatCode="_-* #,##0_-;\-* #,##0_-;_-* &quot;-&quot;??_-;_-@_-" sourceLinked="1"/>
        <c:majorTickMark val="out"/>
        <c:minorTickMark val="none"/>
        <c:tickLblPos val="nextTo"/>
        <c:crossAx val="722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a:t>Número de acuerdos y contribuciones</a:t>
            </a:r>
            <a:r>
              <a:rPr lang="en-GB" sz="1200" b="1" baseline="0"/>
              <a:t> financieras firmados</a:t>
            </a:r>
            <a:endParaRPr lang="en-GB"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'Number%financial'!$C$3</c:f>
              <c:strCache>
                <c:ptCount val="1"/>
                <c:pt idx="0">
                  <c:v>ITU contribution</c:v>
                </c:pt>
              </c:strCache>
            </c:strRef>
          </c:tx>
          <c:spPr>
            <a:solidFill>
              <a:schemeClr val="accent2"/>
            </a:solidFill>
            <a:ln>
              <a:noFill/>
            </a:ln>
            <a:effectLst/>
          </c:spPr>
          <c:invertIfNegative val="0"/>
          <c:cat>
            <c:numRef>
              <c:f>'Number%financial'!$A$4:$A$8</c:f>
              <c:numCache>
                <c:formatCode>General</c:formatCode>
                <c:ptCount val="5"/>
                <c:pt idx="0">
                  <c:v>2019</c:v>
                </c:pt>
                <c:pt idx="1">
                  <c:v>2020</c:v>
                </c:pt>
                <c:pt idx="2">
                  <c:v>2021</c:v>
                </c:pt>
                <c:pt idx="3">
                  <c:v>2022</c:v>
                </c:pt>
                <c:pt idx="4">
                  <c:v>2023</c:v>
                </c:pt>
              </c:numCache>
            </c:numRef>
          </c:cat>
          <c:val>
            <c:numRef>
              <c:f>'Number%financial'!$C$4:$C$8</c:f>
              <c:numCache>
                <c:formatCode>General</c:formatCode>
                <c:ptCount val="5"/>
                <c:pt idx="0">
                  <c:v>0.6</c:v>
                </c:pt>
                <c:pt idx="1">
                  <c:v>3.1</c:v>
                </c:pt>
                <c:pt idx="2">
                  <c:v>3.9</c:v>
                </c:pt>
                <c:pt idx="3">
                  <c:v>1</c:v>
                </c:pt>
                <c:pt idx="4">
                  <c:v>2.1</c:v>
                </c:pt>
              </c:numCache>
            </c:numRef>
          </c:val>
          <c:extLst>
            <c:ext xmlns:c16="http://schemas.microsoft.com/office/drawing/2014/chart" uri="{C3380CC4-5D6E-409C-BE32-E72D297353CC}">
              <c16:uniqueId val="{00000000-1965-45E3-859E-FCFC44A238CB}"/>
            </c:ext>
          </c:extLst>
        </c:ser>
        <c:ser>
          <c:idx val="2"/>
          <c:order val="2"/>
          <c:tx>
            <c:strRef>
              <c:f>'Number%financial'!$D$3</c:f>
              <c:strCache>
                <c:ptCount val="1"/>
                <c:pt idx="0">
                  <c:v>Partners' contribution</c:v>
                </c:pt>
              </c:strCache>
            </c:strRef>
          </c:tx>
          <c:spPr>
            <a:solidFill>
              <a:schemeClr val="accent3"/>
            </a:solidFill>
            <a:ln>
              <a:noFill/>
            </a:ln>
            <a:effectLst/>
          </c:spPr>
          <c:invertIfNegative val="0"/>
          <c:cat>
            <c:numRef>
              <c:f>'Number%financial'!$A$4:$A$8</c:f>
              <c:numCache>
                <c:formatCode>General</c:formatCode>
                <c:ptCount val="5"/>
                <c:pt idx="0">
                  <c:v>2019</c:v>
                </c:pt>
                <c:pt idx="1">
                  <c:v>2020</c:v>
                </c:pt>
                <c:pt idx="2">
                  <c:v>2021</c:v>
                </c:pt>
                <c:pt idx="3">
                  <c:v>2022</c:v>
                </c:pt>
                <c:pt idx="4">
                  <c:v>2023</c:v>
                </c:pt>
              </c:numCache>
            </c:numRef>
          </c:cat>
          <c:val>
            <c:numRef>
              <c:f>'Number%financial'!$D$4:$D$8</c:f>
              <c:numCache>
                <c:formatCode>General</c:formatCode>
                <c:ptCount val="5"/>
                <c:pt idx="0">
                  <c:v>14.6</c:v>
                </c:pt>
                <c:pt idx="1">
                  <c:v>12.4</c:v>
                </c:pt>
                <c:pt idx="2">
                  <c:v>15.6</c:v>
                </c:pt>
                <c:pt idx="3">
                  <c:v>9</c:v>
                </c:pt>
                <c:pt idx="4">
                  <c:v>22.1</c:v>
                </c:pt>
              </c:numCache>
            </c:numRef>
          </c:val>
          <c:extLst>
            <c:ext xmlns:c16="http://schemas.microsoft.com/office/drawing/2014/chart" uri="{C3380CC4-5D6E-409C-BE32-E72D297353CC}">
              <c16:uniqueId val="{00000001-1965-45E3-859E-FCFC44A238CB}"/>
            </c:ext>
          </c:extLst>
        </c:ser>
        <c:dLbls>
          <c:showLegendKey val="0"/>
          <c:showVal val="0"/>
          <c:showCatName val="0"/>
          <c:showSerName val="0"/>
          <c:showPercent val="0"/>
          <c:showBubbleSize val="0"/>
        </c:dLbls>
        <c:gapWidth val="219"/>
        <c:axId val="1480735183"/>
        <c:axId val="830292767"/>
      </c:barChart>
      <c:lineChart>
        <c:grouping val="standard"/>
        <c:varyColors val="0"/>
        <c:ser>
          <c:idx val="0"/>
          <c:order val="0"/>
          <c:tx>
            <c:strRef>
              <c:f>'Number%financial'!$B$3</c:f>
              <c:strCache>
                <c:ptCount val="1"/>
                <c:pt idx="0">
                  <c:v>Number Agreements</c:v>
                </c:pt>
              </c:strCache>
            </c:strRef>
          </c:tx>
          <c:spPr>
            <a:ln w="28575" cap="rnd">
              <a:solidFill>
                <a:schemeClr val="accent1"/>
              </a:solidFill>
              <a:round/>
            </a:ln>
            <a:effectLst/>
          </c:spPr>
          <c:marker>
            <c:symbol val="none"/>
          </c:marker>
          <c:cat>
            <c:numRef>
              <c:f>'Number%financial'!$A$4:$A$8</c:f>
              <c:numCache>
                <c:formatCode>General</c:formatCode>
                <c:ptCount val="5"/>
                <c:pt idx="0">
                  <c:v>2019</c:v>
                </c:pt>
                <c:pt idx="1">
                  <c:v>2020</c:v>
                </c:pt>
                <c:pt idx="2">
                  <c:v>2021</c:v>
                </c:pt>
                <c:pt idx="3">
                  <c:v>2022</c:v>
                </c:pt>
                <c:pt idx="4">
                  <c:v>2023</c:v>
                </c:pt>
              </c:numCache>
            </c:numRef>
          </c:cat>
          <c:val>
            <c:numRef>
              <c:f>'Number%financial'!$B$4:$B$8</c:f>
              <c:numCache>
                <c:formatCode>General</c:formatCode>
                <c:ptCount val="5"/>
                <c:pt idx="0">
                  <c:v>30</c:v>
                </c:pt>
                <c:pt idx="1">
                  <c:v>42</c:v>
                </c:pt>
                <c:pt idx="2">
                  <c:v>72</c:v>
                </c:pt>
                <c:pt idx="3" formatCode="0">
                  <c:v>75</c:v>
                </c:pt>
                <c:pt idx="4" formatCode="0">
                  <c:v>88</c:v>
                </c:pt>
              </c:numCache>
            </c:numRef>
          </c:val>
          <c:smooth val="0"/>
          <c:extLst>
            <c:ext xmlns:c16="http://schemas.microsoft.com/office/drawing/2014/chart" uri="{C3380CC4-5D6E-409C-BE32-E72D297353CC}">
              <c16:uniqueId val="{00000002-1965-45E3-859E-FCFC44A238CB}"/>
            </c:ext>
          </c:extLst>
        </c:ser>
        <c:dLbls>
          <c:showLegendKey val="0"/>
          <c:showVal val="0"/>
          <c:showCatName val="0"/>
          <c:showSerName val="0"/>
          <c:showPercent val="0"/>
          <c:showBubbleSize val="0"/>
        </c:dLbls>
        <c:marker val="1"/>
        <c:smooth val="0"/>
        <c:axId val="1494516799"/>
        <c:axId val="1347221759"/>
      </c:lineChart>
      <c:catAx>
        <c:axId val="1480735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292767"/>
        <c:crosses val="autoZero"/>
        <c:auto val="1"/>
        <c:lblAlgn val="ctr"/>
        <c:lblOffset val="100"/>
        <c:noMultiLvlLbl val="0"/>
      </c:catAx>
      <c:valAx>
        <c:axId val="8302927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Monto</a:t>
                </a:r>
                <a:r>
                  <a:rPr lang="en-GB" baseline="0"/>
                  <a:t> en millones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0735183"/>
        <c:crosses val="autoZero"/>
        <c:crossBetween val="between"/>
      </c:valAx>
      <c:valAx>
        <c:axId val="1347221759"/>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Número</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4516799"/>
        <c:crosses val="max"/>
        <c:crossBetween val="between"/>
      </c:valAx>
      <c:catAx>
        <c:axId val="1494516799"/>
        <c:scaling>
          <c:orientation val="minMax"/>
        </c:scaling>
        <c:delete val="1"/>
        <c:axPos val="b"/>
        <c:numFmt formatCode="General" sourceLinked="1"/>
        <c:majorTickMark val="out"/>
        <c:minorTickMark val="none"/>
        <c:tickLblPos val="nextTo"/>
        <c:crossAx val="134722175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drawings/drawing1.xml><?xml version="1.0" encoding="utf-8"?>
<c:userShapes xmlns:c="http://schemas.openxmlformats.org/drawingml/2006/chart">
  <cdr:relSizeAnchor xmlns:cdr="http://schemas.openxmlformats.org/drawingml/2006/chartDrawing">
    <cdr:from>
      <cdr:x>0.70669</cdr:x>
      <cdr:y>0.33646</cdr:y>
    </cdr:from>
    <cdr:to>
      <cdr:x>1</cdr:x>
      <cdr:y>0.65776</cdr:y>
    </cdr:to>
    <cdr:sp macro="" textlink="">
      <cdr:nvSpPr>
        <cdr:cNvPr id="6" name="Text Box 1"/>
        <cdr:cNvSpPr txBox="1"/>
      </cdr:nvSpPr>
      <cdr:spPr>
        <a:xfrm xmlns:a="http://schemas.openxmlformats.org/drawingml/2006/main">
          <a:off x="4325509" y="882595"/>
          <a:ext cx="1795255" cy="842837"/>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3600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hangingPunct="0">
            <a:spcBef>
              <a:spcPts val="400"/>
            </a:spcBef>
            <a:spcAft>
              <a:spcPts val="600"/>
            </a:spcAft>
            <a:tabLst>
              <a:tab pos="504190" algn="l"/>
              <a:tab pos="756285" algn="l"/>
              <a:tab pos="1008380" algn="l"/>
              <a:tab pos="1260475" algn="l"/>
            </a:tabLst>
          </a:pPr>
          <a:r>
            <a:rPr lang="fr-FR" sz="800" b="1">
              <a:effectLst/>
              <a:latin typeface="Calibri" panose="020F0502020204030204" pitchFamily="34" charset="0"/>
              <a:ea typeface="Times New Roman" panose="02020603050405020304" pitchFamily="18" charset="0"/>
              <a:cs typeface="Times New Roman" panose="02020603050405020304" pitchFamily="18" charset="0"/>
            </a:rPr>
            <a:t>Instituciones</a:t>
          </a:r>
          <a:r>
            <a:rPr lang="fr-FR" sz="800" b="1" baseline="0">
              <a:effectLst/>
              <a:latin typeface="Calibri" panose="020F0502020204030204" pitchFamily="34" charset="0"/>
              <a:ea typeface="Times New Roman" panose="02020603050405020304" pitchFamily="18" charset="0"/>
              <a:cs typeface="Times New Roman" panose="02020603050405020304" pitchFamily="18" charset="0"/>
            </a:rPr>
            <a:t> financieras</a:t>
          </a:r>
          <a:endParaRPr lang="en-GB" sz="800">
            <a:effectLst/>
            <a:latin typeface="Calibri" panose="020F0502020204030204" pitchFamily="34" charset="0"/>
            <a:ea typeface="Times New Roman" panose="02020603050405020304" pitchFamily="18" charset="0"/>
            <a:cs typeface="Times New Roman" panose="02020603050405020304" pitchFamily="18" charset="0"/>
          </a:endParaRPr>
        </a:p>
        <a:p xmlns:a="http://schemas.openxmlformats.org/drawingml/2006/main">
          <a:pPr hangingPunct="0">
            <a:spcBef>
              <a:spcPts val="0"/>
            </a:spcBef>
            <a:spcAft>
              <a:spcPts val="0"/>
            </a:spcAft>
            <a:tabLst>
              <a:tab pos="504190" algn="l"/>
              <a:tab pos="756285" algn="l"/>
              <a:tab pos="1008380" algn="l"/>
              <a:tab pos="1260475" algn="l"/>
            </a:tabLst>
          </a:pPr>
          <a:r>
            <a:rPr lang="fr-FR" sz="800" b="1">
              <a:effectLst/>
              <a:latin typeface="Calibri" panose="020F0502020204030204" pitchFamily="34" charset="0"/>
              <a:ea typeface="Times New Roman" panose="02020603050405020304" pitchFamily="18" charset="0"/>
              <a:cs typeface="Times New Roman" panose="02020603050405020304" pitchFamily="18" charset="0"/>
            </a:rPr>
            <a:t>Entidades</a:t>
          </a:r>
          <a:r>
            <a:rPr lang="fr-FR" sz="800" b="1" baseline="0">
              <a:effectLst/>
              <a:latin typeface="Calibri" panose="020F0502020204030204" pitchFamily="34" charset="0"/>
              <a:ea typeface="Times New Roman" panose="02020603050405020304" pitchFamily="18" charset="0"/>
              <a:cs typeface="Times New Roman" panose="02020603050405020304" pitchFamily="18" charset="0"/>
            </a:rPr>
            <a:t> gubernamentales</a:t>
          </a:r>
        </a:p>
        <a:p xmlns:a="http://schemas.openxmlformats.org/drawingml/2006/main">
          <a:pPr hangingPunct="0">
            <a:spcBef>
              <a:spcPts val="300"/>
            </a:spcBef>
            <a:spcAft>
              <a:spcPts val="100"/>
            </a:spcAft>
            <a:tabLst>
              <a:tab pos="504190" algn="l"/>
              <a:tab pos="756285" algn="l"/>
              <a:tab pos="1008380" algn="l"/>
              <a:tab pos="1260475" algn="l"/>
            </a:tabLst>
          </a:pPr>
          <a:r>
            <a:rPr lang="fr-FR" sz="800" b="1">
              <a:effectLst/>
              <a:latin typeface="Calibri" panose="020F0502020204030204" pitchFamily="34" charset="0"/>
              <a:ea typeface="Times New Roman" panose="02020603050405020304" pitchFamily="18" charset="0"/>
              <a:cs typeface="Times New Roman" panose="02020603050405020304" pitchFamily="18" charset="0"/>
            </a:rPr>
            <a:t>Sector</a:t>
          </a:r>
          <a:r>
            <a:rPr lang="fr-FR" sz="800" b="1" baseline="0">
              <a:effectLst/>
              <a:latin typeface="Calibri" panose="020F0502020204030204" pitchFamily="34" charset="0"/>
              <a:ea typeface="Times New Roman" panose="02020603050405020304" pitchFamily="18" charset="0"/>
              <a:cs typeface="Times New Roman" panose="02020603050405020304" pitchFamily="18" charset="0"/>
            </a:rPr>
            <a:t> privado (incl. fundaciones)</a:t>
          </a:r>
          <a:endParaRPr lang="en-GB" sz="800">
            <a:effectLst/>
            <a:latin typeface="Calibri" panose="020F0502020204030204" pitchFamily="34" charset="0"/>
            <a:ea typeface="Times New Roman" panose="02020603050405020304" pitchFamily="18" charset="0"/>
            <a:cs typeface="Times New Roman" panose="02020603050405020304" pitchFamily="18" charset="0"/>
          </a:endParaRPr>
        </a:p>
        <a:p xmlns:a="http://schemas.openxmlformats.org/drawingml/2006/main">
          <a:pPr hangingPunct="0">
            <a:spcBef>
              <a:spcPts val="300"/>
            </a:spcBef>
            <a:spcAft>
              <a:spcPts val="200"/>
            </a:spcAft>
            <a:tabLst>
              <a:tab pos="504190" algn="l"/>
              <a:tab pos="756285" algn="l"/>
              <a:tab pos="1008380" algn="l"/>
              <a:tab pos="1260475" algn="l"/>
            </a:tabLst>
          </a:pPr>
          <a:r>
            <a:rPr lang="fr-FR" sz="800" b="1">
              <a:effectLst/>
              <a:latin typeface="Calibri" panose="020F0502020204030204" pitchFamily="34" charset="0"/>
              <a:ea typeface="Times New Roman" panose="02020603050405020304" pitchFamily="18" charset="0"/>
              <a:cs typeface="Times New Roman" panose="02020603050405020304" pitchFamily="18" charset="0"/>
            </a:rPr>
            <a:t>Organismos</a:t>
          </a:r>
          <a:r>
            <a:rPr lang="fr-FR" sz="800" b="1" baseline="0">
              <a:effectLst/>
              <a:latin typeface="Calibri" panose="020F0502020204030204" pitchFamily="34" charset="0"/>
              <a:ea typeface="Times New Roman" panose="02020603050405020304" pitchFamily="18" charset="0"/>
              <a:cs typeface="Times New Roman" panose="02020603050405020304" pitchFamily="18" charset="0"/>
            </a:rPr>
            <a:t> de las Naciones Unida</a:t>
          </a:r>
          <a:r>
            <a:rPr lang="fr-FR" sz="800" b="1">
              <a:effectLst/>
              <a:latin typeface="Calibri" panose="020F0502020204030204" pitchFamily="34" charset="0"/>
              <a:ea typeface="Times New Roman" panose="02020603050405020304" pitchFamily="18" charset="0"/>
              <a:cs typeface="Times New Roman" panose="02020603050405020304" pitchFamily="18" charset="0"/>
            </a:rPr>
            <a:t>s</a:t>
          </a:r>
          <a:endParaRPr lang="en-GB" sz="800">
            <a:effectLst/>
            <a:latin typeface="Calibri" panose="020F0502020204030204" pitchFamily="34" charset="0"/>
            <a:ea typeface="Times New Roman" panose="02020603050405020304" pitchFamily="18" charset="0"/>
            <a:cs typeface="Times New Roman" panose="02020603050405020304" pitchFamily="18" charset="0"/>
          </a:endParaRPr>
        </a:p>
        <a:p xmlns:a="http://schemas.openxmlformats.org/drawingml/2006/main">
          <a:pPr hangingPunct="0">
            <a:spcBef>
              <a:spcPts val="200"/>
            </a:spcBef>
            <a:tabLst>
              <a:tab pos="504190" algn="l"/>
              <a:tab pos="756285" algn="l"/>
              <a:tab pos="1008380" algn="l"/>
              <a:tab pos="1260475" algn="l"/>
            </a:tabLst>
          </a:pPr>
          <a:r>
            <a:rPr lang="fr-FR" sz="800" b="1">
              <a:effectLst/>
              <a:latin typeface="Calibri" panose="020F0502020204030204" pitchFamily="34" charset="0"/>
              <a:ea typeface="Times New Roman" panose="02020603050405020304" pitchFamily="18" charset="0"/>
              <a:cs typeface="Times New Roman" panose="02020603050405020304" pitchFamily="18" charset="0"/>
            </a:rPr>
            <a:t>Instituciones</a:t>
          </a:r>
          <a:r>
            <a:rPr lang="fr-FR" sz="800" b="1" baseline="0">
              <a:effectLst/>
              <a:latin typeface="Calibri" panose="020F0502020204030204" pitchFamily="34" charset="0"/>
              <a:ea typeface="Times New Roman" panose="02020603050405020304" pitchFamily="18" charset="0"/>
              <a:cs typeface="Times New Roman" panose="02020603050405020304" pitchFamily="18" charset="0"/>
            </a:rPr>
            <a:t> académicas</a:t>
          </a:r>
          <a:endParaRPr lang="en-GB" sz="8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0.31122</cdr:x>
      <cdr:y>0.78218</cdr:y>
    </cdr:from>
    <cdr:to>
      <cdr:x>0.44038</cdr:x>
      <cdr:y>0.84076</cdr:y>
    </cdr:to>
    <cdr:sp macro="" textlink="">
      <cdr:nvSpPr>
        <cdr:cNvPr id="2" name="Text Box 2"/>
        <cdr:cNvSpPr txBox="1"/>
      </cdr:nvSpPr>
      <cdr:spPr>
        <a:xfrm xmlns:a="http://schemas.openxmlformats.org/drawingml/2006/main">
          <a:off x="1904920" y="1804947"/>
          <a:ext cx="790572" cy="13517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hangingPunct="0">
            <a:spcBef>
              <a:spcPts val="600"/>
            </a:spcBef>
            <a:tabLst>
              <a:tab pos="504190" algn="l"/>
              <a:tab pos="756285" algn="l"/>
              <a:tab pos="1008380" algn="l"/>
              <a:tab pos="1260475" algn="l"/>
            </a:tabLst>
          </a:pPr>
          <a:r>
            <a:rPr lang="fr-FR" sz="900" b="1">
              <a:effectLst/>
              <a:latin typeface="Calibri" panose="020F0502020204030204" pitchFamily="34" charset="0"/>
              <a:ea typeface="Times New Roman" panose="02020603050405020304" pitchFamily="18" charset="0"/>
              <a:cs typeface="Times New Roman" panose="02020603050405020304" pitchFamily="18" charset="0"/>
            </a:rPr>
            <a:t>Estados</a:t>
          </a:r>
          <a:r>
            <a:rPr lang="fr-FR" sz="900" b="1" baseline="0">
              <a:effectLst/>
              <a:latin typeface="Calibri" panose="020F0502020204030204" pitchFamily="34" charset="0"/>
              <a:ea typeface="Times New Roman" panose="02020603050405020304" pitchFamily="18" charset="0"/>
              <a:cs typeface="Times New Roman" panose="02020603050405020304" pitchFamily="18" charset="0"/>
            </a:rPr>
            <a:t> Árabes</a:t>
          </a:r>
          <a:endParaRPr lang="en-GB" sz="1200">
            <a:effectLst/>
            <a:latin typeface="Calibri" panose="020F0502020204030204" pitchFamily="34" charset="0"/>
            <a:ea typeface="Times New Roman" panose="02020603050405020304" pitchFamily="18" charset="0"/>
            <a:cs typeface="Times New Roman" panose="02020603050405020304" pitchFamily="18" charset="0"/>
          </a:endParaRPr>
        </a:p>
        <a:p xmlns:a="http://schemas.openxmlformats.org/drawingml/2006/main">
          <a:pPr hangingPunct="0">
            <a:spcBef>
              <a:spcPts val="600"/>
            </a:spcBef>
            <a:tabLst>
              <a:tab pos="504190" algn="l"/>
              <a:tab pos="756285" algn="l"/>
              <a:tab pos="1008380" algn="l"/>
              <a:tab pos="1260475" algn="l"/>
            </a:tabLst>
          </a:pPr>
          <a:r>
            <a:rPr lang="fr-FR" sz="1000">
              <a:ln>
                <a:noFill/>
              </a:ln>
              <a:effectLst/>
              <a:latin typeface="Calibri" panose="020F0502020204030204" pitchFamily="34" charset="0"/>
              <a:ea typeface="Times New Roman" panose="02020603050405020304" pitchFamily="18" charset="0"/>
              <a:cs typeface="Times New Roman" panose="02020603050405020304" pitchFamily="18" charset="0"/>
            </a:rPr>
            <a:t> </a:t>
          </a:r>
          <a:endParaRPr lang="en-GB" sz="12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cdr:y>
    </cdr:from>
    <cdr:to>
      <cdr:x>1</cdr:x>
      <cdr:y>0.38387</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8271450" cy="885825"/>
        </a:xfrm>
        <a:prstGeom xmlns:a="http://schemas.openxmlformats.org/drawingml/2006/main" prst="rect">
          <a:avLst/>
        </a:prstGeom>
      </cdr:spPr>
    </cdr:pic>
  </cdr:relSizeAnchor>
  <cdr:relSizeAnchor xmlns:cdr="http://schemas.openxmlformats.org/drawingml/2006/chartDrawing">
    <cdr:from>
      <cdr:x>0</cdr:x>
      <cdr:y>0</cdr:y>
    </cdr:from>
    <cdr:to>
      <cdr:x>1</cdr:x>
      <cdr:y>0.38387</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0" y="0"/>
          <a:ext cx="38271450" cy="885825"/>
        </a:xfrm>
        <a:prstGeom xmlns:a="http://schemas.openxmlformats.org/drawingml/2006/main" prst="rect">
          <a:avLst/>
        </a:prstGeom>
      </cdr:spPr>
    </cdr:pic>
  </cdr:relSizeAnchor>
  <cdr:relSizeAnchor xmlns:cdr="http://schemas.openxmlformats.org/drawingml/2006/chartDrawing">
    <cdr:from>
      <cdr:x>0.44812</cdr:x>
      <cdr:y>0.78218</cdr:y>
    </cdr:from>
    <cdr:to>
      <cdr:x>0.56732</cdr:x>
      <cdr:y>0.86488</cdr:y>
    </cdr:to>
    <cdr:sp macro="" textlink="">
      <cdr:nvSpPr>
        <cdr:cNvPr id="7" name="Text Box 2"/>
        <cdr:cNvSpPr txBox="1"/>
      </cdr:nvSpPr>
      <cdr:spPr>
        <a:xfrm xmlns:a="http://schemas.openxmlformats.org/drawingml/2006/main">
          <a:off x="2742841" y="1804946"/>
          <a:ext cx="729615" cy="190831"/>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hangingPunct="0">
            <a:spcBef>
              <a:spcPts val="600"/>
            </a:spcBef>
            <a:tabLst>
              <a:tab pos="504190" algn="l"/>
              <a:tab pos="756285" algn="l"/>
              <a:tab pos="1008380" algn="l"/>
              <a:tab pos="1260475" algn="l"/>
            </a:tabLst>
          </a:pPr>
          <a:r>
            <a:rPr lang="fr-FR" sz="900" b="1">
              <a:effectLst/>
              <a:latin typeface="Calibri" panose="020F0502020204030204" pitchFamily="34" charset="0"/>
              <a:ea typeface="Times New Roman" panose="02020603050405020304" pitchFamily="18" charset="0"/>
              <a:cs typeface="Times New Roman" panose="02020603050405020304" pitchFamily="18" charset="0"/>
            </a:rPr>
            <a:t>Asia-Pacífico</a:t>
          </a:r>
          <a:endParaRPr lang="en-GB" sz="1200">
            <a:effectLst/>
            <a:latin typeface="Calibri" panose="020F0502020204030204" pitchFamily="34" charset="0"/>
            <a:ea typeface="Times New Roman" panose="02020603050405020304" pitchFamily="18" charset="0"/>
            <a:cs typeface="Times New Roman" panose="02020603050405020304" pitchFamily="18" charset="0"/>
          </a:endParaRPr>
        </a:p>
        <a:p xmlns:a="http://schemas.openxmlformats.org/drawingml/2006/main">
          <a:pPr hangingPunct="0">
            <a:spcBef>
              <a:spcPts val="600"/>
            </a:spcBef>
            <a:tabLst>
              <a:tab pos="504190" algn="l"/>
              <a:tab pos="756285" algn="l"/>
              <a:tab pos="1008380" algn="l"/>
              <a:tab pos="1260475" algn="l"/>
            </a:tabLst>
          </a:pPr>
          <a:r>
            <a:rPr lang="fr-FR" sz="1000">
              <a:ln>
                <a:noFill/>
              </a:ln>
              <a:effectLst/>
              <a:latin typeface="Calibri" panose="020F0502020204030204" pitchFamily="34" charset="0"/>
              <a:ea typeface="Times New Roman" panose="02020603050405020304" pitchFamily="18" charset="0"/>
              <a:cs typeface="Times New Roman" panose="02020603050405020304" pitchFamily="18" charset="0"/>
            </a:rPr>
            <a:t> </a:t>
          </a:r>
          <a:endParaRPr lang="en-GB" sz="12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0.56694</cdr:x>
      <cdr:y>0.77873</cdr:y>
    </cdr:from>
    <cdr:to>
      <cdr:x>0.68614</cdr:x>
      <cdr:y>0.86143</cdr:y>
    </cdr:to>
    <cdr:sp macro="" textlink="">
      <cdr:nvSpPr>
        <cdr:cNvPr id="10" name="Text Box 2"/>
        <cdr:cNvSpPr txBox="1"/>
      </cdr:nvSpPr>
      <cdr:spPr>
        <a:xfrm xmlns:a="http://schemas.openxmlformats.org/drawingml/2006/main">
          <a:off x="3470082" y="1796995"/>
          <a:ext cx="729615" cy="190831"/>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algn="ctr" hangingPunct="0">
            <a:spcBef>
              <a:spcPts val="600"/>
            </a:spcBef>
            <a:tabLst>
              <a:tab pos="504190" algn="l"/>
              <a:tab pos="756285" algn="l"/>
              <a:tab pos="1008380" algn="l"/>
              <a:tab pos="1260475" algn="l"/>
            </a:tabLst>
          </a:pPr>
          <a:r>
            <a:rPr lang="fr-FR" sz="900" b="1">
              <a:effectLst/>
              <a:latin typeface="Calibri" panose="020F0502020204030204" pitchFamily="34" charset="0"/>
              <a:ea typeface="Times New Roman" panose="02020603050405020304" pitchFamily="18" charset="0"/>
              <a:cs typeface="Times New Roman" panose="02020603050405020304" pitchFamily="18" charset="0"/>
            </a:rPr>
            <a:t>CEI</a:t>
          </a:r>
          <a:endParaRPr lang="en-GB" sz="12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0.70334</cdr:x>
      <cdr:y>0.78218</cdr:y>
    </cdr:from>
    <cdr:to>
      <cdr:x>0.82254</cdr:x>
      <cdr:y>0.8442</cdr:y>
    </cdr:to>
    <cdr:sp macro="" textlink="">
      <cdr:nvSpPr>
        <cdr:cNvPr id="11" name="Text Box 2"/>
        <cdr:cNvSpPr txBox="1"/>
      </cdr:nvSpPr>
      <cdr:spPr>
        <a:xfrm xmlns:a="http://schemas.openxmlformats.org/drawingml/2006/main">
          <a:off x="4304969" y="1804946"/>
          <a:ext cx="729615" cy="143124"/>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algn="ctr" hangingPunct="0">
            <a:spcBef>
              <a:spcPts val="600"/>
            </a:spcBef>
            <a:tabLst>
              <a:tab pos="504190" algn="l"/>
              <a:tab pos="756285" algn="l"/>
              <a:tab pos="1008380" algn="l"/>
              <a:tab pos="1260475" algn="l"/>
            </a:tabLst>
          </a:pPr>
          <a:r>
            <a:rPr lang="fr-FR" sz="900" b="1">
              <a:effectLst/>
              <a:latin typeface="Calibri" panose="020F0502020204030204" pitchFamily="34" charset="0"/>
              <a:ea typeface="Times New Roman" panose="02020603050405020304" pitchFamily="18" charset="0"/>
              <a:cs typeface="Times New Roman" panose="02020603050405020304" pitchFamily="18" charset="0"/>
            </a:rPr>
            <a:t>Europa</a:t>
          </a:r>
          <a:endParaRPr lang="en-GB" sz="12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0.81971</cdr:x>
      <cdr:y>0.78218</cdr:y>
    </cdr:from>
    <cdr:to>
      <cdr:x>0.9847</cdr:x>
      <cdr:y>0.85109</cdr:y>
    </cdr:to>
    <cdr:sp macro="" textlink="">
      <cdr:nvSpPr>
        <cdr:cNvPr id="12" name="Text Box 2"/>
        <cdr:cNvSpPr txBox="1"/>
      </cdr:nvSpPr>
      <cdr:spPr>
        <a:xfrm xmlns:a="http://schemas.openxmlformats.org/drawingml/2006/main">
          <a:off x="5017273" y="1804946"/>
          <a:ext cx="1009815" cy="159026"/>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algn="ctr" hangingPunct="0">
            <a:spcBef>
              <a:spcPts val="600"/>
            </a:spcBef>
            <a:tabLst>
              <a:tab pos="504190" algn="l"/>
              <a:tab pos="756285" algn="l"/>
              <a:tab pos="1008380" algn="l"/>
              <a:tab pos="1260475" algn="l"/>
            </a:tabLst>
          </a:pPr>
          <a:r>
            <a:rPr lang="fr-FR" sz="900" b="1">
              <a:effectLst/>
              <a:latin typeface="Calibri" panose="020F0502020204030204" pitchFamily="34" charset="0"/>
              <a:ea typeface="Times New Roman" panose="02020603050405020304" pitchFamily="18" charset="0"/>
              <a:cs typeface="Times New Roman" panose="02020603050405020304" pitchFamily="18" charset="0"/>
            </a:rPr>
            <a:t>Múltiples</a:t>
          </a:r>
          <a:r>
            <a:rPr lang="fr-FR" sz="900" b="1" baseline="0">
              <a:effectLst/>
              <a:latin typeface="Calibri" panose="020F0502020204030204" pitchFamily="34" charset="0"/>
              <a:ea typeface="Times New Roman" panose="02020603050405020304" pitchFamily="18" charset="0"/>
              <a:cs typeface="Times New Roman" panose="02020603050405020304" pitchFamily="18" charset="0"/>
            </a:rPr>
            <a:t> regiones</a:t>
          </a:r>
          <a:endParaRPr lang="en-GB" sz="12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0.56899</cdr:x>
      <cdr:y>0.88641</cdr:y>
    </cdr:from>
    <cdr:to>
      <cdr:x>0.74567</cdr:x>
      <cdr:y>0.99237</cdr:y>
    </cdr:to>
    <cdr:sp macro="" textlink="">
      <cdr:nvSpPr>
        <cdr:cNvPr id="13" name="Text Box 2"/>
        <cdr:cNvSpPr txBox="1"/>
      </cdr:nvSpPr>
      <cdr:spPr>
        <a:xfrm xmlns:a="http://schemas.openxmlformats.org/drawingml/2006/main">
          <a:off x="3482671" y="2045473"/>
          <a:ext cx="1081377" cy="24450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algn="ctr" hangingPunct="0">
            <a:spcBef>
              <a:spcPts val="600"/>
            </a:spcBef>
            <a:tabLst>
              <a:tab pos="504190" algn="l"/>
              <a:tab pos="756285" algn="l"/>
              <a:tab pos="1008380" algn="l"/>
              <a:tab pos="1260475" algn="l"/>
            </a:tabLst>
          </a:pPr>
          <a:r>
            <a:rPr lang="fr-FR" sz="900" b="1">
              <a:effectLst/>
              <a:latin typeface="Calibri" panose="020F0502020204030204" pitchFamily="34" charset="0"/>
              <a:ea typeface="Times New Roman" panose="02020603050405020304" pitchFamily="18" charset="0"/>
              <a:cs typeface="Times New Roman" panose="02020603050405020304" pitchFamily="18" charset="0"/>
            </a:rPr>
            <a:t>Financiación</a:t>
          </a:r>
          <a:r>
            <a:rPr lang="fr-FR" sz="900" b="1" baseline="0">
              <a:effectLst/>
              <a:latin typeface="Calibri" panose="020F0502020204030204" pitchFamily="34" charset="0"/>
              <a:ea typeface="Times New Roman" panose="02020603050405020304" pitchFamily="18" charset="0"/>
              <a:cs typeface="Times New Roman" panose="02020603050405020304" pitchFamily="18" charset="0"/>
            </a:rPr>
            <a:t> firmada</a:t>
          </a:r>
          <a:endParaRPr lang="en-GB" sz="12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0.35205</cdr:x>
      <cdr:y>0.889</cdr:y>
    </cdr:from>
    <cdr:to>
      <cdr:x>0.54561</cdr:x>
      <cdr:y>0.97514</cdr:y>
    </cdr:to>
    <cdr:sp macro="" textlink="">
      <cdr:nvSpPr>
        <cdr:cNvPr id="14" name="Text Box 2"/>
        <cdr:cNvSpPr txBox="1"/>
      </cdr:nvSpPr>
      <cdr:spPr>
        <a:xfrm xmlns:a="http://schemas.openxmlformats.org/drawingml/2006/main">
          <a:off x="2154803" y="2051437"/>
          <a:ext cx="1184745" cy="19878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algn="ctr" hangingPunct="0">
            <a:spcBef>
              <a:spcPts val="600"/>
            </a:spcBef>
            <a:tabLst>
              <a:tab pos="504190" algn="l"/>
              <a:tab pos="756285" algn="l"/>
              <a:tab pos="1008380" algn="l"/>
              <a:tab pos="1260475" algn="l"/>
            </a:tabLst>
          </a:pPr>
          <a:r>
            <a:rPr lang="fr-FR" sz="900" b="1">
              <a:effectLst/>
              <a:latin typeface="Calibri" panose="020F0502020204030204" pitchFamily="34" charset="0"/>
              <a:ea typeface="Times New Roman" panose="02020603050405020304" pitchFamily="18" charset="0"/>
              <a:cs typeface="Times New Roman" panose="02020603050405020304" pitchFamily="18" charset="0"/>
            </a:rPr>
            <a:t>Número</a:t>
          </a:r>
          <a:r>
            <a:rPr lang="fr-FR" sz="900" b="1" baseline="0">
              <a:effectLst/>
              <a:latin typeface="Calibri" panose="020F0502020204030204" pitchFamily="34" charset="0"/>
              <a:ea typeface="Times New Roman" panose="02020603050405020304" pitchFamily="18" charset="0"/>
              <a:cs typeface="Times New Roman" panose="02020603050405020304" pitchFamily="18" charset="0"/>
            </a:rPr>
            <a:t> de acuerdos</a:t>
          </a:r>
          <a:endParaRPr lang="en-GB" sz="12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0.06863</cdr:x>
      <cdr:y>0.74614</cdr:y>
    </cdr:from>
    <cdr:to>
      <cdr:x>0.28188</cdr:x>
      <cdr:y>0.85173</cdr:y>
    </cdr:to>
    <cdr:sp macro="" textlink="">
      <cdr:nvSpPr>
        <cdr:cNvPr id="4" name="Text Box 2"/>
        <cdr:cNvSpPr txBox="1"/>
      </cdr:nvSpPr>
      <cdr:spPr>
        <a:xfrm xmlns:a="http://schemas.openxmlformats.org/drawingml/2006/main">
          <a:off x="234812" y="1240404"/>
          <a:ext cx="729615" cy="175536"/>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algn="ctr" hangingPunct="0">
            <a:spcBef>
              <a:spcPts val="600"/>
            </a:spcBef>
            <a:tabLst>
              <a:tab pos="504190" algn="l"/>
              <a:tab pos="756285" algn="l"/>
              <a:tab pos="1008380" algn="l"/>
              <a:tab pos="1260475" algn="l"/>
            </a:tabLst>
          </a:pPr>
          <a:r>
            <a:rPr lang="fr-FR" sz="900" b="1">
              <a:effectLst/>
              <a:latin typeface="Calibri" panose="020F0502020204030204" pitchFamily="34" charset="0"/>
              <a:ea typeface="Times New Roman" panose="02020603050405020304" pitchFamily="18" charset="0"/>
              <a:cs typeface="Times New Roman" panose="02020603050405020304" pitchFamily="18" charset="0"/>
            </a:rPr>
            <a:t>Socios</a:t>
          </a:r>
          <a:endParaRPr lang="en-GB" sz="12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0.40794</cdr:x>
      <cdr:y>0.74667</cdr:y>
    </cdr:from>
    <cdr:to>
      <cdr:x>0.62119</cdr:x>
      <cdr:y>0.84216</cdr:y>
    </cdr:to>
    <cdr:sp macro="" textlink="">
      <cdr:nvSpPr>
        <cdr:cNvPr id="5" name="Text Box 2"/>
        <cdr:cNvSpPr txBox="1"/>
      </cdr:nvSpPr>
      <cdr:spPr>
        <a:xfrm xmlns:a="http://schemas.openxmlformats.org/drawingml/2006/main">
          <a:off x="1395703" y="1241287"/>
          <a:ext cx="729615" cy="15875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algn="ctr" hangingPunct="0">
            <a:spcBef>
              <a:spcPts val="600"/>
            </a:spcBef>
            <a:tabLst>
              <a:tab pos="504190" algn="l"/>
              <a:tab pos="756285" algn="l"/>
              <a:tab pos="1008380" algn="l"/>
              <a:tab pos="1260475" algn="l"/>
            </a:tabLst>
          </a:pPr>
          <a:r>
            <a:rPr lang="fr-FR" sz="900" b="1">
              <a:effectLst/>
              <a:latin typeface="Calibri" panose="020F0502020204030204" pitchFamily="34" charset="0"/>
              <a:ea typeface="Times New Roman" panose="02020603050405020304" pitchFamily="18" charset="0"/>
              <a:cs typeface="Times New Roman" panose="02020603050405020304" pitchFamily="18" charset="0"/>
            </a:rPr>
            <a:t>UIT</a:t>
          </a:r>
          <a:endParaRPr lang="en-GB" sz="12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0.69379</cdr:x>
      <cdr:y>0.75145</cdr:y>
    </cdr:from>
    <cdr:to>
      <cdr:x>0.90704</cdr:x>
      <cdr:y>0.84695</cdr:y>
    </cdr:to>
    <cdr:sp macro="" textlink="">
      <cdr:nvSpPr>
        <cdr:cNvPr id="6" name="Text Box 2"/>
        <cdr:cNvSpPr txBox="1"/>
      </cdr:nvSpPr>
      <cdr:spPr>
        <a:xfrm xmlns:a="http://schemas.openxmlformats.org/drawingml/2006/main">
          <a:off x="2373712" y="1249239"/>
          <a:ext cx="729615" cy="15875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algn="ctr" hangingPunct="0">
            <a:spcBef>
              <a:spcPts val="600"/>
            </a:spcBef>
            <a:tabLst>
              <a:tab pos="504190" algn="l"/>
              <a:tab pos="756285" algn="l"/>
              <a:tab pos="1008380" algn="l"/>
              <a:tab pos="1260475" algn="l"/>
            </a:tabLst>
          </a:pPr>
          <a:r>
            <a:rPr lang="fr-FR" sz="900" b="1">
              <a:effectLst/>
              <a:latin typeface="Calibri" panose="020F0502020204030204" pitchFamily="34" charset="0"/>
              <a:ea typeface="Times New Roman" panose="02020603050405020304" pitchFamily="18" charset="0"/>
              <a:cs typeface="Times New Roman" panose="02020603050405020304" pitchFamily="18" charset="0"/>
            </a:rPr>
            <a:t>Total</a:t>
          </a:r>
          <a:endParaRPr lang="en-GB" sz="12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0.21305</cdr:x>
      <cdr:y>0.90698</cdr:y>
    </cdr:from>
    <cdr:to>
      <cdr:x>0.40141</cdr:x>
      <cdr:y>0.97859</cdr:y>
    </cdr:to>
    <cdr:sp macro="" textlink="">
      <cdr:nvSpPr>
        <cdr:cNvPr id="2" name="Text Box 2"/>
        <cdr:cNvSpPr txBox="1"/>
      </cdr:nvSpPr>
      <cdr:spPr>
        <a:xfrm xmlns:a="http://schemas.openxmlformats.org/drawingml/2006/main">
          <a:off x="1304014" y="2417196"/>
          <a:ext cx="1152939" cy="19083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algn="ctr" hangingPunct="0">
            <a:spcBef>
              <a:spcPts val="600"/>
            </a:spcBef>
            <a:tabLst>
              <a:tab pos="504190" algn="l"/>
              <a:tab pos="756285" algn="l"/>
              <a:tab pos="1008380" algn="l"/>
              <a:tab pos="1260475" algn="l"/>
            </a:tabLst>
          </a:pPr>
          <a:r>
            <a:rPr lang="fr-FR" sz="900" b="1">
              <a:effectLst/>
              <a:latin typeface="Calibri" panose="020F0502020204030204" pitchFamily="34" charset="0"/>
              <a:ea typeface="Times New Roman" panose="02020603050405020304" pitchFamily="18" charset="0"/>
              <a:cs typeface="Times New Roman" panose="02020603050405020304" pitchFamily="18" charset="0"/>
            </a:rPr>
            <a:t>Contribución</a:t>
          </a:r>
          <a:r>
            <a:rPr lang="fr-FR" sz="900" b="1" baseline="0">
              <a:effectLst/>
              <a:latin typeface="Calibri" panose="020F0502020204030204" pitchFamily="34" charset="0"/>
              <a:ea typeface="Times New Roman" panose="02020603050405020304" pitchFamily="18" charset="0"/>
              <a:cs typeface="Times New Roman" panose="02020603050405020304" pitchFamily="18" charset="0"/>
            </a:rPr>
            <a:t> de la UIT</a:t>
          </a:r>
          <a:endParaRPr lang="en-GB" sz="12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0.42274</cdr:x>
      <cdr:y>0.90761</cdr:y>
    </cdr:from>
    <cdr:to>
      <cdr:x>0.61836</cdr:x>
      <cdr:y>0.98157</cdr:y>
    </cdr:to>
    <cdr:sp macro="" textlink="">
      <cdr:nvSpPr>
        <cdr:cNvPr id="3" name="Text Box 2"/>
        <cdr:cNvSpPr txBox="1"/>
      </cdr:nvSpPr>
      <cdr:spPr>
        <a:xfrm xmlns:a="http://schemas.openxmlformats.org/drawingml/2006/main">
          <a:off x="2587486" y="2418880"/>
          <a:ext cx="1197335" cy="19710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algn="ctr" hangingPunct="0">
            <a:spcBef>
              <a:spcPts val="600"/>
            </a:spcBef>
            <a:tabLst>
              <a:tab pos="504190" algn="l"/>
              <a:tab pos="756285" algn="l"/>
              <a:tab pos="1008380" algn="l"/>
              <a:tab pos="1260475" algn="l"/>
            </a:tabLst>
          </a:pPr>
          <a:r>
            <a:rPr lang="fr-FR" sz="900" b="1">
              <a:effectLst/>
              <a:latin typeface="Calibri" panose="020F0502020204030204" pitchFamily="34" charset="0"/>
              <a:ea typeface="Times New Roman" panose="02020603050405020304" pitchFamily="18" charset="0"/>
              <a:cs typeface="Times New Roman" panose="02020603050405020304" pitchFamily="18" charset="0"/>
            </a:rPr>
            <a:t>Contribución</a:t>
          </a:r>
          <a:r>
            <a:rPr lang="fr-FR" sz="900" b="1" baseline="0">
              <a:effectLst/>
              <a:latin typeface="Calibri" panose="020F0502020204030204" pitchFamily="34" charset="0"/>
              <a:ea typeface="Times New Roman" panose="02020603050405020304" pitchFamily="18" charset="0"/>
              <a:cs typeface="Times New Roman" panose="02020603050405020304" pitchFamily="18" charset="0"/>
            </a:rPr>
            <a:t> de socios</a:t>
          </a:r>
          <a:endParaRPr lang="en-GB" sz="12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0.65787</cdr:x>
      <cdr:y>0.90165</cdr:y>
    </cdr:from>
    <cdr:to>
      <cdr:x>0.8444</cdr:x>
      <cdr:y>0.96367</cdr:y>
    </cdr:to>
    <cdr:sp macro="" textlink="">
      <cdr:nvSpPr>
        <cdr:cNvPr id="4" name="Text Box 2"/>
        <cdr:cNvSpPr txBox="1"/>
      </cdr:nvSpPr>
      <cdr:spPr>
        <a:xfrm xmlns:a="http://schemas.openxmlformats.org/drawingml/2006/main">
          <a:off x="4026673" y="2402978"/>
          <a:ext cx="1141675" cy="16529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algn="ctr" hangingPunct="0">
            <a:spcBef>
              <a:spcPts val="600"/>
            </a:spcBef>
            <a:tabLst>
              <a:tab pos="504190" algn="l"/>
              <a:tab pos="756285" algn="l"/>
              <a:tab pos="1008380" algn="l"/>
              <a:tab pos="1260475" algn="l"/>
            </a:tabLst>
          </a:pPr>
          <a:r>
            <a:rPr lang="fr-FR" sz="900" b="1">
              <a:effectLst/>
              <a:latin typeface="Calibri" panose="020F0502020204030204" pitchFamily="34" charset="0"/>
              <a:ea typeface="Times New Roman" panose="02020603050405020304" pitchFamily="18" charset="0"/>
              <a:cs typeface="Times New Roman" panose="02020603050405020304" pitchFamily="18" charset="0"/>
            </a:rPr>
            <a:t>Número</a:t>
          </a:r>
          <a:r>
            <a:rPr lang="fr-FR" sz="900" b="1" baseline="0">
              <a:effectLst/>
              <a:latin typeface="Calibri" panose="020F0502020204030204" pitchFamily="34" charset="0"/>
              <a:ea typeface="Times New Roman" panose="02020603050405020304" pitchFamily="18" charset="0"/>
              <a:cs typeface="Times New Roman" panose="02020603050405020304" pitchFamily="18" charset="0"/>
            </a:rPr>
            <a:t> de acuerdos</a:t>
          </a:r>
          <a:endParaRPr lang="en-GB" sz="12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D76106C0699043BAEC233347507970" ma:contentTypeVersion="17" ma:contentTypeDescription="Create a new document." ma:contentTypeScope="" ma:versionID="98dc16c74f77d92d1bb6cb4b0c3ae757">
  <xsd:schema xmlns:xsd="http://www.w3.org/2001/XMLSchema" xmlns:xs="http://www.w3.org/2001/XMLSchema" xmlns:p="http://schemas.microsoft.com/office/2006/metadata/properties" xmlns:ns2="28b57394-764b-4c95-9edc-f65ae3c1af13" xmlns:ns3="365cf670-b44e-4dbb-b1e7-5ca0e9f395b1" targetNamespace="http://schemas.microsoft.com/office/2006/metadata/properties" ma:root="true" ma:fieldsID="adfa0e3f5e5a423483900749a5d0d07a" ns2:_="" ns3:_="">
    <xsd:import namespace="28b57394-764b-4c95-9edc-f65ae3c1af13"/>
    <xsd:import namespace="365cf670-b44e-4dbb-b1e7-5ca0e9f395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57394-764b-4c95-9edc-f65ae3c1a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cf670-b44e-4dbb-b1e7-5ca0e9f395b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776fd9-5068-4ffa-87a4-e6b077caf2fb}" ma:internalName="TaxCatchAll" ma:showField="CatchAllData" ma:web="365cf670-b44e-4dbb-b1e7-5ca0e9f395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FB3844-43DA-46EE-B67A-752169DF1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57394-764b-4c95-9edc-f65ae3c1af13"/>
    <ds:schemaRef ds:uri="365cf670-b44e-4dbb-b1e7-5ca0e9f39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C5EBE-B1C0-4B7E-B65B-A85F3815F621}">
  <ds:schemaRefs>
    <ds:schemaRef ds:uri="http://schemas.openxmlformats.org/officeDocument/2006/bibliography"/>
  </ds:schemaRefs>
</ds:datastoreItem>
</file>

<file path=customXml/itemProps3.xml><?xml version="1.0" encoding="utf-8"?>
<ds:datastoreItem xmlns:ds="http://schemas.openxmlformats.org/officeDocument/2006/customXml" ds:itemID="{ED21F839-2C53-4882-948E-2EDABA10E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6</Pages>
  <Words>1250</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BDT-nd</dc:creator>
  <cp:lastModifiedBy>Spanish</cp:lastModifiedBy>
  <cp:revision>17</cp:revision>
  <cp:lastPrinted>2014-11-04T09:22:00Z</cp:lastPrinted>
  <dcterms:created xsi:type="dcterms:W3CDTF">2024-05-09T07:59:00Z</dcterms:created>
  <dcterms:modified xsi:type="dcterms:W3CDTF">2024-05-09T13:21:00Z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