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1.xml" ContentType="application/vnd.openxmlformats-officedocument.theme+xml"/>
  <Override PartName="/word/charts/colors5.xml" ContentType="application/vnd.ms-office.chartcolor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6662"/>
        <w:gridCol w:w="1702"/>
        <w:gridCol w:w="1559"/>
      </w:tblGrid>
      <w:tr w:rsidR="00982196" w:rsidRPr="00F13A8F" w14:paraId="3863D628" w14:textId="77777777" w:rsidTr="008D45FA">
        <w:trPr>
          <w:trHeight w:val="1134"/>
        </w:trPr>
        <w:tc>
          <w:tcPr>
            <w:tcW w:w="8364" w:type="dxa"/>
            <w:gridSpan w:val="2"/>
          </w:tcPr>
          <w:p w14:paraId="61B5BA80" w14:textId="77777777" w:rsidR="00982196" w:rsidRPr="00F13A8F" w:rsidRDefault="00982196" w:rsidP="00C677D2">
            <w:pPr>
              <w:pStyle w:val="BodyText"/>
              <w:framePr w:hSpace="0" w:wrap="auto" w:vAnchor="margin" w:hAnchor="text" w:yAlign="inline"/>
              <w:spacing w:after="120"/>
            </w:pPr>
            <w:r w:rsidRPr="00F13A8F">
              <w:t xml:space="preserve">Консультативная группа </w:t>
            </w:r>
            <w:r w:rsidRPr="00F13A8F">
              <w:br/>
              <w:t>по развитию электросвязи (КГРЭ)</w:t>
            </w:r>
          </w:p>
          <w:p w14:paraId="33DF924A" w14:textId="08925CA0" w:rsidR="00982196" w:rsidRPr="00F13A8F" w:rsidRDefault="00982196" w:rsidP="00C677D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24"/>
                <w:szCs w:val="24"/>
              </w:rPr>
            </w:pPr>
            <w:r w:rsidRPr="00F13A8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="005B429D" w:rsidRPr="00F13A8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1</w:t>
            </w:r>
            <w:r w:rsidRPr="00F13A8F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-е собрание, Женева, Швейцария</w:t>
            </w:r>
            <w:r w:rsidRPr="00F13A8F">
              <w:rPr>
                <w:b/>
                <w:bCs/>
                <w:sz w:val="24"/>
                <w:szCs w:val="24"/>
              </w:rPr>
              <w:t xml:space="preserve">, </w:t>
            </w:r>
            <w:r w:rsidR="005B429D" w:rsidRPr="00F13A8F">
              <w:rPr>
                <w:b/>
                <w:bCs/>
                <w:sz w:val="24"/>
                <w:szCs w:val="24"/>
              </w:rPr>
              <w:t>20</w:t>
            </w:r>
            <w:r w:rsidR="003C01D0" w:rsidRPr="00F13A8F">
              <w:rPr>
                <w:b/>
                <w:bCs/>
                <w:sz w:val="24"/>
                <w:szCs w:val="24"/>
              </w:rPr>
              <w:t>–23</w:t>
            </w:r>
            <w:r w:rsidRPr="00F13A8F">
              <w:rPr>
                <w:b/>
                <w:bCs/>
                <w:sz w:val="24"/>
                <w:szCs w:val="24"/>
              </w:rPr>
              <w:t xml:space="preserve"> </w:t>
            </w:r>
            <w:r w:rsidR="005B429D" w:rsidRPr="00F13A8F">
              <w:rPr>
                <w:b/>
                <w:bCs/>
                <w:sz w:val="24"/>
                <w:szCs w:val="24"/>
              </w:rPr>
              <w:t>мая</w:t>
            </w:r>
            <w:r w:rsidRPr="00F13A8F">
              <w:rPr>
                <w:b/>
                <w:bCs/>
                <w:sz w:val="24"/>
                <w:szCs w:val="24"/>
              </w:rPr>
              <w:t xml:space="preserve"> 202</w:t>
            </w:r>
            <w:r w:rsidR="005B429D" w:rsidRPr="00F13A8F">
              <w:rPr>
                <w:b/>
                <w:bCs/>
                <w:sz w:val="24"/>
                <w:szCs w:val="24"/>
              </w:rPr>
              <w:t>4</w:t>
            </w:r>
            <w:r w:rsidRPr="00F13A8F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2FBFE9F" w14:textId="77777777" w:rsidR="00982196" w:rsidRPr="00F13A8F" w:rsidRDefault="00982196" w:rsidP="00C677D2">
            <w:pPr>
              <w:widowControl w:val="0"/>
              <w:spacing w:after="120"/>
              <w:jc w:val="center"/>
            </w:pPr>
            <w:r w:rsidRPr="00F13A8F">
              <w:rPr>
                <w:noProof/>
              </w:rPr>
              <w:drawing>
                <wp:inline distT="0" distB="0" distL="0" distR="0" wp14:anchorId="148AE524" wp14:editId="2F85458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F13A8F" w14:paraId="76382DEB" w14:textId="77777777" w:rsidTr="00CD34AE">
        <w:tc>
          <w:tcPr>
            <w:tcW w:w="6662" w:type="dxa"/>
            <w:tcBorders>
              <w:top w:val="single" w:sz="12" w:space="0" w:color="auto"/>
            </w:tcBorders>
          </w:tcPr>
          <w:p w14:paraId="691B7F71" w14:textId="77777777" w:rsidR="00CD34AE" w:rsidRPr="00F13A8F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5EF4F3C1" w14:textId="77777777" w:rsidR="00CD34AE" w:rsidRPr="00F13A8F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105F5" w:rsidRPr="00F13A8F" w14:paraId="37AFB553" w14:textId="77777777" w:rsidTr="00CD34AE">
        <w:trPr>
          <w:trHeight w:val="300"/>
        </w:trPr>
        <w:tc>
          <w:tcPr>
            <w:tcW w:w="6662" w:type="dxa"/>
          </w:tcPr>
          <w:p w14:paraId="64468568" w14:textId="77777777" w:rsidR="00F105F5" w:rsidRPr="00F13A8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078DC7F" w14:textId="461D6D32" w:rsidR="00F105F5" w:rsidRPr="00F13A8F" w:rsidRDefault="00BB2518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13A8F">
              <w:rPr>
                <w:rFonts w:cstheme="minorHAnsi"/>
                <w:b/>
                <w:bCs/>
              </w:rPr>
              <w:t>Пересмотр 1</w:t>
            </w:r>
            <w:r w:rsidRPr="00F13A8F">
              <w:rPr>
                <w:rFonts w:cstheme="minorHAnsi"/>
                <w:b/>
                <w:bCs/>
              </w:rPr>
              <w:br/>
            </w:r>
            <w:r w:rsidR="00F105F5" w:rsidRPr="00F13A8F">
              <w:rPr>
                <w:rFonts w:cstheme="minorHAnsi"/>
                <w:b/>
                <w:bCs/>
              </w:rPr>
              <w:t>Документ</w:t>
            </w:r>
            <w:bookmarkStart w:id="0" w:name="DocRef1"/>
            <w:bookmarkEnd w:id="0"/>
            <w:r w:rsidRPr="00F13A8F">
              <w:rPr>
                <w:rFonts w:cstheme="minorHAnsi"/>
                <w:b/>
                <w:bCs/>
              </w:rPr>
              <w:t>а</w:t>
            </w:r>
            <w:r w:rsidR="00F105F5" w:rsidRPr="00F13A8F">
              <w:rPr>
                <w:rFonts w:cstheme="minorHAnsi"/>
                <w:b/>
                <w:bCs/>
              </w:rPr>
              <w:t xml:space="preserve"> TDAG-2</w:t>
            </w:r>
            <w:r w:rsidR="00780406" w:rsidRPr="00F13A8F">
              <w:rPr>
                <w:rFonts w:cstheme="minorHAnsi"/>
                <w:b/>
                <w:bCs/>
              </w:rPr>
              <w:t>4</w:t>
            </w:r>
            <w:r w:rsidR="00F105F5" w:rsidRPr="00F13A8F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780406" w:rsidRPr="00F13A8F">
              <w:rPr>
                <w:rFonts w:cstheme="minorHAnsi"/>
                <w:b/>
                <w:bCs/>
              </w:rPr>
              <w:t>4</w:t>
            </w:r>
            <w:r w:rsidR="00F105F5" w:rsidRPr="00F13A8F">
              <w:rPr>
                <w:rFonts w:cstheme="minorHAnsi"/>
                <w:b/>
                <w:bCs/>
              </w:rPr>
              <w:t>-R</w:t>
            </w:r>
          </w:p>
        </w:tc>
      </w:tr>
      <w:tr w:rsidR="00F105F5" w:rsidRPr="00F13A8F" w14:paraId="073A4B11" w14:textId="77777777" w:rsidTr="00CD34AE">
        <w:trPr>
          <w:trHeight w:val="300"/>
        </w:trPr>
        <w:tc>
          <w:tcPr>
            <w:tcW w:w="6662" w:type="dxa"/>
          </w:tcPr>
          <w:p w14:paraId="6ACC0C0A" w14:textId="77777777" w:rsidR="00F105F5" w:rsidRPr="00F13A8F" w:rsidRDefault="00F105F5" w:rsidP="00F105F5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30F6CD9A" w14:textId="56286C36" w:rsidR="00F105F5" w:rsidRPr="00F13A8F" w:rsidRDefault="00BB2518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F13A8F">
              <w:rPr>
                <w:b/>
                <w:bCs/>
              </w:rPr>
              <w:t>7</w:t>
            </w:r>
            <w:r w:rsidR="00780406" w:rsidRPr="00F13A8F">
              <w:rPr>
                <w:b/>
                <w:bCs/>
              </w:rPr>
              <w:t xml:space="preserve"> </w:t>
            </w:r>
            <w:r w:rsidRPr="00F13A8F">
              <w:rPr>
                <w:b/>
                <w:bCs/>
              </w:rPr>
              <w:t>мая</w:t>
            </w:r>
            <w:r w:rsidR="00F105F5" w:rsidRPr="00F13A8F">
              <w:rPr>
                <w:b/>
                <w:bCs/>
              </w:rPr>
              <w:t xml:space="preserve"> 202</w:t>
            </w:r>
            <w:r w:rsidR="005B429D" w:rsidRPr="00F13A8F">
              <w:rPr>
                <w:b/>
                <w:bCs/>
              </w:rPr>
              <w:t>4</w:t>
            </w:r>
            <w:r w:rsidR="00F105F5" w:rsidRPr="00F13A8F">
              <w:rPr>
                <w:b/>
                <w:bCs/>
              </w:rPr>
              <w:t xml:space="preserve"> года</w:t>
            </w:r>
          </w:p>
        </w:tc>
      </w:tr>
      <w:tr w:rsidR="00F105F5" w:rsidRPr="00F13A8F" w14:paraId="79FD5A80" w14:textId="77777777" w:rsidTr="00CD34AE">
        <w:trPr>
          <w:trHeight w:val="300"/>
        </w:trPr>
        <w:tc>
          <w:tcPr>
            <w:tcW w:w="6662" w:type="dxa"/>
          </w:tcPr>
          <w:p w14:paraId="625E6E8A" w14:textId="77777777" w:rsidR="00F105F5" w:rsidRPr="00F13A8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BC39A25" w14:textId="5C636D41" w:rsidR="00F105F5" w:rsidRPr="00F13A8F" w:rsidRDefault="00F105F5" w:rsidP="00F105F5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F13A8F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Pr="00F13A8F">
              <w:rPr>
                <w:rFonts w:cstheme="minorHAnsi"/>
                <w:b/>
                <w:bCs/>
              </w:rPr>
              <w:t xml:space="preserve"> английский</w:t>
            </w:r>
          </w:p>
        </w:tc>
      </w:tr>
      <w:tr w:rsidR="00CD34AE" w:rsidRPr="00F13A8F" w14:paraId="33BA05C8" w14:textId="77777777" w:rsidTr="00CD34AE">
        <w:trPr>
          <w:trHeight w:val="850"/>
        </w:trPr>
        <w:tc>
          <w:tcPr>
            <w:tcW w:w="9923" w:type="dxa"/>
            <w:gridSpan w:val="3"/>
          </w:tcPr>
          <w:p w14:paraId="0785D145" w14:textId="60E012B2" w:rsidR="00CD34AE" w:rsidRPr="00F13A8F" w:rsidRDefault="00780406" w:rsidP="00FA6BDB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F13A8F">
              <w:rPr>
                <w:lang w:bidi="ru-RU"/>
              </w:rPr>
              <w:t>Директор Бюро развития электросвязи</w:t>
            </w:r>
          </w:p>
        </w:tc>
      </w:tr>
      <w:tr w:rsidR="00CD34AE" w:rsidRPr="00F13A8F" w14:paraId="7E911F3C" w14:textId="77777777" w:rsidTr="00270876">
        <w:tc>
          <w:tcPr>
            <w:tcW w:w="9923" w:type="dxa"/>
            <w:gridSpan w:val="3"/>
          </w:tcPr>
          <w:p w14:paraId="027C889A" w14:textId="0D778E32" w:rsidR="00CD34AE" w:rsidRPr="000E6EDA" w:rsidRDefault="00CB0B58" w:rsidP="000E6EDA">
            <w:pPr>
              <w:pStyle w:val="Title1"/>
            </w:pPr>
            <w:bookmarkStart w:id="5" w:name="Title"/>
            <w:bookmarkEnd w:id="5"/>
            <w:r w:rsidRPr="000E6EDA">
              <w:t>Партнерские отношения и мобилизация ресурсов в МСЭ-D</w:t>
            </w:r>
          </w:p>
        </w:tc>
      </w:tr>
      <w:tr w:rsidR="00CD34AE" w:rsidRPr="00F13A8F" w14:paraId="5800435D" w14:textId="77777777" w:rsidTr="00CD34AE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20682FD8" w14:textId="77777777" w:rsidR="00CD34AE" w:rsidRPr="00F13A8F" w:rsidRDefault="00CD34AE" w:rsidP="00CD34AE"/>
        </w:tc>
      </w:tr>
      <w:tr w:rsidR="00CD34AE" w:rsidRPr="00F13A8F" w14:paraId="63362209" w14:textId="77777777" w:rsidTr="00CD34AE">
        <w:trPr>
          <w:trHeight w:val="70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23A5" w14:textId="77777777" w:rsidR="00F105F5" w:rsidRPr="00F13A8F" w:rsidRDefault="00F105F5" w:rsidP="00F105F5">
            <w:pPr>
              <w:pStyle w:val="Headingb"/>
              <w:jc w:val="both"/>
            </w:pPr>
            <w:r w:rsidRPr="00F13A8F">
              <w:t>Резюме</w:t>
            </w:r>
          </w:p>
          <w:p w14:paraId="4751683A" w14:textId="47D43915" w:rsidR="00F105F5" w:rsidRPr="00F13A8F" w:rsidRDefault="00780406" w:rsidP="00F105F5">
            <w:r w:rsidRPr="00F13A8F">
              <w:rPr>
                <w:lang w:bidi="ru-RU"/>
              </w:rPr>
              <w:t>Значение партнерских отношений и мобилизации ресурсов отмечалось Всемирной конференцией по</w:t>
            </w:r>
            <w:r w:rsidR="007C7FEB" w:rsidRPr="00F13A8F">
              <w:rPr>
                <w:lang w:bidi="ru-RU"/>
              </w:rPr>
              <w:t> </w:t>
            </w:r>
            <w:r w:rsidRPr="00F13A8F">
              <w:rPr>
                <w:lang w:bidi="ru-RU"/>
              </w:rPr>
              <w:t>развитию электросвязи 2022 года (ВКРЭ-22). В настоящем документе приводятся сведения о</w:t>
            </w:r>
            <w:r w:rsidR="007C7FEB" w:rsidRPr="00F13A8F">
              <w:rPr>
                <w:lang w:bidi="ru-RU"/>
              </w:rPr>
              <w:t> </w:t>
            </w:r>
            <w:r w:rsidRPr="00F13A8F">
              <w:rPr>
                <w:lang w:bidi="ru-RU"/>
              </w:rPr>
              <w:t>партнерских отношениях и деятельности по мобилизации ресурсов, проводившейся в 2023 году.</w:t>
            </w:r>
          </w:p>
          <w:p w14:paraId="19185981" w14:textId="77777777" w:rsidR="00F105F5" w:rsidRPr="00F13A8F" w:rsidRDefault="00F105F5" w:rsidP="00135135">
            <w:pPr>
              <w:pStyle w:val="Headingb"/>
            </w:pPr>
            <w:r w:rsidRPr="00F13A8F">
              <w:t>Необходимые действия</w:t>
            </w:r>
          </w:p>
          <w:p w14:paraId="562E7AEF" w14:textId="1D25C1B3" w:rsidR="00F105F5" w:rsidRPr="00F13A8F" w:rsidRDefault="0091377A" w:rsidP="00F105F5">
            <w:r w:rsidRPr="00F13A8F">
              <w:rPr>
                <w:lang w:bidi="ru-RU"/>
              </w:rPr>
              <w:t>КГРЭ предлагается принять настоящий документ к сведению и предоставить руководящие указания, если это будет сочтено целесообразным.</w:t>
            </w:r>
          </w:p>
          <w:p w14:paraId="502F1131" w14:textId="77777777" w:rsidR="00F105F5" w:rsidRPr="00F13A8F" w:rsidRDefault="00F105F5" w:rsidP="00F105F5">
            <w:pPr>
              <w:pStyle w:val="Headingb"/>
              <w:jc w:val="both"/>
            </w:pPr>
            <w:r w:rsidRPr="00F13A8F">
              <w:t>Справочные материалы</w:t>
            </w:r>
          </w:p>
          <w:p w14:paraId="5D4F03CE" w14:textId="4C0FF905" w:rsidR="0091377A" w:rsidRPr="00F13A8F" w:rsidRDefault="0091377A" w:rsidP="0091377A">
            <w:pPr>
              <w:spacing w:after="120"/>
            </w:pPr>
            <w:r w:rsidRPr="00F13A8F">
              <w:rPr>
                <w:lang w:bidi="ru-RU"/>
              </w:rPr>
              <w:t>Разделы 3.1 и 3.3 Кигалийского плана действий</w:t>
            </w:r>
          </w:p>
          <w:p w14:paraId="3B51CF3A" w14:textId="1BD113AE" w:rsidR="0091377A" w:rsidRPr="00F13A8F" w:rsidRDefault="0091377A" w:rsidP="0091377A">
            <w:pPr>
              <w:spacing w:after="120"/>
            </w:pPr>
            <w:r w:rsidRPr="00F13A8F">
              <w:rPr>
                <w:lang w:bidi="ru-RU"/>
              </w:rPr>
              <w:t>Резолюция 17 (Пересм. Кигали, 2022 г.)</w:t>
            </w:r>
          </w:p>
          <w:p w14:paraId="1E7E0297" w14:textId="3EECAC0A" w:rsidR="00CD34AE" w:rsidRPr="00F13A8F" w:rsidRDefault="0091377A" w:rsidP="0091377A">
            <w:pPr>
              <w:spacing w:after="120"/>
            </w:pPr>
            <w:r w:rsidRPr="00F13A8F">
              <w:rPr>
                <w:lang w:bidi="ru-RU"/>
              </w:rPr>
              <w:t>Декларация ВКРЭ-22</w:t>
            </w:r>
          </w:p>
        </w:tc>
      </w:tr>
    </w:tbl>
    <w:p w14:paraId="6839E72B" w14:textId="77777777" w:rsidR="002931FA" w:rsidRPr="00F13A8F" w:rsidRDefault="002931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 w:rsidRPr="00F13A8F">
        <w:br w:type="page"/>
      </w:r>
    </w:p>
    <w:p w14:paraId="39E49D8C" w14:textId="26D4DE85" w:rsidR="0091377A" w:rsidRPr="00F13A8F" w:rsidRDefault="007C7FEB" w:rsidP="007C7FEB">
      <w:pPr>
        <w:pStyle w:val="Heading1"/>
        <w:rPr>
          <w:lang w:bidi="ru-RU"/>
        </w:rPr>
      </w:pPr>
      <w:r w:rsidRPr="00F13A8F">
        <w:rPr>
          <w:lang w:bidi="ru-RU"/>
        </w:rPr>
        <w:lastRenderedPageBreak/>
        <w:t>1</w:t>
      </w:r>
      <w:r w:rsidRPr="00F13A8F">
        <w:rPr>
          <w:lang w:bidi="ru-RU"/>
        </w:rPr>
        <w:tab/>
      </w:r>
      <w:r w:rsidR="0091377A" w:rsidRPr="00F13A8F">
        <w:rPr>
          <w:lang w:bidi="ru-RU"/>
        </w:rPr>
        <w:t>Базовая информация</w:t>
      </w:r>
    </w:p>
    <w:p w14:paraId="127CE113" w14:textId="77777777" w:rsidR="0091377A" w:rsidRPr="00F13A8F" w:rsidRDefault="0091377A" w:rsidP="007C7FEB">
      <w:pPr>
        <w:rPr>
          <w:szCs w:val="24"/>
        </w:rPr>
      </w:pPr>
      <w:r w:rsidRPr="00F13A8F">
        <w:rPr>
          <w:lang w:bidi="ru-RU"/>
        </w:rPr>
        <w:t>На Всемирной конференции по развитию электросвязи 2022 года (ВКРЭ-22) было признано значение мобилизации ресурсов и международного сотрудничества как нового приоритета МСЭ-D и движущей силы осуществления Кигалийского плана действий: "Цель настоящего приоритета заключается в мобилизации и привлечении ресурсов, а также в содействии международному сотрудничеству по вопросам развития электросвязи/ИКТ. Данный приоритет также носит сквозной характер, привлекая ресурсы и содействуя международному сотрудничеству для обеспечения соответствующих глобальных конечных результатов. При этом потребности развивающихся стран, наименее развитых стран, малых островных развивающихся государств, развивающихся стран, не имеющих выхода к морю, и стран с переходной экономикой, а также недостаточно обслуживаемых и уязвимых групп населения следует отнести к числу приоритетных и уделять им должное внимание" (Кигалийский план действий).</w:t>
      </w:r>
    </w:p>
    <w:p w14:paraId="5BD347E1" w14:textId="592B9636" w:rsidR="0091377A" w:rsidRPr="00F13A8F" w:rsidRDefault="0091377A" w:rsidP="007C7FEB">
      <w:pPr>
        <w:rPr>
          <w:szCs w:val="24"/>
        </w:rPr>
      </w:pPr>
      <w:r w:rsidRPr="00F13A8F">
        <w:rPr>
          <w:lang w:bidi="ru-RU"/>
        </w:rPr>
        <w:t>В Резолюции 17 (Пересм. Кигали, 2022 г.) об осуществлении на национальном, региональном, межрегиональном и глобальном уровнях одобренных региональных инициатив и сотрудничестве по</w:t>
      </w:r>
      <w:r w:rsidR="00774E73" w:rsidRPr="00F13A8F">
        <w:rPr>
          <w:lang w:bidi="ru-RU"/>
        </w:rPr>
        <w:t> </w:t>
      </w:r>
      <w:r w:rsidRPr="00F13A8F">
        <w:rPr>
          <w:lang w:bidi="ru-RU"/>
        </w:rPr>
        <w:t>ним Директору БРЭ поручается "обеспечить, чтобы БРЭ способствовало активному участию региональных и субрегиональных организаций электросвязи в различных этапах управления проектами, установленных МСЭ, а также в налаживании партнерских отношений и мобилизации ресурсов в целях оказания эффективного содействия реализации региональных инициатив".</w:t>
      </w:r>
    </w:p>
    <w:p w14:paraId="5379627F" w14:textId="166117FF" w:rsidR="0091377A" w:rsidRPr="00F13A8F" w:rsidRDefault="007C7FEB" w:rsidP="007C7FEB">
      <w:pPr>
        <w:pStyle w:val="Heading1"/>
        <w:rPr>
          <w:lang w:bidi="ru-RU"/>
        </w:rPr>
      </w:pPr>
      <w:r w:rsidRPr="00F13A8F">
        <w:rPr>
          <w:lang w:bidi="ru-RU"/>
        </w:rPr>
        <w:t>2</w:t>
      </w:r>
      <w:r w:rsidRPr="00F13A8F">
        <w:rPr>
          <w:lang w:bidi="ru-RU"/>
        </w:rPr>
        <w:tab/>
      </w:r>
      <w:r w:rsidR="0091377A" w:rsidRPr="00F13A8F">
        <w:rPr>
          <w:lang w:bidi="ru-RU"/>
        </w:rPr>
        <w:t>Стратегическая цель МСЭ-D – партнерские отношения и мобилизация ресурсов</w:t>
      </w:r>
    </w:p>
    <w:p w14:paraId="72C48138" w14:textId="77777777" w:rsidR="0091377A" w:rsidRPr="00F13A8F" w:rsidRDefault="0091377A" w:rsidP="007C7FEB">
      <w:pPr>
        <w:rPr>
          <w:szCs w:val="24"/>
        </w:rPr>
      </w:pPr>
      <w:r w:rsidRPr="00F13A8F">
        <w:rPr>
          <w:lang w:bidi="ru-RU"/>
        </w:rPr>
        <w:t>В соответствии с решениями ВКРЭ-22 задача заключается в содействии партнерским отношениям и международному сотрудничеству с как можно более широким кругом партнеров из развитых и развивающихся стран, а также в их развитии и укреплении в целях активизации координации, обмена специальными знаниями и опытом и мобилизации ресурсов для осуществления программ, направлений деятельности и инициатив в интересах устойчивого развития.</w:t>
      </w:r>
    </w:p>
    <w:p w14:paraId="779E2E70" w14:textId="410A7DC2" w:rsidR="0091377A" w:rsidRPr="00F13A8F" w:rsidRDefault="007C7FEB" w:rsidP="007C7FEB">
      <w:pPr>
        <w:pStyle w:val="Heading1"/>
        <w:rPr>
          <w:bCs/>
          <w:szCs w:val="24"/>
        </w:rPr>
      </w:pPr>
      <w:r w:rsidRPr="00F13A8F">
        <w:rPr>
          <w:lang w:bidi="ru-RU"/>
        </w:rPr>
        <w:t>3</w:t>
      </w:r>
      <w:r w:rsidRPr="00F13A8F">
        <w:rPr>
          <w:lang w:bidi="ru-RU"/>
        </w:rPr>
        <w:tab/>
      </w:r>
      <w:r w:rsidR="0091377A" w:rsidRPr="00F13A8F">
        <w:rPr>
          <w:lang w:bidi="ru-RU"/>
        </w:rPr>
        <w:t>Партнерские отношения и результаты мобилизации ресурсов в 2023 году</w:t>
      </w:r>
    </w:p>
    <w:p w14:paraId="0A686A83" w14:textId="55954315" w:rsidR="0091377A" w:rsidRPr="00F13A8F" w:rsidRDefault="0091377A" w:rsidP="007C7FEB">
      <w:pPr>
        <w:spacing w:after="120"/>
      </w:pPr>
      <w:r w:rsidRPr="00F13A8F">
        <w:rPr>
          <w:lang w:bidi="ru-RU"/>
        </w:rPr>
        <w:t>В 2023 году благодаря совместным усилиям Членов, партнеров МСЭ и сотрудников БРЭ (как на местах, так и в штаб-квартире) БРЭ подписало 8</w:t>
      </w:r>
      <w:r w:rsidR="00BB2518" w:rsidRPr="00F13A8F">
        <w:rPr>
          <w:lang w:bidi="ru-RU"/>
        </w:rPr>
        <w:t>8</w:t>
      </w:r>
      <w:r w:rsidRPr="00F13A8F">
        <w:rPr>
          <w:lang w:bidi="ru-RU"/>
        </w:rPr>
        <w:t xml:space="preserve"> соглашений, из которых в рамках 5</w:t>
      </w:r>
      <w:r w:rsidR="00BB2518" w:rsidRPr="00F13A8F">
        <w:rPr>
          <w:lang w:bidi="ru-RU"/>
        </w:rPr>
        <w:t>3</w:t>
      </w:r>
      <w:r w:rsidRPr="00F13A8F">
        <w:rPr>
          <w:lang w:bidi="ru-RU"/>
        </w:rPr>
        <w:t xml:space="preserve"> соглашений были получены финансовые взносы на сумму около 2</w:t>
      </w:r>
      <w:r w:rsidR="00BB2518" w:rsidRPr="00F13A8F">
        <w:rPr>
          <w:lang w:bidi="ru-RU"/>
        </w:rPr>
        <w:t>4</w:t>
      </w:r>
      <w:r w:rsidRPr="00F13A8F">
        <w:rPr>
          <w:lang w:bidi="ru-RU"/>
        </w:rPr>
        <w:t>,</w:t>
      </w:r>
      <w:r w:rsidR="00BB2518" w:rsidRPr="00F13A8F">
        <w:rPr>
          <w:lang w:bidi="ru-RU"/>
        </w:rPr>
        <w:t>2</w:t>
      </w:r>
      <w:r w:rsidRPr="00F13A8F">
        <w:rPr>
          <w:lang w:bidi="ru-RU"/>
        </w:rPr>
        <w:t xml:space="preserve"> млн</w:t>
      </w:r>
      <w:r w:rsidR="00CF6561" w:rsidRPr="00F13A8F">
        <w:rPr>
          <w:lang w:bidi="ru-RU"/>
        </w:rPr>
        <w:t>.</w:t>
      </w:r>
      <w:r w:rsidRPr="00F13A8F">
        <w:rPr>
          <w:lang w:bidi="ru-RU"/>
        </w:rPr>
        <w:t xml:space="preserve"> долларов США, распределенных следующим образом:</w:t>
      </w:r>
    </w:p>
    <w:p w14:paraId="62CAE5C0" w14:textId="31EFE6FE" w:rsidR="0091377A" w:rsidRPr="00F13A8F" w:rsidRDefault="00252C12" w:rsidP="0091377A">
      <w:pPr>
        <w:keepNext/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 w:rsidRPr="00F13A8F">
        <w:rPr>
          <w:noProof/>
        </w:rPr>
        <w:drawing>
          <wp:inline distT="0" distB="0" distL="0" distR="0" wp14:anchorId="5B7D6335" wp14:editId="0D16A952">
            <wp:extent cx="6008370" cy="2237015"/>
            <wp:effectExtent l="0" t="0" r="11430" b="11430"/>
            <wp:docPr id="19759294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3C5564D-9CB3-4096-9912-87FC754861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CDF81" w14:textId="7506AF85" w:rsidR="0091377A" w:rsidRPr="00F13A8F" w:rsidRDefault="0091377A" w:rsidP="007C7FEB">
      <w:r w:rsidRPr="00F13A8F">
        <w:rPr>
          <w:lang w:bidi="ru-RU"/>
        </w:rPr>
        <w:t xml:space="preserve">Список соглашений, подписанных БРЭ, приведен в Документе </w:t>
      </w:r>
      <w:hyperlink r:id="rId10">
        <w:r w:rsidRPr="00F13A8F">
          <w:rPr>
            <w:rStyle w:val="Hyperlink"/>
            <w:lang w:bidi="ru-RU"/>
          </w:rPr>
          <w:t>TDAG24/INF/1</w:t>
        </w:r>
      </w:hyperlink>
      <w:r w:rsidRPr="00F13A8F">
        <w:rPr>
          <w:lang w:bidi="ru-RU"/>
        </w:rPr>
        <w:t>.</w:t>
      </w:r>
    </w:p>
    <w:p w14:paraId="65872678" w14:textId="77777777" w:rsidR="00E36BAB" w:rsidRPr="00F13A8F" w:rsidRDefault="00E36BA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bidi="ru-RU"/>
        </w:rPr>
      </w:pPr>
      <w:r w:rsidRPr="00F13A8F">
        <w:rPr>
          <w:lang w:bidi="ru-RU"/>
        </w:rPr>
        <w:br w:type="page"/>
      </w:r>
    </w:p>
    <w:p w14:paraId="607708CA" w14:textId="2B1A3BCC" w:rsidR="0091377A" w:rsidRPr="00F13A8F" w:rsidRDefault="0091377A" w:rsidP="007C7FEB">
      <w:r w:rsidRPr="00F13A8F">
        <w:rPr>
          <w:lang w:bidi="ru-RU"/>
        </w:rPr>
        <w:lastRenderedPageBreak/>
        <w:t>Среди партнеров БРЭ, подписавших партнерск</w:t>
      </w:r>
      <w:r w:rsidR="00EE43D9" w:rsidRPr="00F13A8F">
        <w:rPr>
          <w:lang w:bidi="ru-RU"/>
        </w:rPr>
        <w:t>ое(ие)</w:t>
      </w:r>
      <w:r w:rsidRPr="00F13A8F">
        <w:rPr>
          <w:lang w:bidi="ru-RU"/>
        </w:rPr>
        <w:t xml:space="preserve"> соглашени</w:t>
      </w:r>
      <w:r w:rsidR="00EE43D9" w:rsidRPr="00F13A8F">
        <w:rPr>
          <w:lang w:bidi="ru-RU"/>
        </w:rPr>
        <w:t>е(</w:t>
      </w:r>
      <w:r w:rsidRPr="00F13A8F">
        <w:rPr>
          <w:lang w:bidi="ru-RU"/>
        </w:rPr>
        <w:t>я</w:t>
      </w:r>
      <w:r w:rsidR="00EE43D9" w:rsidRPr="00F13A8F">
        <w:rPr>
          <w:lang w:bidi="ru-RU"/>
        </w:rPr>
        <w:t>)</w:t>
      </w:r>
      <w:r w:rsidRPr="00F13A8F">
        <w:rPr>
          <w:lang w:bidi="ru-RU"/>
        </w:rPr>
        <w:t xml:space="preserve"> с финансовыми взносами или без них в 2023 году, 50% составляют Государства-Члены, 27% </w:t>
      </w:r>
      <w:r w:rsidR="00774E73" w:rsidRPr="00F13A8F">
        <w:rPr>
          <w:lang w:bidi="ru-RU"/>
        </w:rPr>
        <w:t>−</w:t>
      </w:r>
      <w:r w:rsidRPr="00F13A8F">
        <w:rPr>
          <w:lang w:bidi="ru-RU"/>
        </w:rPr>
        <w:t xml:space="preserve"> Члены Сектора МСЭ-D, 15%</w:t>
      </w:r>
      <w:r w:rsidR="003C394F" w:rsidRPr="00F13A8F">
        <w:rPr>
          <w:lang w:bidi="ru-RU"/>
        </w:rPr>
        <w:t> </w:t>
      </w:r>
      <w:r w:rsidR="00774E73" w:rsidRPr="00F13A8F">
        <w:rPr>
          <w:lang w:bidi="ru-RU"/>
        </w:rPr>
        <w:t>−</w:t>
      </w:r>
      <w:r w:rsidR="003C394F" w:rsidRPr="00F13A8F">
        <w:rPr>
          <w:lang w:bidi="ru-RU"/>
        </w:rPr>
        <w:t> </w:t>
      </w:r>
      <w:r w:rsidRPr="00F13A8F">
        <w:rPr>
          <w:lang w:bidi="ru-RU"/>
        </w:rPr>
        <w:t xml:space="preserve">Академические организации и 8% </w:t>
      </w:r>
      <w:r w:rsidR="00774E73" w:rsidRPr="00F13A8F">
        <w:rPr>
          <w:lang w:bidi="ru-RU"/>
        </w:rPr>
        <w:t>−</w:t>
      </w:r>
      <w:r w:rsidRPr="00F13A8F">
        <w:rPr>
          <w:lang w:bidi="ru-RU"/>
        </w:rPr>
        <w:t xml:space="preserve"> региональные и другие международные организации в</w:t>
      </w:r>
      <w:r w:rsidR="003C394F" w:rsidRPr="00F13A8F">
        <w:rPr>
          <w:lang w:bidi="ru-RU"/>
        </w:rPr>
        <w:t> </w:t>
      </w:r>
      <w:r w:rsidRPr="00F13A8F">
        <w:rPr>
          <w:lang w:bidi="ru-RU"/>
        </w:rPr>
        <w:t>соответствии с категориями Членов МСЭ</w:t>
      </w:r>
      <w:r w:rsidRPr="00F13A8F">
        <w:rPr>
          <w:rStyle w:val="FootnoteReference"/>
          <w:lang w:bidi="ru-RU"/>
        </w:rPr>
        <w:footnoteReference w:id="1"/>
      </w:r>
      <w:r w:rsidRPr="00F13A8F">
        <w:rPr>
          <w:lang w:bidi="ru-RU"/>
        </w:rPr>
        <w:t>.</w:t>
      </w:r>
    </w:p>
    <w:p w14:paraId="51991EAC" w14:textId="25BB710E" w:rsidR="0091377A" w:rsidRPr="00F13A8F" w:rsidRDefault="0091377A" w:rsidP="007C7FEB">
      <w:pPr>
        <w:spacing w:after="120"/>
        <w:rPr>
          <w:lang w:bidi="ru-RU"/>
        </w:rPr>
      </w:pPr>
      <w:r w:rsidRPr="00F13A8F">
        <w:rPr>
          <w:lang w:bidi="ru-RU"/>
        </w:rPr>
        <w:t>На диаграмме ниже представлено распределение партнеров, с которыми БРЭ подписала финансовые взносы, в разбивке по различным типам:</w:t>
      </w:r>
    </w:p>
    <w:p w14:paraId="34E71129" w14:textId="1A495B34" w:rsidR="003C394F" w:rsidRPr="00F13A8F" w:rsidRDefault="003C394F" w:rsidP="00677124">
      <w:pPr>
        <w:spacing w:after="120"/>
        <w:jc w:val="center"/>
        <w:rPr>
          <w:lang w:bidi="ru-RU"/>
        </w:rPr>
      </w:pPr>
      <w:r w:rsidRPr="00F13A8F">
        <w:rPr>
          <w:noProof/>
          <w:lang w:bidi="ru-RU"/>
        </w:rPr>
        <w:drawing>
          <wp:inline distT="0" distB="0" distL="0" distR="0" wp14:anchorId="0B3CA845" wp14:editId="753BE406">
            <wp:extent cx="5710555" cy="2990850"/>
            <wp:effectExtent l="0" t="0" r="4445" b="0"/>
            <wp:docPr id="8126823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CCFDAF-71C1-B51B-606B-CA93072765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5EEC568" w14:textId="72AAC38C" w:rsidR="0091377A" w:rsidRPr="00F13A8F" w:rsidRDefault="0091377A" w:rsidP="00677124">
      <w:pPr>
        <w:spacing w:before="240" w:after="120"/>
      </w:pPr>
      <w:r w:rsidRPr="00F13A8F">
        <w:rPr>
          <w:lang w:bidi="ru-RU"/>
        </w:rPr>
        <w:t xml:space="preserve">Десять крупнейших доноров БРЭ по объему финансовых взносов в 2023 году приведены в таблице ниже. Полный список доноров приведен в Документе </w:t>
      </w:r>
      <w:hyperlink r:id="rId12">
        <w:r w:rsidRPr="00F13A8F">
          <w:rPr>
            <w:rStyle w:val="Hyperlink"/>
            <w:lang w:bidi="ru-RU"/>
          </w:rPr>
          <w:t>TDAG24/INF/1</w:t>
        </w:r>
      </w:hyperlink>
      <w:r w:rsidRPr="00F13A8F">
        <w:rPr>
          <w:lang w:bidi="ru-RU"/>
        </w:rPr>
        <w:t>:</w:t>
      </w:r>
    </w:p>
    <w:tbl>
      <w:tblPr>
        <w:tblStyle w:val="TableGrid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402"/>
      </w:tblGrid>
      <w:tr w:rsidR="0091377A" w:rsidRPr="00F13A8F" w14:paraId="229EFD29" w14:textId="77777777" w:rsidTr="00E36BAB">
        <w:tc>
          <w:tcPr>
            <w:tcW w:w="6227" w:type="dxa"/>
            <w:shd w:val="clear" w:color="auto" w:fill="DBE5F1" w:themeFill="accent1" w:themeFillTint="33"/>
            <w:vAlign w:val="center"/>
          </w:tcPr>
          <w:p w14:paraId="2417F72E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b/>
                <w:bCs/>
              </w:rPr>
            </w:pPr>
            <w:r w:rsidRPr="00F13A8F">
              <w:rPr>
                <w:b/>
                <w:lang w:bidi="ru-RU"/>
              </w:rPr>
              <w:t>Партнер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01B4E7E" w14:textId="0DD4541B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</w:pPr>
            <w:r w:rsidRPr="00F13A8F">
              <w:rPr>
                <w:b/>
                <w:lang w:bidi="ru-RU"/>
              </w:rPr>
              <w:t>Подписанные финансовые взносы</w:t>
            </w:r>
            <w:r w:rsidR="00E36BAB" w:rsidRPr="00F13A8F">
              <w:rPr>
                <w:b/>
                <w:lang w:bidi="ru-RU"/>
              </w:rPr>
              <w:br/>
            </w:r>
            <w:r w:rsidRPr="00F13A8F">
              <w:rPr>
                <w:lang w:bidi="ru-RU"/>
              </w:rPr>
              <w:t>(в долл. США на дату подписания)</w:t>
            </w:r>
          </w:p>
        </w:tc>
      </w:tr>
      <w:tr w:rsidR="0091377A" w:rsidRPr="00F13A8F" w14:paraId="2510B450" w14:textId="77777777" w:rsidTr="00E36BAB">
        <w:tc>
          <w:tcPr>
            <w:tcW w:w="6227" w:type="dxa"/>
          </w:tcPr>
          <w:p w14:paraId="4862C903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Европейская комиссия</w:t>
            </w:r>
          </w:p>
        </w:tc>
        <w:tc>
          <w:tcPr>
            <w:tcW w:w="3402" w:type="dxa"/>
          </w:tcPr>
          <w:p w14:paraId="10C65DFF" w14:textId="045E5359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12,74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4D1B6669" w14:textId="77777777" w:rsidTr="00E36BAB">
        <w:tc>
          <w:tcPr>
            <w:tcW w:w="6227" w:type="dxa"/>
          </w:tcPr>
          <w:p w14:paraId="0CE22F24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Huawei Technologies Co., Ltd.</w:t>
            </w:r>
          </w:p>
        </w:tc>
        <w:tc>
          <w:tcPr>
            <w:tcW w:w="3402" w:type="dxa"/>
          </w:tcPr>
          <w:p w14:paraId="5C3735E4" w14:textId="31B03EAC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1,52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3759188D" w14:textId="77777777" w:rsidTr="00E36BAB">
        <w:tc>
          <w:tcPr>
            <w:tcW w:w="6227" w:type="dxa"/>
          </w:tcPr>
          <w:p w14:paraId="2F34AA47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 xml:space="preserve">Deutsche Gesellschaft für Internationale Zusammenarbeit GmbH </w:t>
            </w:r>
          </w:p>
        </w:tc>
        <w:tc>
          <w:tcPr>
            <w:tcW w:w="3402" w:type="dxa"/>
          </w:tcPr>
          <w:p w14:paraId="1275415C" w14:textId="51610EF2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1,43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6C5AC984" w14:textId="77777777" w:rsidTr="00E36BAB">
        <w:tc>
          <w:tcPr>
            <w:tcW w:w="6227" w:type="dxa"/>
          </w:tcPr>
          <w:p w14:paraId="700FA08D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Министерство инфраструктуры, транспорта, регионального развития, связи и искусств, Австралия</w:t>
            </w:r>
          </w:p>
        </w:tc>
        <w:tc>
          <w:tcPr>
            <w:tcW w:w="3402" w:type="dxa"/>
          </w:tcPr>
          <w:p w14:paraId="228F3E6E" w14:textId="1387382D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0,92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10E63D35" w14:textId="77777777" w:rsidTr="00E36BAB">
        <w:tc>
          <w:tcPr>
            <w:tcW w:w="6227" w:type="dxa"/>
          </w:tcPr>
          <w:p w14:paraId="71F1B8B3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Норвежское агентство по сотрудничеству в целях развития</w:t>
            </w:r>
          </w:p>
        </w:tc>
        <w:tc>
          <w:tcPr>
            <w:tcW w:w="3402" w:type="dxa"/>
          </w:tcPr>
          <w:p w14:paraId="61478C82" w14:textId="4582DD28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0,92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544F39DB" w14:textId="77777777" w:rsidTr="00E36BAB">
        <w:tc>
          <w:tcPr>
            <w:tcW w:w="6227" w:type="dxa"/>
          </w:tcPr>
          <w:p w14:paraId="6BC6D5E5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Комиссия по связи, космосу и технологиям, Саудовская Аравия</w:t>
            </w:r>
          </w:p>
        </w:tc>
        <w:tc>
          <w:tcPr>
            <w:tcW w:w="3402" w:type="dxa"/>
          </w:tcPr>
          <w:p w14:paraId="4608A282" w14:textId="6F39D908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0,77 млн</w:t>
            </w:r>
            <w:r w:rsidR="008A529D" w:rsidRPr="00F13A8F">
              <w:rPr>
                <w:lang w:bidi="ru-RU"/>
              </w:rPr>
              <w:t xml:space="preserve">. </w:t>
            </w:r>
            <w:r w:rsidRPr="00F13A8F">
              <w:rPr>
                <w:lang w:bidi="ru-RU"/>
              </w:rPr>
              <w:t>долл. США</w:t>
            </w:r>
          </w:p>
        </w:tc>
      </w:tr>
      <w:tr w:rsidR="0091377A" w:rsidRPr="00F13A8F" w14:paraId="4A6E8C35" w14:textId="77777777" w:rsidTr="00E36BAB">
        <w:tc>
          <w:tcPr>
            <w:tcW w:w="6227" w:type="dxa"/>
          </w:tcPr>
          <w:p w14:paraId="7E6B5E39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Министерство внутренних дел и связи, Япония</w:t>
            </w:r>
          </w:p>
        </w:tc>
        <w:tc>
          <w:tcPr>
            <w:tcW w:w="3402" w:type="dxa"/>
          </w:tcPr>
          <w:p w14:paraId="780A9E79" w14:textId="431FB592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0,73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6AE0413D" w14:textId="77777777" w:rsidTr="00E36BAB">
        <w:tc>
          <w:tcPr>
            <w:tcW w:w="6227" w:type="dxa"/>
          </w:tcPr>
          <w:p w14:paraId="0E0597A9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Министерство иностранных дел и по делам Содружества и развития, Соединенное Королевство</w:t>
            </w:r>
          </w:p>
        </w:tc>
        <w:tc>
          <w:tcPr>
            <w:tcW w:w="3402" w:type="dxa"/>
          </w:tcPr>
          <w:p w14:paraId="0797F009" w14:textId="794951DE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0,54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BB2518" w:rsidRPr="00F13A8F" w14:paraId="499EA2E5" w14:textId="77777777" w:rsidTr="007E25E4">
        <w:tc>
          <w:tcPr>
            <w:tcW w:w="6227" w:type="dxa"/>
          </w:tcPr>
          <w:p w14:paraId="1B8B6094" w14:textId="77777777" w:rsidR="00BB2518" w:rsidRPr="00F13A8F" w:rsidRDefault="00BB2518" w:rsidP="007E25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lang w:bidi="ru-RU"/>
              </w:rPr>
            </w:pPr>
            <w:r w:rsidRPr="00F13A8F">
              <w:rPr>
                <w:lang w:bidi="ru-RU"/>
              </w:rPr>
              <w:t>Государственный департамент США</w:t>
            </w:r>
          </w:p>
        </w:tc>
        <w:tc>
          <w:tcPr>
            <w:tcW w:w="3402" w:type="dxa"/>
          </w:tcPr>
          <w:p w14:paraId="4D04BB9F" w14:textId="77777777" w:rsidR="00BB2518" w:rsidRPr="00F13A8F" w:rsidRDefault="00BB2518" w:rsidP="007E25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lang w:bidi="ru-RU"/>
              </w:rPr>
            </w:pPr>
            <w:r w:rsidRPr="00F13A8F">
              <w:rPr>
                <w:lang w:bidi="ru-RU"/>
              </w:rPr>
              <w:t>0,30 млн. долл. США</w:t>
            </w:r>
          </w:p>
        </w:tc>
      </w:tr>
      <w:tr w:rsidR="0091377A" w:rsidRPr="00F13A8F" w14:paraId="67536F7F" w14:textId="77777777" w:rsidTr="00E36BAB">
        <w:tc>
          <w:tcPr>
            <w:tcW w:w="6227" w:type="dxa"/>
          </w:tcPr>
          <w:p w14:paraId="3833B54D" w14:textId="7F6A4FFD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Qualcomm</w:t>
            </w:r>
          </w:p>
        </w:tc>
        <w:tc>
          <w:tcPr>
            <w:tcW w:w="3402" w:type="dxa"/>
          </w:tcPr>
          <w:p w14:paraId="32BF1348" w14:textId="228BD44A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0,30 млн</w:t>
            </w:r>
            <w:r w:rsidR="008A529D" w:rsidRPr="00F13A8F">
              <w:rPr>
                <w:lang w:bidi="ru-RU"/>
              </w:rPr>
              <w:t>.</w:t>
            </w:r>
            <w:r w:rsidRPr="00F13A8F">
              <w:rPr>
                <w:lang w:bidi="ru-RU"/>
              </w:rPr>
              <w:t xml:space="preserve"> долл. США</w:t>
            </w:r>
          </w:p>
        </w:tc>
      </w:tr>
      <w:tr w:rsidR="0091377A" w:rsidRPr="00F13A8F" w14:paraId="692C302A" w14:textId="77777777" w:rsidTr="00E36BAB">
        <w:tc>
          <w:tcPr>
            <w:tcW w:w="6227" w:type="dxa"/>
          </w:tcPr>
          <w:p w14:paraId="06E939C6" w14:textId="77777777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</w:pPr>
            <w:r w:rsidRPr="00F13A8F">
              <w:rPr>
                <w:lang w:bidi="ru-RU"/>
              </w:rPr>
              <w:t>Детский фонд Организации Объединенных Наций</w:t>
            </w:r>
          </w:p>
        </w:tc>
        <w:tc>
          <w:tcPr>
            <w:tcW w:w="3402" w:type="dxa"/>
          </w:tcPr>
          <w:p w14:paraId="3C5A2437" w14:textId="06733A5D" w:rsidR="0091377A" w:rsidRPr="00F13A8F" w:rsidRDefault="0091377A" w:rsidP="00E36BA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</w:pPr>
            <w:r w:rsidRPr="00F13A8F">
              <w:rPr>
                <w:lang w:bidi="ru-RU"/>
              </w:rPr>
              <w:t>0,30 млн</w:t>
            </w:r>
            <w:r w:rsidR="008A529D" w:rsidRPr="00F13A8F">
              <w:rPr>
                <w:lang w:bidi="ru-RU"/>
              </w:rPr>
              <w:t xml:space="preserve">. </w:t>
            </w:r>
            <w:r w:rsidRPr="00F13A8F">
              <w:rPr>
                <w:lang w:bidi="ru-RU"/>
              </w:rPr>
              <w:t>долл. США</w:t>
            </w:r>
          </w:p>
        </w:tc>
      </w:tr>
    </w:tbl>
    <w:p w14:paraId="56B65E8B" w14:textId="4CB67AA2" w:rsidR="0091377A" w:rsidRPr="00F13A8F" w:rsidRDefault="0091377A" w:rsidP="00E36BAB">
      <w:pPr>
        <w:keepNext/>
        <w:rPr>
          <w:lang w:bidi="ru-RU"/>
        </w:rPr>
      </w:pPr>
      <w:r w:rsidRPr="00F13A8F">
        <w:rPr>
          <w:lang w:bidi="ru-RU"/>
        </w:rPr>
        <w:lastRenderedPageBreak/>
        <w:t>Ниже приводится распределение соглашений, подписанных БРЭ с партнерами в 2023 году, по</w:t>
      </w:r>
      <w:r w:rsidR="00500FE9" w:rsidRPr="00F13A8F">
        <w:rPr>
          <w:lang w:bidi="ru-RU"/>
        </w:rPr>
        <w:t> </w:t>
      </w:r>
      <w:r w:rsidRPr="00F13A8F">
        <w:rPr>
          <w:lang w:bidi="ru-RU"/>
        </w:rPr>
        <w:t>регионам и приоритетам:</w:t>
      </w:r>
    </w:p>
    <w:p w14:paraId="7756BF39" w14:textId="59172D16" w:rsidR="00500FE9" w:rsidRPr="00F13A8F" w:rsidRDefault="00500FE9" w:rsidP="00500FE9">
      <w:pPr>
        <w:keepNext/>
        <w:jc w:val="center"/>
        <w:rPr>
          <w:lang w:bidi="ru-RU"/>
        </w:rPr>
      </w:pPr>
      <w:r w:rsidRPr="00F13A8F">
        <w:rPr>
          <w:noProof/>
          <w:lang w:bidi="ru-RU"/>
        </w:rPr>
        <w:drawing>
          <wp:inline distT="0" distB="0" distL="0" distR="0" wp14:anchorId="6929983B" wp14:editId="7FCDA793">
            <wp:extent cx="6096000" cy="3190875"/>
            <wp:effectExtent l="0" t="0" r="0" b="9525"/>
            <wp:docPr id="19808349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C958CB6-60F7-4DBE-90E8-2CE5847638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E12B55D" w14:textId="07AA8311" w:rsidR="00AF71AE" w:rsidRPr="00F13A8F" w:rsidRDefault="00AF71AE" w:rsidP="00500FE9">
      <w:pPr>
        <w:rPr>
          <w:lang w:bidi="ru-RU"/>
        </w:rPr>
      </w:pPr>
      <w:r w:rsidRPr="00F13A8F">
        <w:rPr>
          <w:noProof/>
          <w:lang w:bidi="ru-RU"/>
        </w:rPr>
        <w:drawing>
          <wp:inline distT="0" distB="0" distL="0" distR="0" wp14:anchorId="3372DAD9" wp14:editId="0F8B79D0">
            <wp:extent cx="6120130" cy="3357880"/>
            <wp:effectExtent l="0" t="0" r="13970" b="13970"/>
            <wp:docPr id="13301464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16A6C28-BF08-6AE1-003D-5E9711C612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EAD151C" w14:textId="77777777" w:rsidR="00AF71AE" w:rsidRPr="00F13A8F" w:rsidRDefault="00AF71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bidi="ru-RU"/>
        </w:rPr>
      </w:pPr>
      <w:r w:rsidRPr="00F13A8F">
        <w:rPr>
          <w:lang w:bidi="ru-RU"/>
        </w:rPr>
        <w:br w:type="page"/>
      </w:r>
    </w:p>
    <w:p w14:paraId="65978B1A" w14:textId="3D293BC6" w:rsidR="0091377A" w:rsidRPr="00F13A8F" w:rsidRDefault="0091377A" w:rsidP="005434D3">
      <w:pPr>
        <w:spacing w:after="120"/>
        <w:rPr>
          <w:lang w:bidi="ru-RU"/>
        </w:rPr>
      </w:pPr>
      <w:r w:rsidRPr="00F13A8F">
        <w:rPr>
          <w:lang w:bidi="ru-RU"/>
        </w:rPr>
        <w:lastRenderedPageBreak/>
        <w:t>На диаграммах ниже представлено сравнение количества подписанных соглашений и финансовых взносов в 2022 и 2023 годах: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811"/>
      </w:tblGrid>
      <w:tr w:rsidR="005434D3" w:rsidRPr="00F13A8F" w14:paraId="732DB797" w14:textId="77777777" w:rsidTr="003A0C30">
        <w:tc>
          <w:tcPr>
            <w:tcW w:w="3828" w:type="dxa"/>
            <w:vAlign w:val="bottom"/>
          </w:tcPr>
          <w:p w14:paraId="02374C27" w14:textId="110B2FF4" w:rsidR="003A0C30" w:rsidRPr="00F13A8F" w:rsidRDefault="003A0C30" w:rsidP="003A0C30">
            <w:pPr>
              <w:spacing w:after="120"/>
              <w:rPr>
                <w:lang w:bidi="ru-RU"/>
              </w:rPr>
            </w:pPr>
            <w:r w:rsidRPr="00F13A8F">
              <w:rPr>
                <w:noProof/>
                <w:lang w:bidi="ru-RU"/>
              </w:rPr>
              <w:drawing>
                <wp:inline distT="0" distB="0" distL="0" distR="0" wp14:anchorId="74A9325F" wp14:editId="311316FC">
                  <wp:extent cx="2390775" cy="1485900"/>
                  <wp:effectExtent l="0" t="0" r="9525" b="0"/>
                  <wp:docPr id="1409144020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EF05F5-496D-7784-C159-CC59F694F6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1E71148A" w14:textId="7351E28D" w:rsidR="005434D3" w:rsidRPr="00F13A8F" w:rsidRDefault="00F13A8F" w:rsidP="003A0C30">
            <w:pPr>
              <w:spacing w:after="120"/>
              <w:jc w:val="right"/>
              <w:rPr>
                <w:lang w:bidi="ru-RU"/>
              </w:rPr>
            </w:pPr>
            <w:r w:rsidRPr="00F13A8F">
              <w:rPr>
                <w:noProof/>
                <w:lang w:bidi="ru-RU"/>
              </w:rPr>
              <w:drawing>
                <wp:inline distT="0" distB="0" distL="0" distR="0" wp14:anchorId="276D2EFD" wp14:editId="45BE7DAD">
                  <wp:extent cx="3590925" cy="1976120"/>
                  <wp:effectExtent l="0" t="0" r="9525" b="5080"/>
                  <wp:docPr id="755754079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2487B5-E061-6B49-6174-CA7E0DC050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14:paraId="4A6F622B" w14:textId="3CA3270F" w:rsidR="0091377A" w:rsidRPr="00F13A8F" w:rsidRDefault="007C7FEB" w:rsidP="007C7FEB">
      <w:pPr>
        <w:pStyle w:val="Heading1"/>
        <w:rPr>
          <w:bCs/>
          <w:szCs w:val="24"/>
        </w:rPr>
      </w:pPr>
      <w:r w:rsidRPr="00F13A8F">
        <w:rPr>
          <w:lang w:bidi="ru-RU"/>
        </w:rPr>
        <w:t>4</w:t>
      </w:r>
      <w:r w:rsidRPr="00F13A8F">
        <w:rPr>
          <w:lang w:bidi="ru-RU"/>
        </w:rPr>
        <w:tab/>
      </w:r>
      <w:r w:rsidR="0091377A" w:rsidRPr="00F13A8F">
        <w:rPr>
          <w:lang w:bidi="ru-RU"/>
        </w:rPr>
        <w:t>Основные действия и результаты</w:t>
      </w:r>
    </w:p>
    <w:p w14:paraId="2E15F50D" w14:textId="0404EC10" w:rsidR="0091377A" w:rsidRPr="00F13A8F" w:rsidRDefault="0091377A" w:rsidP="007C7FEB">
      <w:pPr>
        <w:rPr>
          <w:rStyle w:val="ui-provider"/>
        </w:rPr>
      </w:pPr>
      <w:r w:rsidRPr="00F13A8F">
        <w:rPr>
          <w:lang w:bidi="ru-RU"/>
        </w:rPr>
        <w:t xml:space="preserve">О результатах работы БРЭ, финансируемой совместно с партнерами, сообщается в примерах воздействия, размещенных по ссылке: </w:t>
      </w:r>
      <w:hyperlink r:id="rId17" w:history="1">
        <w:r w:rsidR="001A54D6" w:rsidRPr="00F13A8F">
          <w:rPr>
            <w:rStyle w:val="Hyperlink"/>
            <w:lang w:bidi="ru-RU"/>
          </w:rPr>
          <w:t>https://www.itu.int/itu-d/sites/digital-impact-unlocked/</w:t>
        </w:r>
        <w:r w:rsidR="001A54D6" w:rsidRPr="00F13A8F">
          <w:rPr>
            <w:rStyle w:val="Hyperlink"/>
            <w:lang w:bidi="ru-RU"/>
          </w:rPr>
          <w:br/>
          <w:t>all-stories/2024-edition/</w:t>
        </w:r>
      </w:hyperlink>
      <w:r w:rsidRPr="00F13A8F">
        <w:rPr>
          <w:lang w:bidi="ru-RU"/>
        </w:rPr>
        <w:t>.</w:t>
      </w:r>
    </w:p>
    <w:p w14:paraId="1B66ADA5" w14:textId="77777777" w:rsidR="0091377A" w:rsidRPr="00F13A8F" w:rsidRDefault="0091377A" w:rsidP="007C7FEB">
      <w:r w:rsidRPr="00F13A8F">
        <w:rPr>
          <w:rStyle w:val="ui-provider"/>
          <w:lang w:bidi="ru-RU"/>
        </w:rPr>
        <w:t>Ниже перечислены некоторые из мер, принятых для укрепления партнерских отношений и мобилизации ресурсов:</w:t>
      </w:r>
    </w:p>
    <w:p w14:paraId="4D205614" w14:textId="2E38EEBD" w:rsidR="0091377A" w:rsidRPr="00F13A8F" w:rsidRDefault="007C7FEB" w:rsidP="007C7FEB">
      <w:pPr>
        <w:pStyle w:val="enumlev1"/>
      </w:pPr>
      <w:r w:rsidRPr="00F13A8F">
        <w:rPr>
          <w:bCs/>
          <w:lang w:bidi="ru-RU"/>
        </w:rPr>
        <w:t>•</w:t>
      </w:r>
      <w:r w:rsidRPr="00F13A8F">
        <w:rPr>
          <w:bCs/>
          <w:lang w:bidi="ru-RU"/>
        </w:rPr>
        <w:tab/>
      </w:r>
      <w:r w:rsidR="0091377A" w:rsidRPr="00F13A8F">
        <w:rPr>
          <w:b/>
          <w:lang w:bidi="ru-RU"/>
        </w:rPr>
        <w:t>Развитие/укрепление отношений с существующими партнерами</w:t>
      </w:r>
      <w:r w:rsidR="0091377A" w:rsidRPr="00F13A8F">
        <w:rPr>
          <w:bCs/>
          <w:lang w:bidi="ru-RU"/>
        </w:rPr>
        <w:t xml:space="preserve">: </w:t>
      </w:r>
      <w:r w:rsidR="0091377A" w:rsidRPr="00F13A8F">
        <w:rPr>
          <w:lang w:bidi="ru-RU"/>
        </w:rPr>
        <w:t>БРЭ поддерживает отношения с разными видами партнеров (государственные структуры, финансовые учреждения (включая региональные банки развития), международные и региональные организации, представители частного сектора, организации системы ООН, научные круги и</w:t>
      </w:r>
      <w:r w:rsidR="00774E73" w:rsidRPr="00F13A8F">
        <w:rPr>
          <w:lang w:bidi="ru-RU"/>
        </w:rPr>
        <w:t> </w:t>
      </w:r>
      <w:r w:rsidR="0091377A" w:rsidRPr="00F13A8F">
        <w:rPr>
          <w:lang w:bidi="ru-RU"/>
        </w:rPr>
        <w:t>т. д.) из развивающихся и развитых стран, которые делятся опытом и знаниями и вносят финансовый вклад в реализацию программ, мероприятий и инициатив в области устойчивого развития</w:t>
      </w:r>
      <w:r w:rsidR="0091377A" w:rsidRPr="00F13A8F">
        <w:rPr>
          <w:rStyle w:val="FootnoteReference"/>
          <w:lang w:bidi="ru-RU"/>
        </w:rPr>
        <w:footnoteReference w:id="2"/>
      </w:r>
      <w:r w:rsidR="0091377A" w:rsidRPr="00F13A8F">
        <w:rPr>
          <w:lang w:bidi="ru-RU"/>
        </w:rPr>
        <w:t xml:space="preserve">. Учитывая, что качественные отношения, основанные на доверии, уверенности и уважении, имеют решающее значение для успешного партнерства и мобилизации ресурсов и что для построения таких отношений требуется время, БРЭ уделяет особое внимание развитию отношений со своими давними партнерами, включая тех, которые указаны в Документе </w:t>
      </w:r>
      <w:hyperlink r:id="rId18" w:history="1">
        <w:r w:rsidR="0091377A" w:rsidRPr="00F13A8F">
          <w:rPr>
            <w:rStyle w:val="Hyperlink"/>
            <w:lang w:bidi="ru-RU"/>
          </w:rPr>
          <w:t>TDAG-24/INF/1</w:t>
        </w:r>
      </w:hyperlink>
      <w:r w:rsidR="0091377A" w:rsidRPr="00F13A8F">
        <w:rPr>
          <w:lang w:bidi="ru-RU"/>
        </w:rPr>
        <w:t>.</w:t>
      </w:r>
    </w:p>
    <w:p w14:paraId="6C930D83" w14:textId="6F2FA2DD" w:rsidR="0091377A" w:rsidRPr="00F13A8F" w:rsidRDefault="007C7FEB" w:rsidP="007C7FEB">
      <w:pPr>
        <w:pStyle w:val="enumlev1"/>
      </w:pPr>
      <w:r w:rsidRPr="00F13A8F">
        <w:rPr>
          <w:bCs/>
          <w:lang w:bidi="ru-RU"/>
        </w:rPr>
        <w:t>•</w:t>
      </w:r>
      <w:r w:rsidRPr="00F13A8F">
        <w:rPr>
          <w:bCs/>
          <w:lang w:bidi="ru-RU"/>
        </w:rPr>
        <w:tab/>
      </w:r>
      <w:r w:rsidR="0091377A" w:rsidRPr="00F13A8F">
        <w:rPr>
          <w:b/>
          <w:lang w:bidi="ru-RU"/>
        </w:rPr>
        <w:t>Информационно-пропагандистская работа с новыми потенциальными партнерами</w:t>
      </w:r>
      <w:r w:rsidR="0091377A" w:rsidRPr="00F13A8F">
        <w:rPr>
          <w:lang w:bidi="ru-RU"/>
        </w:rPr>
        <w:t>: БРЭ уделяет особое внимание развитию отношений с существующими партнерами и вовлечению их в долгосрочные отношения, однако Бюро также признает важность расширения и диверсификации своего круга партнеров путем проведения информационно-пропагандистских мероприятий и целенаправленных коммуникационных кампаний в отношении потенциальных новых партнеров. Для этого и для обеспечения стратегического подхода БРЭ провело картирование, профилирование и налаживание контактов с несколькими потенциальными партнерами с целью повышения профиля БРЭ МСЭ, определения синергии и обсуждения потенциальных возможностей партнерства.</w:t>
      </w:r>
    </w:p>
    <w:p w14:paraId="607A4908" w14:textId="1187F545" w:rsidR="0091377A" w:rsidRPr="00F13A8F" w:rsidRDefault="007C7FEB" w:rsidP="007C7FEB">
      <w:pPr>
        <w:pStyle w:val="enumlev1"/>
      </w:pPr>
      <w:r w:rsidRPr="00F13A8F">
        <w:rPr>
          <w:bCs/>
          <w:lang w:bidi="ru-RU"/>
        </w:rPr>
        <w:t>•</w:t>
      </w:r>
      <w:r w:rsidRPr="00F13A8F">
        <w:rPr>
          <w:bCs/>
          <w:lang w:bidi="ru-RU"/>
        </w:rPr>
        <w:tab/>
      </w:r>
      <w:r w:rsidR="0091377A" w:rsidRPr="00F13A8F">
        <w:rPr>
          <w:b/>
          <w:lang w:bidi="ru-RU"/>
        </w:rPr>
        <w:t>Расширение сотрудничества с учреждениями системы ООН</w:t>
      </w:r>
      <w:r w:rsidR="00A018D3" w:rsidRPr="00F13A8F">
        <w:rPr>
          <w:bCs/>
          <w:lang w:bidi="ru-RU"/>
        </w:rPr>
        <w:t>.</w:t>
      </w:r>
      <w:r w:rsidR="0091377A" w:rsidRPr="00F13A8F">
        <w:rPr>
          <w:bCs/>
          <w:lang w:bidi="ru-RU"/>
        </w:rPr>
        <w:t xml:space="preserve"> </w:t>
      </w:r>
      <w:r w:rsidR="0091377A" w:rsidRPr="00F13A8F">
        <w:rPr>
          <w:lang w:bidi="ru-RU"/>
        </w:rPr>
        <w:t xml:space="preserve">БРЭ продолжает работать в тесном сотрудничестве с другими учреждениями ООН, повышая наглядность своей деятельности, в том числе уникальной роли МСЭ как ведущей организации в сфере электросвязи/ИКТ, </w:t>
      </w:r>
      <w:r w:rsidR="007B7235" w:rsidRPr="00F13A8F">
        <w:rPr>
          <w:lang w:bidi="ru-RU"/>
        </w:rPr>
        <w:t>усиливая</w:t>
      </w:r>
      <w:r w:rsidR="0091377A" w:rsidRPr="00F13A8F">
        <w:rPr>
          <w:lang w:bidi="ru-RU"/>
        </w:rPr>
        <w:t xml:space="preserve"> эффект синергии и совместного использования знаний, а также </w:t>
      </w:r>
      <w:r w:rsidR="00975495" w:rsidRPr="00F13A8F">
        <w:rPr>
          <w:lang w:bidi="ru-RU"/>
        </w:rPr>
        <w:t>обеспечивая</w:t>
      </w:r>
      <w:r w:rsidR="0091377A" w:rsidRPr="00F13A8F">
        <w:rPr>
          <w:lang w:bidi="ru-RU"/>
        </w:rPr>
        <w:t xml:space="preserve"> новые и возрастающие объемы финансирования, используя возможности для </w:t>
      </w:r>
      <w:r w:rsidR="0091377A" w:rsidRPr="00F13A8F">
        <w:rPr>
          <w:lang w:bidi="ru-RU"/>
        </w:rPr>
        <w:lastRenderedPageBreak/>
        <w:t>проведения многосторонних встреч. Тесное сотрудничество с родственными учреждениями системы ООН дает БРЭ возможность получить доступ к финансированию для реализации совместных проектов на национальном, региональном и глобальном уровнях при реализации Повестки дня на период до 2030 года.</w:t>
      </w:r>
    </w:p>
    <w:p w14:paraId="4E50AE11" w14:textId="61FE7EA9" w:rsidR="0091377A" w:rsidRPr="00F13A8F" w:rsidRDefault="0091377A" w:rsidP="007C7FEB">
      <w:pPr>
        <w:rPr>
          <w:lang w:bidi="ru-RU"/>
        </w:rPr>
      </w:pPr>
      <w:r w:rsidRPr="00F13A8F">
        <w:rPr>
          <w:lang w:bidi="ru-RU"/>
        </w:rPr>
        <w:t>Реализация вышеуказанных мер способствовала значительному увеличению финансовых взносов, подписанных БРЭ в 2023 году для поддержки реализации проектов, программ и инициатив в области развития на глобальном, региональном и национальном уровнях.</w:t>
      </w:r>
    </w:p>
    <w:p w14:paraId="7AA5F92B" w14:textId="367C771B" w:rsidR="001A54D6" w:rsidRPr="00F13A8F" w:rsidRDefault="001A54D6" w:rsidP="00F13A8F">
      <w:pPr>
        <w:spacing w:before="240" w:after="120"/>
        <w:jc w:val="center"/>
      </w:pPr>
      <w:r w:rsidRPr="00F13A8F">
        <w:rPr>
          <w:noProof/>
        </w:rPr>
        <w:drawing>
          <wp:inline distT="0" distB="0" distL="0" distR="0" wp14:anchorId="5FF20CF1" wp14:editId="5F41CB33">
            <wp:extent cx="5850256" cy="2796538"/>
            <wp:effectExtent l="0" t="0" r="17145" b="4445"/>
            <wp:docPr id="19574414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5F8E9C-C52C-065A-9C9F-4D37F7F1F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B2A5983" w14:textId="73A6265E" w:rsidR="0091377A" w:rsidRPr="00F13A8F" w:rsidRDefault="007C7FEB" w:rsidP="007C7FEB">
      <w:pPr>
        <w:pStyle w:val="Heading1"/>
        <w:rPr>
          <w:bCs/>
          <w:szCs w:val="24"/>
        </w:rPr>
      </w:pPr>
      <w:r w:rsidRPr="00F13A8F">
        <w:rPr>
          <w:lang w:bidi="ru-RU"/>
        </w:rPr>
        <w:t>5</w:t>
      </w:r>
      <w:r w:rsidRPr="00F13A8F">
        <w:rPr>
          <w:lang w:bidi="ru-RU"/>
        </w:rPr>
        <w:tab/>
      </w:r>
      <w:r w:rsidR="0091377A" w:rsidRPr="00F13A8F">
        <w:rPr>
          <w:lang w:bidi="ru-RU"/>
        </w:rPr>
        <w:t>Дальнейшие действия</w:t>
      </w:r>
    </w:p>
    <w:p w14:paraId="42B8B8FA" w14:textId="62DFA0A4" w:rsidR="0091377A" w:rsidRPr="00F13A8F" w:rsidRDefault="0091377A" w:rsidP="007C7FEB">
      <w:pPr>
        <w:rPr>
          <w:rFonts w:asciiTheme="minorHAnsi" w:hAnsiTheme="minorHAnsi"/>
          <w:szCs w:val="20"/>
        </w:rPr>
      </w:pPr>
      <w:r w:rsidRPr="00F13A8F">
        <w:rPr>
          <w:lang w:bidi="ru-RU"/>
        </w:rPr>
        <w:t xml:space="preserve">БРЭ выражает признательность и благодарность своим давним партнерам, а также новым партнерам, благодаря которым удается поддерживать реализацию проектов, программ и инициатив на глобальном, региональном и национальном уровнях. БРЭ будет продолжать развивать и укреплять партнерские отношения с различными заинтересованными сторонами </w:t>
      </w:r>
      <w:r w:rsidR="00774E73" w:rsidRPr="00F13A8F">
        <w:rPr>
          <w:lang w:bidi="ru-RU"/>
        </w:rPr>
        <w:t>−</w:t>
      </w:r>
      <w:r w:rsidRPr="00F13A8F">
        <w:rPr>
          <w:lang w:bidi="ru-RU"/>
        </w:rPr>
        <w:t xml:space="preserve"> Государствами-Членами, учреждениями системы Организации Объединенных Наций, банками развития, представителями частного сектора и соответствующих отраслей.</w:t>
      </w:r>
    </w:p>
    <w:p w14:paraId="66B0DB29" w14:textId="12D5AFB2" w:rsidR="007C7FEB" w:rsidRPr="00F13A8F" w:rsidRDefault="007C7FEB" w:rsidP="007C7FEB">
      <w:pPr>
        <w:spacing w:before="720"/>
        <w:jc w:val="center"/>
      </w:pPr>
      <w:r w:rsidRPr="00F13A8F">
        <w:t>______________</w:t>
      </w:r>
    </w:p>
    <w:sectPr w:rsidR="007C7FEB" w:rsidRPr="00F13A8F" w:rsidSect="003C394F">
      <w:headerReference w:type="default" r:id="rId20"/>
      <w:footerReference w:type="first" r:id="rId21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62AC" w14:textId="77777777" w:rsidR="00B05635" w:rsidRDefault="00B05635" w:rsidP="00E54FD2">
      <w:pPr>
        <w:spacing w:before="0"/>
      </w:pPr>
      <w:r>
        <w:separator/>
      </w:r>
    </w:p>
  </w:endnote>
  <w:endnote w:type="continuationSeparator" w:id="0">
    <w:p w14:paraId="2C2B75E9" w14:textId="77777777" w:rsidR="00B05635" w:rsidRDefault="00B05635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3260"/>
      <w:gridCol w:w="4961"/>
    </w:tblGrid>
    <w:tr w:rsidR="007C7FEB" w:rsidRPr="003C394F" w14:paraId="3A450548" w14:textId="77777777" w:rsidTr="007C7FEB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51361BC8" w14:textId="2919C7F4" w:rsidR="007C7FEB" w:rsidRPr="003C394F" w:rsidRDefault="007C7FEB" w:rsidP="0091377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3C394F">
            <w:rPr>
              <w:sz w:val="18"/>
              <w:szCs w:val="18"/>
            </w:rPr>
            <w:t>Для контактов</w:t>
          </w:r>
          <w:r w:rsidRPr="003C394F">
            <w:rPr>
              <w:sz w:val="18"/>
              <w:szCs w:val="18"/>
              <w:lang w:val="en-US"/>
            </w:rPr>
            <w:t>:</w:t>
          </w:r>
        </w:p>
      </w:tc>
      <w:tc>
        <w:tcPr>
          <w:tcW w:w="3260" w:type="dxa"/>
          <w:tcBorders>
            <w:top w:val="single" w:sz="4" w:space="0" w:color="000000"/>
          </w:tcBorders>
        </w:tcPr>
        <w:p w14:paraId="23D4ABFD" w14:textId="77777777" w:rsidR="007C7FEB" w:rsidRPr="003C394F" w:rsidRDefault="007C7FEB" w:rsidP="0091377A">
          <w:pPr>
            <w:pStyle w:val="FirstFooter"/>
            <w:spacing w:before="40"/>
            <w:rPr>
              <w:sz w:val="18"/>
              <w:szCs w:val="18"/>
              <w:lang w:val="en-US"/>
            </w:rPr>
          </w:pPr>
          <w:r w:rsidRPr="003C394F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/>
          </w:tcBorders>
        </w:tcPr>
        <w:p w14:paraId="01E5CD44" w14:textId="1D2C1759" w:rsidR="007C7FEB" w:rsidRPr="003C394F" w:rsidRDefault="007C7FEB" w:rsidP="0091377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3C394F">
            <w:rPr>
              <w:sz w:val="18"/>
              <w:szCs w:val="18"/>
              <w:lang w:bidi="ru-RU"/>
            </w:rPr>
            <w:t>г-жа Сандрин Гийо (Ms Sandrine Guyot), руководитель Отдела партнерских отношений и мобилизации ресурсов Департамента цифрового развития БРЭ</w:t>
          </w:r>
        </w:p>
      </w:tc>
    </w:tr>
    <w:tr w:rsidR="007C7FEB" w:rsidRPr="003C394F" w14:paraId="59221345" w14:textId="77777777" w:rsidTr="007C7FEB">
      <w:tc>
        <w:tcPr>
          <w:tcW w:w="1418" w:type="dxa"/>
          <w:shd w:val="clear" w:color="auto" w:fill="auto"/>
        </w:tcPr>
        <w:p w14:paraId="04E87779" w14:textId="77777777" w:rsidR="007C7FEB" w:rsidRPr="003C394F" w:rsidRDefault="007C7FEB" w:rsidP="0091377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60" w:type="dxa"/>
        </w:tcPr>
        <w:p w14:paraId="653C080A" w14:textId="77777777" w:rsidR="007C7FEB" w:rsidRPr="003C394F" w:rsidRDefault="007C7FEB" w:rsidP="0091377A">
          <w:pPr>
            <w:pStyle w:val="FirstFooter"/>
            <w:spacing w:before="40"/>
            <w:rPr>
              <w:sz w:val="18"/>
              <w:szCs w:val="18"/>
            </w:rPr>
          </w:pPr>
          <w:r w:rsidRPr="003C394F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14:paraId="72CF6AB1" w14:textId="4A0B61B2" w:rsidR="007C7FEB" w:rsidRPr="003C394F" w:rsidRDefault="007C7FEB" w:rsidP="0091377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C394F">
            <w:rPr>
              <w:sz w:val="18"/>
              <w:szCs w:val="18"/>
              <w:lang w:bidi="ru-RU"/>
            </w:rPr>
            <w:t>+41 22 7305100</w:t>
          </w:r>
        </w:p>
      </w:tc>
    </w:tr>
    <w:tr w:rsidR="007C7FEB" w:rsidRPr="003C394F" w14:paraId="00A1C1CA" w14:textId="77777777" w:rsidTr="007C7FEB">
      <w:tc>
        <w:tcPr>
          <w:tcW w:w="1418" w:type="dxa"/>
          <w:shd w:val="clear" w:color="auto" w:fill="auto"/>
        </w:tcPr>
        <w:p w14:paraId="0B4A2F10" w14:textId="77777777" w:rsidR="007C7FEB" w:rsidRPr="003C394F" w:rsidRDefault="007C7FEB" w:rsidP="0091377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60" w:type="dxa"/>
        </w:tcPr>
        <w:p w14:paraId="37FC28FE" w14:textId="77777777" w:rsidR="007C7FEB" w:rsidRPr="003C394F" w:rsidRDefault="007C7FEB" w:rsidP="0091377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3C394F">
            <w:rPr>
              <w:sz w:val="18"/>
              <w:szCs w:val="18"/>
            </w:rPr>
            <w:t>Эл. почта</w:t>
          </w:r>
          <w:r w:rsidRPr="003C394F">
            <w:rPr>
              <w:sz w:val="18"/>
              <w:szCs w:val="18"/>
              <w:lang w:val="en-US"/>
            </w:rPr>
            <w:t>:</w:t>
          </w:r>
        </w:p>
      </w:tc>
      <w:tc>
        <w:tcPr>
          <w:tcW w:w="4961" w:type="dxa"/>
        </w:tcPr>
        <w:p w14:paraId="2F09963D" w14:textId="31AFBD96" w:rsidR="007C7FEB" w:rsidRPr="003C394F" w:rsidRDefault="000E6EDA" w:rsidP="0091377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7C7FEB" w:rsidRPr="003C394F">
              <w:rPr>
                <w:rStyle w:val="Hyperlink"/>
                <w:sz w:val="18"/>
                <w:szCs w:val="18"/>
                <w:lang w:bidi="ru-RU"/>
              </w:rPr>
              <w:t>sandrine.guyot@itu.int</w:t>
            </w:r>
          </w:hyperlink>
          <w:r w:rsidR="007C7FEB" w:rsidRPr="003C394F">
            <w:rPr>
              <w:sz w:val="18"/>
              <w:szCs w:val="18"/>
              <w:lang w:bidi="ru-RU"/>
            </w:rPr>
            <w:t xml:space="preserve"> </w:t>
          </w:r>
        </w:p>
      </w:tc>
    </w:tr>
  </w:tbl>
  <w:p w14:paraId="45A138E1" w14:textId="3E68D424" w:rsidR="00B52E6E" w:rsidRPr="00F320E9" w:rsidRDefault="00B52E6E" w:rsidP="00CF6561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caps/>
        <w:noProof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7EF8" w14:textId="77777777" w:rsidR="00B05635" w:rsidRDefault="00B05635" w:rsidP="00E54FD2">
      <w:pPr>
        <w:spacing w:before="0"/>
      </w:pPr>
      <w:r>
        <w:separator/>
      </w:r>
    </w:p>
  </w:footnote>
  <w:footnote w:type="continuationSeparator" w:id="0">
    <w:p w14:paraId="11776500" w14:textId="77777777" w:rsidR="00B05635" w:rsidRDefault="00B05635" w:rsidP="00E54FD2">
      <w:pPr>
        <w:spacing w:before="0"/>
      </w:pPr>
      <w:r>
        <w:continuationSeparator/>
      </w:r>
    </w:p>
  </w:footnote>
  <w:footnote w:id="1">
    <w:p w14:paraId="1A2FE265" w14:textId="1A88B408" w:rsidR="0091377A" w:rsidRPr="00E42DFE" w:rsidRDefault="0091377A" w:rsidP="007C7FEB">
      <w:pPr>
        <w:pStyle w:val="FootnoteText"/>
        <w:tabs>
          <w:tab w:val="clear" w:pos="256"/>
        </w:tabs>
      </w:pPr>
      <w:r w:rsidRPr="007C7FEB">
        <w:rPr>
          <w:rStyle w:val="FootnoteReference"/>
        </w:rPr>
        <w:footnoteRef/>
      </w:r>
      <w:r w:rsidR="007C7FEB">
        <w:tab/>
      </w:r>
      <w:hyperlink r:id="rId1" w:tgtFrame="_blank" w:tooltip="https://www.itu.int/itu-d/sites/partnerships/" w:history="1">
        <w:r w:rsidRPr="00E42DFE">
          <w:rPr>
            <w:rStyle w:val="Hyperlink"/>
            <w:lang w:bidi="ru-RU"/>
          </w:rPr>
          <w:t>https://www.itu.int/itu-d/sites/partnerships/</w:t>
        </w:r>
      </w:hyperlink>
      <w:r w:rsidR="007C7FEB">
        <w:rPr>
          <w:lang w:bidi="ru-RU"/>
        </w:rPr>
        <w:t>.</w:t>
      </w:r>
    </w:p>
  </w:footnote>
  <w:footnote w:id="2">
    <w:p w14:paraId="3A0D017A" w14:textId="7FAFE092" w:rsidR="0091377A" w:rsidRPr="00E42DFE" w:rsidRDefault="0091377A" w:rsidP="007C7FEB">
      <w:pPr>
        <w:pStyle w:val="FootnoteText"/>
        <w:tabs>
          <w:tab w:val="clear" w:pos="256"/>
        </w:tabs>
      </w:pPr>
      <w:r w:rsidRPr="007C7FEB">
        <w:rPr>
          <w:rStyle w:val="FootnoteReference"/>
        </w:rPr>
        <w:footnoteRef/>
      </w:r>
      <w:r w:rsidR="007C7FEB">
        <w:rPr>
          <w:lang w:bidi="ru-RU"/>
        </w:rPr>
        <w:tab/>
      </w:r>
      <w:hyperlink r:id="rId2" w:history="1">
        <w:r w:rsidR="007C7FEB" w:rsidRPr="00DC16C6">
          <w:rPr>
            <w:rStyle w:val="Hyperlink"/>
            <w:lang w:val="en-GB" w:bidi="ru-RU"/>
          </w:rPr>
          <w:t>https</w:t>
        </w:r>
        <w:r w:rsidR="007C7FEB" w:rsidRPr="00DC16C6">
          <w:rPr>
            <w:rStyle w:val="Hyperlink"/>
            <w:lang w:bidi="ru-RU"/>
          </w:rPr>
          <w:t>://</w:t>
        </w:r>
        <w:r w:rsidR="007C7FEB" w:rsidRPr="00DC16C6">
          <w:rPr>
            <w:rStyle w:val="Hyperlink"/>
            <w:lang w:val="en-GB" w:bidi="ru-RU"/>
          </w:rPr>
          <w:t>www</w:t>
        </w:r>
        <w:r w:rsidR="007C7FEB" w:rsidRPr="00DC16C6">
          <w:rPr>
            <w:rStyle w:val="Hyperlink"/>
            <w:lang w:bidi="ru-RU"/>
          </w:rPr>
          <w:t>.</w:t>
        </w:r>
        <w:r w:rsidR="007C7FEB" w:rsidRPr="00DC16C6">
          <w:rPr>
            <w:rStyle w:val="Hyperlink"/>
            <w:lang w:val="en-GB" w:bidi="ru-RU"/>
          </w:rPr>
          <w:t>itu</w:t>
        </w:r>
        <w:r w:rsidR="007C7FEB" w:rsidRPr="00DC16C6">
          <w:rPr>
            <w:rStyle w:val="Hyperlink"/>
            <w:lang w:bidi="ru-RU"/>
          </w:rPr>
          <w:t>.</w:t>
        </w:r>
        <w:r w:rsidR="007C7FEB" w:rsidRPr="00DC16C6">
          <w:rPr>
            <w:rStyle w:val="Hyperlink"/>
            <w:lang w:val="en-GB" w:bidi="ru-RU"/>
          </w:rPr>
          <w:t>int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en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ITU</w:t>
        </w:r>
        <w:r w:rsidR="007C7FEB" w:rsidRPr="00DC16C6">
          <w:rPr>
            <w:rStyle w:val="Hyperlink"/>
            <w:lang w:bidi="ru-RU"/>
          </w:rPr>
          <w:t>-</w:t>
        </w:r>
        <w:r w:rsidR="007C7FEB" w:rsidRPr="00DC16C6">
          <w:rPr>
            <w:rStyle w:val="Hyperlink"/>
            <w:lang w:val="en-GB" w:bidi="ru-RU"/>
          </w:rPr>
          <w:t>D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MembersPartners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Pages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Partners</w:t>
        </w:r>
        <w:r w:rsidR="007C7FEB" w:rsidRPr="00DC16C6">
          <w:rPr>
            <w:rStyle w:val="Hyperlink"/>
            <w:lang w:bidi="ru-RU"/>
          </w:rPr>
          <w:t>/</w:t>
        </w:r>
        <w:r w:rsidR="007C7FEB" w:rsidRPr="00DC16C6">
          <w:rPr>
            <w:rStyle w:val="Hyperlink"/>
            <w:lang w:val="en-GB" w:bidi="ru-RU"/>
          </w:rPr>
          <w:t>List</w:t>
        </w:r>
        <w:r w:rsidR="007C7FEB" w:rsidRPr="00DC16C6">
          <w:rPr>
            <w:rStyle w:val="Hyperlink"/>
            <w:lang w:bidi="ru-RU"/>
          </w:rPr>
          <w:t>-</w:t>
        </w:r>
        <w:r w:rsidR="007C7FEB" w:rsidRPr="00DC16C6">
          <w:rPr>
            <w:rStyle w:val="Hyperlink"/>
            <w:lang w:val="en-GB" w:bidi="ru-RU"/>
          </w:rPr>
          <w:t>of</w:t>
        </w:r>
        <w:r w:rsidR="007C7FEB" w:rsidRPr="00DC16C6">
          <w:rPr>
            <w:rStyle w:val="Hyperlink"/>
            <w:lang w:bidi="ru-RU"/>
          </w:rPr>
          <w:t>-</w:t>
        </w:r>
        <w:r w:rsidR="007C7FEB" w:rsidRPr="00DC16C6">
          <w:rPr>
            <w:rStyle w:val="Hyperlink"/>
            <w:lang w:val="en-GB" w:bidi="ru-RU"/>
          </w:rPr>
          <w:t>Partners</w:t>
        </w:r>
        <w:r w:rsidR="007C7FEB" w:rsidRPr="00DC16C6">
          <w:rPr>
            <w:rStyle w:val="Hyperlink"/>
            <w:lang w:bidi="ru-RU"/>
          </w:rPr>
          <w:t>.</w:t>
        </w:r>
        <w:r w:rsidR="007C7FEB" w:rsidRPr="00DC16C6">
          <w:rPr>
            <w:rStyle w:val="Hyperlink"/>
            <w:lang w:val="en-GB" w:bidi="ru-RU"/>
          </w:rPr>
          <w:t>aspx</w:t>
        </w:r>
      </w:hyperlink>
      <w:r w:rsidR="007C7FEB">
        <w:rPr>
          <w:lang w:bidi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4A6" w14:textId="11DC7077" w:rsidR="003A294B" w:rsidRPr="00701E31" w:rsidRDefault="003A294B" w:rsidP="007C7FEB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spacing w:before="0"/>
      <w:rPr>
        <w:smallCaps/>
        <w:spacing w:val="24"/>
      </w:rPr>
    </w:pPr>
    <w:r w:rsidRPr="00972BCD">
      <w:tab/>
    </w:r>
    <w:r w:rsidRPr="004D0E96">
      <w:t>TDAG</w:t>
    </w:r>
    <w:r w:rsidR="0040328D" w:rsidRPr="004D0E96">
      <w:t>-</w:t>
    </w:r>
    <w:r w:rsidR="002931FA" w:rsidRPr="004D0E96">
      <w:rPr>
        <w:lang w:val="en-US"/>
      </w:rPr>
      <w:t>2</w:t>
    </w:r>
    <w:r w:rsidR="005B429D">
      <w:t>4</w:t>
    </w:r>
    <w:r w:rsidR="00F105F5">
      <w:rPr>
        <w:lang w:val="en-GB"/>
      </w:rPr>
      <w:t>/</w:t>
    </w:r>
    <w:r w:rsidR="0091377A">
      <w:t>4</w:t>
    </w:r>
    <w:r w:rsidR="00794A24">
      <w:t>(</w:t>
    </w:r>
    <w:r w:rsidR="00794A24">
      <w:rPr>
        <w:lang w:val="en-GB"/>
      </w:rPr>
      <w:t>Rev.1)</w:t>
    </w:r>
    <w:r w:rsidRPr="004D0E96">
      <w:t>-R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4A6"/>
    <w:multiLevelType w:val="hybridMultilevel"/>
    <w:tmpl w:val="6352A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D35AA"/>
    <w:multiLevelType w:val="hybridMultilevel"/>
    <w:tmpl w:val="C6CC1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44A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4345467">
    <w:abstractNumId w:val="0"/>
  </w:num>
  <w:num w:numId="2" w16cid:durableId="468130250">
    <w:abstractNumId w:val="2"/>
  </w:num>
  <w:num w:numId="3" w16cid:durableId="1982422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C09B0"/>
    <w:rsid w:val="000E3834"/>
    <w:rsid w:val="000E6EDA"/>
    <w:rsid w:val="00107E03"/>
    <w:rsid w:val="00111662"/>
    <w:rsid w:val="00134D3C"/>
    <w:rsid w:val="00135135"/>
    <w:rsid w:val="001530FB"/>
    <w:rsid w:val="00153FED"/>
    <w:rsid w:val="00191479"/>
    <w:rsid w:val="00197305"/>
    <w:rsid w:val="001A54D6"/>
    <w:rsid w:val="001C6DD3"/>
    <w:rsid w:val="001E3E78"/>
    <w:rsid w:val="00202D0A"/>
    <w:rsid w:val="002219FC"/>
    <w:rsid w:val="002236F8"/>
    <w:rsid w:val="00233B04"/>
    <w:rsid w:val="002363C5"/>
    <w:rsid w:val="00240F57"/>
    <w:rsid w:val="002502FE"/>
    <w:rsid w:val="00251664"/>
    <w:rsid w:val="00252C12"/>
    <w:rsid w:val="00257C2C"/>
    <w:rsid w:val="00270876"/>
    <w:rsid w:val="002717CC"/>
    <w:rsid w:val="002931FA"/>
    <w:rsid w:val="002D48F4"/>
    <w:rsid w:val="00316454"/>
    <w:rsid w:val="00366978"/>
    <w:rsid w:val="003A0C30"/>
    <w:rsid w:val="003A294B"/>
    <w:rsid w:val="003C01D0"/>
    <w:rsid w:val="003C394F"/>
    <w:rsid w:val="003C6E83"/>
    <w:rsid w:val="003E6E87"/>
    <w:rsid w:val="0040328D"/>
    <w:rsid w:val="004138D7"/>
    <w:rsid w:val="004143D5"/>
    <w:rsid w:val="00422053"/>
    <w:rsid w:val="00437E87"/>
    <w:rsid w:val="004453D8"/>
    <w:rsid w:val="00467937"/>
    <w:rsid w:val="004713B8"/>
    <w:rsid w:val="00492670"/>
    <w:rsid w:val="004D0E96"/>
    <w:rsid w:val="004D3B3B"/>
    <w:rsid w:val="004E4490"/>
    <w:rsid w:val="00500FE9"/>
    <w:rsid w:val="00525DEF"/>
    <w:rsid w:val="005434D3"/>
    <w:rsid w:val="0056204A"/>
    <w:rsid w:val="005773D4"/>
    <w:rsid w:val="005B429D"/>
    <w:rsid w:val="005C0551"/>
    <w:rsid w:val="005D4DF3"/>
    <w:rsid w:val="005E006A"/>
    <w:rsid w:val="00613976"/>
    <w:rsid w:val="0061777D"/>
    <w:rsid w:val="00631202"/>
    <w:rsid w:val="00655923"/>
    <w:rsid w:val="00677124"/>
    <w:rsid w:val="00694764"/>
    <w:rsid w:val="006F5E91"/>
    <w:rsid w:val="00701E31"/>
    <w:rsid w:val="00774E73"/>
    <w:rsid w:val="00780406"/>
    <w:rsid w:val="00794A24"/>
    <w:rsid w:val="007B7235"/>
    <w:rsid w:val="007C7FEB"/>
    <w:rsid w:val="007E6B3A"/>
    <w:rsid w:val="00801691"/>
    <w:rsid w:val="008112E9"/>
    <w:rsid w:val="0081533E"/>
    <w:rsid w:val="00875722"/>
    <w:rsid w:val="008A529D"/>
    <w:rsid w:val="008C576E"/>
    <w:rsid w:val="009135B4"/>
    <w:rsid w:val="0091377A"/>
    <w:rsid w:val="00916B10"/>
    <w:rsid w:val="00933E0E"/>
    <w:rsid w:val="00965DE3"/>
    <w:rsid w:val="00975495"/>
    <w:rsid w:val="00982196"/>
    <w:rsid w:val="009C5B8E"/>
    <w:rsid w:val="009D56B9"/>
    <w:rsid w:val="00A018D3"/>
    <w:rsid w:val="00A30897"/>
    <w:rsid w:val="00A44602"/>
    <w:rsid w:val="00A64F9D"/>
    <w:rsid w:val="00A73D91"/>
    <w:rsid w:val="00AA42F8"/>
    <w:rsid w:val="00AC2E0E"/>
    <w:rsid w:val="00AC5A99"/>
    <w:rsid w:val="00AC6023"/>
    <w:rsid w:val="00AE0BB7"/>
    <w:rsid w:val="00AE1BA7"/>
    <w:rsid w:val="00AF71AE"/>
    <w:rsid w:val="00B05635"/>
    <w:rsid w:val="00B222FE"/>
    <w:rsid w:val="00B24169"/>
    <w:rsid w:val="00B35CB3"/>
    <w:rsid w:val="00B52E6E"/>
    <w:rsid w:val="00B53BCA"/>
    <w:rsid w:val="00B66603"/>
    <w:rsid w:val="00B726C0"/>
    <w:rsid w:val="00B75868"/>
    <w:rsid w:val="00B86DFA"/>
    <w:rsid w:val="00B9410B"/>
    <w:rsid w:val="00B961EF"/>
    <w:rsid w:val="00BB2518"/>
    <w:rsid w:val="00BC5F20"/>
    <w:rsid w:val="00BD2C91"/>
    <w:rsid w:val="00BD7A1A"/>
    <w:rsid w:val="00C15500"/>
    <w:rsid w:val="00C3333A"/>
    <w:rsid w:val="00C33388"/>
    <w:rsid w:val="00C62E82"/>
    <w:rsid w:val="00C677D2"/>
    <w:rsid w:val="00C71A6F"/>
    <w:rsid w:val="00C84CCD"/>
    <w:rsid w:val="00C85F0C"/>
    <w:rsid w:val="00C86F7C"/>
    <w:rsid w:val="00CB0B58"/>
    <w:rsid w:val="00CD1F3E"/>
    <w:rsid w:val="00CD34AE"/>
    <w:rsid w:val="00CE37A1"/>
    <w:rsid w:val="00CE5E7B"/>
    <w:rsid w:val="00CF3515"/>
    <w:rsid w:val="00CF6561"/>
    <w:rsid w:val="00D16175"/>
    <w:rsid w:val="00D712FE"/>
    <w:rsid w:val="00D923CD"/>
    <w:rsid w:val="00D93FCC"/>
    <w:rsid w:val="00DA4610"/>
    <w:rsid w:val="00DC354B"/>
    <w:rsid w:val="00DD19E1"/>
    <w:rsid w:val="00DD5D8C"/>
    <w:rsid w:val="00E06A7D"/>
    <w:rsid w:val="00E30170"/>
    <w:rsid w:val="00E36BAB"/>
    <w:rsid w:val="00E54FD2"/>
    <w:rsid w:val="00E82D31"/>
    <w:rsid w:val="00EE153D"/>
    <w:rsid w:val="00EE43D9"/>
    <w:rsid w:val="00F105F5"/>
    <w:rsid w:val="00F13A8F"/>
    <w:rsid w:val="00F320E9"/>
    <w:rsid w:val="00F72A94"/>
    <w:rsid w:val="00F746B3"/>
    <w:rsid w:val="00F961B7"/>
    <w:rsid w:val="00FA2BC3"/>
    <w:rsid w:val="00FA6BDB"/>
    <w:rsid w:val="00FB7FA8"/>
    <w:rsid w:val="00FC1008"/>
    <w:rsid w:val="00FC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F7EE3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7C7FE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basedOn w:val="DefaultParagraphFont"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C7FEB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1530FB"/>
    <w:pPr>
      <w:spacing w:before="16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F105F5"/>
    <w:rPr>
      <w:rFonts w:ascii="Calibri" w:eastAsia="Times New Roman" w:hAnsi="Calibri" w:cs="Times New Roman Bold"/>
      <w:b/>
      <w:lang w:val="ru-RU" w:eastAsia="en-US"/>
    </w:rPr>
  </w:style>
  <w:style w:type="paragraph" w:styleId="BodyText">
    <w:name w:val="Body Text"/>
    <w:basedOn w:val="Normal"/>
    <w:link w:val="BodyTextChar"/>
    <w:uiPriority w:val="99"/>
    <w:unhideWhenUsed/>
    <w:rsid w:val="00C677D2"/>
    <w:pPr>
      <w:framePr w:hSpace="180" w:wrap="around" w:vAnchor="page" w:hAnchor="margin" w:y="790"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cstheme="minorHAnsi"/>
      <w:b/>
      <w:bCs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677D2"/>
    <w:rPr>
      <w:rFonts w:ascii="Calibri" w:eastAsia="Times New Roman" w:hAnsi="Calibri" w:cstheme="minorHAnsi"/>
      <w:b/>
      <w:bCs/>
      <w:sz w:val="32"/>
      <w:szCs w:val="32"/>
      <w:lang w:val="ru-RU"/>
    </w:rPr>
  </w:style>
  <w:style w:type="paragraph" w:styleId="ListParagraph">
    <w:name w:val="List Paragraph"/>
    <w:basedOn w:val="Normal"/>
    <w:link w:val="ListParagraphChar"/>
    <w:uiPriority w:val="34"/>
    <w:qFormat/>
    <w:rsid w:val="009137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paragraph" w:customStyle="1" w:styleId="Default">
    <w:name w:val="Default"/>
    <w:rsid w:val="009137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1377A"/>
    <w:rPr>
      <w:rFonts w:eastAsia="Times New Roman" w:cs="Times New Roman"/>
      <w:sz w:val="24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91377A"/>
  </w:style>
  <w:style w:type="character" w:styleId="UnresolvedMention">
    <w:name w:val="Unresolved Mention"/>
    <w:basedOn w:val="DefaultParagraphFont"/>
    <w:uiPriority w:val="99"/>
    <w:semiHidden/>
    <w:unhideWhenUsed/>
    <w:rsid w:val="007C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hyperlink" Target="https://www.itu.int/md/D22-TDAG31-INF-0001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D22-TDAG31-INF-0001/" TargetMode="External"/><Relationship Id="rId17" Type="http://schemas.openxmlformats.org/officeDocument/2006/relationships/hyperlink" Target="https://www.itu.int/itu-d/sites/digital-impact-unlocked/all-stories/2024-edition/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yperlink" Target="https://www.itu.int/md/D22-TDAG31-INF-0001/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rine.guyot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MembersPartners/Pages/Partners/List-of-Partners.aspx" TargetMode="External"/><Relationship Id="rId1" Type="http://schemas.openxmlformats.org/officeDocument/2006/relationships/hyperlink" Target="https://www.itu.int/itu-d/sites/partnership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anna_perlin_itu_int/Documents/Desktop/Quaterly%20report%20Q4/Report%20Q4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blue\dfs\pool\RUS\2400588R-Chart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Соглашения</a:t>
            </a:r>
            <a:r>
              <a:rPr lang="ru-RU" sz="1100" b="1" baseline="0"/>
              <a:t> о совместном финансировании </a:t>
            </a:r>
            <a:r>
              <a:rPr lang="en-GB" sz="1100" b="1"/>
              <a:t>(2023</a:t>
            </a:r>
            <a:r>
              <a:rPr lang="ru-RU" sz="1100" b="1"/>
              <a:t> г.</a:t>
            </a:r>
            <a:r>
              <a:rPr lang="en-GB" sz="1100" b="1"/>
              <a:t>)</a:t>
            </a:r>
          </a:p>
        </c:rich>
      </c:tx>
      <c:layout>
        <c:manualLayout>
          <c:xMode val="edge"/>
          <c:yMode val="edge"/>
          <c:x val="0.24018377696446791"/>
          <c:y val="3.7245748881049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5158077702914987E-2"/>
          <c:y val="0.21385453180008274"/>
          <c:w val="0.93888888888888888"/>
          <c:h val="0.67145778652668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C10-D94F-910B-A930652F301F}"/>
              </c:ext>
            </c:extLst>
          </c:dPt>
          <c:dPt>
            <c:idx val="1"/>
            <c:bubble3D val="0"/>
            <c:explosion val="34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C10-D94F-910B-A930652F301F}"/>
              </c:ext>
            </c:extLst>
          </c:dPt>
          <c:dLbls>
            <c:dLbl>
              <c:idx val="0"/>
              <c:layout>
                <c:manualLayout>
                  <c:x val="5.4806872205571448E-2"/>
                  <c:y val="5.356721693762036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МСЭ (</a:t>
                    </a:r>
                    <a:r>
                      <a:rPr lang="ru-RU" sz="1000" b="1" baseline="0">
                        <a:solidFill>
                          <a:schemeClr val="tx2">
                            <a:lumMod val="50000"/>
                          </a:schemeClr>
                        </a:solidFill>
                      </a:rPr>
                      <a:t>9%)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413028824789417"/>
                      <c:h val="8.634321050584178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AC10-D94F-910B-A930652F301F}"/>
                </c:ext>
              </c:extLst>
            </c:dLbl>
            <c:dLbl>
              <c:idx val="1"/>
              <c:layout>
                <c:manualLayout>
                  <c:x val="0.14995847459460712"/>
                  <c:y val="-0.28382491950846178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solidFill>
                          <a:schemeClr val="bg1"/>
                        </a:solidFill>
                      </a:rPr>
                      <a:t>Партнеры (</a:t>
                    </a:r>
                    <a:r>
                      <a:rPr lang="ru-RU" sz="1000" b="1" baseline="0">
                        <a:solidFill>
                          <a:schemeClr val="bg1"/>
                        </a:solidFill>
                      </a:rPr>
                      <a:t>91%)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C10-D94F-910B-A930652F30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'[Report Q4 2023.xlsx]% ITU vs partners'!$D$5:$E$5</c:f>
              <c:strCache>
                <c:ptCount val="2"/>
                <c:pt idx="0">
                  <c:v>ITU component</c:v>
                </c:pt>
                <c:pt idx="1">
                  <c:v>Partner's component </c:v>
                </c:pt>
              </c:strCache>
            </c:strRef>
          </c:cat>
          <c:val>
            <c:numRef>
              <c:f>'[Report Q4 2023.xlsx]% ITU vs partners'!$D$7:$E$7</c:f>
              <c:numCache>
                <c:formatCode>0.00%</c:formatCode>
                <c:ptCount val="2"/>
                <c:pt idx="0">
                  <c:v>9.1467667605435649E-2</c:v>
                </c:pt>
                <c:pt idx="1">
                  <c:v>0.90853233239456432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C10-D94F-910B-A930652F301F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600"/>
        </a:spcBef>
        <a:spcAft>
          <a:spcPts val="600"/>
        </a:spcAft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Финансовые взносы партнеров БРЭ</a:t>
            </a:r>
          </a:p>
          <a:p>
            <a:pPr>
              <a:defRPr b="1"/>
            </a:pP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(2023 г.)</a:t>
            </a:r>
            <a:endParaRPr lang="en-GB" b="1"/>
          </a:p>
        </c:rich>
      </c:tx>
      <c:layout>
        <c:manualLayout>
          <c:xMode val="edge"/>
          <c:yMode val="edge"/>
          <c:x val="0.31694934291811749"/>
          <c:y val="2.47678018575851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C3-42D1-8606-5E8B73D412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C3-42D1-8606-5E8B73D412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C3-42D1-8606-5E8B73D412B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C3-42D1-8606-5E8B73D412B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7C3-42D1-8606-5E8B73D412BD}"/>
              </c:ext>
            </c:extLst>
          </c:dPt>
          <c:dLbls>
            <c:dLbl>
              <c:idx val="0"/>
              <c:layout>
                <c:manualLayout>
                  <c:x val="-7.9125280853691252E-3"/>
                  <c:y val="5.79739706447553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C3-42D1-8606-5E8B73D412BD}"/>
                </c:ext>
              </c:extLst>
            </c:dLbl>
            <c:dLbl>
              <c:idx val="1"/>
              <c:layout>
                <c:manualLayout>
                  <c:x val="2.4352121337969093E-3"/>
                  <c:y val="4.05273695078236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7C3-42D1-8606-5E8B73D412BD}"/>
                </c:ext>
              </c:extLst>
            </c:dLbl>
            <c:dLbl>
              <c:idx val="2"/>
              <c:layout>
                <c:manualLayout>
                  <c:x val="2.3436202671546671E-3"/>
                  <c:y val="2.338572530263333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7C3-42D1-8606-5E8B73D412B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PartnersCont.!$B$2:$B$6</c:f>
              <c:strCache>
                <c:ptCount val="5"/>
                <c:pt idx="0">
                  <c:v>Финансовые учреждения</c:v>
                </c:pt>
                <c:pt idx="1">
                  <c:v>Правительственные органы </c:v>
                </c:pt>
                <c:pt idx="2">
                  <c:v>Частный сектор (в том числе фонды)</c:v>
                </c:pt>
                <c:pt idx="3">
                  <c:v>Организации системы ООН</c:v>
                </c:pt>
                <c:pt idx="4">
                  <c:v>Академические организации</c:v>
                </c:pt>
              </c:strCache>
            </c:strRef>
          </c:cat>
          <c:val>
            <c:numRef>
              <c:f>PartnersCont.!$C$2:$C$6</c:f>
              <c:numCache>
                <c:formatCode>0.00%</c:formatCode>
                <c:ptCount val="5"/>
                <c:pt idx="0">
                  <c:v>0.57969999999999999</c:v>
                </c:pt>
                <c:pt idx="1">
                  <c:v>0.2923</c:v>
                </c:pt>
                <c:pt idx="2">
                  <c:v>9.4200000000000006E-2</c:v>
                </c:pt>
                <c:pt idx="3">
                  <c:v>3.3399999999999999E-2</c:v>
                </c:pt>
                <c:pt idx="4">
                  <c:v>2.9999999999999997E-4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7C3-42D1-8606-5E8B73D412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413361505146002"/>
          <c:y val="0.29458590053640399"/>
          <c:w val="0.36326037140448991"/>
          <c:h val="0.314858568375547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Распределение подписанных соглашений в разбивке по регионам</a:t>
            </a:r>
          </a:p>
          <a:p>
            <a:pPr>
              <a:defRPr sz="1100"/>
            </a:pP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(2023 г.)</a:t>
            </a:r>
          </a:p>
        </c:rich>
      </c:tx>
      <c:layout>
        <c:manualLayout>
          <c:xMode val="edge"/>
          <c:yMode val="edge"/>
          <c:x val="0.16114958579194047"/>
          <c:y val="6.098320846676506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7853838582677151E-2"/>
          <c:y val="0.21674180279703842"/>
          <c:w val="0.88971057952095589"/>
          <c:h val="0.49344447658365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Regions!$C$1</c:f>
              <c:strCache>
                <c:ptCount val="1"/>
                <c:pt idx="0">
                  <c:v>Количество соглашений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Regions!$B$2:$B$8</c:f>
              <c:strCache>
                <c:ptCount val="7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 </c:v>
                </c:pt>
                <c:pt idx="6">
                  <c:v>Несколько регионов</c:v>
                </c:pt>
              </c:strCache>
            </c:strRef>
          </c:cat>
          <c:val>
            <c:numRef>
              <c:f>Regions!$C$2:$C$8</c:f>
              <c:numCache>
                <c:formatCode>0%</c:formatCode>
                <c:ptCount val="7"/>
                <c:pt idx="0">
                  <c:v>0.16</c:v>
                </c:pt>
                <c:pt idx="1">
                  <c:v>0.11</c:v>
                </c:pt>
                <c:pt idx="2">
                  <c:v>0.02</c:v>
                </c:pt>
                <c:pt idx="3">
                  <c:v>0.23</c:v>
                </c:pt>
                <c:pt idx="4">
                  <c:v>0.02</c:v>
                </c:pt>
                <c:pt idx="5">
                  <c:v>0.11</c:v>
                </c:pt>
                <c:pt idx="6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D-4E7C-BE47-8A975DADC57D}"/>
            </c:ext>
          </c:extLst>
        </c:ser>
        <c:ser>
          <c:idx val="1"/>
          <c:order val="1"/>
          <c:tx>
            <c:strRef>
              <c:f>Regions!$D$1</c:f>
              <c:strCache>
                <c:ptCount val="1"/>
                <c:pt idx="0">
                  <c:v>Сумма подписанных соглашений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E86D-4E7C-BE47-8A975DADC57D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E86D-4E7C-BE47-8A975DADC5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Regions!$B$2:$B$8</c:f>
              <c:strCache>
                <c:ptCount val="7"/>
                <c:pt idx="0">
                  <c:v>Африка</c:v>
                </c:pt>
                <c:pt idx="1">
                  <c:v>Северная и Южная Америка</c:v>
                </c:pt>
                <c:pt idx="2">
                  <c:v>Арабские государства</c:v>
                </c:pt>
                <c:pt idx="3">
                  <c:v>Азиатско-Тихоокеанский регион</c:v>
                </c:pt>
                <c:pt idx="4">
                  <c:v>СНГ</c:v>
                </c:pt>
                <c:pt idx="5">
                  <c:v>Европа </c:v>
                </c:pt>
                <c:pt idx="6">
                  <c:v>Несколько регионов</c:v>
                </c:pt>
              </c:strCache>
            </c:strRef>
          </c:cat>
          <c:val>
            <c:numRef>
              <c:f>Regions!$D$2:$D$8</c:f>
              <c:numCache>
                <c:formatCode>0%</c:formatCode>
                <c:ptCount val="7"/>
                <c:pt idx="0">
                  <c:v>0.16</c:v>
                </c:pt>
                <c:pt idx="1">
                  <c:v>0.09</c:v>
                </c:pt>
                <c:pt idx="2">
                  <c:v>0.02</c:v>
                </c:pt>
                <c:pt idx="3">
                  <c:v>0.06</c:v>
                </c:pt>
                <c:pt idx="4">
                  <c:v>1E-3</c:v>
                </c:pt>
                <c:pt idx="5">
                  <c:v>1E-3</c:v>
                </c:pt>
                <c:pt idx="6">
                  <c:v>0.67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6D-4E7C-BE47-8A975DADC57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7598304"/>
        <c:axId val="207588224"/>
      </c:barChart>
      <c:catAx>
        <c:axId val="20759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588224"/>
        <c:crosses val="autoZero"/>
        <c:auto val="0"/>
        <c:lblAlgn val="ctr"/>
        <c:lblOffset val="100"/>
        <c:tickLblSkip val="1"/>
        <c:noMultiLvlLbl val="0"/>
      </c:catAx>
      <c:valAx>
        <c:axId val="207588224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59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532698187221151"/>
          <c:y val="0.9179918984115425"/>
          <c:w val="0.58205993366669184"/>
          <c:h val="4.9004706934181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Распределение подписанных соглашений в разбивке по приоритетам МСЭ-</a:t>
            </a:r>
            <a:r>
              <a:rPr lang="en-GB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D (2023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г.)</a:t>
            </a:r>
          </a:p>
        </c:rich>
      </c:tx>
      <c:layout>
        <c:manualLayout>
          <c:xMode val="edge"/>
          <c:yMode val="edge"/>
          <c:x val="0.13649562999478768"/>
          <c:y val="3.82491333817765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41952867014262768"/>
          <c:y val="0.19614220877458396"/>
          <c:w val="0.53896894347015512"/>
          <c:h val="0.6303512930777752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'ITU-D priorities'!$C$6</c:f>
              <c:strCache>
                <c:ptCount val="1"/>
                <c:pt idx="0">
                  <c:v>Сумма подписанных соглашений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'ITU-D priorities'!$B$7:$B$11</c:f>
              <c:strCache>
                <c:ptCount val="5"/>
                <c:pt idx="0">
                  <c:v>Несколько приоритетов</c:v>
                </c:pt>
                <c:pt idx="1">
                  <c:v>Инклюзивная и защищенная электросвязь/ИКТ 
для устойчивого развития</c:v>
                </c:pt>
                <c:pt idx="2">
                  <c:v>Благоприятная политическая и регуляторная среда</c:v>
                </c:pt>
                <c:pt idx="3">
                  <c:v>Цифровая трансформация</c:v>
                </c:pt>
                <c:pt idx="4">
                  <c:v>Приемлемые в ценовом отношении возможности 
установления соединений</c:v>
                </c:pt>
              </c:strCache>
            </c:strRef>
          </c:cat>
          <c:val>
            <c:numRef>
              <c:f>'ITU-D priorities'!$C$7:$C$11</c:f>
              <c:numCache>
                <c:formatCode>0%</c:formatCode>
                <c:ptCount val="5"/>
                <c:pt idx="0">
                  <c:v>0.22</c:v>
                </c:pt>
                <c:pt idx="1">
                  <c:v>0.05</c:v>
                </c:pt>
                <c:pt idx="2">
                  <c:v>0.37</c:v>
                </c:pt>
                <c:pt idx="3">
                  <c:v>0.33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06-4B15-BF91-319579BAA704}"/>
            </c:ext>
          </c:extLst>
        </c:ser>
        <c:ser>
          <c:idx val="1"/>
          <c:order val="1"/>
          <c:tx>
            <c:strRef>
              <c:f>'ITU-D priorities'!$D$6</c:f>
              <c:strCache>
                <c:ptCount val="1"/>
                <c:pt idx="0">
                  <c:v>Количество соглашений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'ITU-D priorities'!$B$7:$B$11</c:f>
              <c:strCache>
                <c:ptCount val="5"/>
                <c:pt idx="0">
                  <c:v>Несколько приоритетов</c:v>
                </c:pt>
                <c:pt idx="1">
                  <c:v>Инклюзивная и защищенная электросвязь/ИКТ 
для устойчивого развития</c:v>
                </c:pt>
                <c:pt idx="2">
                  <c:v>Благоприятная политическая и регуляторная среда</c:v>
                </c:pt>
                <c:pt idx="3">
                  <c:v>Цифровая трансформация</c:v>
                </c:pt>
                <c:pt idx="4">
                  <c:v>Приемлемые в ценовом отношении возможности 
установления соединений</c:v>
                </c:pt>
              </c:strCache>
            </c:strRef>
          </c:cat>
          <c:val>
            <c:numRef>
              <c:f>'ITU-D priorities'!$D$7:$D$11</c:f>
              <c:numCache>
                <c:formatCode>0%</c:formatCode>
                <c:ptCount val="5"/>
                <c:pt idx="0">
                  <c:v>0.22</c:v>
                </c:pt>
                <c:pt idx="1">
                  <c:v>0.14000000000000001</c:v>
                </c:pt>
                <c:pt idx="2">
                  <c:v>0.31</c:v>
                </c:pt>
                <c:pt idx="3">
                  <c:v>0.23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06-4B15-BF91-319579BAA70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808590656"/>
        <c:axId val="1808583456"/>
      </c:barChart>
      <c:catAx>
        <c:axId val="1808590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8583456"/>
        <c:crosses val="autoZero"/>
        <c:auto val="1"/>
        <c:lblAlgn val="ctr"/>
        <c:lblOffset val="100"/>
        <c:noMultiLvlLbl val="0"/>
      </c:catAx>
      <c:valAx>
        <c:axId val="18085834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80859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подписанных соглашений</a:t>
            </a:r>
          </a:p>
        </c:rich>
      </c:tx>
      <c:layout>
        <c:manualLayout>
          <c:xMode val="edge"/>
          <c:yMode val="edge"/>
          <c:x val="0.16197383693572168"/>
          <c:y val="5.30439464297732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4089223206267197E-2"/>
          <c:y val="0.29319505840785559"/>
          <c:w val="0.80593891211978153"/>
          <c:h val="0.3719020376093511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D48-4F10-81D9-7ED32768FA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horzOverflow="clip" vert="horz" wrap="square" lIns="360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'2022vs2023'!$B$5:$B$6</c:f>
              <c:strCache>
                <c:ptCount val="2"/>
                <c:pt idx="0">
                  <c:v>2022 г.</c:v>
                </c:pt>
                <c:pt idx="1">
                  <c:v>2023 г.</c:v>
                </c:pt>
              </c:strCache>
            </c:strRef>
          </c:cat>
          <c:val>
            <c:numRef>
              <c:f>'2022vs2023'!$C$5:$C$6</c:f>
              <c:numCache>
                <c:formatCode>General</c:formatCode>
                <c:ptCount val="2"/>
                <c:pt idx="0">
                  <c:v>75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D48-4F10-81D9-7ED32768FA8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6"/>
        <c:overlap val="-78"/>
        <c:axId val="812196735"/>
        <c:axId val="812197215"/>
      </c:barChart>
      <c:catAx>
        <c:axId val="8121967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12197215"/>
        <c:crosses val="autoZero"/>
        <c:auto val="1"/>
        <c:lblAlgn val="ctr"/>
        <c:lblOffset val="100"/>
        <c:noMultiLvlLbl val="0"/>
      </c:catAx>
      <c:valAx>
        <c:axId val="812197215"/>
        <c:scaling>
          <c:orientation val="minMax"/>
          <c:max val="150"/>
        </c:scaling>
        <c:delete val="1"/>
        <c:axPos val="l"/>
        <c:numFmt formatCode="General" sourceLinked="1"/>
        <c:majorTickMark val="out"/>
        <c:minorTickMark val="none"/>
        <c:tickLblPos val="nextTo"/>
        <c:crossAx val="812196735"/>
        <c:crosses val="autoZero"/>
        <c:crossBetween val="between"/>
        <c:majorUnit val="5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Bef>
          <a:spcPts val="0"/>
        </a:spcBef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Финансовые взносы, указанные </a:t>
            </a:r>
            <a:br>
              <a:rPr lang="en-US" sz="1100" b="1"/>
            </a:br>
            <a:r>
              <a:rPr lang="ru-RU" sz="1100" b="1"/>
              <a:t>в подписанных соглашениях</a:t>
            </a:r>
          </a:p>
          <a:p>
            <a:pPr>
              <a:defRPr sz="1100" b="1"/>
            </a:pPr>
            <a:r>
              <a:rPr lang="ru-RU" sz="1100" b="1"/>
              <a:t>(в млн. долл. США)</a:t>
            </a:r>
            <a:endParaRPr lang="en-GB" sz="1100" b="1"/>
          </a:p>
        </c:rich>
      </c:tx>
      <c:layout>
        <c:manualLayout>
          <c:xMode val="edge"/>
          <c:yMode val="edge"/>
          <c:x val="0.19665963505224976"/>
          <c:y val="6.9444669352063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3333472573222778E-2"/>
          <c:y val="0.20586755865028439"/>
          <c:w val="0.93888888888888888"/>
          <c:h val="0.514217760055057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'2022vs2023'!$E$5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'2022vs2023'!$F$4:$H$4</c:f>
              <c:strCache>
                <c:ptCount val="3"/>
                <c:pt idx="0">
                  <c:v>Партнеры</c:v>
                </c:pt>
                <c:pt idx="1">
                  <c:v>МСЭ </c:v>
                </c:pt>
                <c:pt idx="2">
                  <c:v>Итого </c:v>
                </c:pt>
              </c:strCache>
            </c:strRef>
          </c:cat>
          <c:val>
            <c:numRef>
              <c:f>'2022vs2023'!$F$5:$H$5</c:f>
              <c:numCache>
                <c:formatCode>0.0</c:formatCode>
                <c:ptCount val="3"/>
                <c:pt idx="0">
                  <c:v>9</c:v>
                </c:pt>
                <c:pt idx="1">
                  <c:v>1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F1-4E1C-B683-2595F68FB056}"/>
            </c:ext>
          </c:extLst>
        </c:ser>
        <c:ser>
          <c:idx val="1"/>
          <c:order val="1"/>
          <c:tx>
            <c:strRef>
              <c:f>'2022vs2023'!$E$6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'2022vs2023'!$F$4:$H$4</c:f>
              <c:strCache>
                <c:ptCount val="3"/>
                <c:pt idx="0">
                  <c:v>Партнеры</c:v>
                </c:pt>
                <c:pt idx="1">
                  <c:v>МСЭ </c:v>
                </c:pt>
                <c:pt idx="2">
                  <c:v>Итого </c:v>
                </c:pt>
              </c:strCache>
            </c:strRef>
          </c:cat>
          <c:val>
            <c:numRef>
              <c:f>'2022vs2023'!$F$6:$H$6</c:f>
              <c:numCache>
                <c:formatCode>0.0</c:formatCode>
                <c:ptCount val="3"/>
                <c:pt idx="0">
                  <c:v>22.2</c:v>
                </c:pt>
                <c:pt idx="1">
                  <c:v>2.1</c:v>
                </c:pt>
                <c:pt idx="2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1F1-4E1C-B683-2595F68FB05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9371087"/>
        <c:axId val="169369167"/>
      </c:barChart>
      <c:catAx>
        <c:axId val="1693710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369167"/>
        <c:crosses val="autoZero"/>
        <c:auto val="1"/>
        <c:lblAlgn val="ctr"/>
        <c:lblOffset val="100"/>
        <c:noMultiLvlLbl val="0"/>
      </c:catAx>
      <c:valAx>
        <c:axId val="169369167"/>
        <c:scaling>
          <c:orientation val="minMax"/>
          <c:max val="100"/>
        </c:scaling>
        <c:delete val="1"/>
        <c:axPos val="l"/>
        <c:numFmt formatCode="0.0" sourceLinked="1"/>
        <c:majorTickMark val="out"/>
        <c:minorTickMark val="none"/>
        <c:tickLblPos val="nextTo"/>
        <c:crossAx val="1693710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95911916845938"/>
          <c:y val="0.86631889763779524"/>
          <c:w val="0.33646288908846606"/>
          <c:h val="8.63729827805366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подписанных соглашений и финансовых взносов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326205212216355"/>
          <c:y val="0.17452328557666655"/>
          <c:w val="0.76696336023585976"/>
          <c:h val="0.61624229672545128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'Number%financial'!$C$3</c:f>
              <c:strCache>
                <c:ptCount val="1"/>
                <c:pt idx="0">
                  <c:v>Взнос МСЭ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'Number%financial'!$A$4:$A$8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'Number%financial'!$C$4:$C$8</c:f>
              <c:numCache>
                <c:formatCode>General</c:formatCode>
                <c:ptCount val="5"/>
                <c:pt idx="0">
                  <c:v>0.6</c:v>
                </c:pt>
                <c:pt idx="1">
                  <c:v>3.1</c:v>
                </c:pt>
                <c:pt idx="2">
                  <c:v>3.9</c:v>
                </c:pt>
                <c:pt idx="3">
                  <c:v>1</c:v>
                </c:pt>
                <c:pt idx="4">
                  <c:v>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3C-4F32-8549-67BF8920C2BC}"/>
            </c:ext>
          </c:extLst>
        </c:ser>
        <c:ser>
          <c:idx val="2"/>
          <c:order val="2"/>
          <c:tx>
            <c:strRef>
              <c:f>'Number%financial'!$D$3</c:f>
              <c:strCache>
                <c:ptCount val="1"/>
                <c:pt idx="0">
                  <c:v>Взнос партнеров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'Number%financial'!$A$4:$A$8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'Number%financial'!$D$4:$D$8</c:f>
              <c:numCache>
                <c:formatCode>General</c:formatCode>
                <c:ptCount val="5"/>
                <c:pt idx="0">
                  <c:v>14.6</c:v>
                </c:pt>
                <c:pt idx="1">
                  <c:v>12.4</c:v>
                </c:pt>
                <c:pt idx="2">
                  <c:v>15.6</c:v>
                </c:pt>
                <c:pt idx="3">
                  <c:v>9</c:v>
                </c:pt>
                <c:pt idx="4">
                  <c:v>22.1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3C-4F32-8549-67BF8920C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80735183"/>
        <c:axId val="830292767"/>
      </c:barChart>
      <c:lineChart>
        <c:grouping val="standard"/>
        <c:varyColors val="0"/>
        <c:ser>
          <c:idx val="0"/>
          <c:order val="0"/>
          <c:tx>
            <c:strRef>
              <c:f>'Number%financial'!$B$3</c:f>
              <c:strCache>
                <c:ptCount val="1"/>
                <c:pt idx="0">
                  <c:v>Количество соглашений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'Number%financial'!$A$4:$A$8</c:f>
              <c:strCache>
                <c:ptCount val="5"/>
                <c:pt idx="0">
                  <c:v>2019 г.</c:v>
                </c:pt>
                <c:pt idx="1">
                  <c:v>2020 г.</c:v>
                </c:pt>
                <c:pt idx="2">
                  <c:v>2021 г.</c:v>
                </c:pt>
                <c:pt idx="3">
                  <c:v>2022 г.</c:v>
                </c:pt>
                <c:pt idx="4">
                  <c:v>2023 г.</c:v>
                </c:pt>
              </c:strCache>
            </c:strRef>
          </c:cat>
          <c:val>
            <c:numRef>
              <c:f>'Number%financial'!$B$4:$B$8</c:f>
              <c:numCache>
                <c:formatCode>General</c:formatCode>
                <c:ptCount val="5"/>
                <c:pt idx="0">
                  <c:v>30</c:v>
                </c:pt>
                <c:pt idx="1">
                  <c:v>42</c:v>
                </c:pt>
                <c:pt idx="2">
                  <c:v>72</c:v>
                </c:pt>
                <c:pt idx="3" formatCode="0">
                  <c:v>75</c:v>
                </c:pt>
                <c:pt idx="4" formatCode="0">
                  <c:v>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83C-4F32-8549-67BF8920C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4516799"/>
        <c:axId val="1347221759"/>
      </c:lineChart>
      <c:catAx>
        <c:axId val="14807351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0292767"/>
        <c:crosses val="autoZero"/>
        <c:auto val="1"/>
        <c:lblAlgn val="ctr"/>
        <c:lblOffset val="100"/>
        <c:noMultiLvlLbl val="0"/>
      </c:catAx>
      <c:valAx>
        <c:axId val="830292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Сумма в миллионах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1.7366761386168401E-2"/>
              <c:y val="0.2600965908562658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80735183"/>
        <c:crosses val="autoZero"/>
        <c:crossBetween val="between"/>
      </c:valAx>
      <c:valAx>
        <c:axId val="1347221759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Количество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0.93442953607500256"/>
              <c:y val="0.357655787262679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4516799"/>
        <c:crosses val="max"/>
        <c:crossBetween val="between"/>
      </c:valAx>
      <c:catAx>
        <c:axId val="149451679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47221759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spcAft>
          <a:spcPts val="600"/>
        </a:spcAft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1134C-0BB8-49A4-A4D3-2B279A8FDD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CC4F12-6A5A-4E0C-86D0-65DE93D32F4C}"/>
</file>

<file path=customXml/itemProps3.xml><?xml version="1.0" encoding="utf-8"?>
<ds:datastoreItem xmlns:ds="http://schemas.openxmlformats.org/officeDocument/2006/customXml" ds:itemID="{FFBEB3C0-79DB-46C4-9F12-909891B116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1275</Words>
  <Characters>7271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Antipina, Nadezda</cp:lastModifiedBy>
  <cp:revision>19</cp:revision>
  <cp:lastPrinted>2023-01-16T12:34:00Z</cp:lastPrinted>
  <dcterms:created xsi:type="dcterms:W3CDTF">2024-04-25T08:56:00Z</dcterms:created>
  <dcterms:modified xsi:type="dcterms:W3CDTF">2024-05-09T12:14:00Z</dcterms:modified>
</cp:coreProperties>
</file>