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2FE48668">
        <w:trPr>
          <w:cantSplit/>
          <w:trHeight w:val="1134"/>
        </w:trPr>
        <w:tc>
          <w:tcPr>
            <w:tcW w:w="6379" w:type="dxa"/>
          </w:tcPr>
          <w:p w14:paraId="68FE8375" w14:textId="46C2D499" w:rsidR="00307769" w:rsidRDefault="00307769" w:rsidP="00307769">
            <w:pPr>
              <w:tabs>
                <w:tab w:val="clear" w:pos="1191"/>
                <w:tab w:val="clear" w:pos="1588"/>
                <w:tab w:val="clear" w:pos="1985"/>
              </w:tabs>
              <w:ind w:left="34"/>
              <w:rPr>
                <w:b/>
                <w:bCs/>
                <w:sz w:val="32"/>
                <w:szCs w:val="32"/>
              </w:rPr>
            </w:pPr>
            <w:r w:rsidRPr="2FE48668">
              <w:rPr>
                <w:b/>
                <w:bCs/>
                <w:sz w:val="32"/>
                <w:szCs w:val="32"/>
              </w:rPr>
              <w:t>Telecommunication Development</w:t>
            </w:r>
            <w:r>
              <w:br/>
            </w:r>
            <w:r w:rsidRPr="2FE48668">
              <w:rPr>
                <w:b/>
                <w:bCs/>
                <w:sz w:val="32"/>
                <w:szCs w:val="32"/>
              </w:rP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FE48668">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FE48668">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E38573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0D1AA1">
              <w:rPr>
                <w:b/>
                <w:bCs/>
                <w:lang w:val="en-US"/>
              </w:rPr>
              <w:t>4</w:t>
            </w:r>
            <w:r>
              <w:rPr>
                <w:b/>
                <w:bCs/>
                <w:lang w:val="en-US"/>
              </w:rPr>
              <w:t>-E</w:t>
            </w:r>
          </w:p>
        </w:tc>
      </w:tr>
      <w:tr w:rsidR="00683C32" w14:paraId="24D04936" w14:textId="77777777" w:rsidTr="2FE48668">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7C0C468F" w:rsidR="00683C32" w:rsidRPr="007F1CC7" w:rsidRDefault="00E63367" w:rsidP="00B648C7">
            <w:pPr>
              <w:spacing w:before="0"/>
              <w:rPr>
                <w:b/>
                <w:szCs w:val="24"/>
              </w:rPr>
            </w:pPr>
            <w:r w:rsidRPr="00F8073E">
              <w:rPr>
                <w:b/>
                <w:bCs/>
                <w:szCs w:val="28"/>
              </w:rPr>
              <w:t>22</w:t>
            </w:r>
            <w:r w:rsidR="008351E7" w:rsidRPr="00F8073E">
              <w:rPr>
                <w:b/>
                <w:bCs/>
                <w:szCs w:val="28"/>
              </w:rPr>
              <w:t xml:space="preserve"> </w:t>
            </w:r>
            <w:bookmarkStart w:id="2" w:name="CreationDate"/>
            <w:bookmarkEnd w:id="2"/>
            <w:r w:rsidRPr="00F8073E">
              <w:rPr>
                <w:b/>
                <w:bCs/>
                <w:szCs w:val="28"/>
              </w:rPr>
              <w:t>April</w:t>
            </w:r>
            <w:r w:rsidR="008351E7" w:rsidRPr="00F8073E">
              <w:rPr>
                <w:b/>
                <w:bCs/>
                <w:szCs w:val="28"/>
              </w:rPr>
              <w:t xml:space="preserve"> 2024</w:t>
            </w:r>
          </w:p>
        </w:tc>
      </w:tr>
      <w:tr w:rsidR="00683C32" w14:paraId="7B96545F" w14:textId="77777777" w:rsidTr="2FE48668">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2FE48668">
        <w:trPr>
          <w:cantSplit/>
          <w:trHeight w:val="852"/>
        </w:trPr>
        <w:tc>
          <w:tcPr>
            <w:tcW w:w="9888" w:type="dxa"/>
            <w:gridSpan w:val="2"/>
          </w:tcPr>
          <w:p w14:paraId="512FCA01" w14:textId="1CE79EDF" w:rsidR="00A13162" w:rsidRPr="0030353C" w:rsidRDefault="009E1CC1" w:rsidP="0030353C">
            <w:pPr>
              <w:pStyle w:val="Source"/>
            </w:pPr>
            <w:bookmarkStart w:id="4" w:name="Source"/>
            <w:bookmarkEnd w:id="4"/>
            <w:r w:rsidRPr="009E1CC1">
              <w:t>Director, Telecommunication Development Bureau</w:t>
            </w:r>
          </w:p>
        </w:tc>
      </w:tr>
      <w:tr w:rsidR="00AC6F14" w:rsidRPr="002E6963" w14:paraId="2CBD3A36" w14:textId="77777777" w:rsidTr="2FE48668">
        <w:trPr>
          <w:cantSplit/>
        </w:trPr>
        <w:tc>
          <w:tcPr>
            <w:tcW w:w="9888" w:type="dxa"/>
            <w:gridSpan w:val="2"/>
          </w:tcPr>
          <w:p w14:paraId="1B4121DF" w14:textId="53AA9D57" w:rsidR="00AC6F14" w:rsidRPr="00642C3C" w:rsidRDefault="009D603E" w:rsidP="0030353C">
            <w:pPr>
              <w:pStyle w:val="Title1"/>
              <w:rPr>
                <w:rFonts w:cs="Times New Roman"/>
                <w:bCs/>
              </w:rPr>
            </w:pPr>
            <w:bookmarkStart w:id="5" w:name="Title"/>
            <w:bookmarkEnd w:id="5"/>
            <w:r w:rsidRPr="00A77650">
              <w:rPr>
                <w:rFonts w:cs="Times New Roman"/>
                <w:bCs/>
              </w:rPr>
              <w:t>ITU-D partnerships and resource mobilization</w:t>
            </w:r>
          </w:p>
        </w:tc>
      </w:tr>
      <w:tr w:rsidR="00A721F4" w:rsidRPr="002E6963" w14:paraId="23A30231" w14:textId="77777777" w:rsidTr="2FE48668">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2FE48668">
        <w:trPr>
          <w:cantSplit/>
        </w:trPr>
        <w:tc>
          <w:tcPr>
            <w:tcW w:w="9888" w:type="dxa"/>
            <w:gridSpan w:val="2"/>
            <w:tcBorders>
              <w:top w:val="single" w:sz="4" w:space="0" w:color="auto"/>
              <w:left w:val="single" w:sz="4" w:space="0" w:color="auto"/>
              <w:bottom w:val="single" w:sz="4" w:space="0" w:color="auto"/>
              <w:right w:val="single" w:sz="4" w:space="0" w:color="auto"/>
            </w:tcBorders>
          </w:tcPr>
          <w:p w14:paraId="3382AFEC" w14:textId="77777777" w:rsidR="009540ED" w:rsidRPr="00D9621A" w:rsidRDefault="009540ED" w:rsidP="009540ED">
            <w:pPr>
              <w:spacing w:after="120"/>
              <w:rPr>
                <w:b/>
                <w:bCs/>
                <w:szCs w:val="24"/>
              </w:rPr>
            </w:pPr>
            <w:r w:rsidRPr="00D9621A">
              <w:rPr>
                <w:b/>
                <w:bCs/>
                <w:szCs w:val="24"/>
              </w:rPr>
              <w:t>Summary:</w:t>
            </w:r>
          </w:p>
          <w:p w14:paraId="37A3B66B" w14:textId="77777777" w:rsidR="009540ED" w:rsidRDefault="009540ED" w:rsidP="009540ED">
            <w:pPr>
              <w:spacing w:after="120"/>
            </w:pPr>
            <w:r>
              <w:t>The importance of partnerships and resource mobilization was highlighted by the World Telecommunication Development Conference 2022 (WTDC-22). This document reports on partnerships and resource mobilization activities undertaken in 2023.</w:t>
            </w:r>
          </w:p>
          <w:p w14:paraId="1E99FDDD" w14:textId="77777777" w:rsidR="009540ED" w:rsidRPr="00D9621A" w:rsidRDefault="009540ED" w:rsidP="009540ED">
            <w:pPr>
              <w:spacing w:after="120"/>
              <w:rPr>
                <w:b/>
                <w:bCs/>
                <w:szCs w:val="24"/>
              </w:rPr>
            </w:pPr>
            <w:r w:rsidRPr="005E090D">
              <w:rPr>
                <w:b/>
                <w:bCs/>
              </w:rPr>
              <w:t>Action required:</w:t>
            </w:r>
          </w:p>
          <w:p w14:paraId="14ACDCB5" w14:textId="77777777" w:rsidR="009540ED" w:rsidRDefault="009540ED" w:rsidP="009540ED">
            <w:pPr>
              <w:spacing w:after="120"/>
            </w:pPr>
            <w:r w:rsidRPr="005B227A">
              <w:t>TDAG is invited to note this document and provide guidance as deemed appropriate.</w:t>
            </w:r>
          </w:p>
          <w:p w14:paraId="469BC1ED" w14:textId="77777777" w:rsidR="009540ED" w:rsidRPr="00D9621A" w:rsidRDefault="009540ED" w:rsidP="009540ED">
            <w:pPr>
              <w:spacing w:after="120"/>
              <w:rPr>
                <w:b/>
                <w:bCs/>
                <w:szCs w:val="24"/>
              </w:rPr>
            </w:pPr>
            <w:r w:rsidRPr="00D9621A">
              <w:rPr>
                <w:b/>
                <w:bCs/>
                <w:szCs w:val="24"/>
              </w:rPr>
              <w:t>References:</w:t>
            </w:r>
          </w:p>
          <w:p w14:paraId="77D23039" w14:textId="75A8DC9B" w:rsidR="000D2D50" w:rsidRPr="00DE04AA" w:rsidRDefault="000D2D50" w:rsidP="000D2D50">
            <w:pPr>
              <w:spacing w:after="120"/>
            </w:pPr>
            <w:r>
              <w:t xml:space="preserve">Sections 3.1 and 3.3 of the </w:t>
            </w:r>
            <w:r w:rsidRPr="00DE04AA">
              <w:t>Kigali Action Plan</w:t>
            </w:r>
          </w:p>
          <w:p w14:paraId="5590F36A" w14:textId="6A242A41" w:rsidR="000D2D50" w:rsidRDefault="000D2D50" w:rsidP="000D2D50">
            <w:pPr>
              <w:spacing w:after="120"/>
            </w:pPr>
            <w:r w:rsidRPr="0003668E">
              <w:t>Resolution 17 (Rev. Kigali, 2022)</w:t>
            </w:r>
          </w:p>
          <w:p w14:paraId="1ECDD20E" w14:textId="34D71B53" w:rsidR="00A721F4" w:rsidRPr="00D9621A" w:rsidRDefault="000D2D50" w:rsidP="000D2D50">
            <w:pPr>
              <w:spacing w:after="120"/>
            </w:pPr>
            <w:r>
              <w:t>WTDC-22 Declaration</w:t>
            </w:r>
          </w:p>
        </w:tc>
      </w:tr>
    </w:tbl>
    <w:p w14:paraId="718BEDFE" w14:textId="77777777" w:rsidR="009540ED" w:rsidRDefault="009540ED" w:rsidP="009540ED">
      <w:pPr>
        <w:pStyle w:val="CEONormal"/>
        <w:keepNext/>
        <w:rPr>
          <w:rFonts w:ascii="Calibri" w:hAnsi="Calibri"/>
          <w:b/>
          <w:bCs/>
          <w:sz w:val="24"/>
          <w:szCs w:val="24"/>
        </w:rPr>
      </w:pPr>
    </w:p>
    <w:p w14:paraId="570A9447" w14:textId="77777777" w:rsidR="009540ED" w:rsidRDefault="009540ED">
      <w:pPr>
        <w:tabs>
          <w:tab w:val="clear" w:pos="794"/>
          <w:tab w:val="clear" w:pos="1191"/>
          <w:tab w:val="clear" w:pos="1588"/>
          <w:tab w:val="clear" w:pos="1985"/>
        </w:tabs>
        <w:overflowPunct/>
        <w:autoSpaceDE/>
        <w:autoSpaceDN/>
        <w:adjustRightInd/>
        <w:spacing w:before="0"/>
        <w:textAlignment w:val="auto"/>
        <w:rPr>
          <w:rFonts w:ascii="Calibri" w:eastAsia="SimHei" w:hAnsi="Calibri" w:cs="Simplified Arabic"/>
          <w:b/>
          <w:bCs/>
          <w:szCs w:val="24"/>
        </w:rPr>
      </w:pPr>
      <w:r>
        <w:rPr>
          <w:rFonts w:ascii="Calibri" w:hAnsi="Calibri"/>
          <w:b/>
          <w:bCs/>
          <w:szCs w:val="24"/>
        </w:rPr>
        <w:br w:type="page"/>
      </w:r>
    </w:p>
    <w:p w14:paraId="4DAD9E2C" w14:textId="3328FA43" w:rsidR="002249A5" w:rsidRPr="00FA5EA2" w:rsidRDefault="002249A5" w:rsidP="00FA5EA2">
      <w:pPr>
        <w:pStyle w:val="ListParagraph"/>
        <w:numPr>
          <w:ilvl w:val="0"/>
          <w:numId w:val="6"/>
        </w:numPr>
        <w:spacing w:after="120"/>
        <w:ind w:left="357" w:hanging="357"/>
        <w:contextualSpacing w:val="0"/>
        <w:rPr>
          <w:b/>
          <w:bCs/>
          <w:szCs w:val="24"/>
        </w:rPr>
      </w:pPr>
      <w:r w:rsidRPr="00FA5EA2">
        <w:rPr>
          <w:b/>
          <w:bCs/>
          <w:szCs w:val="24"/>
        </w:rPr>
        <w:lastRenderedPageBreak/>
        <w:t>Background</w:t>
      </w:r>
    </w:p>
    <w:p w14:paraId="5F7B3C86" w14:textId="14E603BB" w:rsidR="002249A5" w:rsidRPr="002249A5" w:rsidRDefault="002249A5" w:rsidP="002249A5">
      <w:pPr>
        <w:spacing w:after="120"/>
        <w:rPr>
          <w:szCs w:val="24"/>
        </w:rPr>
      </w:pPr>
      <w:r w:rsidRPr="002249A5">
        <w:rPr>
          <w:szCs w:val="24"/>
        </w:rPr>
        <w:t>The World Telecommunication Development Conference 2022 (WTDC-22) recognized the importance of Resource Mobilization and International Cooperation as a new ITU-D Priority and Enabler of the Kigali Action Plan: “The focus of this Priority is on mobilizing and attracting resources and fostering international cooperation on telecommunication/ICT development issues. This Priority is also cross cutting by providing resources and fostering international cooperation to deliver relevant global outcomes. In doing so, the needs of developing countries, least developed countries, small island developing states, landlocked developing countries, and countries with economies in transition as well as underserved and vulnerable populations should be prioritized and given due attention.” (Kigali Action Plan)</w:t>
      </w:r>
      <w:r w:rsidR="00C31E4A">
        <w:rPr>
          <w:szCs w:val="24"/>
        </w:rPr>
        <w:t>.</w:t>
      </w:r>
    </w:p>
    <w:p w14:paraId="120E9FC2" w14:textId="77777777" w:rsidR="002249A5" w:rsidRPr="002249A5" w:rsidRDefault="002249A5" w:rsidP="002249A5">
      <w:pPr>
        <w:spacing w:after="120"/>
        <w:rPr>
          <w:szCs w:val="24"/>
        </w:rPr>
      </w:pPr>
      <w:r w:rsidRPr="002249A5">
        <w:rPr>
          <w:szCs w:val="24"/>
        </w:rPr>
        <w:t xml:space="preserve">Resolution 17 (Rev. Kigali, 2022) on “Implementation of and cooperation on approved regional initiatives at the national, regional interregional and global levels” instructs the BDT Director “to ensure that BDT facilitates the active involvement of regional and subregional telecommunication organizations in the different phases of project management established by ITU, as well as in forging partnerships and resource mobilization, with a view to effectively advancing the implementation of regional initiatives.” </w:t>
      </w:r>
    </w:p>
    <w:p w14:paraId="4590F4CA" w14:textId="102878CF" w:rsidR="002249A5" w:rsidRPr="002249A5" w:rsidRDefault="002249A5" w:rsidP="00753125">
      <w:pPr>
        <w:pStyle w:val="ListParagraph"/>
        <w:keepNext/>
        <w:numPr>
          <w:ilvl w:val="0"/>
          <w:numId w:val="6"/>
        </w:numPr>
        <w:spacing w:after="120"/>
        <w:ind w:left="357" w:hanging="357"/>
        <w:contextualSpacing w:val="0"/>
        <w:rPr>
          <w:b/>
          <w:bCs/>
          <w:szCs w:val="24"/>
        </w:rPr>
      </w:pPr>
      <w:r w:rsidRPr="002249A5">
        <w:rPr>
          <w:b/>
          <w:bCs/>
          <w:szCs w:val="24"/>
        </w:rPr>
        <w:t>ITU-D partnerships and resource mobilization strategic objective</w:t>
      </w:r>
    </w:p>
    <w:p w14:paraId="0D8427F2" w14:textId="77777777" w:rsidR="002249A5" w:rsidRPr="002249A5" w:rsidRDefault="002249A5" w:rsidP="002249A5">
      <w:pPr>
        <w:spacing w:after="120"/>
        <w:rPr>
          <w:szCs w:val="24"/>
        </w:rPr>
      </w:pPr>
      <w:r w:rsidRPr="002249A5">
        <w:rPr>
          <w:szCs w:val="24"/>
        </w:rPr>
        <w:t xml:space="preserve">In accordance with the outcomes of the WTDC-22, the objective is to facilitate, develop and strengthen partnership and international collaboration with the widest possible range of partners from both developed and developing countries with the goal of enhancing coordination, expertise sharing and resource mobilization for the implementation of programmes, </w:t>
      </w:r>
      <w:proofErr w:type="gramStart"/>
      <w:r w:rsidRPr="002249A5">
        <w:rPr>
          <w:szCs w:val="24"/>
        </w:rPr>
        <w:t>activities</w:t>
      </w:r>
      <w:proofErr w:type="gramEnd"/>
      <w:r w:rsidRPr="002249A5">
        <w:rPr>
          <w:szCs w:val="24"/>
        </w:rPr>
        <w:t xml:space="preserve"> and initiatives for sustainable development.</w:t>
      </w:r>
    </w:p>
    <w:p w14:paraId="0781C37A" w14:textId="450C2ADD" w:rsidR="002249A5" w:rsidRPr="002249A5" w:rsidRDefault="002249A5" w:rsidP="00753125">
      <w:pPr>
        <w:pStyle w:val="ListParagraph"/>
        <w:keepNext/>
        <w:numPr>
          <w:ilvl w:val="0"/>
          <w:numId w:val="6"/>
        </w:numPr>
        <w:spacing w:after="120"/>
        <w:ind w:left="357" w:hanging="357"/>
        <w:contextualSpacing w:val="0"/>
        <w:rPr>
          <w:b/>
          <w:bCs/>
          <w:szCs w:val="24"/>
        </w:rPr>
      </w:pPr>
      <w:r w:rsidRPr="002249A5">
        <w:rPr>
          <w:b/>
          <w:bCs/>
          <w:szCs w:val="24"/>
        </w:rPr>
        <w:t>Partnerships and results of resource mobilization in 2023</w:t>
      </w:r>
    </w:p>
    <w:p w14:paraId="3ED7FEA7" w14:textId="5B444148" w:rsidR="002249A5" w:rsidRPr="002249A5" w:rsidRDefault="002249A5" w:rsidP="2FE48668">
      <w:pPr>
        <w:spacing w:after="120"/>
      </w:pPr>
      <w:r>
        <w:t xml:space="preserve">In 2023, thanks to the combined efforts of ITU membership, </w:t>
      </w:r>
      <w:proofErr w:type="gramStart"/>
      <w:r>
        <w:t>partners</w:t>
      </w:r>
      <w:proofErr w:type="gramEnd"/>
      <w:r>
        <w:t xml:space="preserve"> and BDT staff (both in the field and at headquarters), the BDT signed </w:t>
      </w:r>
      <w:r w:rsidR="00D47CE5">
        <w:t xml:space="preserve">87 </w:t>
      </w:r>
      <w:r>
        <w:t xml:space="preserve">agreements, out of which </w:t>
      </w:r>
      <w:r w:rsidR="00D47CE5">
        <w:t xml:space="preserve">52 </w:t>
      </w:r>
      <w:r>
        <w:t>had financial contributions amounting to around USD 23.</w:t>
      </w:r>
      <w:r w:rsidR="008821B1">
        <w:t>9</w:t>
      </w:r>
      <w:r w:rsidR="00893C1E">
        <w:t> </w:t>
      </w:r>
      <w:r>
        <w:t>million, distributed as follows:</w:t>
      </w:r>
    </w:p>
    <w:p w14:paraId="63E9614E" w14:textId="77777777" w:rsidR="002249A5" w:rsidRPr="00022797" w:rsidRDefault="002249A5" w:rsidP="0006212F">
      <w:pPr>
        <w:keepNext/>
        <w:tabs>
          <w:tab w:val="clear" w:pos="794"/>
          <w:tab w:val="clear" w:pos="1191"/>
          <w:tab w:val="clear" w:pos="1588"/>
          <w:tab w:val="clear" w:pos="1985"/>
        </w:tabs>
        <w:spacing w:after="120"/>
        <w:jc w:val="center"/>
        <w:rPr>
          <w:sz w:val="22"/>
          <w:szCs w:val="22"/>
        </w:rPr>
      </w:pPr>
      <w:r>
        <w:rPr>
          <w:noProof/>
        </w:rPr>
        <w:drawing>
          <wp:inline distT="0" distB="0" distL="0" distR="0" wp14:anchorId="65EEF9A6" wp14:editId="7673A86A">
            <wp:extent cx="6008370" cy="2237015"/>
            <wp:effectExtent l="0" t="0" r="11430" b="11430"/>
            <wp:docPr id="1975929464" name="Chart 1">
              <a:extLst xmlns:a="http://schemas.openxmlformats.org/drawingml/2006/main">
                <a:ext uri="{FF2B5EF4-FFF2-40B4-BE49-F238E27FC236}">
                  <a16:creationId xmlns:a16="http://schemas.microsoft.com/office/drawing/2014/main" id="{03C5564D-9CB3-4096-9912-87FC75486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286121" w14:textId="147FEB2D" w:rsidR="006A552F" w:rsidRDefault="002249A5" w:rsidP="2FE48668">
      <w:pPr>
        <w:spacing w:after="120"/>
      </w:pPr>
      <w:r>
        <w:t xml:space="preserve">The list of agreements signed by BDT is provided in Document </w:t>
      </w:r>
      <w:hyperlink r:id="rId13">
        <w:r w:rsidRPr="2FE48668">
          <w:rPr>
            <w:rStyle w:val="Hyperlink"/>
          </w:rPr>
          <w:t>TDAG24/INF/1</w:t>
        </w:r>
      </w:hyperlink>
      <w:r>
        <w:t xml:space="preserve">. </w:t>
      </w:r>
    </w:p>
    <w:p w14:paraId="4EAC6CDF" w14:textId="2A927F08" w:rsidR="00386A03" w:rsidRPr="002249A5" w:rsidRDefault="00386A03" w:rsidP="00386A03">
      <w:pPr>
        <w:tabs>
          <w:tab w:val="clear" w:pos="794"/>
          <w:tab w:val="clear" w:pos="1191"/>
          <w:tab w:val="clear" w:pos="1588"/>
          <w:tab w:val="clear" w:pos="1985"/>
        </w:tabs>
        <w:spacing w:after="120"/>
      </w:pPr>
      <w:r>
        <w:lastRenderedPageBreak/>
        <w:t>Amongst BDT partners</w:t>
      </w:r>
      <w:r w:rsidR="00C17BA4">
        <w:t xml:space="preserve"> having signed partnership agreement</w:t>
      </w:r>
      <w:r w:rsidR="00BF4A29">
        <w:t>(s)</w:t>
      </w:r>
      <w:r w:rsidR="00C17BA4">
        <w:t xml:space="preserve"> with or without </w:t>
      </w:r>
      <w:r>
        <w:t>financial contribution</w:t>
      </w:r>
      <w:r w:rsidR="009D4A4C">
        <w:t>s</w:t>
      </w:r>
      <w:r w:rsidR="00E00FF3">
        <w:t xml:space="preserve"> in 2023</w:t>
      </w:r>
      <w:r w:rsidR="00C17BA4">
        <w:t xml:space="preserve">, </w:t>
      </w:r>
      <w:r>
        <w:t>50% were Member States, 27% ITU-D Sector Members, 15% Academia and 8%</w:t>
      </w:r>
      <w:r w:rsidR="002F4289">
        <w:t> </w:t>
      </w:r>
      <w:r>
        <w:t>Regional and other International Organizations</w:t>
      </w:r>
      <w:r w:rsidR="002F4289">
        <w:t>, a</w:t>
      </w:r>
      <w:r w:rsidR="002F4289" w:rsidRPr="2FE48668">
        <w:t>ccording to the ITU Membership categories</w:t>
      </w:r>
      <w:r>
        <w:rPr>
          <w:rStyle w:val="FootnoteReference"/>
        </w:rPr>
        <w:footnoteReference w:id="2"/>
      </w:r>
      <w:r w:rsidR="002F4289">
        <w:t>.</w:t>
      </w:r>
    </w:p>
    <w:p w14:paraId="43BB888A" w14:textId="766CC64B" w:rsidR="007075F0" w:rsidRDefault="002249A5" w:rsidP="2FE48668">
      <w:pPr>
        <w:pStyle w:val="ListParagraph"/>
        <w:keepNext/>
        <w:spacing w:after="120"/>
        <w:ind w:left="0"/>
        <w:rPr>
          <w:lang w:val="en-US"/>
        </w:rPr>
      </w:pPr>
      <w:r w:rsidRPr="2FE48668">
        <w:rPr>
          <w:lang w:val="en-US"/>
        </w:rPr>
        <w:t>The partners with whom BDT signed financial contributions were of different type</w:t>
      </w:r>
      <w:r w:rsidR="00874400" w:rsidRPr="2FE48668">
        <w:rPr>
          <w:lang w:val="en-US"/>
        </w:rPr>
        <w:t>s</w:t>
      </w:r>
      <w:r w:rsidRPr="2FE48668">
        <w:rPr>
          <w:lang w:val="en-US"/>
        </w:rPr>
        <w:t>, distributed according to the chart below:</w:t>
      </w:r>
    </w:p>
    <w:p w14:paraId="7AA343D6" w14:textId="44778ADF" w:rsidR="002B1702" w:rsidRDefault="002B1702" w:rsidP="002249A5">
      <w:pPr>
        <w:tabs>
          <w:tab w:val="clear" w:pos="794"/>
          <w:tab w:val="clear" w:pos="1191"/>
          <w:tab w:val="clear" w:pos="1588"/>
          <w:tab w:val="clear" w:pos="1985"/>
        </w:tabs>
        <w:spacing w:before="0"/>
        <w:jc w:val="both"/>
        <w:rPr>
          <w:sz w:val="22"/>
          <w:szCs w:val="22"/>
          <w:lang w:val="en-US"/>
        </w:rPr>
      </w:pPr>
      <w:r>
        <w:rPr>
          <w:noProof/>
        </w:rPr>
        <w:drawing>
          <wp:inline distT="0" distB="0" distL="0" distR="0" wp14:anchorId="39176E58" wp14:editId="22D5320F">
            <wp:extent cx="6120765" cy="2596243"/>
            <wp:effectExtent l="0" t="0" r="13335" b="13970"/>
            <wp:docPr id="1931079817" name="Chart 1">
              <a:extLst xmlns:a="http://schemas.openxmlformats.org/drawingml/2006/main">
                <a:ext uri="{FF2B5EF4-FFF2-40B4-BE49-F238E27FC236}">
                  <a16:creationId xmlns:a16="http://schemas.microsoft.com/office/drawing/2014/main" id="{42CCFDAF-71C1-B51B-606B-CA93072765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C0C5E1" w14:textId="43A2687F" w:rsidR="002249A5" w:rsidRPr="002249A5" w:rsidRDefault="00225E8C" w:rsidP="00753125">
      <w:pPr>
        <w:keepNext/>
        <w:tabs>
          <w:tab w:val="clear" w:pos="794"/>
          <w:tab w:val="clear" w:pos="1191"/>
          <w:tab w:val="clear" w:pos="1588"/>
          <w:tab w:val="clear" w:pos="1985"/>
        </w:tabs>
        <w:spacing w:after="120"/>
        <w:jc w:val="both"/>
      </w:pPr>
      <w:r w:rsidRPr="2FE48668">
        <w:rPr>
          <w:lang w:val="en-US"/>
        </w:rPr>
        <w:t xml:space="preserve">BDT </w:t>
      </w:r>
      <w:r w:rsidR="007739FC">
        <w:rPr>
          <w:lang w:val="en-US"/>
        </w:rPr>
        <w:t xml:space="preserve">top </w:t>
      </w:r>
      <w:r w:rsidR="002249A5">
        <w:t>t</w:t>
      </w:r>
      <w:r w:rsidR="00753125">
        <w:t>en</w:t>
      </w:r>
      <w:r w:rsidR="002249A5">
        <w:t xml:space="preserve"> </w:t>
      </w:r>
      <w:r w:rsidR="00CC09CD">
        <w:t xml:space="preserve">donors in terms of </w:t>
      </w:r>
      <w:r w:rsidR="002249A5">
        <w:t xml:space="preserve">financial contributions in 2023 </w:t>
      </w:r>
      <w:r w:rsidR="00CC09CD">
        <w:t>are listed in the table below. F</w:t>
      </w:r>
      <w:r w:rsidR="00C01DA8">
        <w:t xml:space="preserve">or the full list of </w:t>
      </w:r>
      <w:r w:rsidR="003C3021">
        <w:t>donors</w:t>
      </w:r>
      <w:r w:rsidR="00663298">
        <w:t xml:space="preserve">, please refer to Document </w:t>
      </w:r>
      <w:hyperlink r:id="rId15">
        <w:r w:rsidR="00663298" w:rsidRPr="2FE48668">
          <w:rPr>
            <w:rStyle w:val="Hyperlink"/>
          </w:rPr>
          <w:t>TDAG24/INF/1</w:t>
        </w:r>
      </w:hyperlink>
      <w:r w:rsidR="00663298">
        <w:rPr>
          <w:rStyle w:val="Hyperlink"/>
        </w:rPr>
        <w:t>)</w:t>
      </w:r>
      <w:r w:rsidR="002249A5">
        <w:t>:</w:t>
      </w:r>
    </w:p>
    <w:tbl>
      <w:tblPr>
        <w:tblStyle w:val="TableGrid"/>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227"/>
        <w:gridCol w:w="3402"/>
      </w:tblGrid>
      <w:tr w:rsidR="002249A5" w14:paraId="04BB1F2B" w14:textId="77777777" w:rsidTr="67B99E46">
        <w:tc>
          <w:tcPr>
            <w:tcW w:w="6227" w:type="dxa"/>
            <w:shd w:val="clear" w:color="auto" w:fill="DBE5F1" w:themeFill="accent1" w:themeFillTint="33"/>
          </w:tcPr>
          <w:p w14:paraId="52DB1F63" w14:textId="77777777" w:rsidR="002249A5" w:rsidRPr="00B57A35" w:rsidRDefault="002249A5">
            <w:pPr>
              <w:tabs>
                <w:tab w:val="clear" w:pos="794"/>
                <w:tab w:val="clear" w:pos="1191"/>
                <w:tab w:val="clear" w:pos="1588"/>
                <w:tab w:val="clear" w:pos="1985"/>
              </w:tabs>
              <w:spacing w:after="60"/>
              <w:rPr>
                <w:b/>
                <w:bCs/>
                <w:sz w:val="22"/>
                <w:szCs w:val="22"/>
              </w:rPr>
            </w:pPr>
            <w:r w:rsidRPr="00B57A35">
              <w:rPr>
                <w:b/>
                <w:bCs/>
                <w:sz w:val="22"/>
                <w:szCs w:val="22"/>
              </w:rPr>
              <w:t>Partner</w:t>
            </w:r>
          </w:p>
        </w:tc>
        <w:tc>
          <w:tcPr>
            <w:tcW w:w="3402" w:type="dxa"/>
            <w:shd w:val="clear" w:color="auto" w:fill="DBE5F1" w:themeFill="accent1" w:themeFillTint="33"/>
          </w:tcPr>
          <w:p w14:paraId="695D7B82" w14:textId="202E9EF3" w:rsidR="002249A5" w:rsidRDefault="002249A5" w:rsidP="00975848">
            <w:pPr>
              <w:tabs>
                <w:tab w:val="clear" w:pos="794"/>
                <w:tab w:val="clear" w:pos="1191"/>
                <w:tab w:val="clear" w:pos="1588"/>
                <w:tab w:val="clear" w:pos="1985"/>
              </w:tabs>
              <w:spacing w:before="60" w:after="60"/>
              <w:jc w:val="center"/>
              <w:rPr>
                <w:b/>
                <w:bCs/>
                <w:sz w:val="22"/>
                <w:szCs w:val="22"/>
              </w:rPr>
            </w:pPr>
            <w:r w:rsidRPr="00B57A35">
              <w:rPr>
                <w:b/>
                <w:bCs/>
                <w:sz w:val="22"/>
                <w:szCs w:val="22"/>
              </w:rPr>
              <w:t xml:space="preserve">Signed financial </w:t>
            </w:r>
            <w:proofErr w:type="gramStart"/>
            <w:r w:rsidRPr="00B57A35">
              <w:rPr>
                <w:b/>
                <w:bCs/>
                <w:sz w:val="22"/>
                <w:szCs w:val="22"/>
              </w:rPr>
              <w:t>contribution</w:t>
            </w:r>
            <w:r w:rsidR="00A70E44">
              <w:rPr>
                <w:b/>
                <w:bCs/>
                <w:sz w:val="22"/>
                <w:szCs w:val="22"/>
              </w:rPr>
              <w:t>s</w:t>
            </w:r>
            <w:proofErr w:type="gramEnd"/>
          </w:p>
          <w:p w14:paraId="3B4FF01B" w14:textId="488FB271" w:rsidR="00A70E44" w:rsidRPr="00975848" w:rsidRDefault="00A70E44" w:rsidP="00975848">
            <w:pPr>
              <w:tabs>
                <w:tab w:val="clear" w:pos="794"/>
                <w:tab w:val="clear" w:pos="1191"/>
                <w:tab w:val="clear" w:pos="1588"/>
                <w:tab w:val="clear" w:pos="1985"/>
              </w:tabs>
              <w:spacing w:before="60" w:after="60"/>
              <w:jc w:val="center"/>
              <w:rPr>
                <w:sz w:val="20"/>
              </w:rPr>
            </w:pPr>
            <w:r w:rsidRPr="00975848">
              <w:rPr>
                <w:sz w:val="20"/>
              </w:rPr>
              <w:t>(in USD as per date of signature)</w:t>
            </w:r>
          </w:p>
        </w:tc>
      </w:tr>
      <w:tr w:rsidR="002249A5" w14:paraId="596C2198" w14:textId="77777777" w:rsidTr="67B99E46">
        <w:tc>
          <w:tcPr>
            <w:tcW w:w="6227" w:type="dxa"/>
          </w:tcPr>
          <w:p w14:paraId="19A7628E" w14:textId="54146651" w:rsidR="002249A5" w:rsidRDefault="002249A5">
            <w:pPr>
              <w:tabs>
                <w:tab w:val="clear" w:pos="794"/>
                <w:tab w:val="clear" w:pos="1191"/>
                <w:tab w:val="clear" w:pos="1588"/>
                <w:tab w:val="clear" w:pos="1985"/>
              </w:tabs>
              <w:spacing w:before="60" w:after="60"/>
              <w:rPr>
                <w:sz w:val="22"/>
                <w:szCs w:val="22"/>
              </w:rPr>
            </w:pPr>
            <w:r w:rsidRPr="00D27DF1">
              <w:rPr>
                <w:sz w:val="22"/>
                <w:szCs w:val="22"/>
              </w:rPr>
              <w:t>European Commission</w:t>
            </w:r>
          </w:p>
        </w:tc>
        <w:tc>
          <w:tcPr>
            <w:tcW w:w="3402" w:type="dxa"/>
          </w:tcPr>
          <w:p w14:paraId="457CA253" w14:textId="270D83FA" w:rsidR="002249A5" w:rsidRDefault="00D16A4D" w:rsidP="00975848">
            <w:pPr>
              <w:tabs>
                <w:tab w:val="clear" w:pos="794"/>
                <w:tab w:val="clear" w:pos="1191"/>
                <w:tab w:val="clear" w:pos="1588"/>
                <w:tab w:val="clear" w:pos="1985"/>
              </w:tabs>
              <w:spacing w:before="60" w:after="60"/>
              <w:jc w:val="center"/>
              <w:rPr>
                <w:sz w:val="22"/>
                <w:szCs w:val="22"/>
              </w:rPr>
            </w:pPr>
            <w:r>
              <w:rPr>
                <w:sz w:val="22"/>
                <w:szCs w:val="22"/>
              </w:rPr>
              <w:t>USD 12.74</w:t>
            </w:r>
            <w:r w:rsidR="002249A5">
              <w:rPr>
                <w:sz w:val="22"/>
                <w:szCs w:val="22"/>
              </w:rPr>
              <w:t xml:space="preserve"> million</w:t>
            </w:r>
          </w:p>
        </w:tc>
      </w:tr>
      <w:tr w:rsidR="002249A5" w14:paraId="3A385913" w14:textId="77777777" w:rsidTr="67B99E46">
        <w:tc>
          <w:tcPr>
            <w:tcW w:w="6227" w:type="dxa"/>
          </w:tcPr>
          <w:p w14:paraId="24519D16" w14:textId="77777777" w:rsidR="002249A5" w:rsidRPr="00670EA6" w:rsidRDefault="002249A5">
            <w:pPr>
              <w:tabs>
                <w:tab w:val="clear" w:pos="794"/>
                <w:tab w:val="clear" w:pos="1191"/>
                <w:tab w:val="clear" w:pos="1588"/>
                <w:tab w:val="clear" w:pos="1985"/>
              </w:tabs>
              <w:spacing w:before="60" w:after="60"/>
              <w:rPr>
                <w:sz w:val="22"/>
                <w:szCs w:val="22"/>
              </w:rPr>
            </w:pPr>
            <w:r w:rsidRPr="00D27DF1">
              <w:rPr>
                <w:sz w:val="22"/>
                <w:szCs w:val="22"/>
              </w:rPr>
              <w:t>Huawei Technologies Co., Ltd.</w:t>
            </w:r>
          </w:p>
        </w:tc>
        <w:tc>
          <w:tcPr>
            <w:tcW w:w="3402" w:type="dxa"/>
          </w:tcPr>
          <w:p w14:paraId="6A0418CD" w14:textId="75E334B8" w:rsidR="002249A5" w:rsidRDefault="002249A5" w:rsidP="007739FC">
            <w:pPr>
              <w:tabs>
                <w:tab w:val="clear" w:pos="794"/>
                <w:tab w:val="clear" w:pos="1191"/>
                <w:tab w:val="clear" w:pos="1588"/>
                <w:tab w:val="clear" w:pos="1985"/>
              </w:tabs>
              <w:spacing w:before="60" w:after="60"/>
              <w:jc w:val="center"/>
              <w:rPr>
                <w:sz w:val="22"/>
                <w:szCs w:val="22"/>
              </w:rPr>
            </w:pPr>
            <w:r>
              <w:rPr>
                <w:sz w:val="22"/>
                <w:szCs w:val="22"/>
              </w:rPr>
              <w:t>USD 1.5</w:t>
            </w:r>
            <w:r w:rsidR="008249B2">
              <w:rPr>
                <w:sz w:val="22"/>
                <w:szCs w:val="22"/>
              </w:rPr>
              <w:t>2</w:t>
            </w:r>
            <w:r>
              <w:rPr>
                <w:sz w:val="22"/>
                <w:szCs w:val="22"/>
              </w:rPr>
              <w:t xml:space="preserve"> million</w:t>
            </w:r>
          </w:p>
        </w:tc>
      </w:tr>
      <w:tr w:rsidR="002249A5" w14:paraId="7CFEE71B" w14:textId="77777777" w:rsidTr="67B99E46">
        <w:trPr>
          <w:trHeight w:val="354"/>
        </w:trPr>
        <w:tc>
          <w:tcPr>
            <w:tcW w:w="6227" w:type="dxa"/>
          </w:tcPr>
          <w:p w14:paraId="1EBDF742" w14:textId="4C8CC74A" w:rsidR="002249A5" w:rsidRDefault="002249A5">
            <w:pPr>
              <w:tabs>
                <w:tab w:val="clear" w:pos="794"/>
                <w:tab w:val="clear" w:pos="1191"/>
                <w:tab w:val="clear" w:pos="1588"/>
                <w:tab w:val="clear" w:pos="1985"/>
              </w:tabs>
              <w:spacing w:before="60" w:after="60"/>
              <w:rPr>
                <w:sz w:val="22"/>
                <w:szCs w:val="22"/>
              </w:rPr>
            </w:pPr>
            <w:r w:rsidRPr="00D27DF1">
              <w:rPr>
                <w:sz w:val="22"/>
                <w:szCs w:val="22"/>
              </w:rPr>
              <w:t xml:space="preserve">Deutsche Gesellschaft für Internationale </w:t>
            </w:r>
            <w:proofErr w:type="spellStart"/>
            <w:r w:rsidRPr="00D27DF1">
              <w:rPr>
                <w:sz w:val="22"/>
                <w:szCs w:val="22"/>
              </w:rPr>
              <w:t>Zusammenarbeit</w:t>
            </w:r>
            <w:proofErr w:type="spellEnd"/>
            <w:r w:rsidRPr="00D27DF1">
              <w:rPr>
                <w:sz w:val="22"/>
                <w:szCs w:val="22"/>
              </w:rPr>
              <w:t xml:space="preserve"> GmbH </w:t>
            </w:r>
          </w:p>
        </w:tc>
        <w:tc>
          <w:tcPr>
            <w:tcW w:w="3402" w:type="dxa"/>
          </w:tcPr>
          <w:p w14:paraId="78C37225" w14:textId="4FC647EF" w:rsidR="002249A5" w:rsidRDefault="00D16A4D" w:rsidP="004069F1">
            <w:pPr>
              <w:tabs>
                <w:tab w:val="clear" w:pos="794"/>
                <w:tab w:val="clear" w:pos="1191"/>
                <w:tab w:val="clear" w:pos="1588"/>
                <w:tab w:val="clear" w:pos="1985"/>
              </w:tabs>
              <w:spacing w:before="60" w:after="60"/>
              <w:jc w:val="center"/>
              <w:rPr>
                <w:sz w:val="22"/>
                <w:szCs w:val="22"/>
              </w:rPr>
            </w:pPr>
            <w:r>
              <w:rPr>
                <w:sz w:val="22"/>
                <w:szCs w:val="22"/>
              </w:rPr>
              <w:t>USD 1.43</w:t>
            </w:r>
            <w:r w:rsidR="002249A5" w:rsidRPr="007E3104">
              <w:rPr>
                <w:sz w:val="22"/>
                <w:szCs w:val="22"/>
              </w:rPr>
              <w:t xml:space="preserve"> million</w:t>
            </w:r>
          </w:p>
        </w:tc>
      </w:tr>
      <w:tr w:rsidR="006F42CD" w14:paraId="7977EF90" w14:textId="77777777" w:rsidTr="67B99E46">
        <w:trPr>
          <w:trHeight w:val="535"/>
        </w:trPr>
        <w:tc>
          <w:tcPr>
            <w:tcW w:w="6227" w:type="dxa"/>
          </w:tcPr>
          <w:p w14:paraId="0EA06512" w14:textId="5B0BF360" w:rsidR="006F42CD" w:rsidRPr="006B0BC3" w:rsidRDefault="006F42CD" w:rsidP="006F42CD">
            <w:pPr>
              <w:tabs>
                <w:tab w:val="clear" w:pos="794"/>
                <w:tab w:val="clear" w:pos="1191"/>
                <w:tab w:val="clear" w:pos="1588"/>
                <w:tab w:val="clear" w:pos="1985"/>
              </w:tabs>
              <w:spacing w:before="60" w:after="60"/>
              <w:rPr>
                <w:sz w:val="22"/>
                <w:szCs w:val="22"/>
              </w:rPr>
            </w:pPr>
            <w:r w:rsidRPr="006B0BC3">
              <w:rPr>
                <w:sz w:val="22"/>
                <w:szCs w:val="22"/>
              </w:rPr>
              <w:t>Department of Infrastructure, Transport, Regional Development, Communications and the Arts, Australia</w:t>
            </w:r>
          </w:p>
        </w:tc>
        <w:tc>
          <w:tcPr>
            <w:tcW w:w="3402" w:type="dxa"/>
          </w:tcPr>
          <w:p w14:paraId="3A52118C" w14:textId="748488BC" w:rsidR="006F42CD" w:rsidRDefault="006F42CD" w:rsidP="006F42CD">
            <w:pPr>
              <w:tabs>
                <w:tab w:val="clear" w:pos="794"/>
                <w:tab w:val="clear" w:pos="1191"/>
                <w:tab w:val="clear" w:pos="1588"/>
                <w:tab w:val="clear" w:pos="1985"/>
              </w:tabs>
              <w:spacing w:before="60" w:after="60"/>
              <w:jc w:val="center"/>
              <w:rPr>
                <w:sz w:val="22"/>
                <w:szCs w:val="22"/>
              </w:rPr>
            </w:pPr>
            <w:r>
              <w:rPr>
                <w:sz w:val="22"/>
                <w:szCs w:val="22"/>
              </w:rPr>
              <w:t>USD 0.92 million</w:t>
            </w:r>
          </w:p>
        </w:tc>
      </w:tr>
      <w:tr w:rsidR="006F42CD" w14:paraId="3BE74B7B" w14:textId="77777777" w:rsidTr="007739FC">
        <w:trPr>
          <w:trHeight w:val="350"/>
        </w:trPr>
        <w:tc>
          <w:tcPr>
            <w:tcW w:w="6227" w:type="dxa"/>
          </w:tcPr>
          <w:p w14:paraId="2EDF15BD" w14:textId="4C6DA359" w:rsidR="006F42CD" w:rsidRPr="006B0BC3" w:rsidRDefault="006F42CD" w:rsidP="006F42CD">
            <w:pPr>
              <w:tabs>
                <w:tab w:val="clear" w:pos="794"/>
                <w:tab w:val="clear" w:pos="1191"/>
                <w:tab w:val="clear" w:pos="1588"/>
                <w:tab w:val="clear" w:pos="1985"/>
              </w:tabs>
              <w:spacing w:before="60" w:after="60"/>
              <w:rPr>
                <w:sz w:val="22"/>
                <w:szCs w:val="22"/>
              </w:rPr>
            </w:pPr>
            <w:r w:rsidRPr="008027E2">
              <w:rPr>
                <w:sz w:val="22"/>
                <w:szCs w:val="22"/>
              </w:rPr>
              <w:t>Norwegian Agency for Development Cooperation</w:t>
            </w:r>
          </w:p>
        </w:tc>
        <w:tc>
          <w:tcPr>
            <w:tcW w:w="3402" w:type="dxa"/>
          </w:tcPr>
          <w:p w14:paraId="3F51B05A" w14:textId="46319293" w:rsidR="006F42CD" w:rsidRDefault="006F42CD" w:rsidP="006F42CD">
            <w:pPr>
              <w:tabs>
                <w:tab w:val="clear" w:pos="794"/>
                <w:tab w:val="clear" w:pos="1191"/>
                <w:tab w:val="clear" w:pos="1588"/>
                <w:tab w:val="clear" w:pos="1985"/>
              </w:tabs>
              <w:spacing w:before="60" w:after="60"/>
              <w:jc w:val="center"/>
              <w:rPr>
                <w:sz w:val="22"/>
                <w:szCs w:val="22"/>
              </w:rPr>
            </w:pPr>
            <w:r>
              <w:rPr>
                <w:sz w:val="22"/>
                <w:szCs w:val="22"/>
              </w:rPr>
              <w:t>USD 0.92 million</w:t>
            </w:r>
          </w:p>
        </w:tc>
      </w:tr>
      <w:tr w:rsidR="006F42CD" w14:paraId="3C2C3B15" w14:textId="77777777" w:rsidTr="007739FC">
        <w:trPr>
          <w:trHeight w:val="399"/>
        </w:trPr>
        <w:tc>
          <w:tcPr>
            <w:tcW w:w="6227" w:type="dxa"/>
          </w:tcPr>
          <w:p w14:paraId="5D080F09" w14:textId="4ABBDF8B" w:rsidR="006F42CD" w:rsidRPr="006B0BC3" w:rsidRDefault="006F42CD" w:rsidP="006F42CD">
            <w:pPr>
              <w:tabs>
                <w:tab w:val="clear" w:pos="794"/>
                <w:tab w:val="clear" w:pos="1191"/>
                <w:tab w:val="clear" w:pos="1588"/>
                <w:tab w:val="clear" w:pos="1985"/>
              </w:tabs>
              <w:spacing w:before="60" w:after="60"/>
              <w:rPr>
                <w:sz w:val="22"/>
                <w:szCs w:val="22"/>
              </w:rPr>
            </w:pPr>
            <w:r w:rsidRPr="00FE2DE9">
              <w:rPr>
                <w:sz w:val="22"/>
                <w:szCs w:val="22"/>
              </w:rPr>
              <w:t>Communications, Space and Technology Commission, Saudi Arabia</w:t>
            </w:r>
          </w:p>
        </w:tc>
        <w:tc>
          <w:tcPr>
            <w:tcW w:w="3402" w:type="dxa"/>
          </w:tcPr>
          <w:p w14:paraId="1935B34C" w14:textId="247BBC20" w:rsidR="006F42CD" w:rsidRDefault="006F42CD" w:rsidP="006F42CD">
            <w:pPr>
              <w:tabs>
                <w:tab w:val="clear" w:pos="794"/>
                <w:tab w:val="clear" w:pos="1191"/>
                <w:tab w:val="clear" w:pos="1588"/>
                <w:tab w:val="clear" w:pos="1985"/>
              </w:tabs>
              <w:spacing w:before="60" w:after="60"/>
              <w:jc w:val="center"/>
              <w:rPr>
                <w:sz w:val="22"/>
                <w:szCs w:val="22"/>
              </w:rPr>
            </w:pPr>
            <w:r>
              <w:rPr>
                <w:sz w:val="22"/>
                <w:szCs w:val="22"/>
              </w:rPr>
              <w:t>USD 0.77 million</w:t>
            </w:r>
          </w:p>
        </w:tc>
      </w:tr>
      <w:tr w:rsidR="006F42CD" w14:paraId="30DC27A4" w14:textId="77777777" w:rsidTr="67B99E46">
        <w:trPr>
          <w:trHeight w:val="339"/>
        </w:trPr>
        <w:tc>
          <w:tcPr>
            <w:tcW w:w="6227" w:type="dxa"/>
          </w:tcPr>
          <w:p w14:paraId="6D102683" w14:textId="681717F0" w:rsidR="006F42CD" w:rsidRPr="00D27DF1" w:rsidRDefault="006F42CD" w:rsidP="006F42CD">
            <w:pPr>
              <w:tabs>
                <w:tab w:val="clear" w:pos="794"/>
                <w:tab w:val="clear" w:pos="1191"/>
                <w:tab w:val="clear" w:pos="1588"/>
                <w:tab w:val="clear" w:pos="1985"/>
              </w:tabs>
              <w:spacing w:before="60" w:after="60"/>
              <w:rPr>
                <w:sz w:val="22"/>
                <w:szCs w:val="22"/>
              </w:rPr>
            </w:pPr>
            <w:r w:rsidRPr="0055422B">
              <w:rPr>
                <w:sz w:val="22"/>
                <w:szCs w:val="22"/>
              </w:rPr>
              <w:t>Ministry of Internal Affairs and Communications, Japan</w:t>
            </w:r>
          </w:p>
        </w:tc>
        <w:tc>
          <w:tcPr>
            <w:tcW w:w="3402" w:type="dxa"/>
          </w:tcPr>
          <w:p w14:paraId="1FA24FCD" w14:textId="58FE4666" w:rsidR="006F42CD" w:rsidRPr="007E3104" w:rsidRDefault="006F42CD" w:rsidP="007739FC">
            <w:pPr>
              <w:tabs>
                <w:tab w:val="clear" w:pos="794"/>
                <w:tab w:val="clear" w:pos="1191"/>
                <w:tab w:val="clear" w:pos="1588"/>
                <w:tab w:val="clear" w:pos="1985"/>
              </w:tabs>
              <w:spacing w:before="60" w:after="60"/>
              <w:jc w:val="center"/>
              <w:rPr>
                <w:sz w:val="22"/>
                <w:szCs w:val="22"/>
              </w:rPr>
            </w:pPr>
            <w:r>
              <w:rPr>
                <w:sz w:val="22"/>
                <w:szCs w:val="22"/>
              </w:rPr>
              <w:t>USD 0.73 million</w:t>
            </w:r>
          </w:p>
        </w:tc>
      </w:tr>
      <w:tr w:rsidR="0070187C" w14:paraId="32E64B41" w14:textId="77777777" w:rsidTr="67B99E46">
        <w:trPr>
          <w:trHeight w:val="339"/>
        </w:trPr>
        <w:tc>
          <w:tcPr>
            <w:tcW w:w="6227" w:type="dxa"/>
          </w:tcPr>
          <w:p w14:paraId="4176E646" w14:textId="04BFC5CF" w:rsidR="0070187C" w:rsidRPr="0055422B" w:rsidRDefault="004B78A1" w:rsidP="006F42CD">
            <w:pPr>
              <w:tabs>
                <w:tab w:val="clear" w:pos="794"/>
                <w:tab w:val="clear" w:pos="1191"/>
                <w:tab w:val="clear" w:pos="1588"/>
                <w:tab w:val="clear" w:pos="1985"/>
              </w:tabs>
              <w:spacing w:before="60" w:after="60"/>
              <w:rPr>
                <w:sz w:val="22"/>
                <w:szCs w:val="22"/>
              </w:rPr>
            </w:pPr>
            <w:r w:rsidRPr="004B78A1">
              <w:rPr>
                <w:sz w:val="22"/>
                <w:szCs w:val="22"/>
              </w:rPr>
              <w:t>Foreign, Commonwealth &amp; Development Office</w:t>
            </w:r>
            <w:r>
              <w:rPr>
                <w:sz w:val="22"/>
                <w:szCs w:val="22"/>
              </w:rPr>
              <w:t>, United Kingdom</w:t>
            </w:r>
          </w:p>
        </w:tc>
        <w:tc>
          <w:tcPr>
            <w:tcW w:w="3402" w:type="dxa"/>
          </w:tcPr>
          <w:p w14:paraId="096CEDAA" w14:textId="3E15BD3D" w:rsidR="0070187C" w:rsidRDefault="004B78A1" w:rsidP="007739FC">
            <w:pPr>
              <w:tabs>
                <w:tab w:val="clear" w:pos="794"/>
                <w:tab w:val="clear" w:pos="1191"/>
                <w:tab w:val="clear" w:pos="1588"/>
                <w:tab w:val="clear" w:pos="1985"/>
              </w:tabs>
              <w:spacing w:before="60" w:after="60"/>
              <w:jc w:val="center"/>
              <w:rPr>
                <w:sz w:val="22"/>
                <w:szCs w:val="22"/>
              </w:rPr>
            </w:pPr>
            <w:r>
              <w:rPr>
                <w:sz w:val="22"/>
                <w:szCs w:val="22"/>
              </w:rPr>
              <w:t>USD 0.54 million</w:t>
            </w:r>
          </w:p>
        </w:tc>
      </w:tr>
      <w:tr w:rsidR="006F42CD" w14:paraId="097AEB91" w14:textId="77777777" w:rsidTr="67B99E46">
        <w:trPr>
          <w:trHeight w:val="279"/>
        </w:trPr>
        <w:tc>
          <w:tcPr>
            <w:tcW w:w="6227" w:type="dxa"/>
          </w:tcPr>
          <w:p w14:paraId="642F8A9A" w14:textId="0E8BA054" w:rsidR="006F42CD" w:rsidRPr="00D27DF1" w:rsidRDefault="006F42CD" w:rsidP="006F42CD">
            <w:pPr>
              <w:tabs>
                <w:tab w:val="clear" w:pos="794"/>
                <w:tab w:val="clear" w:pos="1191"/>
                <w:tab w:val="clear" w:pos="1588"/>
                <w:tab w:val="clear" w:pos="1985"/>
              </w:tabs>
              <w:spacing w:before="60" w:after="60"/>
              <w:rPr>
                <w:sz w:val="22"/>
                <w:szCs w:val="22"/>
              </w:rPr>
            </w:pPr>
            <w:r w:rsidRPr="00524C35">
              <w:rPr>
                <w:sz w:val="22"/>
                <w:szCs w:val="22"/>
              </w:rPr>
              <w:t>Qualcomm</w:t>
            </w:r>
          </w:p>
        </w:tc>
        <w:tc>
          <w:tcPr>
            <w:tcW w:w="3402" w:type="dxa"/>
          </w:tcPr>
          <w:p w14:paraId="0EE5304E" w14:textId="10AC5400" w:rsidR="006F42CD" w:rsidRPr="007E3104" w:rsidRDefault="006F42CD" w:rsidP="007739FC">
            <w:pPr>
              <w:tabs>
                <w:tab w:val="clear" w:pos="794"/>
                <w:tab w:val="clear" w:pos="1191"/>
                <w:tab w:val="clear" w:pos="1588"/>
                <w:tab w:val="clear" w:pos="1985"/>
              </w:tabs>
              <w:spacing w:before="60" w:after="60"/>
              <w:jc w:val="center"/>
              <w:rPr>
                <w:sz w:val="22"/>
                <w:szCs w:val="22"/>
              </w:rPr>
            </w:pPr>
            <w:r>
              <w:rPr>
                <w:sz w:val="22"/>
                <w:szCs w:val="22"/>
              </w:rPr>
              <w:t>USD 0.30 million</w:t>
            </w:r>
          </w:p>
        </w:tc>
      </w:tr>
      <w:tr w:rsidR="006F42CD" w14:paraId="7CDF395A" w14:textId="77777777" w:rsidTr="67B99E46">
        <w:trPr>
          <w:trHeight w:val="313"/>
        </w:trPr>
        <w:tc>
          <w:tcPr>
            <w:tcW w:w="6227" w:type="dxa"/>
          </w:tcPr>
          <w:p w14:paraId="2ED25056" w14:textId="3A6C225C" w:rsidR="006F42CD" w:rsidRPr="00524C35" w:rsidRDefault="006F42CD" w:rsidP="006F42CD">
            <w:pPr>
              <w:tabs>
                <w:tab w:val="clear" w:pos="794"/>
                <w:tab w:val="clear" w:pos="1191"/>
                <w:tab w:val="clear" w:pos="1588"/>
                <w:tab w:val="clear" w:pos="1985"/>
              </w:tabs>
              <w:spacing w:before="60" w:after="60"/>
              <w:rPr>
                <w:sz w:val="22"/>
                <w:szCs w:val="22"/>
              </w:rPr>
            </w:pPr>
            <w:r w:rsidRPr="00227956">
              <w:rPr>
                <w:sz w:val="22"/>
                <w:szCs w:val="22"/>
              </w:rPr>
              <w:t>United Nations Children's Fund</w:t>
            </w:r>
          </w:p>
        </w:tc>
        <w:tc>
          <w:tcPr>
            <w:tcW w:w="3402" w:type="dxa"/>
          </w:tcPr>
          <w:p w14:paraId="5560C7D6" w14:textId="216E8D3A" w:rsidR="006F42CD" w:rsidRDefault="006F42CD" w:rsidP="007739FC">
            <w:pPr>
              <w:tabs>
                <w:tab w:val="clear" w:pos="794"/>
                <w:tab w:val="clear" w:pos="1191"/>
                <w:tab w:val="clear" w:pos="1588"/>
                <w:tab w:val="clear" w:pos="1985"/>
              </w:tabs>
              <w:spacing w:before="60" w:after="60"/>
              <w:jc w:val="center"/>
              <w:rPr>
                <w:sz w:val="22"/>
                <w:szCs w:val="22"/>
              </w:rPr>
            </w:pPr>
            <w:r>
              <w:rPr>
                <w:sz w:val="22"/>
                <w:szCs w:val="22"/>
              </w:rPr>
              <w:t>USD 0.30 million</w:t>
            </w:r>
          </w:p>
        </w:tc>
      </w:tr>
      <w:tr w:rsidR="006F42CD" w:rsidRPr="004B78A1" w14:paraId="1DF39945" w14:textId="77777777" w:rsidTr="004B78A1">
        <w:trPr>
          <w:trHeight w:val="54"/>
        </w:trPr>
        <w:tc>
          <w:tcPr>
            <w:tcW w:w="6227" w:type="dxa"/>
          </w:tcPr>
          <w:p w14:paraId="054E9609" w14:textId="4BBD7EE1" w:rsidR="006F42CD" w:rsidRPr="004B78A1" w:rsidRDefault="006F42CD" w:rsidP="006F42CD">
            <w:pPr>
              <w:tabs>
                <w:tab w:val="clear" w:pos="794"/>
                <w:tab w:val="clear" w:pos="1191"/>
                <w:tab w:val="clear" w:pos="1588"/>
                <w:tab w:val="clear" w:pos="1985"/>
              </w:tabs>
              <w:spacing w:before="60" w:after="60"/>
              <w:rPr>
                <w:sz w:val="8"/>
                <w:szCs w:val="8"/>
              </w:rPr>
            </w:pPr>
          </w:p>
        </w:tc>
        <w:tc>
          <w:tcPr>
            <w:tcW w:w="3402" w:type="dxa"/>
          </w:tcPr>
          <w:p w14:paraId="32DE8726" w14:textId="3FB951CF" w:rsidR="006F42CD" w:rsidRPr="004B78A1" w:rsidRDefault="006F42CD" w:rsidP="007739FC">
            <w:pPr>
              <w:tabs>
                <w:tab w:val="clear" w:pos="794"/>
                <w:tab w:val="clear" w:pos="1191"/>
                <w:tab w:val="clear" w:pos="1588"/>
                <w:tab w:val="clear" w:pos="1985"/>
              </w:tabs>
              <w:spacing w:before="60" w:after="60"/>
              <w:jc w:val="center"/>
              <w:rPr>
                <w:sz w:val="8"/>
                <w:szCs w:val="8"/>
              </w:rPr>
            </w:pPr>
          </w:p>
        </w:tc>
      </w:tr>
    </w:tbl>
    <w:p w14:paraId="688761D8" w14:textId="4440BA7F" w:rsidR="00E57B8A" w:rsidRDefault="002249A5" w:rsidP="7CB81506">
      <w:pPr>
        <w:keepNext/>
        <w:spacing w:after="120"/>
      </w:pPr>
      <w:r>
        <w:lastRenderedPageBreak/>
        <w:t>The distribution by region and ITU-D priorities of the agreements signed by BDT with partners in 2023 is provided below:</w:t>
      </w:r>
    </w:p>
    <w:p w14:paraId="6A3840D6" w14:textId="23F5F1D9" w:rsidR="00FE4F67" w:rsidRPr="002249A5" w:rsidRDefault="00BD2FF3" w:rsidP="7CB81506">
      <w:pPr>
        <w:keepNext/>
        <w:spacing w:after="120"/>
      </w:pPr>
      <w:r>
        <w:rPr>
          <w:noProof/>
        </w:rPr>
        <w:drawing>
          <wp:inline distT="0" distB="0" distL="0" distR="0" wp14:anchorId="2D4BCDB4" wp14:editId="4B7A2163">
            <wp:extent cx="6120765" cy="2272150"/>
            <wp:effectExtent l="0" t="0" r="13335" b="13970"/>
            <wp:docPr id="325196884" name="Chart 1">
              <a:extLst xmlns:a="http://schemas.openxmlformats.org/drawingml/2006/main">
                <a:ext uri="{FF2B5EF4-FFF2-40B4-BE49-F238E27FC236}">
                  <a16:creationId xmlns:a16="http://schemas.microsoft.com/office/drawing/2014/main" id="{EAFF9A74-0A47-45AC-B305-C8A26823ED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5591AC" w14:textId="77777777" w:rsidR="002249A5" w:rsidRDefault="002249A5" w:rsidP="002249A5">
      <w:pPr>
        <w:spacing w:before="0"/>
        <w:jc w:val="both"/>
        <w:rPr>
          <w:sz w:val="6"/>
          <w:szCs w:val="6"/>
        </w:rPr>
      </w:pPr>
    </w:p>
    <w:p w14:paraId="555B4D65" w14:textId="23E645E2" w:rsidR="00957838" w:rsidRDefault="00957838" w:rsidP="002249A5">
      <w:pPr>
        <w:spacing w:before="0"/>
        <w:jc w:val="both"/>
        <w:rPr>
          <w:sz w:val="6"/>
          <w:szCs w:val="6"/>
        </w:rPr>
      </w:pPr>
    </w:p>
    <w:p w14:paraId="04D53FBC" w14:textId="6165CE48" w:rsidR="00C3093A" w:rsidRDefault="00C3093A" w:rsidP="002249A5">
      <w:pPr>
        <w:spacing w:before="0"/>
        <w:jc w:val="both"/>
        <w:rPr>
          <w:sz w:val="6"/>
          <w:szCs w:val="6"/>
        </w:rPr>
      </w:pPr>
      <w:r>
        <w:rPr>
          <w:noProof/>
        </w:rPr>
        <w:drawing>
          <wp:inline distT="0" distB="0" distL="0" distR="0" wp14:anchorId="19A78E01" wp14:editId="4D136EAC">
            <wp:extent cx="6178550" cy="2453489"/>
            <wp:effectExtent l="0" t="0" r="12700" b="4445"/>
            <wp:docPr id="699580467" name="Chart 1">
              <a:extLst xmlns:a="http://schemas.openxmlformats.org/drawingml/2006/main">
                <a:ext uri="{FF2B5EF4-FFF2-40B4-BE49-F238E27FC236}">
                  <a16:creationId xmlns:a16="http://schemas.microsoft.com/office/drawing/2014/main" id="{A19E1C0E-FCB2-49A8-A0D3-67AE3AEEC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8B1C9B" w14:textId="77777777" w:rsidR="002D6B95" w:rsidRDefault="002D6B95" w:rsidP="002249A5">
      <w:pPr>
        <w:spacing w:before="0"/>
        <w:jc w:val="both"/>
        <w:rPr>
          <w:sz w:val="6"/>
          <w:szCs w:val="6"/>
        </w:rPr>
      </w:pPr>
    </w:p>
    <w:p w14:paraId="69C236EB" w14:textId="6407F073" w:rsidR="002249A5" w:rsidRDefault="002249A5" w:rsidP="002249A5">
      <w:pPr>
        <w:spacing w:after="80"/>
        <w:jc w:val="center"/>
        <w:rPr>
          <w:sz w:val="22"/>
          <w:szCs w:val="22"/>
        </w:rPr>
      </w:pPr>
    </w:p>
    <w:p w14:paraId="5628DCBC" w14:textId="5471FFA6" w:rsidR="002249A5" w:rsidRPr="00FA5EA2" w:rsidRDefault="002249A5" w:rsidP="00753125">
      <w:pPr>
        <w:keepNext/>
        <w:spacing w:after="120"/>
        <w:rPr>
          <w:szCs w:val="24"/>
        </w:rPr>
      </w:pPr>
      <w:r w:rsidRPr="00FA5EA2">
        <w:rPr>
          <w:szCs w:val="24"/>
        </w:rPr>
        <w:t>The charts below present a comparison in terms of number of agreements and financial contributions signed in 2022 and 2023:</w:t>
      </w:r>
    </w:p>
    <w:p w14:paraId="78A8E997" w14:textId="216F8B39" w:rsidR="002249A5" w:rsidRDefault="00FA5EA2" w:rsidP="00424A97">
      <w:pPr>
        <w:spacing w:after="120"/>
        <w:jc w:val="both"/>
        <w:rPr>
          <w:rFonts w:ascii="Tenorite" w:hAnsi="Tenorite" w:cs="Arial"/>
          <w:szCs w:val="24"/>
          <w:lang w:val="en-US"/>
        </w:rPr>
      </w:pPr>
      <w:r>
        <w:rPr>
          <w:rFonts w:ascii="Tenorite" w:hAnsi="Tenorite" w:cs="Arial"/>
          <w:szCs w:val="24"/>
          <w:lang w:val="en-US"/>
        </w:rPr>
        <w:t xml:space="preserve"> </w:t>
      </w:r>
      <w:r w:rsidR="002249A5" w:rsidRPr="0073095C">
        <w:rPr>
          <w:rFonts w:ascii="Tenorite" w:hAnsi="Tenorite"/>
          <w:noProof/>
          <w:sz w:val="18"/>
          <w:szCs w:val="18"/>
        </w:rPr>
        <w:drawing>
          <wp:inline distT="0" distB="0" distL="0" distR="0" wp14:anchorId="325D72C3" wp14:editId="7342358D">
            <wp:extent cx="2413000" cy="1671955"/>
            <wp:effectExtent l="0" t="0" r="6350" b="4445"/>
            <wp:docPr id="1190596906" name="Chart 1">
              <a:extLst xmlns:a="http://schemas.openxmlformats.org/drawingml/2006/main">
                <a:ext uri="{FF2B5EF4-FFF2-40B4-BE49-F238E27FC236}">
                  <a16:creationId xmlns:a16="http://schemas.microsoft.com/office/drawing/2014/main" id="{51CE50D9-C911-4FBE-AFFC-5F4DE909F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enorite" w:hAnsi="Tenorite" w:cs="Arial"/>
          <w:szCs w:val="24"/>
          <w:lang w:val="en-US"/>
        </w:rPr>
        <w:t xml:space="preserve"> </w:t>
      </w:r>
      <w:r w:rsidR="006864E5">
        <w:rPr>
          <w:rFonts w:ascii="Tenorite" w:hAnsi="Tenorite" w:cs="Arial"/>
          <w:szCs w:val="24"/>
          <w:lang w:val="en-US"/>
        </w:rPr>
        <w:t xml:space="preserve">   </w:t>
      </w:r>
      <w:r w:rsidR="002249A5" w:rsidRPr="000E3153">
        <w:rPr>
          <w:rFonts w:ascii="Tenorite" w:hAnsi="Tenorite"/>
          <w:noProof/>
          <w:sz w:val="22"/>
          <w:szCs w:val="22"/>
        </w:rPr>
        <w:drawing>
          <wp:inline distT="0" distB="0" distL="0" distR="0" wp14:anchorId="4E7BB2B1" wp14:editId="21A2CDE7">
            <wp:extent cx="3421380" cy="1662430"/>
            <wp:effectExtent l="0" t="0" r="7620" b="13970"/>
            <wp:docPr id="1383694849" name="Chart 1">
              <a:extLst xmlns:a="http://schemas.openxmlformats.org/drawingml/2006/main">
                <a:ext uri="{FF2B5EF4-FFF2-40B4-BE49-F238E27FC236}">
                  <a16:creationId xmlns:a16="http://schemas.microsoft.com/office/drawing/2014/main" id="{81D9F19A-9E82-43ED-BA4E-5AD79D3E9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82972B" w14:textId="4F0AE637" w:rsidR="002249A5" w:rsidRPr="00FA5EA2" w:rsidRDefault="002249A5" w:rsidP="00753125">
      <w:pPr>
        <w:pStyle w:val="ListParagraph"/>
        <w:keepNext/>
        <w:numPr>
          <w:ilvl w:val="0"/>
          <w:numId w:val="6"/>
        </w:numPr>
        <w:spacing w:after="120"/>
        <w:ind w:left="357" w:hanging="357"/>
        <w:contextualSpacing w:val="0"/>
        <w:rPr>
          <w:b/>
          <w:bCs/>
          <w:szCs w:val="24"/>
        </w:rPr>
      </w:pPr>
      <w:r w:rsidRPr="00FA5EA2">
        <w:rPr>
          <w:b/>
          <w:bCs/>
          <w:szCs w:val="24"/>
        </w:rPr>
        <w:t>Key Actions and Outcomes</w:t>
      </w:r>
    </w:p>
    <w:p w14:paraId="1808A32C" w14:textId="2B9DC506" w:rsidR="003F54E2" w:rsidRDefault="00BE6316" w:rsidP="00FA5EA2">
      <w:pPr>
        <w:tabs>
          <w:tab w:val="clear" w:pos="794"/>
          <w:tab w:val="clear" w:pos="1191"/>
          <w:tab w:val="clear" w:pos="1588"/>
          <w:tab w:val="clear" w:pos="1985"/>
        </w:tabs>
        <w:spacing w:after="120"/>
        <w:rPr>
          <w:rStyle w:val="ui-provider"/>
        </w:rPr>
      </w:pPr>
      <w:r>
        <w:t>The impact of BDT work financed jointly with partners</w:t>
      </w:r>
      <w:r w:rsidR="00BC588C">
        <w:t xml:space="preserve"> is being reported through </w:t>
      </w:r>
      <w:r w:rsidR="00EB1197">
        <w:t>I</w:t>
      </w:r>
      <w:r w:rsidR="00BC588C">
        <w:t>mpact stories available here:</w:t>
      </w:r>
      <w:r w:rsidR="003F54E2">
        <w:t xml:space="preserve"> </w:t>
      </w:r>
      <w:hyperlink r:id="rId20" w:history="1">
        <w:r w:rsidR="00202BE2" w:rsidRPr="00B22600">
          <w:rPr>
            <w:rStyle w:val="Hyperlink"/>
          </w:rPr>
          <w:t>https://www.itu.int/itu-d/sites/digital-impact-unlocked/all-stories/2024-edition/</w:t>
        </w:r>
      </w:hyperlink>
    </w:p>
    <w:p w14:paraId="08FECD07" w14:textId="03CCBF9D" w:rsidR="00407FFD" w:rsidRPr="00FA5EA2" w:rsidRDefault="00202BE2" w:rsidP="00407FFD">
      <w:pPr>
        <w:tabs>
          <w:tab w:val="clear" w:pos="794"/>
          <w:tab w:val="clear" w:pos="1191"/>
          <w:tab w:val="clear" w:pos="1588"/>
          <w:tab w:val="clear" w:pos="1985"/>
        </w:tabs>
        <w:spacing w:after="120"/>
      </w:pPr>
      <w:r>
        <w:rPr>
          <w:rStyle w:val="ui-provider"/>
        </w:rPr>
        <w:lastRenderedPageBreak/>
        <w:t>The following are some of the measures taken to strengthen partnership and resource mobilization:</w:t>
      </w:r>
    </w:p>
    <w:p w14:paraId="4AAD670B" w14:textId="0060B61E" w:rsidR="002249A5" w:rsidRPr="00FA5EA2" w:rsidRDefault="002249A5" w:rsidP="0040528F">
      <w:pPr>
        <w:pStyle w:val="ListParagraph"/>
        <w:numPr>
          <w:ilvl w:val="0"/>
          <w:numId w:val="8"/>
        </w:numPr>
        <w:spacing w:after="120"/>
      </w:pPr>
      <w:r w:rsidRPr="00407FFD">
        <w:rPr>
          <w:b/>
          <w:bCs/>
        </w:rPr>
        <w:t>Cultivating/strengthening the relationship with existing partners:</w:t>
      </w:r>
      <w:r w:rsidRPr="00FA5EA2">
        <w:t xml:space="preserve"> </w:t>
      </w:r>
      <w:r w:rsidR="00647358">
        <w:t>BDT partners are of different types (governmental entities, financial institutions (including regional development banks</w:t>
      </w:r>
      <w:r w:rsidR="00B31622">
        <w:t>)</w:t>
      </w:r>
      <w:r w:rsidR="00647358">
        <w:t xml:space="preserve">, </w:t>
      </w:r>
      <w:r w:rsidR="004C2765">
        <w:t>international and regional organizati</w:t>
      </w:r>
      <w:r w:rsidR="00F84F45">
        <w:t xml:space="preserve">ons, private sector entities, </w:t>
      </w:r>
      <w:r w:rsidR="007D0F93">
        <w:t xml:space="preserve">UN organizations, </w:t>
      </w:r>
      <w:r w:rsidR="00647358">
        <w:t>academia, etc.)</w:t>
      </w:r>
      <w:r w:rsidR="00EF4145">
        <w:t xml:space="preserve"> from both developing and developed countries</w:t>
      </w:r>
      <w:r w:rsidR="00F734B6">
        <w:t xml:space="preserve"> that share experience and expertise and contribute financially</w:t>
      </w:r>
      <w:r w:rsidR="00BE3056">
        <w:t xml:space="preserve"> </w:t>
      </w:r>
      <w:r w:rsidR="00BE3056" w:rsidRPr="00407FFD">
        <w:rPr>
          <w:szCs w:val="24"/>
        </w:rPr>
        <w:t xml:space="preserve">for the implementation of programmes, </w:t>
      </w:r>
      <w:proofErr w:type="gramStart"/>
      <w:r w:rsidR="00BE3056" w:rsidRPr="00407FFD">
        <w:rPr>
          <w:szCs w:val="24"/>
        </w:rPr>
        <w:t>activities</w:t>
      </w:r>
      <w:proofErr w:type="gramEnd"/>
      <w:r w:rsidR="00BE3056" w:rsidRPr="00407FFD">
        <w:rPr>
          <w:szCs w:val="24"/>
        </w:rPr>
        <w:t xml:space="preserve"> and initiatives for sustainable development</w:t>
      </w:r>
      <w:r w:rsidR="00CB6EA2">
        <w:rPr>
          <w:rStyle w:val="FootnoteReference"/>
          <w:szCs w:val="24"/>
        </w:rPr>
        <w:footnoteReference w:id="3"/>
      </w:r>
      <w:r w:rsidR="00BE3056" w:rsidRPr="00407FFD">
        <w:rPr>
          <w:szCs w:val="24"/>
        </w:rPr>
        <w:t>.</w:t>
      </w:r>
      <w:r w:rsidR="00EF4145">
        <w:t xml:space="preserve"> Considering that a</w:t>
      </w:r>
      <w:r w:rsidRPr="00FA5EA2">
        <w:t xml:space="preserve"> relationship of quality, anchored on trust, confidence, and respect is crucial for successful partnership and resource mobilization</w:t>
      </w:r>
      <w:r w:rsidR="00EF4145">
        <w:t xml:space="preserve"> and that </w:t>
      </w:r>
      <w:r w:rsidR="00F734B6">
        <w:t>b</w:t>
      </w:r>
      <w:r w:rsidRPr="00FA5EA2">
        <w:t>uilding such relationship happens over time</w:t>
      </w:r>
      <w:r w:rsidR="00F734B6">
        <w:t xml:space="preserve">, </w:t>
      </w:r>
      <w:r w:rsidRPr="00FA5EA2">
        <w:t xml:space="preserve">BDT pays particular attention at cultivating its relationship with its longstanding partners, including those indicated under Document </w:t>
      </w:r>
      <w:hyperlink r:id="rId21" w:history="1">
        <w:r w:rsidRPr="00407FFD">
          <w:rPr>
            <w:rStyle w:val="Hyperlink"/>
            <w:szCs w:val="24"/>
          </w:rPr>
          <w:t>TDAG</w:t>
        </w:r>
        <w:r w:rsidRPr="00407FFD">
          <w:rPr>
            <w:rStyle w:val="Hyperlink"/>
            <w:szCs w:val="24"/>
          </w:rPr>
          <w:noBreakHyphen/>
          <w:t>24/INF/1</w:t>
        </w:r>
      </w:hyperlink>
      <w:r w:rsidRPr="00407FFD">
        <w:rPr>
          <w:szCs w:val="24"/>
        </w:rPr>
        <w:t xml:space="preserve">. </w:t>
      </w:r>
    </w:p>
    <w:p w14:paraId="7956E656" w14:textId="193B908C" w:rsidR="002249A5" w:rsidRPr="00FA5EA2" w:rsidRDefault="002249A5" w:rsidP="00407FFD">
      <w:pPr>
        <w:pStyle w:val="ListParagraph"/>
        <w:numPr>
          <w:ilvl w:val="0"/>
          <w:numId w:val="5"/>
        </w:numPr>
        <w:spacing w:before="60" w:after="60"/>
        <w:ind w:left="709" w:hanging="357"/>
      </w:pPr>
      <w:r w:rsidRPr="7CB81506">
        <w:rPr>
          <w:b/>
          <w:bCs/>
        </w:rPr>
        <w:t>Outreach to new potential partners</w:t>
      </w:r>
      <w:r>
        <w:t xml:space="preserve">: While particular attention is paid by BDT to nurturing the relationship with its existing partners and engaging them in a lasting relationship, BDT also recognizes the importance of widening and diversifying its pool of partners through outreaching activities </w:t>
      </w:r>
      <w:r w:rsidR="00447F1F">
        <w:t xml:space="preserve">and </w:t>
      </w:r>
      <w:r w:rsidR="00447F1F" w:rsidRPr="00AA1200">
        <w:t>well-targeted communication campaigns</w:t>
      </w:r>
      <w:r w:rsidR="00447F1F">
        <w:t xml:space="preserve"> </w:t>
      </w:r>
      <w:r>
        <w:t xml:space="preserve">towards potential new partners. To do so and to ensure a strategic approach, BDT mapped, </w:t>
      </w:r>
      <w:proofErr w:type="gramStart"/>
      <w:r>
        <w:t>profiled</w:t>
      </w:r>
      <w:proofErr w:type="gramEnd"/>
      <w:r>
        <w:t xml:space="preserve"> and reached out to several prospects to raise ITU/BDT profile, identify synergies, and discuss potential partnerships opportunities.</w:t>
      </w:r>
    </w:p>
    <w:p w14:paraId="15CF6D2D" w14:textId="72C14A88" w:rsidR="002249A5" w:rsidRPr="00FA5EA2" w:rsidRDefault="002249A5" w:rsidP="00407FFD">
      <w:pPr>
        <w:pStyle w:val="ListParagraph"/>
        <w:numPr>
          <w:ilvl w:val="0"/>
          <w:numId w:val="5"/>
        </w:numPr>
        <w:spacing w:before="60" w:after="60"/>
        <w:ind w:left="709" w:hanging="357"/>
        <w:contextualSpacing w:val="0"/>
      </w:pPr>
      <w:r w:rsidRPr="00FA5EA2">
        <w:rPr>
          <w:b/>
          <w:bCs/>
        </w:rPr>
        <w:t>Enhancing collaboration with UN agencies</w:t>
      </w:r>
      <w:r w:rsidRPr="00FA5EA2">
        <w:t xml:space="preserve">: BDT continues </w:t>
      </w:r>
      <w:r w:rsidR="0015287D">
        <w:t>to work</w:t>
      </w:r>
      <w:r w:rsidR="0015287D" w:rsidRPr="00FA5EA2">
        <w:t xml:space="preserve"> </w:t>
      </w:r>
      <w:r w:rsidRPr="00FA5EA2">
        <w:t xml:space="preserve">in close collaboration with other UN agencies enhancing its visibility, including ITU’s unique role as leading organization in the telecommunication/ICT landscape, increasing synergies and knowledge-sharing, and generating new and increased funding, leveraging multilateral convening power. Working closely with </w:t>
      </w:r>
      <w:r w:rsidRPr="00FA5EA2">
        <w:rPr>
          <w:rFonts w:ascii="Calibri" w:eastAsia="Calibri" w:hAnsi="Calibri" w:cs="Calibri"/>
          <w:szCs w:val="24"/>
        </w:rPr>
        <w:t xml:space="preserve">UN sister agencies provides BDT with opportunities to access to funding for joint projects’ implementation at national, </w:t>
      </w:r>
      <w:proofErr w:type="gramStart"/>
      <w:r w:rsidRPr="00FA5EA2">
        <w:rPr>
          <w:rFonts w:ascii="Calibri" w:eastAsia="Calibri" w:hAnsi="Calibri" w:cs="Calibri"/>
          <w:szCs w:val="24"/>
        </w:rPr>
        <w:t>regional</w:t>
      </w:r>
      <w:proofErr w:type="gramEnd"/>
      <w:r w:rsidRPr="00FA5EA2">
        <w:rPr>
          <w:rFonts w:ascii="Calibri" w:eastAsia="Calibri" w:hAnsi="Calibri" w:cs="Calibri"/>
          <w:szCs w:val="24"/>
        </w:rPr>
        <w:t xml:space="preserve"> and global levels towards the 2030 Agenda.</w:t>
      </w:r>
    </w:p>
    <w:p w14:paraId="519C1B9B" w14:textId="7C552DE0" w:rsidR="002249A5" w:rsidRPr="00FA5EA2" w:rsidRDefault="002249A5" w:rsidP="00FA5EA2">
      <w:pPr>
        <w:spacing w:after="120"/>
      </w:pPr>
      <w:r w:rsidRPr="00FA5EA2">
        <w:t xml:space="preserve">Implementation of the above contributed to increase significantly the financial contributions signed by BDT in 2023 to support the implementation of development projects, </w:t>
      </w:r>
      <w:proofErr w:type="gramStart"/>
      <w:r w:rsidRPr="00FA5EA2">
        <w:t>programmes</w:t>
      </w:r>
      <w:proofErr w:type="gramEnd"/>
      <w:r w:rsidRPr="00FA5EA2">
        <w:t xml:space="preserve"> and initiatives at global, regional and national levels.</w:t>
      </w:r>
    </w:p>
    <w:p w14:paraId="6CDBF55A" w14:textId="77777777" w:rsidR="002249A5" w:rsidRDefault="002249A5" w:rsidP="002249A5">
      <w:pPr>
        <w:spacing w:beforeLines="120" w:before="288" w:after="120"/>
        <w:jc w:val="center"/>
        <w:rPr>
          <w:sz w:val="22"/>
          <w:szCs w:val="18"/>
        </w:rPr>
      </w:pPr>
      <w:r>
        <w:rPr>
          <w:noProof/>
        </w:rPr>
        <w:lastRenderedPageBreak/>
        <w:drawing>
          <wp:inline distT="0" distB="0" distL="0" distR="0" wp14:anchorId="12FD382A" wp14:editId="63BEE70E">
            <wp:extent cx="6214745" cy="2639785"/>
            <wp:effectExtent l="0" t="0" r="14605" b="8255"/>
            <wp:docPr id="1671675277" name="Chart 1">
              <a:extLst xmlns:a="http://schemas.openxmlformats.org/drawingml/2006/main">
                <a:ext uri="{FF2B5EF4-FFF2-40B4-BE49-F238E27FC236}">
                  <a16:creationId xmlns:a16="http://schemas.microsoft.com/office/drawing/2014/main" id="{4C5F8E9C-C52C-065A-9C9F-4D37F7F1F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5D7738" w14:textId="0BC37EB7" w:rsidR="002249A5" w:rsidRPr="00FA5EA2" w:rsidRDefault="002249A5" w:rsidP="00753125">
      <w:pPr>
        <w:pStyle w:val="ListParagraph"/>
        <w:keepNext/>
        <w:numPr>
          <w:ilvl w:val="0"/>
          <w:numId w:val="6"/>
        </w:numPr>
        <w:spacing w:after="120"/>
        <w:ind w:left="357" w:hanging="357"/>
        <w:contextualSpacing w:val="0"/>
        <w:rPr>
          <w:b/>
          <w:bCs/>
          <w:szCs w:val="24"/>
        </w:rPr>
      </w:pPr>
      <w:r w:rsidRPr="00FA5EA2">
        <w:rPr>
          <w:b/>
          <w:bCs/>
          <w:szCs w:val="24"/>
        </w:rPr>
        <w:t>Way forward</w:t>
      </w:r>
    </w:p>
    <w:p w14:paraId="38EFE347" w14:textId="08A8B994" w:rsidR="002249A5" w:rsidRPr="002249A5" w:rsidRDefault="002249A5" w:rsidP="002249A5">
      <w:pPr>
        <w:pStyle w:val="Default"/>
        <w:spacing w:before="120" w:after="120"/>
        <w:rPr>
          <w:rFonts w:asciiTheme="minorHAnsi" w:hAnsiTheme="minorHAnsi" w:cs="Times New Roman"/>
          <w:color w:val="auto"/>
          <w:szCs w:val="20"/>
          <w:lang w:eastAsia="en-US"/>
        </w:rPr>
      </w:pPr>
      <w:r w:rsidRPr="002249A5">
        <w:rPr>
          <w:rFonts w:asciiTheme="minorHAnsi" w:hAnsiTheme="minorHAnsi" w:cs="Times New Roman"/>
          <w:color w:val="auto"/>
          <w:szCs w:val="20"/>
          <w:lang w:eastAsia="en-US"/>
        </w:rPr>
        <w:t xml:space="preserve">BDT acknowledges and appreciates its longstanding partners as well as new partners </w:t>
      </w:r>
      <w:r w:rsidR="00B90DAA">
        <w:rPr>
          <w:rFonts w:asciiTheme="minorHAnsi" w:hAnsiTheme="minorHAnsi" w:cs="Times New Roman"/>
          <w:color w:val="auto"/>
          <w:szCs w:val="20"/>
          <w:lang w:eastAsia="en-US"/>
        </w:rPr>
        <w:t xml:space="preserve">that is </w:t>
      </w:r>
      <w:r w:rsidRPr="002249A5">
        <w:rPr>
          <w:rFonts w:asciiTheme="minorHAnsi" w:hAnsiTheme="minorHAnsi" w:cs="Times New Roman"/>
          <w:color w:val="auto"/>
          <w:szCs w:val="20"/>
          <w:lang w:eastAsia="en-US"/>
        </w:rPr>
        <w:t xml:space="preserve">making it possible to support the implementation of projects, </w:t>
      </w:r>
      <w:proofErr w:type="gramStart"/>
      <w:r w:rsidRPr="002249A5">
        <w:rPr>
          <w:rFonts w:asciiTheme="minorHAnsi" w:hAnsiTheme="minorHAnsi" w:cs="Times New Roman"/>
          <w:color w:val="auto"/>
          <w:szCs w:val="20"/>
          <w:lang w:eastAsia="en-US"/>
        </w:rPr>
        <w:t>programmes</w:t>
      </w:r>
      <w:proofErr w:type="gramEnd"/>
      <w:r w:rsidRPr="002249A5">
        <w:rPr>
          <w:rFonts w:asciiTheme="minorHAnsi" w:hAnsiTheme="minorHAnsi" w:cs="Times New Roman"/>
          <w:color w:val="auto"/>
          <w:szCs w:val="20"/>
          <w:lang w:eastAsia="en-US"/>
        </w:rPr>
        <w:t xml:space="preserve"> and initiative</w:t>
      </w:r>
      <w:r w:rsidR="00B90DAA">
        <w:rPr>
          <w:rFonts w:asciiTheme="minorHAnsi" w:hAnsiTheme="minorHAnsi" w:cs="Times New Roman"/>
          <w:color w:val="auto"/>
          <w:szCs w:val="20"/>
          <w:lang w:eastAsia="en-US"/>
        </w:rPr>
        <w:t>s</w:t>
      </w:r>
      <w:r w:rsidRPr="002249A5">
        <w:rPr>
          <w:rFonts w:asciiTheme="minorHAnsi" w:hAnsiTheme="minorHAnsi" w:cs="Times New Roman"/>
          <w:color w:val="auto"/>
          <w:szCs w:val="20"/>
          <w:lang w:eastAsia="en-US"/>
        </w:rPr>
        <w:t xml:space="preserve"> at </w:t>
      </w:r>
      <w:r w:rsidR="00B90DAA">
        <w:rPr>
          <w:rFonts w:asciiTheme="minorHAnsi" w:hAnsiTheme="minorHAnsi" w:cs="Times New Roman"/>
          <w:color w:val="auto"/>
          <w:szCs w:val="20"/>
          <w:lang w:eastAsia="en-US"/>
        </w:rPr>
        <w:t xml:space="preserve">the </w:t>
      </w:r>
      <w:r w:rsidRPr="002249A5">
        <w:rPr>
          <w:rFonts w:asciiTheme="minorHAnsi" w:hAnsiTheme="minorHAnsi" w:cs="Times New Roman"/>
          <w:color w:val="auto"/>
          <w:szCs w:val="20"/>
          <w:lang w:eastAsia="en-US"/>
        </w:rPr>
        <w:t>global, regional and national levels.</w:t>
      </w:r>
      <w:r w:rsidR="00B90DAA">
        <w:rPr>
          <w:rFonts w:asciiTheme="minorHAnsi" w:hAnsiTheme="minorHAnsi" w:cs="Times New Roman"/>
          <w:color w:val="auto"/>
          <w:szCs w:val="20"/>
          <w:lang w:eastAsia="en-US"/>
        </w:rPr>
        <w:t xml:space="preserve"> BDT will continue to cultivate and nurture partnerships with diverse stakeholders ranging from Member States, United Nations Agencies, Development Banks, Private </w:t>
      </w:r>
      <w:proofErr w:type="gramStart"/>
      <w:r w:rsidR="00B90DAA">
        <w:rPr>
          <w:rFonts w:asciiTheme="minorHAnsi" w:hAnsiTheme="minorHAnsi" w:cs="Times New Roman"/>
          <w:color w:val="auto"/>
          <w:szCs w:val="20"/>
          <w:lang w:eastAsia="en-US"/>
        </w:rPr>
        <w:t>Sector</w:t>
      </w:r>
      <w:proofErr w:type="gramEnd"/>
      <w:r w:rsidR="00B90DAA">
        <w:rPr>
          <w:rFonts w:asciiTheme="minorHAnsi" w:hAnsiTheme="minorHAnsi" w:cs="Times New Roman"/>
          <w:color w:val="auto"/>
          <w:szCs w:val="20"/>
          <w:lang w:eastAsia="en-US"/>
        </w:rPr>
        <w:t xml:space="preserve"> and Industry.</w:t>
      </w:r>
    </w:p>
    <w:p w14:paraId="7759C759" w14:textId="5C5A5E1A" w:rsidR="00821996" w:rsidRDefault="00812B0A" w:rsidP="00CD20BE">
      <w:pPr>
        <w:spacing w:after="120"/>
        <w:jc w:val="center"/>
      </w:pPr>
      <w:r>
        <w:t>________________</w:t>
      </w:r>
    </w:p>
    <w:sectPr w:rsidR="00821996" w:rsidSect="00920B7E">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074D" w14:textId="77777777" w:rsidR="00920B7E" w:rsidRDefault="00920B7E">
      <w:r>
        <w:separator/>
      </w:r>
    </w:p>
  </w:endnote>
  <w:endnote w:type="continuationSeparator" w:id="0">
    <w:p w14:paraId="46B1FE27" w14:textId="77777777" w:rsidR="00920B7E" w:rsidRDefault="00920B7E">
      <w:r>
        <w:continuationSeparator/>
      </w:r>
    </w:p>
  </w:endnote>
  <w:endnote w:type="continuationNotice" w:id="1">
    <w:p w14:paraId="264A76B7" w14:textId="77777777" w:rsidR="00920B7E" w:rsidRDefault="00920B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F8073E" w:rsidRPr="004D495C" w14:paraId="695D1810" w14:textId="77777777" w:rsidTr="00F8073E">
      <w:tc>
        <w:tcPr>
          <w:tcW w:w="1418" w:type="dxa"/>
          <w:tcBorders>
            <w:top w:val="single" w:sz="4" w:space="0" w:color="000000"/>
          </w:tcBorders>
          <w:shd w:val="clear" w:color="auto" w:fill="auto"/>
        </w:tcPr>
        <w:p w14:paraId="746E5A61" w14:textId="77777777" w:rsidR="00F8073E" w:rsidRPr="004D495C" w:rsidRDefault="00F8073E" w:rsidP="00B51014">
          <w:pPr>
            <w:pStyle w:val="FirstFooter"/>
            <w:tabs>
              <w:tab w:val="left" w:pos="1559"/>
              <w:tab w:val="left" w:pos="3828"/>
            </w:tabs>
            <w:rPr>
              <w:sz w:val="18"/>
              <w:szCs w:val="18"/>
            </w:rPr>
          </w:pPr>
          <w:r w:rsidRPr="004D495C">
            <w:rPr>
              <w:sz w:val="18"/>
              <w:szCs w:val="18"/>
              <w:lang w:val="en-US"/>
            </w:rPr>
            <w:t>Contact:</w:t>
          </w:r>
        </w:p>
      </w:tc>
      <w:tc>
        <w:tcPr>
          <w:tcW w:w="2693" w:type="dxa"/>
          <w:tcBorders>
            <w:top w:val="single" w:sz="4" w:space="0" w:color="000000"/>
          </w:tcBorders>
          <w:shd w:val="clear" w:color="auto" w:fill="auto"/>
        </w:tcPr>
        <w:p w14:paraId="488E41E2" w14:textId="77777777" w:rsidR="00F8073E" w:rsidRPr="004D495C" w:rsidRDefault="00F8073E" w:rsidP="00B51014">
          <w:pPr>
            <w:pStyle w:val="FirstFooter"/>
            <w:tabs>
              <w:tab w:val="left" w:pos="2302"/>
            </w:tabs>
            <w:ind w:left="2302" w:hanging="2302"/>
            <w:rPr>
              <w:sz w:val="18"/>
              <w:szCs w:val="18"/>
              <w:lang w:val="en-US"/>
            </w:rPr>
          </w:pPr>
          <w:r w:rsidRPr="004D495C">
            <w:rPr>
              <w:sz w:val="18"/>
              <w:szCs w:val="18"/>
              <w:lang w:val="en-US"/>
            </w:rPr>
            <w:t>Name/Organization/Entity:</w:t>
          </w:r>
        </w:p>
      </w:tc>
      <w:tc>
        <w:tcPr>
          <w:tcW w:w="5812" w:type="dxa"/>
          <w:tcBorders>
            <w:top w:val="single" w:sz="4" w:space="0" w:color="000000"/>
          </w:tcBorders>
        </w:tcPr>
        <w:p w14:paraId="7DC2FFCF" w14:textId="149F7A84" w:rsidR="00F8073E" w:rsidRDefault="00F8073E" w:rsidP="00B51014">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Sandrine Guyot, Head Partnerships and Resource Mobilization Service, Partnerships for Digital Development Department, BDT</w:t>
          </w:r>
        </w:p>
      </w:tc>
      <w:bookmarkStart w:id="6" w:name="OrgName"/>
      <w:bookmarkEnd w:id="6"/>
    </w:tr>
    <w:tr w:rsidR="00F8073E" w:rsidRPr="004D495C" w14:paraId="61167678" w14:textId="77777777" w:rsidTr="00F8073E">
      <w:tc>
        <w:tcPr>
          <w:tcW w:w="1418" w:type="dxa"/>
          <w:shd w:val="clear" w:color="auto" w:fill="auto"/>
        </w:tcPr>
        <w:p w14:paraId="33710823" w14:textId="77777777" w:rsidR="00F8073E" w:rsidRPr="004D495C" w:rsidRDefault="00F8073E" w:rsidP="00B51014">
          <w:pPr>
            <w:pStyle w:val="FirstFooter"/>
            <w:tabs>
              <w:tab w:val="left" w:pos="1559"/>
              <w:tab w:val="left" w:pos="3828"/>
            </w:tabs>
            <w:rPr>
              <w:sz w:val="20"/>
              <w:lang w:val="en-US"/>
            </w:rPr>
          </w:pPr>
        </w:p>
      </w:tc>
      <w:tc>
        <w:tcPr>
          <w:tcW w:w="2693" w:type="dxa"/>
          <w:shd w:val="clear" w:color="auto" w:fill="auto"/>
        </w:tcPr>
        <w:p w14:paraId="1251F6E4" w14:textId="77777777" w:rsidR="00F8073E" w:rsidRPr="004D495C" w:rsidRDefault="00F8073E" w:rsidP="00B51014">
          <w:pPr>
            <w:pStyle w:val="FirstFooter"/>
            <w:tabs>
              <w:tab w:val="left" w:pos="2302"/>
            </w:tabs>
            <w:rPr>
              <w:sz w:val="18"/>
              <w:szCs w:val="18"/>
              <w:lang w:val="en-US"/>
            </w:rPr>
          </w:pPr>
          <w:r w:rsidRPr="004D495C">
            <w:rPr>
              <w:sz w:val="18"/>
              <w:szCs w:val="18"/>
              <w:lang w:val="en-US"/>
            </w:rPr>
            <w:t>Phone number:</w:t>
          </w:r>
        </w:p>
      </w:tc>
      <w:tc>
        <w:tcPr>
          <w:tcW w:w="5812" w:type="dxa"/>
        </w:tcPr>
        <w:p w14:paraId="4307BBEE" w14:textId="55733A2D" w:rsidR="00F8073E" w:rsidRDefault="00F8073E" w:rsidP="00B51014">
          <w:pPr>
            <w:pStyle w:val="FirstFooter"/>
            <w:tabs>
              <w:tab w:val="left" w:pos="2302"/>
            </w:tabs>
            <w:rPr>
              <w:sz w:val="18"/>
              <w:szCs w:val="18"/>
              <w:lang w:val="en-US"/>
            </w:rPr>
          </w:pPr>
          <w:r>
            <w:rPr>
              <w:sz w:val="18"/>
              <w:szCs w:val="18"/>
              <w:lang w:val="en-US"/>
            </w:rPr>
            <w:t>+41 22 7305100</w:t>
          </w:r>
        </w:p>
      </w:tc>
      <w:bookmarkStart w:id="7" w:name="PhoneNo"/>
      <w:bookmarkEnd w:id="7"/>
    </w:tr>
    <w:tr w:rsidR="00F8073E" w:rsidRPr="009D1630" w14:paraId="0299A231" w14:textId="77777777" w:rsidTr="00F8073E">
      <w:tc>
        <w:tcPr>
          <w:tcW w:w="1418" w:type="dxa"/>
          <w:shd w:val="clear" w:color="auto" w:fill="auto"/>
        </w:tcPr>
        <w:p w14:paraId="35CBC438" w14:textId="77777777" w:rsidR="00F8073E" w:rsidRPr="004D495C" w:rsidRDefault="00F8073E" w:rsidP="00B51014">
          <w:pPr>
            <w:pStyle w:val="FirstFooter"/>
            <w:tabs>
              <w:tab w:val="left" w:pos="1559"/>
              <w:tab w:val="left" w:pos="3828"/>
            </w:tabs>
            <w:rPr>
              <w:sz w:val="20"/>
              <w:lang w:val="en-US"/>
            </w:rPr>
          </w:pPr>
        </w:p>
      </w:tc>
      <w:tc>
        <w:tcPr>
          <w:tcW w:w="2693" w:type="dxa"/>
          <w:shd w:val="clear" w:color="auto" w:fill="auto"/>
        </w:tcPr>
        <w:p w14:paraId="65335E06" w14:textId="77777777" w:rsidR="00F8073E" w:rsidRPr="004D495C" w:rsidRDefault="00F8073E" w:rsidP="00B51014">
          <w:pPr>
            <w:pStyle w:val="FirstFooter"/>
            <w:tabs>
              <w:tab w:val="left" w:pos="2302"/>
            </w:tabs>
            <w:rPr>
              <w:sz w:val="18"/>
              <w:szCs w:val="18"/>
              <w:lang w:val="en-US"/>
            </w:rPr>
          </w:pPr>
          <w:r w:rsidRPr="004D495C">
            <w:rPr>
              <w:sz w:val="18"/>
              <w:szCs w:val="18"/>
              <w:lang w:val="en-US"/>
            </w:rPr>
            <w:t>E-mail:</w:t>
          </w:r>
        </w:p>
      </w:tc>
      <w:tc>
        <w:tcPr>
          <w:tcW w:w="5812" w:type="dxa"/>
        </w:tcPr>
        <w:p w14:paraId="7CF7C20E" w14:textId="408BA1CC" w:rsidR="00F8073E" w:rsidRDefault="00F8073E" w:rsidP="00B51014">
          <w:pPr>
            <w:pStyle w:val="FirstFooter"/>
            <w:tabs>
              <w:tab w:val="left" w:pos="2302"/>
            </w:tabs>
          </w:pPr>
          <w:hyperlink r:id="rId1" w:history="1">
            <w:r w:rsidRPr="00DC02DB">
              <w:rPr>
                <w:rStyle w:val="Hyperlink"/>
                <w:sz w:val="18"/>
                <w:szCs w:val="18"/>
                <w:lang w:val="en-US"/>
              </w:rPr>
              <w:t>sandrine.guyot@itu.int</w:t>
            </w:r>
          </w:hyperlink>
          <w:r>
            <w:rPr>
              <w:sz w:val="18"/>
              <w:szCs w:val="18"/>
              <w:lang w:val="en-US"/>
            </w:rPr>
            <w:t xml:space="preserve"> </w:t>
          </w:r>
        </w:p>
      </w:tc>
      <w:bookmarkStart w:id="8" w:name="Email"/>
      <w:bookmarkEnd w:id="8"/>
    </w:tr>
  </w:tbl>
  <w:p w14:paraId="40A321D0" w14:textId="1C276101" w:rsidR="00721657" w:rsidRPr="000D1AA1" w:rsidRDefault="00721657" w:rsidP="0003039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754D" w14:textId="77777777" w:rsidR="00920B7E" w:rsidRDefault="00920B7E">
      <w:r>
        <w:t>____________________</w:t>
      </w:r>
    </w:p>
  </w:footnote>
  <w:footnote w:type="continuationSeparator" w:id="0">
    <w:p w14:paraId="06B050AA" w14:textId="77777777" w:rsidR="00920B7E" w:rsidRDefault="00920B7E">
      <w:r>
        <w:continuationSeparator/>
      </w:r>
    </w:p>
  </w:footnote>
  <w:footnote w:type="continuationNotice" w:id="1">
    <w:p w14:paraId="3EA81264" w14:textId="77777777" w:rsidR="00920B7E" w:rsidRDefault="00920B7E">
      <w:pPr>
        <w:spacing w:before="0"/>
      </w:pPr>
    </w:p>
  </w:footnote>
  <w:footnote w:id="2">
    <w:p w14:paraId="47D98F03" w14:textId="23828024" w:rsidR="00386A03" w:rsidRPr="00E42DFE" w:rsidRDefault="00386A03" w:rsidP="00E42DFE">
      <w:pPr>
        <w:pStyle w:val="FootnoteText"/>
        <w:spacing w:before="0"/>
        <w:rPr>
          <w:sz w:val="20"/>
        </w:rPr>
      </w:pPr>
      <w:r w:rsidRPr="00E42DFE">
        <w:rPr>
          <w:rStyle w:val="FootnoteReference"/>
          <w:sz w:val="20"/>
        </w:rPr>
        <w:footnoteRef/>
      </w:r>
      <w:r w:rsidRPr="00E42DFE">
        <w:rPr>
          <w:sz w:val="20"/>
        </w:rPr>
        <w:t xml:space="preserve"> </w:t>
      </w:r>
      <w:hyperlink r:id="rId1" w:tgtFrame="_blank" w:tooltip="https://www.itu.int/itu-d/sites/partnerships/" w:history="1">
        <w:r w:rsidR="0032256E" w:rsidRPr="00E42DFE">
          <w:rPr>
            <w:rStyle w:val="Hyperlink"/>
            <w:sz w:val="20"/>
          </w:rPr>
          <w:t>https://www.itu.int/itu-d/sites/partnerships/</w:t>
        </w:r>
      </w:hyperlink>
      <w:r w:rsidR="0032256E" w:rsidRPr="00E42DFE" w:rsidDel="0032256E">
        <w:rPr>
          <w:sz w:val="20"/>
        </w:rPr>
        <w:t xml:space="preserve"> </w:t>
      </w:r>
    </w:p>
  </w:footnote>
  <w:footnote w:id="3">
    <w:p w14:paraId="47D105BF" w14:textId="3D40B5C7" w:rsidR="00CB6EA2" w:rsidRPr="00E42DFE" w:rsidRDefault="00CB6EA2" w:rsidP="00E42DFE">
      <w:pPr>
        <w:pStyle w:val="FootnoteText"/>
        <w:spacing w:before="0"/>
        <w:rPr>
          <w:sz w:val="20"/>
        </w:rPr>
      </w:pPr>
      <w:r w:rsidRPr="00E42DFE">
        <w:rPr>
          <w:rStyle w:val="FootnoteReference"/>
          <w:sz w:val="20"/>
        </w:rPr>
        <w:footnoteRef/>
      </w:r>
      <w:r w:rsidRPr="00E42DFE">
        <w:rPr>
          <w:sz w:val="20"/>
        </w:rPr>
        <w:t xml:space="preserve"> </w:t>
      </w:r>
      <w:hyperlink r:id="rId2" w:history="1">
        <w:r w:rsidR="00367307" w:rsidRPr="00E42DFE">
          <w:rPr>
            <w:rStyle w:val="Hyperlink"/>
            <w:sz w:val="20"/>
          </w:rPr>
          <w:t>https://www.itu.int/en/ITU-D/MembersPartners/Pages/Partners/List-of-Partners.aspx</w:t>
        </w:r>
      </w:hyperlink>
      <w:r w:rsidR="00367307" w:rsidRPr="00E42DFE">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17EDB4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B448A1">
      <w:rPr>
        <w:sz w:val="22"/>
        <w:szCs w:val="22"/>
        <w:lang w:val="de-CH"/>
      </w:rPr>
      <w: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4A6"/>
    <w:multiLevelType w:val="hybridMultilevel"/>
    <w:tmpl w:val="6352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1549EE"/>
    <w:multiLevelType w:val="hybridMultilevel"/>
    <w:tmpl w:val="4D2C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6D35AA"/>
    <w:multiLevelType w:val="hybridMultilevel"/>
    <w:tmpl w:val="C6CC195A"/>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97027D"/>
    <w:multiLevelType w:val="hybridMultilevel"/>
    <w:tmpl w:val="E6CEFAFA"/>
    <w:lvl w:ilvl="0" w:tplc="F0DE0206">
      <w:start w:val="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1330101">
    <w:abstractNumId w:val="5"/>
  </w:num>
  <w:num w:numId="2" w16cid:durableId="171917655">
    <w:abstractNumId w:val="3"/>
  </w:num>
  <w:num w:numId="3" w16cid:durableId="1548376996">
    <w:abstractNumId w:val="1"/>
  </w:num>
  <w:num w:numId="4" w16cid:durableId="1922982740">
    <w:abstractNumId w:val="7"/>
  </w:num>
  <w:num w:numId="5" w16cid:durableId="1750929543">
    <w:abstractNumId w:val="0"/>
  </w:num>
  <w:num w:numId="6" w16cid:durableId="1936010611">
    <w:abstractNumId w:val="6"/>
  </w:num>
  <w:num w:numId="7" w16cid:durableId="906306504">
    <w:abstractNumId w:val="2"/>
  </w:num>
  <w:num w:numId="8" w16cid:durableId="5599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8C5"/>
    <w:rsid w:val="000539F1"/>
    <w:rsid w:val="00054747"/>
    <w:rsid w:val="00055A2A"/>
    <w:rsid w:val="000615C1"/>
    <w:rsid w:val="00061675"/>
    <w:rsid w:val="0006212F"/>
    <w:rsid w:val="000743AA"/>
    <w:rsid w:val="00084169"/>
    <w:rsid w:val="0009076F"/>
    <w:rsid w:val="0009225C"/>
    <w:rsid w:val="000A17C4"/>
    <w:rsid w:val="000A36A4"/>
    <w:rsid w:val="000A3752"/>
    <w:rsid w:val="000B2352"/>
    <w:rsid w:val="000B5EC4"/>
    <w:rsid w:val="000C7B84"/>
    <w:rsid w:val="000D1AA1"/>
    <w:rsid w:val="000D261B"/>
    <w:rsid w:val="000D2D50"/>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26E"/>
    <w:rsid w:val="00141699"/>
    <w:rsid w:val="00147000"/>
    <w:rsid w:val="0015287D"/>
    <w:rsid w:val="00163091"/>
    <w:rsid w:val="001645CB"/>
    <w:rsid w:val="00166305"/>
    <w:rsid w:val="00167545"/>
    <w:rsid w:val="001703C6"/>
    <w:rsid w:val="00171474"/>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0C3B"/>
    <w:rsid w:val="001B357F"/>
    <w:rsid w:val="001C3444"/>
    <w:rsid w:val="001C3702"/>
    <w:rsid w:val="001C4656"/>
    <w:rsid w:val="001C46BC"/>
    <w:rsid w:val="001C62BB"/>
    <w:rsid w:val="001D1E06"/>
    <w:rsid w:val="001E3200"/>
    <w:rsid w:val="001E6D7D"/>
    <w:rsid w:val="001F23E6"/>
    <w:rsid w:val="001F4238"/>
    <w:rsid w:val="001F5319"/>
    <w:rsid w:val="00200A38"/>
    <w:rsid w:val="00200A46"/>
    <w:rsid w:val="00202BE2"/>
    <w:rsid w:val="00211B6F"/>
    <w:rsid w:val="00217CC3"/>
    <w:rsid w:val="00220AB6"/>
    <w:rsid w:val="0022120F"/>
    <w:rsid w:val="002249A5"/>
    <w:rsid w:val="00225E8C"/>
    <w:rsid w:val="0022754A"/>
    <w:rsid w:val="00227956"/>
    <w:rsid w:val="00236560"/>
    <w:rsid w:val="0023662E"/>
    <w:rsid w:val="00236F82"/>
    <w:rsid w:val="00245D0F"/>
    <w:rsid w:val="002548C3"/>
    <w:rsid w:val="00257ACD"/>
    <w:rsid w:val="00262908"/>
    <w:rsid w:val="002650F4"/>
    <w:rsid w:val="002714CE"/>
    <w:rsid w:val="002715FD"/>
    <w:rsid w:val="00274DAB"/>
    <w:rsid w:val="002770B1"/>
    <w:rsid w:val="00285B33"/>
    <w:rsid w:val="00287A3C"/>
    <w:rsid w:val="002A0AE7"/>
    <w:rsid w:val="002A2FC6"/>
    <w:rsid w:val="002B1702"/>
    <w:rsid w:val="002B63D1"/>
    <w:rsid w:val="002C1EC7"/>
    <w:rsid w:val="002C3015"/>
    <w:rsid w:val="002C424C"/>
    <w:rsid w:val="002C4342"/>
    <w:rsid w:val="002C5135"/>
    <w:rsid w:val="002C7EA3"/>
    <w:rsid w:val="002D2019"/>
    <w:rsid w:val="002D20AE"/>
    <w:rsid w:val="002D47AC"/>
    <w:rsid w:val="002D6B95"/>
    <w:rsid w:val="002D6C61"/>
    <w:rsid w:val="002E2104"/>
    <w:rsid w:val="002E2DAC"/>
    <w:rsid w:val="002E6963"/>
    <w:rsid w:val="002E6F8F"/>
    <w:rsid w:val="002F05D8"/>
    <w:rsid w:val="002F2DE0"/>
    <w:rsid w:val="002F30B8"/>
    <w:rsid w:val="002F4289"/>
    <w:rsid w:val="002F5E25"/>
    <w:rsid w:val="0030353C"/>
    <w:rsid w:val="00307769"/>
    <w:rsid w:val="003125C3"/>
    <w:rsid w:val="00312AE6"/>
    <w:rsid w:val="00313EFA"/>
    <w:rsid w:val="00313FE7"/>
    <w:rsid w:val="00317D1A"/>
    <w:rsid w:val="003211FF"/>
    <w:rsid w:val="0032256E"/>
    <w:rsid w:val="003242AB"/>
    <w:rsid w:val="00327247"/>
    <w:rsid w:val="00327A9D"/>
    <w:rsid w:val="0033130E"/>
    <w:rsid w:val="0033180A"/>
    <w:rsid w:val="00331EA0"/>
    <w:rsid w:val="0033269C"/>
    <w:rsid w:val="00335E41"/>
    <w:rsid w:val="00341E98"/>
    <w:rsid w:val="003424C6"/>
    <w:rsid w:val="003436FA"/>
    <w:rsid w:val="00351C79"/>
    <w:rsid w:val="0035516C"/>
    <w:rsid w:val="00355A4C"/>
    <w:rsid w:val="003604FB"/>
    <w:rsid w:val="00360B73"/>
    <w:rsid w:val="0036444A"/>
    <w:rsid w:val="00367307"/>
    <w:rsid w:val="00380B71"/>
    <w:rsid w:val="0038365A"/>
    <w:rsid w:val="00386A03"/>
    <w:rsid w:val="00386A89"/>
    <w:rsid w:val="00391722"/>
    <w:rsid w:val="0039648E"/>
    <w:rsid w:val="003A5AFE"/>
    <w:rsid w:val="003A5D5F"/>
    <w:rsid w:val="003A7FFE"/>
    <w:rsid w:val="003B0A63"/>
    <w:rsid w:val="003B11FE"/>
    <w:rsid w:val="003B50E1"/>
    <w:rsid w:val="003B52C9"/>
    <w:rsid w:val="003C1746"/>
    <w:rsid w:val="003C2AA9"/>
    <w:rsid w:val="003C3021"/>
    <w:rsid w:val="003C58BF"/>
    <w:rsid w:val="003D451D"/>
    <w:rsid w:val="003E67AC"/>
    <w:rsid w:val="003F2DD8"/>
    <w:rsid w:val="003F3F2D"/>
    <w:rsid w:val="003F50B2"/>
    <w:rsid w:val="003F54E2"/>
    <w:rsid w:val="00400CCF"/>
    <w:rsid w:val="00401BFF"/>
    <w:rsid w:val="00404424"/>
    <w:rsid w:val="0040528F"/>
    <w:rsid w:val="004069F1"/>
    <w:rsid w:val="00407FFD"/>
    <w:rsid w:val="0041156B"/>
    <w:rsid w:val="004122C5"/>
    <w:rsid w:val="00413B78"/>
    <w:rsid w:val="004146FD"/>
    <w:rsid w:val="00416DDE"/>
    <w:rsid w:val="00424A97"/>
    <w:rsid w:val="00430F9F"/>
    <w:rsid w:val="004436F0"/>
    <w:rsid w:val="0044411E"/>
    <w:rsid w:val="00447F1F"/>
    <w:rsid w:val="004503F1"/>
    <w:rsid w:val="00453435"/>
    <w:rsid w:val="00460089"/>
    <w:rsid w:val="00466398"/>
    <w:rsid w:val="004712A4"/>
    <w:rsid w:val="0047306D"/>
    <w:rsid w:val="00473791"/>
    <w:rsid w:val="00476E48"/>
    <w:rsid w:val="0047713F"/>
    <w:rsid w:val="00481DE9"/>
    <w:rsid w:val="0049128B"/>
    <w:rsid w:val="00492FFE"/>
    <w:rsid w:val="00493B49"/>
    <w:rsid w:val="00495501"/>
    <w:rsid w:val="004A070A"/>
    <w:rsid w:val="004A320E"/>
    <w:rsid w:val="004A4E9C"/>
    <w:rsid w:val="004A6E26"/>
    <w:rsid w:val="004B1A3C"/>
    <w:rsid w:val="004B78A1"/>
    <w:rsid w:val="004C2765"/>
    <w:rsid w:val="004C3A97"/>
    <w:rsid w:val="004C4647"/>
    <w:rsid w:val="004D189A"/>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7E2E"/>
    <w:rsid w:val="00521228"/>
    <w:rsid w:val="00523EE2"/>
    <w:rsid w:val="00524C35"/>
    <w:rsid w:val="005355EB"/>
    <w:rsid w:val="0054420E"/>
    <w:rsid w:val="00544D1B"/>
    <w:rsid w:val="00545DC0"/>
    <w:rsid w:val="00545F6C"/>
    <w:rsid w:val="005477D9"/>
    <w:rsid w:val="0055422B"/>
    <w:rsid w:val="0055720C"/>
    <w:rsid w:val="00561796"/>
    <w:rsid w:val="005632DD"/>
    <w:rsid w:val="0056423B"/>
    <w:rsid w:val="00573424"/>
    <w:rsid w:val="0057402F"/>
    <w:rsid w:val="00581653"/>
    <w:rsid w:val="005849D6"/>
    <w:rsid w:val="00585367"/>
    <w:rsid w:val="005871A1"/>
    <w:rsid w:val="0058737E"/>
    <w:rsid w:val="00592518"/>
    <w:rsid w:val="00592E87"/>
    <w:rsid w:val="00593DE8"/>
    <w:rsid w:val="0059420B"/>
    <w:rsid w:val="00594C4D"/>
    <w:rsid w:val="005A33B0"/>
    <w:rsid w:val="005C2DC2"/>
    <w:rsid w:val="005C304A"/>
    <w:rsid w:val="005C3B18"/>
    <w:rsid w:val="005C3D69"/>
    <w:rsid w:val="005C7C98"/>
    <w:rsid w:val="005D2C3A"/>
    <w:rsid w:val="005D4A1E"/>
    <w:rsid w:val="005D55A4"/>
    <w:rsid w:val="005D57C8"/>
    <w:rsid w:val="005D6F3F"/>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2B2C"/>
    <w:rsid w:val="00623F30"/>
    <w:rsid w:val="00625FB8"/>
    <w:rsid w:val="006261BD"/>
    <w:rsid w:val="00627B4F"/>
    <w:rsid w:val="00630589"/>
    <w:rsid w:val="00630904"/>
    <w:rsid w:val="00635EDB"/>
    <w:rsid w:val="00642C3C"/>
    <w:rsid w:val="0064734E"/>
    <w:rsid w:val="00647358"/>
    <w:rsid w:val="00650137"/>
    <w:rsid w:val="006509D7"/>
    <w:rsid w:val="00651CE8"/>
    <w:rsid w:val="0065521B"/>
    <w:rsid w:val="00660352"/>
    <w:rsid w:val="00663298"/>
    <w:rsid w:val="00671EF6"/>
    <w:rsid w:val="0067205B"/>
    <w:rsid w:val="006748F8"/>
    <w:rsid w:val="00680489"/>
    <w:rsid w:val="00683C32"/>
    <w:rsid w:val="006864E5"/>
    <w:rsid w:val="00690BB2"/>
    <w:rsid w:val="00693D09"/>
    <w:rsid w:val="006A552F"/>
    <w:rsid w:val="006A6549"/>
    <w:rsid w:val="006A6EBF"/>
    <w:rsid w:val="006A7710"/>
    <w:rsid w:val="006A7A61"/>
    <w:rsid w:val="006B0BC3"/>
    <w:rsid w:val="006B1E59"/>
    <w:rsid w:val="006B2FFB"/>
    <w:rsid w:val="006C10A2"/>
    <w:rsid w:val="006C1F18"/>
    <w:rsid w:val="006C4261"/>
    <w:rsid w:val="006C6ED0"/>
    <w:rsid w:val="006D2F73"/>
    <w:rsid w:val="006D40D5"/>
    <w:rsid w:val="006F009A"/>
    <w:rsid w:val="006F24AF"/>
    <w:rsid w:val="006F3D93"/>
    <w:rsid w:val="006F42CD"/>
    <w:rsid w:val="0070187C"/>
    <w:rsid w:val="007019B1"/>
    <w:rsid w:val="00706152"/>
    <w:rsid w:val="007075F0"/>
    <w:rsid w:val="007151BA"/>
    <w:rsid w:val="00717E82"/>
    <w:rsid w:val="00721657"/>
    <w:rsid w:val="0072450A"/>
    <w:rsid w:val="007279A8"/>
    <w:rsid w:val="00727B1A"/>
    <w:rsid w:val="00735B60"/>
    <w:rsid w:val="00741337"/>
    <w:rsid w:val="00741EF2"/>
    <w:rsid w:val="00752008"/>
    <w:rsid w:val="00752258"/>
    <w:rsid w:val="007529E1"/>
    <w:rsid w:val="00753125"/>
    <w:rsid w:val="00755E86"/>
    <w:rsid w:val="00757D9A"/>
    <w:rsid w:val="00762880"/>
    <w:rsid w:val="00762AD6"/>
    <w:rsid w:val="00762E02"/>
    <w:rsid w:val="00772290"/>
    <w:rsid w:val="007739FC"/>
    <w:rsid w:val="00777265"/>
    <w:rsid w:val="007805E7"/>
    <w:rsid w:val="0078222A"/>
    <w:rsid w:val="00787D48"/>
    <w:rsid w:val="0079352C"/>
    <w:rsid w:val="00795294"/>
    <w:rsid w:val="007A4E50"/>
    <w:rsid w:val="007B18A7"/>
    <w:rsid w:val="007B250E"/>
    <w:rsid w:val="007C27FC"/>
    <w:rsid w:val="007C32A8"/>
    <w:rsid w:val="007C51FF"/>
    <w:rsid w:val="007D0F93"/>
    <w:rsid w:val="007D50E4"/>
    <w:rsid w:val="007E18EA"/>
    <w:rsid w:val="007E2DC5"/>
    <w:rsid w:val="007E3AD5"/>
    <w:rsid w:val="007F1CC7"/>
    <w:rsid w:val="008027AC"/>
    <w:rsid w:val="008027E2"/>
    <w:rsid w:val="008028CE"/>
    <w:rsid w:val="0080332E"/>
    <w:rsid w:val="00812B0A"/>
    <w:rsid w:val="008141E0"/>
    <w:rsid w:val="00816EE1"/>
    <w:rsid w:val="00816F88"/>
    <w:rsid w:val="00821996"/>
    <w:rsid w:val="00822323"/>
    <w:rsid w:val="008249B2"/>
    <w:rsid w:val="008269A2"/>
    <w:rsid w:val="00827BC6"/>
    <w:rsid w:val="00827FF9"/>
    <w:rsid w:val="008300AD"/>
    <w:rsid w:val="00833024"/>
    <w:rsid w:val="008351E7"/>
    <w:rsid w:val="008419B1"/>
    <w:rsid w:val="00844A56"/>
    <w:rsid w:val="00845B11"/>
    <w:rsid w:val="00851E68"/>
    <w:rsid w:val="00852081"/>
    <w:rsid w:val="00872B6E"/>
    <w:rsid w:val="00874400"/>
    <w:rsid w:val="00874DFD"/>
    <w:rsid w:val="008802F9"/>
    <w:rsid w:val="008821B1"/>
    <w:rsid w:val="00882CB0"/>
    <w:rsid w:val="00883086"/>
    <w:rsid w:val="0088527B"/>
    <w:rsid w:val="008879FD"/>
    <w:rsid w:val="00893C1E"/>
    <w:rsid w:val="00894C37"/>
    <w:rsid w:val="008A00EA"/>
    <w:rsid w:val="008A3F93"/>
    <w:rsid w:val="008A6236"/>
    <w:rsid w:val="008A6E1C"/>
    <w:rsid w:val="008A72FD"/>
    <w:rsid w:val="008A7494"/>
    <w:rsid w:val="008B2EDF"/>
    <w:rsid w:val="008B47C7"/>
    <w:rsid w:val="008B54CB"/>
    <w:rsid w:val="008B5A3D"/>
    <w:rsid w:val="008C4010"/>
    <w:rsid w:val="008C4FDF"/>
    <w:rsid w:val="008C5179"/>
    <w:rsid w:val="008C6B1F"/>
    <w:rsid w:val="008D3678"/>
    <w:rsid w:val="008D414B"/>
    <w:rsid w:val="008D5C9C"/>
    <w:rsid w:val="008D5E4F"/>
    <w:rsid w:val="008D7284"/>
    <w:rsid w:val="008E1F7B"/>
    <w:rsid w:val="008E34F0"/>
    <w:rsid w:val="008E53C3"/>
    <w:rsid w:val="008F14F5"/>
    <w:rsid w:val="008F71C1"/>
    <w:rsid w:val="00902D41"/>
    <w:rsid w:val="00902F49"/>
    <w:rsid w:val="00904230"/>
    <w:rsid w:val="00914004"/>
    <w:rsid w:val="00920B7E"/>
    <w:rsid w:val="00922EC1"/>
    <w:rsid w:val="00923CF1"/>
    <w:rsid w:val="009301F1"/>
    <w:rsid w:val="009307DF"/>
    <w:rsid w:val="009359B8"/>
    <w:rsid w:val="00935FF0"/>
    <w:rsid w:val="00937AE3"/>
    <w:rsid w:val="009431F8"/>
    <w:rsid w:val="00947A35"/>
    <w:rsid w:val="00952667"/>
    <w:rsid w:val="0095286A"/>
    <w:rsid w:val="0095336F"/>
    <w:rsid w:val="009540ED"/>
    <w:rsid w:val="00957838"/>
    <w:rsid w:val="0096201B"/>
    <w:rsid w:val="00962081"/>
    <w:rsid w:val="00966CB5"/>
    <w:rsid w:val="00975786"/>
    <w:rsid w:val="00975848"/>
    <w:rsid w:val="00981CB7"/>
    <w:rsid w:val="00983E1F"/>
    <w:rsid w:val="00993F46"/>
    <w:rsid w:val="00997358"/>
    <w:rsid w:val="009A0FA2"/>
    <w:rsid w:val="009A452B"/>
    <w:rsid w:val="009B050C"/>
    <w:rsid w:val="009B087F"/>
    <w:rsid w:val="009B2AF4"/>
    <w:rsid w:val="009C110B"/>
    <w:rsid w:val="009C38D5"/>
    <w:rsid w:val="009C5441"/>
    <w:rsid w:val="009D119F"/>
    <w:rsid w:val="009D1630"/>
    <w:rsid w:val="009D49A2"/>
    <w:rsid w:val="009D4A4C"/>
    <w:rsid w:val="009D5862"/>
    <w:rsid w:val="009D603E"/>
    <w:rsid w:val="009D7F66"/>
    <w:rsid w:val="009E1CC1"/>
    <w:rsid w:val="009E6D9F"/>
    <w:rsid w:val="009F3940"/>
    <w:rsid w:val="009F3EB2"/>
    <w:rsid w:val="009F6EB1"/>
    <w:rsid w:val="00A11D05"/>
    <w:rsid w:val="00A13162"/>
    <w:rsid w:val="00A1405D"/>
    <w:rsid w:val="00A20267"/>
    <w:rsid w:val="00A236A3"/>
    <w:rsid w:val="00A254AE"/>
    <w:rsid w:val="00A3158C"/>
    <w:rsid w:val="00A32DF3"/>
    <w:rsid w:val="00A33E32"/>
    <w:rsid w:val="00A35E20"/>
    <w:rsid w:val="00A36F6D"/>
    <w:rsid w:val="00A40F77"/>
    <w:rsid w:val="00A4159E"/>
    <w:rsid w:val="00A427C2"/>
    <w:rsid w:val="00A45BEF"/>
    <w:rsid w:val="00A505C4"/>
    <w:rsid w:val="00A50CA0"/>
    <w:rsid w:val="00A525CC"/>
    <w:rsid w:val="00A53E7C"/>
    <w:rsid w:val="00A547DF"/>
    <w:rsid w:val="00A60087"/>
    <w:rsid w:val="00A61184"/>
    <w:rsid w:val="00A705E8"/>
    <w:rsid w:val="00A70E44"/>
    <w:rsid w:val="00A721F4"/>
    <w:rsid w:val="00A77650"/>
    <w:rsid w:val="00A82A70"/>
    <w:rsid w:val="00A85D9B"/>
    <w:rsid w:val="00A9392C"/>
    <w:rsid w:val="00A9462B"/>
    <w:rsid w:val="00A97D59"/>
    <w:rsid w:val="00AA3E09"/>
    <w:rsid w:val="00AA4BEF"/>
    <w:rsid w:val="00AB1659"/>
    <w:rsid w:val="00AB4962"/>
    <w:rsid w:val="00AB526C"/>
    <w:rsid w:val="00AB734E"/>
    <w:rsid w:val="00AB740F"/>
    <w:rsid w:val="00AC6F14"/>
    <w:rsid w:val="00AC7221"/>
    <w:rsid w:val="00AD4677"/>
    <w:rsid w:val="00AD59E7"/>
    <w:rsid w:val="00AE5961"/>
    <w:rsid w:val="00AF0745"/>
    <w:rsid w:val="00AF102D"/>
    <w:rsid w:val="00AF4971"/>
    <w:rsid w:val="00AF5276"/>
    <w:rsid w:val="00AF5E62"/>
    <w:rsid w:val="00AF7C86"/>
    <w:rsid w:val="00B01046"/>
    <w:rsid w:val="00B15AC7"/>
    <w:rsid w:val="00B27C1A"/>
    <w:rsid w:val="00B310F9"/>
    <w:rsid w:val="00B31622"/>
    <w:rsid w:val="00B37866"/>
    <w:rsid w:val="00B412FB"/>
    <w:rsid w:val="00B448A1"/>
    <w:rsid w:val="00B44CC8"/>
    <w:rsid w:val="00B4576B"/>
    <w:rsid w:val="00B46350"/>
    <w:rsid w:val="00B46DF3"/>
    <w:rsid w:val="00B51014"/>
    <w:rsid w:val="00B517A9"/>
    <w:rsid w:val="00B579A1"/>
    <w:rsid w:val="00B648C7"/>
    <w:rsid w:val="00B66E8F"/>
    <w:rsid w:val="00B80157"/>
    <w:rsid w:val="00B83D5E"/>
    <w:rsid w:val="00B8460A"/>
    <w:rsid w:val="00B8650D"/>
    <w:rsid w:val="00B879B4"/>
    <w:rsid w:val="00B90A22"/>
    <w:rsid w:val="00B90DAA"/>
    <w:rsid w:val="00B90F07"/>
    <w:rsid w:val="00B92D1E"/>
    <w:rsid w:val="00B97BB9"/>
    <w:rsid w:val="00BA0009"/>
    <w:rsid w:val="00BA7516"/>
    <w:rsid w:val="00BB02B5"/>
    <w:rsid w:val="00BB1863"/>
    <w:rsid w:val="00BB25EE"/>
    <w:rsid w:val="00BB363A"/>
    <w:rsid w:val="00BC10A0"/>
    <w:rsid w:val="00BC3B70"/>
    <w:rsid w:val="00BC588C"/>
    <w:rsid w:val="00BC7BA2"/>
    <w:rsid w:val="00BD2FF3"/>
    <w:rsid w:val="00BD426B"/>
    <w:rsid w:val="00BD79F0"/>
    <w:rsid w:val="00BE2B4D"/>
    <w:rsid w:val="00BE3056"/>
    <w:rsid w:val="00BE6316"/>
    <w:rsid w:val="00BF4A29"/>
    <w:rsid w:val="00C015F8"/>
    <w:rsid w:val="00C01D9B"/>
    <w:rsid w:val="00C01DA8"/>
    <w:rsid w:val="00C02C2A"/>
    <w:rsid w:val="00C07E26"/>
    <w:rsid w:val="00C1011C"/>
    <w:rsid w:val="00C12F94"/>
    <w:rsid w:val="00C17034"/>
    <w:rsid w:val="00C177C5"/>
    <w:rsid w:val="00C17BA4"/>
    <w:rsid w:val="00C3093A"/>
    <w:rsid w:val="00C31E4A"/>
    <w:rsid w:val="00C34EC3"/>
    <w:rsid w:val="00C4038C"/>
    <w:rsid w:val="00C42BA2"/>
    <w:rsid w:val="00C44066"/>
    <w:rsid w:val="00C44E13"/>
    <w:rsid w:val="00C60A41"/>
    <w:rsid w:val="00C62DE8"/>
    <w:rsid w:val="00C62DFB"/>
    <w:rsid w:val="00C630E6"/>
    <w:rsid w:val="00C63812"/>
    <w:rsid w:val="00C64AF3"/>
    <w:rsid w:val="00C66F4D"/>
    <w:rsid w:val="00C67BB5"/>
    <w:rsid w:val="00C67F58"/>
    <w:rsid w:val="00C72713"/>
    <w:rsid w:val="00C75A37"/>
    <w:rsid w:val="00C8089D"/>
    <w:rsid w:val="00C83163"/>
    <w:rsid w:val="00C848EF"/>
    <w:rsid w:val="00C86600"/>
    <w:rsid w:val="00C87BCA"/>
    <w:rsid w:val="00C87EED"/>
    <w:rsid w:val="00C94506"/>
    <w:rsid w:val="00C94ACC"/>
    <w:rsid w:val="00C954BC"/>
    <w:rsid w:val="00C9586A"/>
    <w:rsid w:val="00CA1F0B"/>
    <w:rsid w:val="00CB110F"/>
    <w:rsid w:val="00CB2A2E"/>
    <w:rsid w:val="00CB338A"/>
    <w:rsid w:val="00CB6EA2"/>
    <w:rsid w:val="00CB79C5"/>
    <w:rsid w:val="00CC09CD"/>
    <w:rsid w:val="00CC411F"/>
    <w:rsid w:val="00CC4B75"/>
    <w:rsid w:val="00CC5061"/>
    <w:rsid w:val="00CC732E"/>
    <w:rsid w:val="00CD20BE"/>
    <w:rsid w:val="00CD2FCD"/>
    <w:rsid w:val="00CD7207"/>
    <w:rsid w:val="00CE0422"/>
    <w:rsid w:val="00CE0DBE"/>
    <w:rsid w:val="00CE5E4D"/>
    <w:rsid w:val="00CF02C4"/>
    <w:rsid w:val="00CF167F"/>
    <w:rsid w:val="00CF2F95"/>
    <w:rsid w:val="00CF72E5"/>
    <w:rsid w:val="00D013EE"/>
    <w:rsid w:val="00D01F54"/>
    <w:rsid w:val="00D040F7"/>
    <w:rsid w:val="00D04A76"/>
    <w:rsid w:val="00D10FC7"/>
    <w:rsid w:val="00D13841"/>
    <w:rsid w:val="00D1519F"/>
    <w:rsid w:val="00D16A4D"/>
    <w:rsid w:val="00D1703C"/>
    <w:rsid w:val="00D20E99"/>
    <w:rsid w:val="00D21C83"/>
    <w:rsid w:val="00D25086"/>
    <w:rsid w:val="00D31D6A"/>
    <w:rsid w:val="00D35BDD"/>
    <w:rsid w:val="00D36D81"/>
    <w:rsid w:val="00D45297"/>
    <w:rsid w:val="00D47CE5"/>
    <w:rsid w:val="00D50BA7"/>
    <w:rsid w:val="00D63006"/>
    <w:rsid w:val="00D71D1D"/>
    <w:rsid w:val="00D72301"/>
    <w:rsid w:val="00D77F60"/>
    <w:rsid w:val="00D911DE"/>
    <w:rsid w:val="00D91B97"/>
    <w:rsid w:val="00D93ACC"/>
    <w:rsid w:val="00D93C08"/>
    <w:rsid w:val="00D95DAC"/>
    <w:rsid w:val="00DA0B53"/>
    <w:rsid w:val="00DB1171"/>
    <w:rsid w:val="00DB1519"/>
    <w:rsid w:val="00DB2840"/>
    <w:rsid w:val="00DC1BD3"/>
    <w:rsid w:val="00DC214F"/>
    <w:rsid w:val="00DC2C1A"/>
    <w:rsid w:val="00DD66B4"/>
    <w:rsid w:val="00DE1972"/>
    <w:rsid w:val="00DE27AB"/>
    <w:rsid w:val="00DE2816"/>
    <w:rsid w:val="00DF2AB3"/>
    <w:rsid w:val="00DF7250"/>
    <w:rsid w:val="00E00CAA"/>
    <w:rsid w:val="00E00FF3"/>
    <w:rsid w:val="00E03EBF"/>
    <w:rsid w:val="00E05209"/>
    <w:rsid w:val="00E05AC1"/>
    <w:rsid w:val="00E11BCF"/>
    <w:rsid w:val="00E127AB"/>
    <w:rsid w:val="00E2258E"/>
    <w:rsid w:val="00E260C2"/>
    <w:rsid w:val="00E26B31"/>
    <w:rsid w:val="00E32596"/>
    <w:rsid w:val="00E368F7"/>
    <w:rsid w:val="00E36EB8"/>
    <w:rsid w:val="00E37FB8"/>
    <w:rsid w:val="00E40B07"/>
    <w:rsid w:val="00E416B4"/>
    <w:rsid w:val="00E42326"/>
    <w:rsid w:val="00E42DFE"/>
    <w:rsid w:val="00E43544"/>
    <w:rsid w:val="00E44D89"/>
    <w:rsid w:val="00E477EA"/>
    <w:rsid w:val="00E55807"/>
    <w:rsid w:val="00E57B8A"/>
    <w:rsid w:val="00E63367"/>
    <w:rsid w:val="00E63B14"/>
    <w:rsid w:val="00E65CA0"/>
    <w:rsid w:val="00E672E3"/>
    <w:rsid w:val="00E70D9F"/>
    <w:rsid w:val="00E83810"/>
    <w:rsid w:val="00E86124"/>
    <w:rsid w:val="00E86933"/>
    <w:rsid w:val="00E914FB"/>
    <w:rsid w:val="00E9605B"/>
    <w:rsid w:val="00E97298"/>
    <w:rsid w:val="00E97753"/>
    <w:rsid w:val="00EA0C51"/>
    <w:rsid w:val="00EA7DE7"/>
    <w:rsid w:val="00EB1197"/>
    <w:rsid w:val="00EB7A8A"/>
    <w:rsid w:val="00EC0E92"/>
    <w:rsid w:val="00EC6AED"/>
    <w:rsid w:val="00EC6FED"/>
    <w:rsid w:val="00EC7F3B"/>
    <w:rsid w:val="00ED5299"/>
    <w:rsid w:val="00EE3A64"/>
    <w:rsid w:val="00EE50E5"/>
    <w:rsid w:val="00EF01CF"/>
    <w:rsid w:val="00EF4145"/>
    <w:rsid w:val="00F03590"/>
    <w:rsid w:val="00F03622"/>
    <w:rsid w:val="00F077FD"/>
    <w:rsid w:val="00F14BB2"/>
    <w:rsid w:val="00F204F3"/>
    <w:rsid w:val="00F218AB"/>
    <w:rsid w:val="00F238B3"/>
    <w:rsid w:val="00F23B3B"/>
    <w:rsid w:val="00F24FED"/>
    <w:rsid w:val="00F25586"/>
    <w:rsid w:val="00F2651D"/>
    <w:rsid w:val="00F27362"/>
    <w:rsid w:val="00F31498"/>
    <w:rsid w:val="00F32FEF"/>
    <w:rsid w:val="00F37FD9"/>
    <w:rsid w:val="00F41B1C"/>
    <w:rsid w:val="00F42E13"/>
    <w:rsid w:val="00F42F1C"/>
    <w:rsid w:val="00F43B44"/>
    <w:rsid w:val="00F440E5"/>
    <w:rsid w:val="00F448F6"/>
    <w:rsid w:val="00F52741"/>
    <w:rsid w:val="00F53D8A"/>
    <w:rsid w:val="00F57168"/>
    <w:rsid w:val="00F57574"/>
    <w:rsid w:val="00F626F7"/>
    <w:rsid w:val="00F67034"/>
    <w:rsid w:val="00F70E70"/>
    <w:rsid w:val="00F734B6"/>
    <w:rsid w:val="00F736F9"/>
    <w:rsid w:val="00F73833"/>
    <w:rsid w:val="00F8073E"/>
    <w:rsid w:val="00F81081"/>
    <w:rsid w:val="00F84F45"/>
    <w:rsid w:val="00F9211C"/>
    <w:rsid w:val="00F93E12"/>
    <w:rsid w:val="00FA095D"/>
    <w:rsid w:val="00FA5EA2"/>
    <w:rsid w:val="00FA6C8B"/>
    <w:rsid w:val="00FA6CDA"/>
    <w:rsid w:val="00FA7C89"/>
    <w:rsid w:val="00FB1052"/>
    <w:rsid w:val="00FB4139"/>
    <w:rsid w:val="00FB4171"/>
    <w:rsid w:val="00FB476E"/>
    <w:rsid w:val="00FB4B96"/>
    <w:rsid w:val="00FC0D90"/>
    <w:rsid w:val="00FC7D8C"/>
    <w:rsid w:val="00FD3980"/>
    <w:rsid w:val="00FD431E"/>
    <w:rsid w:val="00FD504F"/>
    <w:rsid w:val="00FD5A2C"/>
    <w:rsid w:val="00FE0D47"/>
    <w:rsid w:val="00FE1D5C"/>
    <w:rsid w:val="00FE2DE9"/>
    <w:rsid w:val="00FE2F8B"/>
    <w:rsid w:val="00FE3669"/>
    <w:rsid w:val="00FE4F67"/>
    <w:rsid w:val="00FE5204"/>
    <w:rsid w:val="00FE73E0"/>
    <w:rsid w:val="00FF287F"/>
    <w:rsid w:val="00FF4C4C"/>
    <w:rsid w:val="00FF74A8"/>
    <w:rsid w:val="10856FEF"/>
    <w:rsid w:val="257AFA8D"/>
    <w:rsid w:val="2FE48668"/>
    <w:rsid w:val="3470D1F9"/>
    <w:rsid w:val="3845D117"/>
    <w:rsid w:val="3EAAC12C"/>
    <w:rsid w:val="4298B5D6"/>
    <w:rsid w:val="443128A4"/>
    <w:rsid w:val="4D2EF1ED"/>
    <w:rsid w:val="4DD4136A"/>
    <w:rsid w:val="547E1B48"/>
    <w:rsid w:val="5B79A88A"/>
    <w:rsid w:val="63D4B4DE"/>
    <w:rsid w:val="64D48FA8"/>
    <w:rsid w:val="67B99E46"/>
    <w:rsid w:val="77CE2E79"/>
    <w:rsid w:val="7CB81506"/>
    <w:rsid w:val="7D4B63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4222BBF-A6CE-4DD5-ADD5-9CFFEF5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customStyle="1" w:styleId="Default">
    <w:name w:val="Default"/>
    <w:rsid w:val="002249A5"/>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basedOn w:val="DefaultParagraphFont"/>
    <w:link w:val="ListParagraph"/>
    <w:uiPriority w:val="34"/>
    <w:locked/>
    <w:rsid w:val="002249A5"/>
    <w:rPr>
      <w:rFonts w:asciiTheme="minorHAnsi" w:hAnsiTheme="minorHAnsi"/>
      <w:sz w:val="24"/>
      <w:lang w:val="en-GB" w:eastAsia="en-US"/>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6444A"/>
    <w:rPr>
      <w:b/>
      <w:bCs/>
    </w:rPr>
  </w:style>
  <w:style w:type="character" w:customStyle="1" w:styleId="CommentSubjectChar">
    <w:name w:val="Comment Subject Char"/>
    <w:basedOn w:val="CommentTextChar"/>
    <w:link w:val="CommentSubject"/>
    <w:semiHidden/>
    <w:rsid w:val="0036444A"/>
    <w:rPr>
      <w:rFonts w:asciiTheme="minorHAnsi" w:hAnsiTheme="minorHAnsi"/>
      <w:b/>
      <w:bCs/>
      <w:lang w:val="en-GB" w:eastAsia="en-US"/>
    </w:rPr>
  </w:style>
  <w:style w:type="character" w:customStyle="1" w:styleId="ui-provider">
    <w:name w:val="ui-provider"/>
    <w:basedOn w:val="DefaultParagraphFont"/>
    <w:rsid w:val="008D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8237">
      <w:bodyDiv w:val="1"/>
      <w:marLeft w:val="0"/>
      <w:marRight w:val="0"/>
      <w:marTop w:val="0"/>
      <w:marBottom w:val="0"/>
      <w:divBdr>
        <w:top w:val="none" w:sz="0" w:space="0" w:color="auto"/>
        <w:left w:val="none" w:sz="0" w:space="0" w:color="auto"/>
        <w:bottom w:val="none" w:sz="0" w:space="0" w:color="auto"/>
        <w:right w:val="none" w:sz="0" w:space="0" w:color="auto"/>
      </w:divBdr>
      <w:divsChild>
        <w:div w:id="955452995">
          <w:marLeft w:val="0"/>
          <w:marRight w:val="0"/>
          <w:marTop w:val="0"/>
          <w:marBottom w:val="0"/>
          <w:divBdr>
            <w:top w:val="none" w:sz="0" w:space="0" w:color="auto"/>
            <w:left w:val="none" w:sz="0" w:space="0" w:color="auto"/>
            <w:bottom w:val="none" w:sz="0" w:space="0" w:color="auto"/>
            <w:right w:val="none" w:sz="0" w:space="0" w:color="auto"/>
          </w:divBdr>
        </w:div>
      </w:divsChild>
    </w:div>
    <w:div w:id="11716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04727">
          <w:marLeft w:val="0"/>
          <w:marRight w:val="0"/>
          <w:marTop w:val="0"/>
          <w:marBottom w:val="0"/>
          <w:divBdr>
            <w:top w:val="none" w:sz="0" w:space="0" w:color="auto"/>
            <w:left w:val="none" w:sz="0" w:space="0" w:color="auto"/>
            <w:bottom w:val="none" w:sz="0" w:space="0" w:color="auto"/>
            <w:right w:val="none" w:sz="0" w:space="0" w:color="auto"/>
          </w:divBdr>
        </w:div>
      </w:divsChild>
    </w:div>
    <w:div w:id="1858692460">
      <w:bodyDiv w:val="1"/>
      <w:marLeft w:val="0"/>
      <w:marRight w:val="0"/>
      <w:marTop w:val="0"/>
      <w:marBottom w:val="0"/>
      <w:divBdr>
        <w:top w:val="none" w:sz="0" w:space="0" w:color="auto"/>
        <w:left w:val="none" w:sz="0" w:space="0" w:color="auto"/>
        <w:bottom w:val="none" w:sz="0" w:space="0" w:color="auto"/>
        <w:right w:val="none" w:sz="0" w:space="0" w:color="auto"/>
      </w:divBdr>
      <w:divsChild>
        <w:div w:id="938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INF-0001/"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D22-TDAG31-INF-0001/"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itu.int/itu-d/sites/digital-impact-unlocked/all-stories/2024-ed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22-TDAG31-INF-0001/"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7.xml"/></Relationships>
</file>

<file path=word/_rels/footer1.xml.rels><?xml version="1.0" encoding="UTF-8" standalone="yes"?>
<Relationships xmlns="http://schemas.openxmlformats.org/package/2006/relationships"><Relationship Id="rId1" Type="http://schemas.openxmlformats.org/officeDocument/2006/relationships/hyperlink" Target="mailto:sandrine.guyot@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itu-d/sites/partnershi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Agreements%202023_liv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tuint.sharepoint.com/sites/AGREEMENTS-VISA/Shared%20Documents/Quaterly%20report/Xcel%20for%20Quaterly%20report/Agreements%202023/Agreements%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sharepoint.com/sites/AGREEMENTS-VISA/Shared%20Documents/Quaterly%20report/Xcel%20for%20Quaterly%20report/Agreements%202023/Agreements%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ituint-my.sharepoint.com/personal/anna_perlin_itu_int/Documents/Desktop/Quaterly%20report%20Q4/Report%20Q4%20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Quaterly_Report/2023/Agreements%202023_liv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t>Co-financing agreements (2023)</a:t>
            </a:r>
          </a:p>
        </c:rich>
      </c:tx>
      <c:layout>
        <c:manualLayout>
          <c:xMode val="edge"/>
          <c:yMode val="edge"/>
          <c:x val="0.22538767076488675"/>
          <c:y val="3.724564420075419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158077702914987E-2"/>
          <c:y val="0.21385453180008274"/>
          <c:w val="0.93888888888888888"/>
          <c:h val="0.671457786526684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2D-4B0C-9390-F1439BABF424}"/>
              </c:ext>
            </c:extLst>
          </c:dPt>
          <c:dPt>
            <c:idx val="1"/>
            <c:bubble3D val="0"/>
            <c:explosion val="34"/>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2D-4B0C-9390-F1439BABF424}"/>
              </c:ext>
            </c:extLst>
          </c:dPt>
          <c:dLbls>
            <c:dLbl>
              <c:idx val="0"/>
              <c:layout>
                <c:manualLayout>
                  <c:x val="4.1067705010475283E-2"/>
                  <c:y val="5.3567216937620364E-2"/>
                </c:manualLayout>
              </c:layout>
              <c:tx>
                <c:rich>
                  <a:bodyPr/>
                  <a:lstStyle/>
                  <a:p>
                    <a:r>
                      <a:rPr lang="en-US" sz="1000" b="1">
                        <a:solidFill>
                          <a:schemeClr val="tx2">
                            <a:lumMod val="50000"/>
                          </a:schemeClr>
                        </a:solidFill>
                      </a:rPr>
                      <a:t>ITU (</a:t>
                    </a:r>
                    <a:r>
                      <a:rPr lang="en-US" sz="1000" b="1" baseline="0">
                        <a:solidFill>
                          <a:schemeClr val="tx2">
                            <a:lumMod val="50000"/>
                          </a:schemeClr>
                        </a:solidFill>
                      </a:rPr>
                      <a:t>9%)</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92D-4B0C-9390-F1439BABF424}"/>
                </c:ext>
              </c:extLst>
            </c:dLbl>
            <c:dLbl>
              <c:idx val="1"/>
              <c:layout>
                <c:manualLayout>
                  <c:x val="0.14995847459460712"/>
                  <c:y val="-0.28382491950846178"/>
                </c:manualLayout>
              </c:layout>
              <c:tx>
                <c:rich>
                  <a:bodyPr/>
                  <a:lstStyle/>
                  <a:p>
                    <a:r>
                      <a:rPr lang="en-US" sz="1000" b="1">
                        <a:solidFill>
                          <a:schemeClr val="bg1"/>
                        </a:solidFill>
                      </a:rPr>
                      <a:t>Partners (</a:t>
                    </a:r>
                    <a:r>
                      <a:rPr lang="en-US" sz="1000" b="1" baseline="0">
                        <a:solidFill>
                          <a:schemeClr val="bg1"/>
                        </a:solidFill>
                      </a:rPr>
                      <a:t>91%)</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2D-4B0C-9390-F1439BABF4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'[Report Q4 2023.xlsx]% ITU vs partners'!$D$5:$E$5</c:f>
              <c:strCache>
                <c:ptCount val="2"/>
                <c:pt idx="0">
                  <c:v>ITU component</c:v>
                </c:pt>
                <c:pt idx="1">
                  <c:v>Partner's component </c:v>
                </c:pt>
              </c:strCache>
            </c:strRef>
          </c:cat>
          <c:val>
            <c:numRef>
              <c:f>'[Report Q4 2023.xlsx]% ITU vs partners'!$D$7:$E$7</c:f>
              <c:numCache>
                <c:formatCode>0.00%</c:formatCode>
                <c:ptCount val="2"/>
                <c:pt idx="0">
                  <c:v>9.1467667605435649E-2</c:v>
                </c:pt>
                <c:pt idx="1">
                  <c:v>0.90853233239456432</c:v>
                </c:pt>
              </c:numCache>
            </c:numRef>
          </c:val>
          <c:extLst>
            <c:ext xmlns:c16="http://schemas.microsoft.com/office/drawing/2014/chart" uri="{C3380CC4-5D6E-409C-BE32-E72D297353CC}">
              <c16:uniqueId val="{00000004-B92D-4B0C-9390-F1439BABF424}"/>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BDT partners' financial contributions </a:t>
            </a:r>
          </a:p>
          <a:p>
            <a:pPr>
              <a:defRPr sz="1200"/>
            </a:pPr>
            <a:r>
              <a:rPr lang="en-GB" sz="1200" b="1" i="0" u="none" strike="noStrike" kern="1200" spc="0" baseline="0">
                <a:solidFill>
                  <a:sysClr val="windowText" lastClr="000000">
                    <a:lumMod val="65000"/>
                    <a:lumOff val="35000"/>
                  </a:sysClr>
                </a:solidFill>
              </a:rPr>
              <a:t>(2023</a:t>
            </a:r>
            <a:r>
              <a:rPr lang="en-GB" sz="1200" b="0" i="0" u="none" strike="noStrike" kern="1200" spc="0" baseline="0">
                <a:solidFill>
                  <a:sysClr val="windowText" lastClr="000000">
                    <a:lumMod val="65000"/>
                    <a:lumOff val="35000"/>
                  </a:sysClr>
                </a:solidFill>
              </a:rPr>
              <a: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53-426A-8703-E78913E70A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53-426A-8703-E78913E70A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53-426A-8703-E78913E70A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53-426A-8703-E78913E70A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753-426A-8703-E78913E70A64}"/>
              </c:ext>
            </c:extLst>
          </c:dPt>
          <c:dLbls>
            <c:dLbl>
              <c:idx val="0"/>
              <c:layout>
                <c:manualLayout>
                  <c:x val="-1.2687956489098994E-3"/>
                  <c:y val="-5.438726415629410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53-426A-8703-E78913E70A64}"/>
                </c:ext>
              </c:extLst>
            </c:dLbl>
            <c:dLbl>
              <c:idx val="1"/>
              <c:layout>
                <c:manualLayout>
                  <c:x val="-1.1638577857506374E-2"/>
                  <c:y val="-3.7280604382159577E-2"/>
                </c:manualLayout>
              </c:layout>
              <c:tx>
                <c:rich>
                  <a:bodyPr/>
                  <a:lstStyle/>
                  <a:p>
                    <a:r>
                      <a:rPr lang="en-US"/>
                      <a:t>28,27%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753-426A-8703-E78913E70A64}"/>
                </c:ext>
              </c:extLst>
            </c:dLbl>
            <c:dLbl>
              <c:idx val="2"/>
              <c:layout>
                <c:manualLayout>
                  <c:x val="-1.369224271802626E-2"/>
                  <c:y val="2.240764358046518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53-426A-8703-E78913E70A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'[Agreements 2023_live.xlsx]TDAG'!$I$11:$I$15</c:f>
              <c:strCache>
                <c:ptCount val="5"/>
                <c:pt idx="0">
                  <c:v>Financial Institutions</c:v>
                </c:pt>
                <c:pt idx="1">
                  <c:v>Governmental entities</c:v>
                </c:pt>
                <c:pt idx="2">
                  <c:v>Private sector (incl. foundations)</c:v>
                </c:pt>
                <c:pt idx="3">
                  <c:v>UN organizations</c:v>
                </c:pt>
                <c:pt idx="4">
                  <c:v>Academia</c:v>
                </c:pt>
              </c:strCache>
            </c:strRef>
          </c:cat>
          <c:val>
            <c:numRef>
              <c:f>'[Agreements 2023_live.xlsx]TDAG'!$J$11:$J$15</c:f>
              <c:numCache>
                <c:formatCode>0.00%</c:formatCode>
                <c:ptCount val="5"/>
                <c:pt idx="0">
                  <c:v>0.58767285657842749</c:v>
                </c:pt>
                <c:pt idx="1">
                  <c:v>0.28264946533652457</c:v>
                </c:pt>
                <c:pt idx="2">
                  <c:v>9.5441604930273385E-2</c:v>
                </c:pt>
                <c:pt idx="3">
                  <c:v>3.3893895830272747E-2</c:v>
                </c:pt>
                <c:pt idx="4">
                  <c:v>3.4217732450181261E-4</c:v>
                </c:pt>
              </c:numCache>
            </c:numRef>
          </c:val>
          <c:extLst>
            <c:ext xmlns:c16="http://schemas.microsoft.com/office/drawing/2014/chart" uri="{C3380CC4-5D6E-409C-BE32-E72D297353CC}">
              <c16:uniqueId val="{0000000A-1753-426A-8703-E78913E70A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403168558178588"/>
          <c:y val="0.31873704611784609"/>
          <c:w val="0.28599840052673153"/>
          <c:h val="0.3472961125794653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enorite" panose="00000500000000000000" pitchFamily="2" charset="0"/>
                <a:ea typeface="+mn-ea"/>
                <a:cs typeface="+mn-cs"/>
              </a:defRPr>
            </a:pPr>
            <a:r>
              <a:rPr lang="en-GB" sz="1200" b="1">
                <a:latin typeface="+mn-lt"/>
              </a:rPr>
              <a:t>Distribution of agreements signed per regions </a:t>
            </a:r>
          </a:p>
          <a:p>
            <a:pPr>
              <a:defRPr>
                <a:latin typeface="Tenorite" panose="00000500000000000000" pitchFamily="2" charset="0"/>
              </a:defRPr>
            </a:pPr>
            <a:r>
              <a:rPr lang="en-GB" sz="1200" b="1">
                <a:latin typeface="+mn-lt"/>
              </a:rPr>
              <a:t>(</a:t>
            </a:r>
            <a:r>
              <a:rPr lang="en-GB" sz="1200" b="1" baseline="0">
                <a:latin typeface="+mn-lt"/>
              </a:rPr>
              <a:t>2023)</a:t>
            </a:r>
            <a:endParaRPr lang="en-GB" sz="1200" b="1">
              <a:latin typeface="+mn-lt"/>
            </a:endParaRPr>
          </a:p>
        </c:rich>
      </c:tx>
      <c:layout>
        <c:manualLayout>
          <c:xMode val="edge"/>
          <c:yMode val="edge"/>
          <c:x val="0.26862753266952744"/>
          <c:y val="5.35239411451433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enorite"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'[Agreements 2023.xlsx]2023 TDAG Regions'!$E$23</c:f>
              <c:strCache>
                <c:ptCount val="1"/>
                <c:pt idx="0">
                  <c:v>Number of Agreements</c:v>
                </c:pt>
              </c:strCache>
            </c:strRef>
          </c:tx>
          <c:spPr>
            <a:solidFill>
              <a:schemeClr val="accent1"/>
            </a:solidFill>
            <a:ln>
              <a:noFill/>
            </a:ln>
            <a:effectLst/>
          </c:spPr>
          <c:invertIfNegative val="0"/>
          <c:dLbls>
            <c:dLbl>
              <c:idx val="0"/>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3FD-4B09-9C9A-0CE294535A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enorite" panose="00000500000000000000" pitchFamily="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'[Agreements 2023.xlsx]2023 TDAG Regions'!$D$24:$D$30</c:f>
              <c:strCache>
                <c:ptCount val="7"/>
                <c:pt idx="0">
                  <c:v>Africa</c:v>
                </c:pt>
                <c:pt idx="1">
                  <c:v>Americas</c:v>
                </c:pt>
                <c:pt idx="2">
                  <c:v>Arab States</c:v>
                </c:pt>
                <c:pt idx="3">
                  <c:v>Asia-Pacific</c:v>
                </c:pt>
                <c:pt idx="4">
                  <c:v>CIS</c:v>
                </c:pt>
                <c:pt idx="5">
                  <c:v>Europe </c:v>
                </c:pt>
                <c:pt idx="6">
                  <c:v>Multi-regions</c:v>
                </c:pt>
              </c:strCache>
            </c:strRef>
          </c:cat>
          <c:val>
            <c:numRef>
              <c:f>'[Agreements 2023.xlsx]2023 TDAG Regions'!$E$24:$E$30</c:f>
              <c:numCache>
                <c:formatCode>0%</c:formatCode>
                <c:ptCount val="7"/>
                <c:pt idx="0">
                  <c:v>0.14000000000000001</c:v>
                </c:pt>
                <c:pt idx="1">
                  <c:v>0.1</c:v>
                </c:pt>
                <c:pt idx="2">
                  <c:v>0.02</c:v>
                </c:pt>
                <c:pt idx="3">
                  <c:v>0.21</c:v>
                </c:pt>
                <c:pt idx="4">
                  <c:v>0.02</c:v>
                </c:pt>
                <c:pt idx="5">
                  <c:v>0.1</c:v>
                </c:pt>
                <c:pt idx="6">
                  <c:v>0.4</c:v>
                </c:pt>
              </c:numCache>
            </c:numRef>
          </c:val>
          <c:extLst>
            <c:ext xmlns:c16="http://schemas.microsoft.com/office/drawing/2014/chart" uri="{C3380CC4-5D6E-409C-BE32-E72D297353CC}">
              <c16:uniqueId val="{00000000-83FD-4B09-9C9A-0CE294535A4B}"/>
            </c:ext>
          </c:extLst>
        </c:ser>
        <c:ser>
          <c:idx val="1"/>
          <c:order val="1"/>
          <c:tx>
            <c:strRef>
              <c:f>'[Agreements 2023.xlsx]2023 TDAG Regions'!$F$23</c:f>
              <c:strCache>
                <c:ptCount val="1"/>
                <c:pt idx="0">
                  <c:v>Funds signed</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enorite" panose="00000500000000000000" pitchFamily="2"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'[Agreements 2023.xlsx]2023 TDAG Regions'!$D$24:$D$30</c:f>
              <c:strCache>
                <c:ptCount val="7"/>
                <c:pt idx="0">
                  <c:v>Africa</c:v>
                </c:pt>
                <c:pt idx="1">
                  <c:v>Americas</c:v>
                </c:pt>
                <c:pt idx="2">
                  <c:v>Arab States</c:v>
                </c:pt>
                <c:pt idx="3">
                  <c:v>Asia-Pacific</c:v>
                </c:pt>
                <c:pt idx="4">
                  <c:v>CIS</c:v>
                </c:pt>
                <c:pt idx="5">
                  <c:v>Europe </c:v>
                </c:pt>
                <c:pt idx="6">
                  <c:v>Multi-regions</c:v>
                </c:pt>
              </c:strCache>
            </c:strRef>
          </c:cat>
          <c:val>
            <c:numRef>
              <c:f>'[Agreements 2023.xlsx]2023 TDAG Regions'!$F$24:$F$30</c:f>
              <c:numCache>
                <c:formatCode>0%</c:formatCode>
                <c:ptCount val="7"/>
                <c:pt idx="0">
                  <c:v>0.16</c:v>
                </c:pt>
                <c:pt idx="1">
                  <c:v>0.09</c:v>
                </c:pt>
                <c:pt idx="2">
                  <c:v>0.02</c:v>
                </c:pt>
                <c:pt idx="3">
                  <c:v>0.06</c:v>
                </c:pt>
                <c:pt idx="4" formatCode="0.0%">
                  <c:v>1E-3</c:v>
                </c:pt>
                <c:pt idx="5" formatCode="0.0%">
                  <c:v>1E-3</c:v>
                </c:pt>
                <c:pt idx="6">
                  <c:v>0.67</c:v>
                </c:pt>
              </c:numCache>
            </c:numRef>
          </c:val>
          <c:extLst>
            <c:ext xmlns:c16="http://schemas.microsoft.com/office/drawing/2014/chart" uri="{C3380CC4-5D6E-409C-BE32-E72D297353CC}">
              <c16:uniqueId val="{00000001-83FD-4B09-9C9A-0CE294535A4B}"/>
            </c:ext>
          </c:extLst>
        </c:ser>
        <c:dLbls>
          <c:dLblPos val="outEnd"/>
          <c:showLegendKey val="0"/>
          <c:showVal val="1"/>
          <c:showCatName val="0"/>
          <c:showSerName val="0"/>
          <c:showPercent val="0"/>
          <c:showBubbleSize val="0"/>
        </c:dLbls>
        <c:gapWidth val="219"/>
        <c:overlap val="-27"/>
        <c:axId val="1582503296"/>
        <c:axId val="1582504256"/>
      </c:barChart>
      <c:catAx>
        <c:axId val="15825032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1582504256"/>
        <c:crosses val="autoZero"/>
        <c:auto val="1"/>
        <c:lblAlgn val="ctr"/>
        <c:lblOffset val="100"/>
        <c:noMultiLvlLbl val="0"/>
      </c:catAx>
      <c:valAx>
        <c:axId val="1582504256"/>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50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u="none" strike="noStrike" kern="1200" spc="0" baseline="0">
                <a:solidFill>
                  <a:sysClr val="windowText" lastClr="000000">
                    <a:lumMod val="65000"/>
                    <a:lumOff val="35000"/>
                  </a:sysClr>
                </a:solidFill>
              </a:rPr>
              <a:t>Distribution of agreements signed per ITU-D priority (2023</a:t>
            </a:r>
            <a:r>
              <a:rPr lang="en-GB" sz="1400" b="1" i="0" u="none" strike="noStrike" kern="1200" spc="0" baseline="0">
                <a:solidFill>
                  <a:sysClr val="windowText" lastClr="000000">
                    <a:lumMod val="65000"/>
                    <a:lumOff val="35000"/>
                  </a:sysClr>
                </a:solidFill>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'[Agreements 2023.xlsx]2023 TDAG TPs Distribution'!$C$19</c:f>
              <c:strCache>
                <c:ptCount val="1"/>
                <c:pt idx="0">
                  <c:v>Funds signed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'[Agreements 2023.xlsx]2023 TDAG TPs Distribution'!$B$20:$B$24</c:f>
              <c:strCache>
                <c:ptCount val="5"/>
                <c:pt idx="0">
                  <c:v>Multi-priorities </c:v>
                </c:pt>
                <c:pt idx="1">
                  <c:v>Inclusive&amp;secure telecom/ICTs for sustainable dev</c:v>
                </c:pt>
                <c:pt idx="2">
                  <c:v>Enabling policy&amp;regulatory environment</c:v>
                </c:pt>
                <c:pt idx="3">
                  <c:v>Digital transformation</c:v>
                </c:pt>
                <c:pt idx="4">
                  <c:v>Affordable connectivity</c:v>
                </c:pt>
              </c:strCache>
            </c:strRef>
          </c:cat>
          <c:val>
            <c:numRef>
              <c:f>'[Agreements 2023.xlsx]2023 TDAG TPs Distribution'!$C$20:$C$24</c:f>
              <c:numCache>
                <c:formatCode>0%</c:formatCode>
                <c:ptCount val="5"/>
                <c:pt idx="0">
                  <c:v>0.22</c:v>
                </c:pt>
                <c:pt idx="1">
                  <c:v>0.05</c:v>
                </c:pt>
                <c:pt idx="2">
                  <c:v>0.37</c:v>
                </c:pt>
                <c:pt idx="3">
                  <c:v>0.33</c:v>
                </c:pt>
                <c:pt idx="4">
                  <c:v>0.03</c:v>
                </c:pt>
              </c:numCache>
            </c:numRef>
          </c:val>
          <c:extLst>
            <c:ext xmlns:c16="http://schemas.microsoft.com/office/drawing/2014/chart" uri="{C3380CC4-5D6E-409C-BE32-E72D297353CC}">
              <c16:uniqueId val="{00000000-CC98-48F8-8DB7-69DF8D15A86A}"/>
            </c:ext>
          </c:extLst>
        </c:ser>
        <c:ser>
          <c:idx val="1"/>
          <c:order val="1"/>
          <c:tx>
            <c:strRef>
              <c:f>'[Agreements 2023.xlsx]2023 TDAG TPs Distribution'!$D$19</c:f>
              <c:strCache>
                <c:ptCount val="1"/>
                <c:pt idx="0">
                  <c:v>Number of agreements</c:v>
                </c:pt>
              </c:strCache>
            </c:strRef>
          </c:tx>
          <c:spPr>
            <a:solidFill>
              <a:srgbClr val="C00000"/>
            </a:solidFill>
            <a:ln>
              <a:noFill/>
            </a:ln>
            <a:effectLst/>
          </c:spPr>
          <c:invertIfNegative val="0"/>
          <c:dLbls>
            <c:dLbl>
              <c:idx val="0"/>
              <c:layout>
                <c:manualLayout>
                  <c:x val="0"/>
                  <c:y val="-1.64024056861674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98-48F8-8DB7-69DF8D15A86A}"/>
                </c:ext>
              </c:extLst>
            </c:dLbl>
            <c:dLbl>
              <c:idx val="2"/>
              <c:layout>
                <c:manualLayout>
                  <c:x val="0"/>
                  <c:y val="-1.64024056861672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98-48F8-8DB7-69DF8D15A8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'[Agreements 2023.xlsx]2023 TDAG TPs Distribution'!$B$20:$B$24</c:f>
              <c:strCache>
                <c:ptCount val="5"/>
                <c:pt idx="0">
                  <c:v>Multi-priorities </c:v>
                </c:pt>
                <c:pt idx="1">
                  <c:v>Inclusive&amp;secure telecom/ICTs for sustainable dev</c:v>
                </c:pt>
                <c:pt idx="2">
                  <c:v>Enabling policy&amp;regulatory environment</c:v>
                </c:pt>
                <c:pt idx="3">
                  <c:v>Digital transformation</c:v>
                </c:pt>
                <c:pt idx="4">
                  <c:v>Affordable connectivity</c:v>
                </c:pt>
              </c:strCache>
            </c:strRef>
          </c:cat>
          <c:val>
            <c:numRef>
              <c:f>'[Agreements 2023.xlsx]2023 TDAG TPs Distribution'!$D$20:$D$24</c:f>
              <c:numCache>
                <c:formatCode>0%</c:formatCode>
                <c:ptCount val="5"/>
                <c:pt idx="0">
                  <c:v>0.22</c:v>
                </c:pt>
                <c:pt idx="1">
                  <c:v>0.14000000000000001</c:v>
                </c:pt>
                <c:pt idx="2">
                  <c:v>0.31</c:v>
                </c:pt>
                <c:pt idx="3">
                  <c:v>0.23</c:v>
                </c:pt>
                <c:pt idx="4">
                  <c:v>0.1</c:v>
                </c:pt>
              </c:numCache>
            </c:numRef>
          </c:val>
          <c:extLst>
            <c:ext xmlns:c16="http://schemas.microsoft.com/office/drawing/2014/chart" uri="{C3380CC4-5D6E-409C-BE32-E72D297353CC}">
              <c16:uniqueId val="{00000001-CC98-48F8-8DB7-69DF8D15A86A}"/>
            </c:ext>
          </c:extLst>
        </c:ser>
        <c:dLbls>
          <c:dLblPos val="outEnd"/>
          <c:showLegendKey val="0"/>
          <c:showVal val="1"/>
          <c:showCatName val="0"/>
          <c:showSerName val="0"/>
          <c:showPercent val="0"/>
          <c:showBubbleSize val="0"/>
        </c:dLbls>
        <c:gapWidth val="182"/>
        <c:axId val="1684103440"/>
        <c:axId val="1684074640"/>
      </c:barChart>
      <c:catAx>
        <c:axId val="1684103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684074640"/>
        <c:crosses val="autoZero"/>
        <c:auto val="1"/>
        <c:lblAlgn val="ctr"/>
        <c:lblOffset val="100"/>
        <c:noMultiLvlLbl val="0"/>
      </c:catAx>
      <c:valAx>
        <c:axId val="16840746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8410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latin typeface="+mn-lt"/>
              </a:rPr>
              <a:t>Number of Agreements signed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'[Report Q4 2023.xlsx]2022 vs 2023'!$C$11</c:f>
              <c:strCache>
                <c:ptCount val="1"/>
                <c:pt idx="0">
                  <c:v>2022</c:v>
                </c:pt>
              </c:strCache>
            </c:strRef>
          </c:tx>
          <c:spPr>
            <a:solidFill>
              <a:schemeClr val="accent1"/>
            </a:solidFill>
            <a:ln>
              <a:noFill/>
            </a:ln>
            <a:effectLst/>
          </c:spPr>
          <c:invertIfNegative val="0"/>
          <c:dLbls>
            <c:dLbl>
              <c:idx val="0"/>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42-45F3-8511-627414BCDFD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2023'!$D$10</c:f>
              <c:strCache>
                <c:ptCount val="1"/>
                <c:pt idx="0">
                  <c:v>Number of Agreements signed</c:v>
                </c:pt>
              </c:strCache>
            </c:strRef>
          </c:cat>
          <c:val>
            <c:numRef>
              <c:f>'[Report Q4 2023.xlsx]2022 vs 2023'!$D$11</c:f>
              <c:numCache>
                <c:formatCode>General</c:formatCode>
                <c:ptCount val="1"/>
                <c:pt idx="0">
                  <c:v>71</c:v>
                </c:pt>
              </c:numCache>
            </c:numRef>
          </c:val>
          <c:extLst>
            <c:ext xmlns:c16="http://schemas.microsoft.com/office/drawing/2014/chart" uri="{C3380CC4-5D6E-409C-BE32-E72D297353CC}">
              <c16:uniqueId val="{00000001-9742-45F3-8511-627414BCDFDD}"/>
            </c:ext>
          </c:extLst>
        </c:ser>
        <c:ser>
          <c:idx val="1"/>
          <c:order val="1"/>
          <c:tx>
            <c:strRef>
              <c:f>'[Report Q4 2023.xlsx]2022 vs 2023'!$C$12</c:f>
              <c:strCache>
                <c:ptCount val="1"/>
                <c:pt idx="0">
                  <c:v>2023</c:v>
                </c:pt>
              </c:strCache>
            </c:strRef>
          </c:tx>
          <c:spPr>
            <a:solidFill>
              <a:schemeClr val="accent2"/>
            </a:solidFill>
            <a:ln>
              <a:noFill/>
            </a:ln>
            <a:effectLst/>
          </c:spPr>
          <c:invertIfNegative val="0"/>
          <c:dLbls>
            <c:dLbl>
              <c:idx val="0"/>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296-4EC7-B0A1-65F08B3002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2023'!$D$10</c:f>
              <c:strCache>
                <c:ptCount val="1"/>
                <c:pt idx="0">
                  <c:v>Number of Agreements signed</c:v>
                </c:pt>
              </c:strCache>
            </c:strRef>
          </c:cat>
          <c:val>
            <c:numRef>
              <c:f>'[Report Q4 2023.xlsx]2022 vs 2023'!$D$12</c:f>
              <c:numCache>
                <c:formatCode>General</c:formatCode>
                <c:ptCount val="1"/>
                <c:pt idx="0">
                  <c:v>85</c:v>
                </c:pt>
              </c:numCache>
            </c:numRef>
          </c:val>
          <c:extLst>
            <c:ext xmlns:c16="http://schemas.microsoft.com/office/drawing/2014/chart" uri="{C3380CC4-5D6E-409C-BE32-E72D297353CC}">
              <c16:uniqueId val="{00000002-9742-45F3-8511-627414BCDFDD}"/>
            </c:ext>
          </c:extLst>
        </c:ser>
        <c:dLbls>
          <c:dLblPos val="outEnd"/>
          <c:showLegendKey val="0"/>
          <c:showVal val="1"/>
          <c:showCatName val="0"/>
          <c:showSerName val="0"/>
          <c:showPercent val="0"/>
          <c:showBubbleSize val="0"/>
        </c:dLbls>
        <c:gapWidth val="219"/>
        <c:overlap val="-27"/>
        <c:axId val="2014102720"/>
        <c:axId val="2014103200"/>
      </c:barChart>
      <c:catAx>
        <c:axId val="2014102720"/>
        <c:scaling>
          <c:orientation val="minMax"/>
        </c:scaling>
        <c:delete val="1"/>
        <c:axPos val="b"/>
        <c:numFmt formatCode="General" sourceLinked="1"/>
        <c:majorTickMark val="none"/>
        <c:minorTickMark val="none"/>
        <c:tickLblPos val="nextTo"/>
        <c:crossAx val="2014103200"/>
        <c:crosses val="autoZero"/>
        <c:auto val="1"/>
        <c:lblAlgn val="ctr"/>
        <c:lblOffset val="100"/>
        <c:noMultiLvlLbl val="0"/>
      </c:catAx>
      <c:valAx>
        <c:axId val="2014103200"/>
        <c:scaling>
          <c:orientation val="minMax"/>
        </c:scaling>
        <c:delete val="1"/>
        <c:axPos val="l"/>
        <c:numFmt formatCode="General" sourceLinked="1"/>
        <c:majorTickMark val="none"/>
        <c:minorTickMark val="none"/>
        <c:tickLblPos val="nextTo"/>
        <c:crossAx val="2014102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t>Financial</a:t>
            </a:r>
            <a:r>
              <a:rPr lang="en-GB" sz="1200" b="1" baseline="0"/>
              <a:t> contributions</a:t>
            </a:r>
            <a:r>
              <a:rPr lang="en-GB" sz="1200" b="1"/>
              <a:t> signed </a:t>
            </a:r>
          </a:p>
          <a:p>
            <a:pPr>
              <a:defRPr sz="1200" b="1"/>
            </a:pPr>
            <a:r>
              <a:rPr lang="en-GB" sz="1200" b="1"/>
              <a:t>(in million USD)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'[Report Q4 2023.xlsx]2022 vs 2023'!$K$19</c:f>
              <c:strCache>
                <c:ptCount val="1"/>
                <c:pt idx="0">
                  <c:v>2022</c:v>
                </c:pt>
              </c:strCache>
            </c:strRef>
          </c:tx>
          <c:spPr>
            <a:solidFill>
              <a:schemeClr val="accent1"/>
            </a:solidFill>
            <a:ln>
              <a:noFill/>
            </a:ln>
            <a:effectLst/>
          </c:spPr>
          <c:invertIfNegative val="0"/>
          <c:dLbls>
            <c:dLbl>
              <c:idx val="0"/>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10A-4448-B640-C6A3644DD495}"/>
                </c:ext>
              </c:extLst>
            </c:dLbl>
            <c:dLbl>
              <c:idx val="1"/>
              <c:layout>
                <c:manualLayout>
                  <c:x val="-5.9590838769864425E-17"/>
                  <c:y val="6.7272115708039018E-3"/>
                </c:manualLayout>
              </c:layout>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10A-4448-B640-C6A3644DD495}"/>
                </c:ext>
              </c:extLst>
            </c:dLbl>
            <c:dLbl>
              <c:idx val="2"/>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10A-4448-B640-C6A3644DD495}"/>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2023'!$J$20:$J$22</c:f>
              <c:strCache>
                <c:ptCount val="3"/>
                <c:pt idx="0">
                  <c:v>Partners</c:v>
                </c:pt>
                <c:pt idx="1">
                  <c:v>ITU </c:v>
                </c:pt>
                <c:pt idx="2">
                  <c:v>Total </c:v>
                </c:pt>
              </c:strCache>
            </c:strRef>
          </c:cat>
          <c:val>
            <c:numRef>
              <c:f>'[Report Q4 2023.xlsx]2022 vs 2023'!$K$20:$K$22</c:f>
              <c:numCache>
                <c:formatCode>_-* #,##0_-;\-* #,##0_-;_-* "-"??_-;_-@_-</c:formatCode>
                <c:ptCount val="3"/>
                <c:pt idx="0">
                  <c:v>8734847</c:v>
                </c:pt>
                <c:pt idx="1">
                  <c:v>934924</c:v>
                </c:pt>
                <c:pt idx="2">
                  <c:v>9669771</c:v>
                </c:pt>
              </c:numCache>
            </c:numRef>
          </c:val>
          <c:extLst>
            <c:ext xmlns:c16="http://schemas.microsoft.com/office/drawing/2014/chart" uri="{C3380CC4-5D6E-409C-BE32-E72D297353CC}">
              <c16:uniqueId val="{00000003-610A-4448-B640-C6A3644DD495}"/>
            </c:ext>
          </c:extLst>
        </c:ser>
        <c:ser>
          <c:idx val="1"/>
          <c:order val="1"/>
          <c:tx>
            <c:strRef>
              <c:f>'[Report Q4 2023.xlsx]2022 vs 2023'!$L$19</c:f>
              <c:strCache>
                <c:ptCount val="1"/>
                <c:pt idx="0">
                  <c:v>2023</c:v>
                </c:pt>
              </c:strCache>
            </c:strRef>
          </c:tx>
          <c:spPr>
            <a:solidFill>
              <a:schemeClr val="accent2"/>
            </a:solidFill>
            <a:ln>
              <a:noFill/>
            </a:ln>
            <a:effectLst/>
          </c:spPr>
          <c:invertIfNegative val="0"/>
          <c:dLbls>
            <c:dLbl>
              <c:idx val="0"/>
              <c:tx>
                <c:rich>
                  <a:bodyPr/>
                  <a:lstStyle/>
                  <a:p>
                    <a:r>
                      <a:rPr lang="en-US"/>
                      <a:t>21.8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10A-4448-B640-C6A3644DD495}"/>
                </c:ext>
              </c:extLst>
            </c:dLbl>
            <c:dLbl>
              <c:idx val="1"/>
              <c:layout>
                <c:manualLayout>
                  <c:x val="-4.6683584347177853E-3"/>
                  <c:y val="4.2164255199684296E-3"/>
                </c:manualLayout>
              </c:layout>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10A-4448-B640-C6A3644DD495}"/>
                </c:ext>
              </c:extLst>
            </c:dLbl>
            <c:dLbl>
              <c:idx val="2"/>
              <c:tx>
                <c:rich>
                  <a:bodyPr/>
                  <a:lstStyle/>
                  <a:p>
                    <a:r>
                      <a:rPr lang="en-US"/>
                      <a:t>23.9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10A-4448-B640-C6A3644DD495}"/>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 Q4 2023.xlsx]2022 vs 2023'!$J$20:$J$22</c:f>
              <c:strCache>
                <c:ptCount val="3"/>
                <c:pt idx="0">
                  <c:v>Partners</c:v>
                </c:pt>
                <c:pt idx="1">
                  <c:v>ITU </c:v>
                </c:pt>
                <c:pt idx="2">
                  <c:v>Total </c:v>
                </c:pt>
              </c:strCache>
            </c:strRef>
          </c:cat>
          <c:val>
            <c:numRef>
              <c:f>'[Report Q4 2023.xlsx]2022 vs 2023'!$L$20:$L$22</c:f>
              <c:numCache>
                <c:formatCode>_-* #,##0_-;\-* #,##0_-;_-* "-"??_-;_-@_-</c:formatCode>
                <c:ptCount val="3"/>
                <c:pt idx="0">
                  <c:v>21026231</c:v>
                </c:pt>
                <c:pt idx="1">
                  <c:v>2116843</c:v>
                </c:pt>
                <c:pt idx="2">
                  <c:v>23143074</c:v>
                </c:pt>
              </c:numCache>
            </c:numRef>
          </c:val>
          <c:extLst>
            <c:ext xmlns:c16="http://schemas.microsoft.com/office/drawing/2014/chart" uri="{C3380CC4-5D6E-409C-BE32-E72D297353CC}">
              <c16:uniqueId val="{00000007-610A-4448-B640-C6A3644DD495}"/>
            </c:ext>
          </c:extLst>
        </c:ser>
        <c:dLbls>
          <c:dLblPos val="outEnd"/>
          <c:showLegendKey val="0"/>
          <c:showVal val="1"/>
          <c:showCatName val="0"/>
          <c:showSerName val="0"/>
          <c:showPercent val="0"/>
          <c:showBubbleSize val="0"/>
        </c:dLbls>
        <c:gapWidth val="219"/>
        <c:overlap val="-27"/>
        <c:axId val="722256"/>
        <c:axId val="722736"/>
      </c:barChart>
      <c:catAx>
        <c:axId val="72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22736"/>
        <c:crosses val="autoZero"/>
        <c:auto val="1"/>
        <c:lblAlgn val="ctr"/>
        <c:lblOffset val="100"/>
        <c:noMultiLvlLbl val="0"/>
      </c:catAx>
      <c:valAx>
        <c:axId val="722736"/>
        <c:scaling>
          <c:orientation val="minMax"/>
        </c:scaling>
        <c:delete val="1"/>
        <c:axPos val="l"/>
        <c:numFmt formatCode="_-* #,##0_-;\-* #,##0_-;_-* &quot;-&quot;??_-;_-@_-" sourceLinked="1"/>
        <c:majorTickMark val="out"/>
        <c:minorTickMark val="none"/>
        <c:tickLblPos val="nextTo"/>
        <c:crossAx val="72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GB" sz="1200" b="1"/>
              <a:t>Number of agreements and financial contributions signed</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'[Agreements 2023_live.xlsx]Sheet4'!$C$53</c:f>
              <c:strCache>
                <c:ptCount val="1"/>
                <c:pt idx="0">
                  <c:v>ITU contribution</c:v>
                </c:pt>
              </c:strCache>
            </c:strRef>
          </c:tx>
          <c:spPr>
            <a:solidFill>
              <a:schemeClr val="accent2"/>
            </a:solidFill>
            <a:ln>
              <a:noFill/>
            </a:ln>
            <a:effectLst/>
          </c:spPr>
          <c:invertIfNegative val="0"/>
          <c:cat>
            <c:numRef>
              <c:f>'[Agreements 2023_live.xlsx]Sheet4'!$A$54:$A$58</c:f>
              <c:numCache>
                <c:formatCode>General</c:formatCode>
                <c:ptCount val="5"/>
                <c:pt idx="0">
                  <c:v>2019</c:v>
                </c:pt>
                <c:pt idx="1">
                  <c:v>2020</c:v>
                </c:pt>
                <c:pt idx="2">
                  <c:v>2021</c:v>
                </c:pt>
                <c:pt idx="3">
                  <c:v>2022</c:v>
                </c:pt>
                <c:pt idx="4">
                  <c:v>2023</c:v>
                </c:pt>
              </c:numCache>
            </c:numRef>
          </c:cat>
          <c:val>
            <c:numRef>
              <c:f>'[Agreements 2023_live.xlsx]Sheet4'!$C$54:$C$58</c:f>
              <c:numCache>
                <c:formatCode>General</c:formatCode>
                <c:ptCount val="5"/>
                <c:pt idx="0">
                  <c:v>0.6</c:v>
                </c:pt>
                <c:pt idx="1">
                  <c:v>3.1</c:v>
                </c:pt>
                <c:pt idx="2">
                  <c:v>3.9</c:v>
                </c:pt>
                <c:pt idx="3">
                  <c:v>1</c:v>
                </c:pt>
                <c:pt idx="4">
                  <c:v>2.1</c:v>
                </c:pt>
              </c:numCache>
            </c:numRef>
          </c:val>
          <c:extLst>
            <c:ext xmlns:c16="http://schemas.microsoft.com/office/drawing/2014/chart" uri="{C3380CC4-5D6E-409C-BE32-E72D297353CC}">
              <c16:uniqueId val="{00000000-C943-4728-BF44-105583A1A4F1}"/>
            </c:ext>
          </c:extLst>
        </c:ser>
        <c:ser>
          <c:idx val="2"/>
          <c:order val="2"/>
          <c:tx>
            <c:strRef>
              <c:f>'[Agreements 2023_live.xlsx]Sheet4'!$D$53</c:f>
              <c:strCache>
                <c:ptCount val="1"/>
                <c:pt idx="0">
                  <c:v>Partners' contribution</c:v>
                </c:pt>
              </c:strCache>
            </c:strRef>
          </c:tx>
          <c:spPr>
            <a:solidFill>
              <a:schemeClr val="accent3"/>
            </a:solidFill>
            <a:ln>
              <a:noFill/>
            </a:ln>
            <a:effectLst/>
          </c:spPr>
          <c:invertIfNegative val="0"/>
          <c:cat>
            <c:numRef>
              <c:f>'[Agreements 2023_live.xlsx]Sheet4'!$A$54:$A$58</c:f>
              <c:numCache>
                <c:formatCode>General</c:formatCode>
                <c:ptCount val="5"/>
                <c:pt idx="0">
                  <c:v>2019</c:v>
                </c:pt>
                <c:pt idx="1">
                  <c:v>2020</c:v>
                </c:pt>
                <c:pt idx="2">
                  <c:v>2021</c:v>
                </c:pt>
                <c:pt idx="3">
                  <c:v>2022</c:v>
                </c:pt>
                <c:pt idx="4">
                  <c:v>2023</c:v>
                </c:pt>
              </c:numCache>
            </c:numRef>
          </c:cat>
          <c:val>
            <c:numRef>
              <c:f>'[Agreements 2023_live.xlsx]Sheet4'!$D$54:$D$58</c:f>
              <c:numCache>
                <c:formatCode>General</c:formatCode>
                <c:ptCount val="5"/>
                <c:pt idx="0">
                  <c:v>14.6</c:v>
                </c:pt>
                <c:pt idx="1">
                  <c:v>12.4</c:v>
                </c:pt>
                <c:pt idx="2">
                  <c:v>15.6</c:v>
                </c:pt>
                <c:pt idx="3">
                  <c:v>9</c:v>
                </c:pt>
                <c:pt idx="4">
                  <c:v>21</c:v>
                </c:pt>
              </c:numCache>
            </c:numRef>
          </c:val>
          <c:extLst>
            <c:ext xmlns:c16="http://schemas.microsoft.com/office/drawing/2014/chart" uri="{C3380CC4-5D6E-409C-BE32-E72D297353CC}">
              <c16:uniqueId val="{00000001-C943-4728-BF44-105583A1A4F1}"/>
            </c:ext>
          </c:extLst>
        </c:ser>
        <c:dLbls>
          <c:showLegendKey val="0"/>
          <c:showVal val="0"/>
          <c:showCatName val="0"/>
          <c:showSerName val="0"/>
          <c:showPercent val="0"/>
          <c:showBubbleSize val="0"/>
        </c:dLbls>
        <c:gapWidth val="219"/>
        <c:axId val="1480735183"/>
        <c:axId val="830292767"/>
      </c:barChart>
      <c:lineChart>
        <c:grouping val="standard"/>
        <c:varyColors val="0"/>
        <c:ser>
          <c:idx val="0"/>
          <c:order val="0"/>
          <c:tx>
            <c:strRef>
              <c:f>'[Agreements 2023_live.xlsx]Sheet4'!$B$53</c:f>
              <c:strCache>
                <c:ptCount val="1"/>
                <c:pt idx="0">
                  <c:v>Number Agreements</c:v>
                </c:pt>
              </c:strCache>
            </c:strRef>
          </c:tx>
          <c:spPr>
            <a:ln w="28575" cap="rnd">
              <a:solidFill>
                <a:schemeClr val="accent1"/>
              </a:solidFill>
              <a:round/>
            </a:ln>
            <a:effectLst/>
          </c:spPr>
          <c:marker>
            <c:symbol val="none"/>
          </c:marker>
          <c:cat>
            <c:numRef>
              <c:f>'[Agreements 2023_live.xlsx]Sheet4'!$A$54:$A$58</c:f>
              <c:numCache>
                <c:formatCode>General</c:formatCode>
                <c:ptCount val="5"/>
                <c:pt idx="0">
                  <c:v>2019</c:v>
                </c:pt>
                <c:pt idx="1">
                  <c:v>2020</c:v>
                </c:pt>
                <c:pt idx="2">
                  <c:v>2021</c:v>
                </c:pt>
                <c:pt idx="3">
                  <c:v>2022</c:v>
                </c:pt>
                <c:pt idx="4">
                  <c:v>2023</c:v>
                </c:pt>
              </c:numCache>
            </c:numRef>
          </c:cat>
          <c:val>
            <c:numRef>
              <c:f>'[Agreements 2023_live.xlsx]Sheet4'!$B$54:$B$58</c:f>
              <c:numCache>
                <c:formatCode>General</c:formatCode>
                <c:ptCount val="5"/>
                <c:pt idx="0">
                  <c:v>30</c:v>
                </c:pt>
                <c:pt idx="1">
                  <c:v>42</c:v>
                </c:pt>
                <c:pt idx="2">
                  <c:v>72</c:v>
                </c:pt>
                <c:pt idx="3" formatCode="0">
                  <c:v>75</c:v>
                </c:pt>
                <c:pt idx="4" formatCode="0">
                  <c:v>85</c:v>
                </c:pt>
              </c:numCache>
            </c:numRef>
          </c:val>
          <c:smooth val="0"/>
          <c:extLst>
            <c:ext xmlns:c16="http://schemas.microsoft.com/office/drawing/2014/chart" uri="{C3380CC4-5D6E-409C-BE32-E72D297353CC}">
              <c16:uniqueId val="{00000002-C943-4728-BF44-105583A1A4F1}"/>
            </c:ext>
          </c:extLst>
        </c:ser>
        <c:dLbls>
          <c:showLegendKey val="0"/>
          <c:showVal val="0"/>
          <c:showCatName val="0"/>
          <c:showSerName val="0"/>
          <c:showPercent val="0"/>
          <c:showBubbleSize val="0"/>
        </c:dLbls>
        <c:marker val="1"/>
        <c:smooth val="0"/>
        <c:axId val="1494516799"/>
        <c:axId val="1347221759"/>
      </c:lineChart>
      <c:catAx>
        <c:axId val="148073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292767"/>
        <c:crosses val="autoZero"/>
        <c:auto val="1"/>
        <c:lblAlgn val="ctr"/>
        <c:lblOffset val="100"/>
        <c:noMultiLvlLbl val="0"/>
      </c:catAx>
      <c:valAx>
        <c:axId val="830292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Amount in milion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735183"/>
        <c:crosses val="autoZero"/>
        <c:crossBetween val="between"/>
      </c:valAx>
      <c:valAx>
        <c:axId val="1347221759"/>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Number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4516799"/>
        <c:crosses val="max"/>
        <c:crossBetween val="between"/>
      </c:valAx>
      <c:catAx>
        <c:axId val="1494516799"/>
        <c:scaling>
          <c:orientation val="minMax"/>
        </c:scaling>
        <c:delete val="1"/>
        <c:axPos val="b"/>
        <c:numFmt formatCode="General" sourceLinked="1"/>
        <c:majorTickMark val="out"/>
        <c:minorTickMark val="none"/>
        <c:tickLblPos val="nextTo"/>
        <c:crossAx val="1347221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689D9408-097B-448E-BE7E-ED99656F7F96}">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3.xml><?xml version="1.0" encoding="utf-8"?>
<ds:datastoreItem xmlns:ds="http://schemas.openxmlformats.org/officeDocument/2006/customXml" ds:itemID="{CB5A14EF-06B4-4621-9194-CB1C87DE043E}">
  <ds:schemaRefs>
    <ds:schemaRef ds:uri="http://schemas.openxmlformats.org/officeDocument/2006/bibliography"/>
  </ds:schemaRefs>
</ds:datastoreItem>
</file>

<file path=customXml/itemProps4.xml><?xml version="1.0" encoding="utf-8"?>
<ds:datastoreItem xmlns:ds="http://schemas.openxmlformats.org/officeDocument/2006/customXml" ds:itemID="{EC87ACD9-59AD-4F4B-820F-804F5842A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1153</Words>
  <Characters>6577</Characters>
  <Application>Microsoft Office Word</Application>
  <DocSecurity>0</DocSecurity>
  <Lines>54</Lines>
  <Paragraphs>15</Paragraphs>
  <ScaleCrop>false</ScaleCrop>
  <Manager>General Secretariat - Pool</Manager>
  <Company>International Telecommunication Union (ITU)</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4</cp:revision>
  <cp:lastPrinted>2014-11-05T12:22:00Z</cp:lastPrinted>
  <dcterms:created xsi:type="dcterms:W3CDTF">2024-04-22T06:06:00Z</dcterms:created>
  <dcterms:modified xsi:type="dcterms:W3CDTF">2024-04-22T06:06:00Z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