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95139E" w14:paraId="3F0E9EC4" w14:textId="77777777" w:rsidTr="00952667">
        <w:trPr>
          <w:cantSplit/>
          <w:trHeight w:val="1134"/>
        </w:trPr>
        <w:tc>
          <w:tcPr>
            <w:tcW w:w="6379" w:type="dxa"/>
          </w:tcPr>
          <w:p w14:paraId="68FE8375" w14:textId="6390CADE" w:rsidR="00307769" w:rsidRPr="0095139E" w:rsidRDefault="00B42366" w:rsidP="00307769">
            <w:pPr>
              <w:tabs>
                <w:tab w:val="clear" w:pos="1191"/>
                <w:tab w:val="clear" w:pos="1588"/>
                <w:tab w:val="clear" w:pos="1985"/>
              </w:tabs>
              <w:ind w:left="34"/>
              <w:rPr>
                <w:b/>
                <w:bCs/>
                <w:sz w:val="32"/>
                <w:szCs w:val="32"/>
                <w:lang w:val="es-ES_tradnl"/>
              </w:rPr>
            </w:pPr>
            <w:r w:rsidRPr="0095139E">
              <w:rPr>
                <w:b/>
                <w:bCs/>
                <w:sz w:val="32"/>
                <w:szCs w:val="32"/>
                <w:lang w:val="es-ES_tradnl"/>
              </w:rPr>
              <w:t>Grupo Asesor de Desarrollo de las Telecomunicaciones</w:t>
            </w:r>
            <w:r w:rsidR="00307769" w:rsidRPr="0095139E">
              <w:rPr>
                <w:b/>
                <w:bCs/>
                <w:sz w:val="32"/>
                <w:szCs w:val="32"/>
                <w:lang w:val="es-ES_tradnl"/>
              </w:rPr>
              <w:t xml:space="preserve"> (</w:t>
            </w:r>
            <w:r w:rsidRPr="0095139E">
              <w:rPr>
                <w:b/>
                <w:bCs/>
                <w:sz w:val="32"/>
                <w:szCs w:val="32"/>
                <w:lang w:val="es-ES_tradnl"/>
              </w:rPr>
              <w:t>GADT</w:t>
            </w:r>
            <w:r w:rsidR="00307769" w:rsidRPr="0095139E">
              <w:rPr>
                <w:b/>
                <w:bCs/>
                <w:sz w:val="32"/>
                <w:szCs w:val="32"/>
                <w:lang w:val="es-ES_tradnl"/>
              </w:rPr>
              <w:t>)</w:t>
            </w:r>
          </w:p>
          <w:p w14:paraId="5F5F590A" w14:textId="4E8E552D" w:rsidR="00307769" w:rsidRPr="0095139E" w:rsidRDefault="00307769" w:rsidP="00307769">
            <w:pPr>
              <w:tabs>
                <w:tab w:val="clear" w:pos="1191"/>
                <w:tab w:val="clear" w:pos="1588"/>
                <w:tab w:val="clear" w:pos="1985"/>
              </w:tabs>
              <w:spacing w:after="120"/>
              <w:ind w:left="34"/>
              <w:rPr>
                <w:rFonts w:ascii="Verdana" w:hAnsi="Verdana"/>
                <w:sz w:val="28"/>
                <w:szCs w:val="28"/>
                <w:lang w:val="es-ES_tradnl"/>
              </w:rPr>
            </w:pPr>
            <w:r w:rsidRPr="0095139E">
              <w:rPr>
                <w:b/>
                <w:bCs/>
                <w:sz w:val="26"/>
                <w:szCs w:val="26"/>
                <w:lang w:val="es-ES_tradnl"/>
              </w:rPr>
              <w:t>3</w:t>
            </w:r>
            <w:r w:rsidR="00341DA6" w:rsidRPr="0095139E">
              <w:rPr>
                <w:b/>
                <w:bCs/>
                <w:sz w:val="26"/>
                <w:szCs w:val="26"/>
                <w:lang w:val="es-ES_tradnl"/>
              </w:rPr>
              <w:t>1</w:t>
            </w:r>
            <w:r w:rsidR="00B42366" w:rsidRPr="0095139E">
              <w:rPr>
                <w:b/>
                <w:bCs/>
                <w:sz w:val="26"/>
                <w:szCs w:val="26"/>
                <w:lang w:val="es-ES_tradnl"/>
              </w:rPr>
              <w:t xml:space="preserve">ª reunión, Ginebra, Suiza, </w:t>
            </w:r>
            <w:r w:rsidR="00341DA6" w:rsidRPr="0095139E">
              <w:rPr>
                <w:b/>
                <w:bCs/>
                <w:sz w:val="26"/>
                <w:szCs w:val="26"/>
                <w:lang w:val="es-ES_tradnl"/>
              </w:rPr>
              <w:t>20</w:t>
            </w:r>
            <w:r w:rsidRPr="0095139E">
              <w:rPr>
                <w:b/>
                <w:bCs/>
                <w:sz w:val="26"/>
                <w:szCs w:val="26"/>
                <w:lang w:val="es-ES_tradnl"/>
              </w:rPr>
              <w:t>-2</w:t>
            </w:r>
            <w:r w:rsidR="00B9710C" w:rsidRPr="0095139E">
              <w:rPr>
                <w:b/>
                <w:bCs/>
                <w:sz w:val="26"/>
                <w:szCs w:val="26"/>
                <w:lang w:val="es-ES_tradnl"/>
              </w:rPr>
              <w:t>3</w:t>
            </w:r>
            <w:r w:rsidRPr="0095139E">
              <w:rPr>
                <w:b/>
                <w:bCs/>
                <w:sz w:val="26"/>
                <w:szCs w:val="26"/>
                <w:lang w:val="es-ES_tradnl"/>
              </w:rPr>
              <w:t xml:space="preserve"> </w:t>
            </w:r>
            <w:r w:rsidR="00B42366" w:rsidRPr="0095139E">
              <w:rPr>
                <w:b/>
                <w:bCs/>
                <w:sz w:val="26"/>
                <w:szCs w:val="26"/>
                <w:lang w:val="es-ES_tradnl"/>
              </w:rPr>
              <w:t xml:space="preserve">de </w:t>
            </w:r>
            <w:r w:rsidR="00341DA6" w:rsidRPr="0095139E">
              <w:rPr>
                <w:b/>
                <w:bCs/>
                <w:sz w:val="26"/>
                <w:szCs w:val="26"/>
                <w:lang w:val="es-ES_tradnl"/>
              </w:rPr>
              <w:t>mayo</w:t>
            </w:r>
            <w:r w:rsidR="00B42366" w:rsidRPr="0095139E">
              <w:rPr>
                <w:b/>
                <w:bCs/>
                <w:sz w:val="26"/>
                <w:szCs w:val="26"/>
                <w:lang w:val="es-ES_tradnl"/>
              </w:rPr>
              <w:t xml:space="preserve"> de</w:t>
            </w:r>
            <w:r w:rsidRPr="0095139E">
              <w:rPr>
                <w:b/>
                <w:bCs/>
                <w:sz w:val="26"/>
                <w:szCs w:val="26"/>
                <w:lang w:val="es-ES_tradnl"/>
              </w:rPr>
              <w:t xml:space="preserve"> 202</w:t>
            </w:r>
            <w:r w:rsidR="00297F6E" w:rsidRPr="0095139E">
              <w:rPr>
                <w:b/>
                <w:bCs/>
                <w:sz w:val="26"/>
                <w:szCs w:val="26"/>
                <w:lang w:val="es-ES_tradnl"/>
              </w:rPr>
              <w:t>4</w:t>
            </w:r>
          </w:p>
        </w:tc>
        <w:tc>
          <w:tcPr>
            <w:tcW w:w="3509" w:type="dxa"/>
          </w:tcPr>
          <w:p w14:paraId="67E7B4C4" w14:textId="0F52E4CC" w:rsidR="00307769" w:rsidRPr="0095139E" w:rsidRDefault="00307769" w:rsidP="00952667">
            <w:pPr>
              <w:spacing w:after="120"/>
              <w:ind w:right="142"/>
              <w:jc w:val="right"/>
              <w:rPr>
                <w:lang w:val="es-ES_tradnl"/>
              </w:rPr>
            </w:pPr>
            <w:r w:rsidRPr="0095139E">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5139E" w14:paraId="3C13197B" w14:textId="77777777" w:rsidTr="0009076F">
        <w:trPr>
          <w:cantSplit/>
        </w:trPr>
        <w:tc>
          <w:tcPr>
            <w:tcW w:w="6379" w:type="dxa"/>
            <w:tcBorders>
              <w:top w:val="single" w:sz="12" w:space="0" w:color="auto"/>
            </w:tcBorders>
          </w:tcPr>
          <w:p w14:paraId="2EED9DB2" w14:textId="77777777" w:rsidR="00683C32" w:rsidRPr="0095139E"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95139E" w:rsidRDefault="00683C32" w:rsidP="00107E85">
            <w:pPr>
              <w:spacing w:before="0"/>
              <w:rPr>
                <w:b/>
                <w:bCs/>
                <w:sz w:val="20"/>
                <w:lang w:val="es-ES_tradnl"/>
              </w:rPr>
            </w:pPr>
          </w:p>
        </w:tc>
      </w:tr>
      <w:tr w:rsidR="00683C32" w:rsidRPr="0095139E" w14:paraId="0BB3FBC4" w14:textId="77777777" w:rsidTr="0009076F">
        <w:trPr>
          <w:cantSplit/>
        </w:trPr>
        <w:tc>
          <w:tcPr>
            <w:tcW w:w="6379" w:type="dxa"/>
          </w:tcPr>
          <w:p w14:paraId="43C54B3D" w14:textId="77777777" w:rsidR="00683C32" w:rsidRPr="0095139E" w:rsidRDefault="00683C32" w:rsidP="00400CCF">
            <w:pPr>
              <w:pStyle w:val="Committee"/>
              <w:spacing w:before="0"/>
              <w:rPr>
                <w:b w:val="0"/>
                <w:szCs w:val="24"/>
                <w:lang w:val="es-ES_tradnl"/>
              </w:rPr>
            </w:pPr>
          </w:p>
        </w:tc>
        <w:tc>
          <w:tcPr>
            <w:tcW w:w="3509" w:type="dxa"/>
          </w:tcPr>
          <w:p w14:paraId="02E44EE9" w14:textId="03614A5E" w:rsidR="00683C32" w:rsidRPr="0095139E" w:rsidRDefault="0096201B" w:rsidP="00B648C7">
            <w:pPr>
              <w:spacing w:before="0"/>
              <w:jc w:val="both"/>
              <w:rPr>
                <w:bCs/>
                <w:szCs w:val="24"/>
                <w:lang w:val="es-ES_tradnl"/>
              </w:rPr>
            </w:pPr>
            <w:r w:rsidRPr="0095139E">
              <w:rPr>
                <w:b/>
                <w:bCs/>
                <w:lang w:val="es-ES_tradnl"/>
              </w:rPr>
              <w:t>Document</w:t>
            </w:r>
            <w:r w:rsidR="00B42366" w:rsidRPr="0095139E">
              <w:rPr>
                <w:b/>
                <w:bCs/>
                <w:lang w:val="es-ES_tradnl"/>
              </w:rPr>
              <w:t>o</w:t>
            </w:r>
            <w:r w:rsidRPr="0095139E">
              <w:rPr>
                <w:b/>
                <w:bCs/>
                <w:lang w:val="es-ES_tradnl"/>
              </w:rPr>
              <w:t xml:space="preserve"> </w:t>
            </w:r>
            <w:bookmarkStart w:id="0" w:name="DocRef1"/>
            <w:bookmarkEnd w:id="0"/>
            <w:r w:rsidRPr="0095139E">
              <w:rPr>
                <w:b/>
                <w:bCs/>
                <w:lang w:val="es-ES_tradnl"/>
              </w:rPr>
              <w:t>TDAG</w:t>
            </w:r>
            <w:r w:rsidR="003242AB" w:rsidRPr="0095139E">
              <w:rPr>
                <w:b/>
                <w:bCs/>
                <w:lang w:val="es-ES_tradnl"/>
              </w:rPr>
              <w:t>-</w:t>
            </w:r>
            <w:r w:rsidR="00B648C7" w:rsidRPr="0095139E">
              <w:rPr>
                <w:b/>
                <w:bCs/>
                <w:lang w:val="es-ES_tradnl"/>
              </w:rPr>
              <w:t>2</w:t>
            </w:r>
            <w:bookmarkStart w:id="1" w:name="DocNo1"/>
            <w:bookmarkEnd w:id="1"/>
            <w:r w:rsidR="00341DA6" w:rsidRPr="0095139E">
              <w:rPr>
                <w:b/>
                <w:bCs/>
                <w:lang w:val="es-ES_tradnl"/>
              </w:rPr>
              <w:t>4</w:t>
            </w:r>
            <w:r w:rsidR="0009076F" w:rsidRPr="0095139E">
              <w:rPr>
                <w:b/>
                <w:bCs/>
                <w:lang w:val="es-ES_tradnl"/>
              </w:rPr>
              <w:t>/</w:t>
            </w:r>
            <w:r w:rsidR="00297F6E" w:rsidRPr="0095139E">
              <w:rPr>
                <w:b/>
                <w:bCs/>
                <w:lang w:val="es-ES_tradnl"/>
              </w:rPr>
              <w:t>3</w:t>
            </w:r>
            <w:r w:rsidRPr="0095139E">
              <w:rPr>
                <w:b/>
                <w:bCs/>
                <w:lang w:val="es-ES_tradnl"/>
              </w:rPr>
              <w:t>-</w:t>
            </w:r>
            <w:r w:rsidR="00B42366" w:rsidRPr="0095139E">
              <w:rPr>
                <w:b/>
                <w:bCs/>
                <w:lang w:val="es-ES_tradnl"/>
              </w:rPr>
              <w:t>S</w:t>
            </w:r>
          </w:p>
        </w:tc>
      </w:tr>
      <w:tr w:rsidR="00683C32" w:rsidRPr="0095139E" w14:paraId="24D04936" w14:textId="77777777" w:rsidTr="0009076F">
        <w:trPr>
          <w:cantSplit/>
        </w:trPr>
        <w:tc>
          <w:tcPr>
            <w:tcW w:w="6379" w:type="dxa"/>
          </w:tcPr>
          <w:p w14:paraId="12CE4DBF" w14:textId="77777777" w:rsidR="00683C32" w:rsidRPr="0095139E" w:rsidRDefault="00683C32" w:rsidP="00400CCF">
            <w:pPr>
              <w:spacing w:before="0"/>
              <w:rPr>
                <w:b/>
                <w:bCs/>
                <w:smallCaps/>
                <w:szCs w:val="24"/>
                <w:lang w:val="es-ES_tradnl"/>
              </w:rPr>
            </w:pPr>
          </w:p>
        </w:tc>
        <w:tc>
          <w:tcPr>
            <w:tcW w:w="3509" w:type="dxa"/>
          </w:tcPr>
          <w:p w14:paraId="0F89640F" w14:textId="09161E6D" w:rsidR="00683C32" w:rsidRPr="0095139E" w:rsidRDefault="00297F6E" w:rsidP="00B648C7">
            <w:pPr>
              <w:spacing w:before="0"/>
              <w:rPr>
                <w:b/>
                <w:szCs w:val="24"/>
                <w:lang w:val="es-ES_tradnl"/>
              </w:rPr>
            </w:pPr>
            <w:bookmarkStart w:id="2" w:name="CreationDate"/>
            <w:bookmarkEnd w:id="2"/>
            <w:r w:rsidRPr="0095139E">
              <w:rPr>
                <w:b/>
                <w:bCs/>
                <w:szCs w:val="28"/>
                <w:lang w:val="es-ES_tradnl"/>
              </w:rPr>
              <w:t>19 de marzo</w:t>
            </w:r>
            <w:r w:rsidR="00CE0422" w:rsidRPr="0095139E">
              <w:rPr>
                <w:b/>
                <w:bCs/>
                <w:szCs w:val="28"/>
                <w:lang w:val="es-ES_tradnl"/>
              </w:rPr>
              <w:t xml:space="preserve"> </w:t>
            </w:r>
            <w:r w:rsidR="00B42366" w:rsidRPr="0095139E">
              <w:rPr>
                <w:b/>
                <w:bCs/>
                <w:szCs w:val="28"/>
                <w:lang w:val="es-ES_tradnl"/>
              </w:rPr>
              <w:t xml:space="preserve">de </w:t>
            </w:r>
            <w:r w:rsidR="00CE0422" w:rsidRPr="0095139E">
              <w:rPr>
                <w:b/>
                <w:bCs/>
                <w:szCs w:val="28"/>
                <w:lang w:val="es-ES_tradnl"/>
              </w:rPr>
              <w:t>20</w:t>
            </w:r>
            <w:r w:rsidR="00B648C7" w:rsidRPr="0095139E">
              <w:rPr>
                <w:b/>
                <w:bCs/>
                <w:szCs w:val="28"/>
                <w:lang w:val="es-ES_tradnl"/>
              </w:rPr>
              <w:t>2</w:t>
            </w:r>
            <w:r w:rsidR="00341DA6" w:rsidRPr="0095139E">
              <w:rPr>
                <w:b/>
                <w:bCs/>
                <w:szCs w:val="28"/>
                <w:lang w:val="es-ES_tradnl"/>
              </w:rPr>
              <w:t>4</w:t>
            </w:r>
          </w:p>
        </w:tc>
      </w:tr>
      <w:tr w:rsidR="00683C32" w:rsidRPr="0095139E" w14:paraId="7B96545F" w14:textId="77777777" w:rsidTr="0009076F">
        <w:trPr>
          <w:cantSplit/>
        </w:trPr>
        <w:tc>
          <w:tcPr>
            <w:tcW w:w="6379" w:type="dxa"/>
          </w:tcPr>
          <w:p w14:paraId="65956FD3" w14:textId="77777777" w:rsidR="00683C32" w:rsidRPr="0095139E" w:rsidRDefault="00683C32" w:rsidP="00400CCF">
            <w:pPr>
              <w:spacing w:before="0"/>
              <w:rPr>
                <w:b/>
                <w:bCs/>
                <w:smallCaps/>
                <w:szCs w:val="24"/>
                <w:lang w:val="es-ES_tradnl"/>
              </w:rPr>
            </w:pPr>
          </w:p>
        </w:tc>
        <w:tc>
          <w:tcPr>
            <w:tcW w:w="3509" w:type="dxa"/>
          </w:tcPr>
          <w:p w14:paraId="30EFD39F" w14:textId="560C5C27" w:rsidR="00514D2F" w:rsidRPr="0095139E" w:rsidRDefault="0096201B" w:rsidP="00400CCF">
            <w:pPr>
              <w:spacing w:before="0"/>
              <w:rPr>
                <w:szCs w:val="24"/>
                <w:lang w:val="es-ES_tradnl"/>
              </w:rPr>
            </w:pPr>
            <w:r w:rsidRPr="0095139E">
              <w:rPr>
                <w:b/>
                <w:lang w:val="es-ES_tradnl"/>
              </w:rPr>
              <w:t>Original:</w:t>
            </w:r>
            <w:bookmarkStart w:id="3" w:name="Original"/>
            <w:bookmarkEnd w:id="3"/>
            <w:r w:rsidR="00CE0422" w:rsidRPr="0095139E">
              <w:rPr>
                <w:b/>
                <w:lang w:val="es-ES_tradnl"/>
              </w:rPr>
              <w:t xml:space="preserve"> </w:t>
            </w:r>
            <w:r w:rsidR="00B42366" w:rsidRPr="0095139E">
              <w:rPr>
                <w:b/>
                <w:lang w:val="es-ES_tradnl"/>
              </w:rPr>
              <w:t>inglés</w:t>
            </w:r>
          </w:p>
        </w:tc>
      </w:tr>
      <w:tr w:rsidR="00A13162" w:rsidRPr="0095139E" w14:paraId="31656E31" w14:textId="77777777" w:rsidTr="00107E85">
        <w:trPr>
          <w:cantSplit/>
          <w:trHeight w:val="852"/>
        </w:trPr>
        <w:tc>
          <w:tcPr>
            <w:tcW w:w="9888" w:type="dxa"/>
            <w:gridSpan w:val="2"/>
          </w:tcPr>
          <w:p w14:paraId="512FCA01" w14:textId="472B1D48" w:rsidR="00A13162" w:rsidRPr="0095139E" w:rsidRDefault="00297F6E" w:rsidP="0030353C">
            <w:pPr>
              <w:pStyle w:val="Source"/>
              <w:rPr>
                <w:lang w:val="es-ES_tradnl"/>
              </w:rPr>
            </w:pPr>
            <w:bookmarkStart w:id="4" w:name="Source"/>
            <w:bookmarkEnd w:id="4"/>
            <w:r w:rsidRPr="0095139E">
              <w:rPr>
                <w:lang w:val="es-ES_tradnl"/>
              </w:rPr>
              <w:t>Director de la Oficina de Desarrollo de las Telecomunicaciones</w:t>
            </w:r>
          </w:p>
        </w:tc>
      </w:tr>
      <w:tr w:rsidR="00AC6F14" w:rsidRPr="0095139E" w14:paraId="2CBD3A36" w14:textId="77777777" w:rsidTr="00107E85">
        <w:trPr>
          <w:cantSplit/>
        </w:trPr>
        <w:tc>
          <w:tcPr>
            <w:tcW w:w="9888" w:type="dxa"/>
            <w:gridSpan w:val="2"/>
          </w:tcPr>
          <w:p w14:paraId="1B4121DF" w14:textId="69628697" w:rsidR="00AC6F14" w:rsidRPr="0095139E" w:rsidRDefault="00297F6E" w:rsidP="0030353C">
            <w:pPr>
              <w:pStyle w:val="Title1"/>
              <w:rPr>
                <w:lang w:val="es-ES_tradnl"/>
              </w:rPr>
            </w:pPr>
            <w:bookmarkStart w:id="5" w:name="Title"/>
            <w:bookmarkEnd w:id="5"/>
            <w:r w:rsidRPr="0095139E">
              <w:rPr>
                <w:lang w:val="es-ES_tradnl"/>
              </w:rPr>
              <w:t>Informe al GADT relativo a la labor del Grupo de Expertos sobre el Reglamento de las Telecomunicaciones Internacionales (GE-RTI)</w:t>
            </w:r>
          </w:p>
        </w:tc>
      </w:tr>
      <w:tr w:rsidR="00A721F4" w:rsidRPr="0095139E" w14:paraId="23A30231" w14:textId="77777777" w:rsidTr="00A721F4">
        <w:trPr>
          <w:cantSplit/>
        </w:trPr>
        <w:tc>
          <w:tcPr>
            <w:tcW w:w="9888" w:type="dxa"/>
            <w:gridSpan w:val="2"/>
            <w:tcBorders>
              <w:bottom w:val="single" w:sz="4" w:space="0" w:color="auto"/>
            </w:tcBorders>
          </w:tcPr>
          <w:p w14:paraId="726EE70E" w14:textId="77777777" w:rsidR="00A721F4" w:rsidRPr="0095139E" w:rsidRDefault="00A721F4" w:rsidP="0030353C">
            <w:pPr>
              <w:rPr>
                <w:lang w:val="es-ES_tradnl"/>
              </w:rPr>
            </w:pPr>
          </w:p>
        </w:tc>
      </w:tr>
      <w:tr w:rsidR="00A721F4" w:rsidRPr="0095139E"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95139E" w:rsidRDefault="00B42366" w:rsidP="00EA0C51">
            <w:pPr>
              <w:spacing w:after="120"/>
              <w:rPr>
                <w:b/>
                <w:bCs/>
                <w:szCs w:val="24"/>
                <w:lang w:val="es-ES_tradnl"/>
              </w:rPr>
            </w:pPr>
            <w:r w:rsidRPr="0095139E">
              <w:rPr>
                <w:b/>
                <w:bCs/>
                <w:szCs w:val="24"/>
                <w:lang w:val="es-ES_tradnl"/>
              </w:rPr>
              <w:t>Resumen</w:t>
            </w:r>
            <w:r w:rsidR="00A721F4" w:rsidRPr="0095139E">
              <w:rPr>
                <w:b/>
                <w:bCs/>
                <w:szCs w:val="24"/>
                <w:lang w:val="es-ES_tradnl"/>
              </w:rPr>
              <w:t>:</w:t>
            </w:r>
          </w:p>
          <w:p w14:paraId="4082D7E8" w14:textId="236FD669" w:rsidR="00A721F4" w:rsidRPr="0095139E" w:rsidRDefault="00297F6E" w:rsidP="00EA0C51">
            <w:pPr>
              <w:spacing w:after="120"/>
              <w:rPr>
                <w:szCs w:val="24"/>
                <w:lang w:val="es-ES_tradnl"/>
              </w:rPr>
            </w:pPr>
            <w:r w:rsidRPr="0095139E">
              <w:rPr>
                <w:lang w:val="es-ES_tradnl"/>
              </w:rPr>
              <w:t>En el presente informe de situación se exponen los principales resultados de las reuniones primera y segunda del GE-RTI, celebradas los días 16 de octubre de 2023, y 29 y 30 de enero de 2024, respectivamente, de conformidad con la Resolución 146 (Rev. Bucarest, 2022) de la PP y la Resolución 1379 (Mod. 2023) del Consejo.</w:t>
            </w:r>
          </w:p>
          <w:p w14:paraId="76A1C541" w14:textId="70BC879D" w:rsidR="00A721F4" w:rsidRPr="0095139E" w:rsidRDefault="00A721F4" w:rsidP="00EA0C51">
            <w:pPr>
              <w:spacing w:after="120"/>
              <w:rPr>
                <w:b/>
                <w:bCs/>
                <w:szCs w:val="24"/>
                <w:lang w:val="es-ES_tradnl"/>
              </w:rPr>
            </w:pPr>
            <w:r w:rsidRPr="0095139E">
              <w:rPr>
                <w:b/>
                <w:bCs/>
                <w:lang w:val="es-ES_tradnl"/>
              </w:rPr>
              <w:t>Ac</w:t>
            </w:r>
            <w:r w:rsidR="00B42366" w:rsidRPr="0095139E">
              <w:rPr>
                <w:b/>
                <w:bCs/>
                <w:lang w:val="es-ES_tradnl"/>
              </w:rPr>
              <w:t>ción solicitada</w:t>
            </w:r>
            <w:r w:rsidRPr="0095139E">
              <w:rPr>
                <w:b/>
                <w:bCs/>
                <w:lang w:val="es-ES_tradnl"/>
              </w:rPr>
              <w:t>:</w:t>
            </w:r>
          </w:p>
          <w:p w14:paraId="25E510B2" w14:textId="6C97F8F2" w:rsidR="00297F6E" w:rsidRPr="0095139E" w:rsidRDefault="00297F6E" w:rsidP="00297F6E">
            <w:pPr>
              <w:spacing w:after="120"/>
              <w:rPr>
                <w:lang w:val="es-ES_tradnl"/>
              </w:rPr>
            </w:pPr>
            <w:r w:rsidRPr="0095139E">
              <w:rPr>
                <w:lang w:val="es-ES_tradnl"/>
              </w:rPr>
              <w:t>De conformidad con la Resolución 146 (Rev. Bucarest, 2022), en la que "</w:t>
            </w:r>
            <w:r w:rsidRPr="0095139E">
              <w:rPr>
                <w:i/>
                <w:iCs/>
                <w:lang w:val="es-ES_tradnl"/>
              </w:rPr>
              <w:t>se encarga a los Directores de las Oficinas que, en el marco de sus respectivas esferas de competencia, con asesoramiento de los Grupos Asesores correspondientes, contribuyan a las actividades del GE-RTI, teniendo en cuenta que la mayor parte de la labor pertinente a dicho Reglamento está a cargo del Sector de Normalización de las Telecomunicaciones</w:t>
            </w:r>
            <w:r w:rsidRPr="0095139E">
              <w:rPr>
                <w:lang w:val="es-ES_tradnl"/>
              </w:rPr>
              <w:t>".</w:t>
            </w:r>
          </w:p>
          <w:p w14:paraId="371956FC" w14:textId="55A7819E" w:rsidR="00A721F4" w:rsidRPr="0095139E" w:rsidRDefault="00297F6E" w:rsidP="00297F6E">
            <w:pPr>
              <w:rPr>
                <w:szCs w:val="24"/>
                <w:lang w:val="es-ES_tradnl"/>
              </w:rPr>
            </w:pPr>
            <w:r w:rsidRPr="0095139E">
              <w:rPr>
                <w:lang w:val="es-ES_tradnl"/>
              </w:rPr>
              <w:t>Se invita al GADT a tomar nota de este documento en su 31ª reunión, que tendrá lugar del 20 al 23 de mayo de 2024.</w:t>
            </w:r>
          </w:p>
          <w:p w14:paraId="622ACB80" w14:textId="6D46991A" w:rsidR="00A721F4" w:rsidRPr="0095139E" w:rsidRDefault="00A721F4" w:rsidP="00EA0C51">
            <w:pPr>
              <w:spacing w:after="120"/>
              <w:rPr>
                <w:b/>
                <w:bCs/>
                <w:szCs w:val="24"/>
                <w:lang w:val="es-ES_tradnl"/>
              </w:rPr>
            </w:pPr>
            <w:r w:rsidRPr="0095139E">
              <w:rPr>
                <w:b/>
                <w:bCs/>
                <w:szCs w:val="24"/>
                <w:lang w:val="es-ES_tradnl"/>
              </w:rPr>
              <w:t>Referenc</w:t>
            </w:r>
            <w:r w:rsidR="00B42366" w:rsidRPr="0095139E">
              <w:rPr>
                <w:b/>
                <w:bCs/>
                <w:szCs w:val="24"/>
                <w:lang w:val="es-ES_tradnl"/>
              </w:rPr>
              <w:t>ia</w:t>
            </w:r>
            <w:r w:rsidRPr="0095139E">
              <w:rPr>
                <w:b/>
                <w:bCs/>
                <w:szCs w:val="24"/>
                <w:lang w:val="es-ES_tradnl"/>
              </w:rPr>
              <w:t>s:</w:t>
            </w:r>
          </w:p>
          <w:p w14:paraId="5F01A02C" w14:textId="40D7D562" w:rsidR="00297F6E" w:rsidRPr="0095139E" w:rsidRDefault="00E93C73" w:rsidP="00297F6E">
            <w:pPr>
              <w:spacing w:after="120"/>
              <w:rPr>
                <w:lang w:val="es-ES_tradnl"/>
              </w:rPr>
            </w:pPr>
            <w:hyperlink r:id="rId11" w:history="1">
              <w:r w:rsidR="00297F6E" w:rsidRPr="0095139E">
                <w:rPr>
                  <w:rStyle w:val="Hyperlink"/>
                  <w:lang w:val="es-ES_tradnl"/>
                </w:rPr>
                <w:t>Resolución 146 (Rev. Bucarest, 2022)</w:t>
              </w:r>
            </w:hyperlink>
            <w:r w:rsidR="00297F6E" w:rsidRPr="0095139E">
              <w:rPr>
                <w:lang w:val="es-ES_tradnl"/>
              </w:rPr>
              <w:t>, Examen periódico del Reglamento de las Telecomunicaciones Internacionales.</w:t>
            </w:r>
          </w:p>
          <w:p w14:paraId="1ECDD20E" w14:textId="152062CB" w:rsidR="00A721F4" w:rsidRPr="0095139E" w:rsidRDefault="00E93C73" w:rsidP="00297F6E">
            <w:pPr>
              <w:rPr>
                <w:lang w:val="es-ES_tradnl"/>
              </w:rPr>
            </w:pPr>
            <w:hyperlink r:id="rId12" w:history="1">
              <w:r w:rsidR="00297F6E" w:rsidRPr="0095139E">
                <w:rPr>
                  <w:rStyle w:val="Hyperlink"/>
                  <w:lang w:val="es-ES_tradnl"/>
                </w:rPr>
                <w:t>Resolución 1379 del Consejo (Mod. 2023)</w:t>
              </w:r>
            </w:hyperlink>
            <w:r w:rsidR="00297F6E" w:rsidRPr="0095139E">
              <w:rPr>
                <w:lang w:val="es-ES_tradnl"/>
              </w:rPr>
              <w:t>, Grupo de Expertos sobre el Reglamento de las Telecomunicaciones Internacionales (GE-RTI)</w:t>
            </w:r>
          </w:p>
        </w:tc>
      </w:tr>
    </w:tbl>
    <w:p w14:paraId="72F5CF96" w14:textId="77777777" w:rsidR="00923CF1" w:rsidRPr="0095139E" w:rsidRDefault="00923CF1" w:rsidP="00935FF0">
      <w:pPr>
        <w:rPr>
          <w:lang w:val="es-ES_tradnl"/>
        </w:rPr>
      </w:pPr>
    </w:p>
    <w:p w14:paraId="5B29B2A3" w14:textId="77777777" w:rsidR="00923CF1" w:rsidRPr="0095139E"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95139E">
        <w:rPr>
          <w:lang w:val="es-ES_tradnl"/>
        </w:rPr>
        <w:br w:type="page"/>
      </w:r>
    </w:p>
    <w:p w14:paraId="054635B2" w14:textId="6F3739C9" w:rsidR="00297F6E" w:rsidRPr="0095139E" w:rsidRDefault="00297F6E" w:rsidP="00297F6E">
      <w:pPr>
        <w:pStyle w:val="Heading1"/>
        <w:rPr>
          <w:rFonts w:cstheme="minorHAnsi"/>
          <w:szCs w:val="24"/>
          <w:lang w:val="es-ES_tradnl"/>
        </w:rPr>
      </w:pPr>
      <w:bookmarkStart w:id="6" w:name="lt_pId026"/>
      <w:r w:rsidRPr="0095139E">
        <w:rPr>
          <w:lang w:val="es-ES_tradnl"/>
        </w:rPr>
        <w:lastRenderedPageBreak/>
        <w:t>1</w:t>
      </w:r>
      <w:r w:rsidRPr="0095139E">
        <w:rPr>
          <w:lang w:val="es-ES_tradnl"/>
        </w:rPr>
        <w:tab/>
      </w:r>
      <w:r w:rsidRPr="0095139E">
        <w:rPr>
          <w:lang w:val="es-ES_tradnl"/>
        </w:rPr>
        <w:t>Antecedentes</w:t>
      </w:r>
      <w:bookmarkEnd w:id="6"/>
    </w:p>
    <w:p w14:paraId="7186930D" w14:textId="77777777" w:rsidR="00297F6E" w:rsidRPr="0095139E" w:rsidRDefault="00297F6E" w:rsidP="00297F6E">
      <w:pPr>
        <w:snapToGrid w:val="0"/>
        <w:spacing w:after="120"/>
        <w:rPr>
          <w:rFonts w:cstheme="minorHAnsi"/>
          <w:szCs w:val="24"/>
          <w:lang w:val="es-ES_tradnl"/>
        </w:rPr>
      </w:pPr>
      <w:bookmarkStart w:id="7" w:name="lt_pId027"/>
      <w:r w:rsidRPr="0095139E">
        <w:rPr>
          <w:lang w:val="es-ES_tradnl"/>
        </w:rPr>
        <w:t>El objetivo del presente documento es exponer la situación de los trabajos del Grupo de Expertos sobre el Reglamento de las Telecomunicaciones Internacionales (GE-RTI)</w:t>
      </w:r>
      <w:r w:rsidRPr="0095139E">
        <w:rPr>
          <w:rStyle w:val="FootnoteReference"/>
          <w:rFonts w:cstheme="minorHAnsi"/>
          <w:szCs w:val="18"/>
          <w:lang w:val="es-ES_tradnl"/>
        </w:rPr>
        <w:footnoteReference w:id="1"/>
      </w:r>
      <w:r w:rsidRPr="0095139E">
        <w:rPr>
          <w:lang w:val="es-ES_tradnl"/>
        </w:rPr>
        <w:t>, conforme a lo estipulado por la Conferencia de Plenipotenciarios de la UIT (que se celebró en Bucarest del 26 de septiembre al 14 de octubre de 2022) en su Resolución 146 (Rev. Bucarest, 2022) sobre el examen periódico del RTI. Este informe se centra en los principales resultados de las reuniones primera y segunda del GE-RTI, celebradas los días 16 de octubre de 2023, y 29 y 30 de enero de 2024, respectivamente.</w:t>
      </w:r>
      <w:bookmarkStart w:id="9" w:name="lt_pId028"/>
      <w:bookmarkEnd w:id="7"/>
      <w:bookmarkEnd w:id="9"/>
    </w:p>
    <w:p w14:paraId="52C44C10" w14:textId="353D63A7" w:rsidR="00297F6E" w:rsidRPr="0095139E" w:rsidRDefault="00297F6E" w:rsidP="00297F6E">
      <w:pPr>
        <w:pStyle w:val="Heading1"/>
        <w:rPr>
          <w:rFonts w:cstheme="minorHAnsi"/>
          <w:szCs w:val="24"/>
          <w:lang w:val="es-ES_tradnl"/>
        </w:rPr>
      </w:pPr>
      <w:bookmarkStart w:id="10" w:name="lt_pId029"/>
      <w:r w:rsidRPr="0095139E">
        <w:rPr>
          <w:lang w:val="es-ES_tradnl"/>
        </w:rPr>
        <w:t>2</w:t>
      </w:r>
      <w:r w:rsidRPr="0095139E">
        <w:rPr>
          <w:lang w:val="es-ES_tradnl"/>
        </w:rPr>
        <w:tab/>
      </w:r>
      <w:r w:rsidRPr="0095139E">
        <w:rPr>
          <w:lang w:val="es-ES_tradnl"/>
        </w:rPr>
        <w:t>Examen periódico del RTI</w:t>
      </w:r>
      <w:bookmarkEnd w:id="10"/>
    </w:p>
    <w:p w14:paraId="4FA6E2D8" w14:textId="79B72B27" w:rsidR="00297F6E" w:rsidRPr="0095139E" w:rsidRDefault="00297F6E" w:rsidP="00297F6E">
      <w:pPr>
        <w:snapToGrid w:val="0"/>
        <w:spacing w:after="120"/>
        <w:rPr>
          <w:rFonts w:cstheme="minorHAnsi"/>
          <w:szCs w:val="24"/>
          <w:lang w:val="es-ES_tradnl"/>
        </w:rPr>
      </w:pPr>
      <w:bookmarkStart w:id="11" w:name="lt_pId030"/>
      <w:r w:rsidRPr="0095139E">
        <w:rPr>
          <w:lang w:val="es-ES_tradnl"/>
        </w:rPr>
        <w:t>En la Resolución 146 (Rev. Bucarest, 2022) se encarga al Secretario General que vuelva a convocar un GE-RTI, abierto a la participación de los Estados Miembros y Miembros de Sector de la UIT, con un mandato y métodos de trabajo establecidos por el Consejo de la UIT, y que presente el Informe del GE-RTI sobre los resultados del examen al Consejo de la UIT, para su examen, publicación y presentación subsiguiente a la Conferencia de Plenipotenciarios de 2026.</w:t>
      </w:r>
      <w:bookmarkEnd w:id="11"/>
    </w:p>
    <w:p w14:paraId="50595AED" w14:textId="02FF756D" w:rsidR="00297F6E" w:rsidRPr="0095139E" w:rsidRDefault="00297F6E" w:rsidP="00297F6E">
      <w:pPr>
        <w:rPr>
          <w:rFonts w:cstheme="minorHAnsi"/>
          <w:szCs w:val="24"/>
          <w:lang w:val="es-ES_tradnl"/>
        </w:rPr>
      </w:pPr>
      <w:bookmarkStart w:id="12" w:name="lt_pId031"/>
      <w:r w:rsidRPr="0095139E">
        <w:rPr>
          <w:lang w:val="es-ES_tradnl"/>
        </w:rPr>
        <w:t>Cabe asimismo señalar que, en esta Resolución, "</w:t>
      </w:r>
      <w:r w:rsidRPr="0095139E">
        <w:rPr>
          <w:i/>
          <w:iCs/>
          <w:lang w:val="es-ES_tradnl"/>
        </w:rPr>
        <w:t>se encarga a los Directores de las Oficinas que: 1) en el marco de sus respectivos ámbitos de competencia, con la asistencia de los Grupos Asesores correspondientes, contribuyan a las actividades del GE-RTI, teniendo en cuenta que la mayor parte de la labor pertinente al RTI está a cargo del Sector de Normalización de las Telecomunicaciones; 2) presenten los resultados de sus trabajos al GE-RTI; y 3) en el marco de los recursos disponibles, estudien la posibilidad de conceder becas a los países en desarrollo</w:t>
      </w:r>
      <w:r w:rsidRPr="0095139E">
        <w:rPr>
          <w:rStyle w:val="FootnoteReference"/>
          <w:rFonts w:cstheme="minorHAnsi"/>
          <w:i/>
          <w:iCs/>
          <w:szCs w:val="18"/>
          <w:lang w:val="es-ES_tradnl"/>
        </w:rPr>
        <w:footnoteReference w:id="2"/>
      </w:r>
      <w:r w:rsidRPr="0095139E">
        <w:rPr>
          <w:i/>
          <w:iCs/>
          <w:lang w:val="es-ES_tradnl"/>
        </w:rPr>
        <w:t xml:space="preserve"> y, con arreglo a la lista establecida por las Naciones Unidas, a los países menos adelantados, con objeto de que tengan una mayor participación en el Grupo de Expertos</w:t>
      </w:r>
      <w:r w:rsidRPr="0095139E">
        <w:rPr>
          <w:lang w:val="es-ES_tradnl"/>
        </w:rPr>
        <w:t>".</w:t>
      </w:r>
      <w:bookmarkEnd w:id="12"/>
    </w:p>
    <w:p w14:paraId="0F020380" w14:textId="77777777" w:rsidR="00297F6E" w:rsidRPr="0095139E" w:rsidRDefault="00297F6E" w:rsidP="00297F6E">
      <w:pPr>
        <w:rPr>
          <w:rFonts w:cstheme="minorHAnsi"/>
          <w:szCs w:val="24"/>
          <w:lang w:val="es-ES_tradnl"/>
        </w:rPr>
      </w:pPr>
      <w:bookmarkStart w:id="14" w:name="lt_pId032"/>
      <w:r w:rsidRPr="0095139E">
        <w:rPr>
          <w:lang w:val="es-ES_tradnl"/>
        </w:rPr>
        <w:t>El mandato del GE-RTI, especificado en la Resolución 1379 (Mod. 2023) del Consejo, es el de proseguir el examen del RTI. Teniendo en cuenta la labor de los dos anteriores Grupos de Expertos, en el examen se podrán abordar, entre otras cosas:</w:t>
      </w:r>
      <w:bookmarkStart w:id="15" w:name="lt_pId033"/>
      <w:bookmarkEnd w:id="14"/>
      <w:bookmarkEnd w:id="15"/>
    </w:p>
    <w:p w14:paraId="5B4D1153" w14:textId="5C95C688" w:rsidR="00297F6E" w:rsidRPr="0095139E" w:rsidRDefault="00297F6E" w:rsidP="00297F6E">
      <w:pPr>
        <w:pStyle w:val="enumlev1"/>
        <w:rPr>
          <w:rFonts w:cstheme="minorHAnsi"/>
          <w:szCs w:val="24"/>
          <w:lang w:val="es-ES_tradnl"/>
        </w:rPr>
      </w:pPr>
      <w:bookmarkStart w:id="16" w:name="lt_pId034"/>
      <w:r w:rsidRPr="0095139E">
        <w:rPr>
          <w:lang w:val="es-ES_tradnl"/>
        </w:rPr>
        <w:t>–</w:t>
      </w:r>
      <w:r w:rsidRPr="0095139E">
        <w:rPr>
          <w:lang w:val="es-ES_tradnl"/>
        </w:rPr>
        <w:tab/>
      </w:r>
      <w:r w:rsidRPr="0095139E">
        <w:rPr>
          <w:lang w:val="es-ES_tradnl"/>
        </w:rPr>
        <w:t>las nuevas tendencias en las telecomunicaciones/TIC y los nuevos problemas del entorno internacional de las telecomunicaciones/TIC que pueden repercutir en el RTI;</w:t>
      </w:r>
      <w:bookmarkEnd w:id="16"/>
    </w:p>
    <w:p w14:paraId="369E9676" w14:textId="66D60358" w:rsidR="00297F6E" w:rsidRPr="0095139E" w:rsidRDefault="00297F6E" w:rsidP="00297F6E">
      <w:pPr>
        <w:pStyle w:val="enumlev1"/>
        <w:rPr>
          <w:rFonts w:cstheme="minorHAnsi"/>
          <w:szCs w:val="24"/>
          <w:lang w:val="es-ES_tradnl"/>
        </w:rPr>
      </w:pPr>
      <w:bookmarkStart w:id="17" w:name="lt_pId035"/>
      <w:r w:rsidRPr="0095139E">
        <w:rPr>
          <w:lang w:val="es-ES_tradnl"/>
        </w:rPr>
        <w:t>–</w:t>
      </w:r>
      <w:r w:rsidRPr="0095139E">
        <w:rPr>
          <w:lang w:val="es-ES_tradnl"/>
        </w:rPr>
        <w:tab/>
        <w:t>datos empíricos de la utilización actual del RTI por parte de los organismos y/o administraciones de explotación y la proporción de los servicios de telecomunicaciones mundiales que se basan actualmente en el RTI, y</w:t>
      </w:r>
      <w:bookmarkEnd w:id="17"/>
    </w:p>
    <w:p w14:paraId="7CFF09A0" w14:textId="3B4B43E0" w:rsidR="00297F6E" w:rsidRPr="0095139E" w:rsidRDefault="00297F6E" w:rsidP="00297F6E">
      <w:pPr>
        <w:pStyle w:val="enumlev1"/>
        <w:rPr>
          <w:rFonts w:cstheme="minorHAnsi"/>
          <w:szCs w:val="24"/>
          <w:lang w:val="es-ES_tradnl"/>
        </w:rPr>
      </w:pPr>
      <w:bookmarkStart w:id="18" w:name="lt_pId036"/>
      <w:r w:rsidRPr="0095139E">
        <w:rPr>
          <w:lang w:val="es-ES_tradnl"/>
        </w:rPr>
        <w:t>–</w:t>
      </w:r>
      <w:r w:rsidRPr="0095139E">
        <w:rPr>
          <w:lang w:val="es-ES_tradnl"/>
        </w:rPr>
        <w:tab/>
        <w:t>la pertinencia del RTI que está conformado por "los principios rectores de alto nivel" en el entorno actual de telecomunicaciones/TIC.</w:t>
      </w:r>
      <w:bookmarkEnd w:id="18"/>
    </w:p>
    <w:p w14:paraId="5F213A61" w14:textId="77777777" w:rsidR="00297F6E" w:rsidRPr="0095139E" w:rsidRDefault="00297F6E" w:rsidP="00297F6E">
      <w:pPr>
        <w:rPr>
          <w:rFonts w:cstheme="minorHAnsi"/>
          <w:lang w:val="es-ES_tradnl"/>
        </w:rPr>
      </w:pPr>
      <w:bookmarkStart w:id="19" w:name="lt_pId037"/>
      <w:r w:rsidRPr="0095139E">
        <w:rPr>
          <w:lang w:val="es-ES_tradnl"/>
        </w:rPr>
        <w:t>El GE-RTI celebró sus reuniones primera y segunda en la sede de la UIT en Ginebra (Suiza), los días 16 de octubre de 2023, y 29 y 30 de enero de 2024, respectivamente. El Grupo aprobó los informes de las reuniones primera y segunda del GE-RTI.</w:t>
      </w:r>
      <w:bookmarkEnd w:id="19"/>
    </w:p>
    <w:p w14:paraId="18C993CD" w14:textId="1D488CA0" w:rsidR="00297F6E" w:rsidRPr="0095139E" w:rsidRDefault="00297F6E" w:rsidP="00297F6E">
      <w:pPr>
        <w:rPr>
          <w:rFonts w:cstheme="minorHAnsi"/>
          <w:lang w:val="es-ES_tradnl"/>
        </w:rPr>
      </w:pPr>
      <w:bookmarkStart w:id="20" w:name="lt_pId039"/>
      <w:bookmarkStart w:id="21" w:name="_Hlk38891878"/>
      <w:r w:rsidRPr="0095139E">
        <w:rPr>
          <w:lang w:val="es-ES_tradnl"/>
        </w:rPr>
        <w:t>En la primera reunión del GE-RTI el Grupo examinó las contribuciones recibidas, centrándose en las propuestas de plan de trabajo. No se llegó a un consenso sobre el plan de trabajo.</w:t>
      </w:r>
      <w:bookmarkStart w:id="22" w:name="lt_pId040"/>
      <w:bookmarkEnd w:id="20"/>
      <w:bookmarkEnd w:id="22"/>
    </w:p>
    <w:p w14:paraId="0837DCEB" w14:textId="77777777" w:rsidR="00297F6E" w:rsidRPr="0095139E" w:rsidRDefault="00297F6E" w:rsidP="00297F6E">
      <w:pPr>
        <w:rPr>
          <w:rFonts w:cstheme="minorHAnsi"/>
          <w:lang w:val="es-ES_tradnl"/>
        </w:rPr>
      </w:pPr>
      <w:bookmarkStart w:id="23" w:name="lt_pId041"/>
      <w:bookmarkEnd w:id="21"/>
      <w:r w:rsidRPr="0095139E">
        <w:rPr>
          <w:lang w:val="es-ES_tradnl"/>
        </w:rPr>
        <w:lastRenderedPageBreak/>
        <w:t>En la segunda reunión del GE-RTI se aprobó un plan de trabajo (véase el Anexo) en el entendimiento de que sirve de orientación para los trabajos del Grupo y no restringe la presentación de contribuciones por parte de ningún Miembro, de conformidad con la Resolución 146 (Rev. Bucarest, 2022) y la Resolución 1379 (Mod. 2023) del Consejo. En el Anexo 2 al Informe de la segunda reunión figura una declaración de la Federación de Rusia al respecto.</w:t>
      </w:r>
      <w:bookmarkStart w:id="24" w:name="lt_pId042"/>
      <w:bookmarkEnd w:id="23"/>
      <w:bookmarkEnd w:id="24"/>
    </w:p>
    <w:p w14:paraId="6222D4BF" w14:textId="5E0F2954" w:rsidR="00297F6E" w:rsidRPr="0095139E" w:rsidRDefault="00297F6E" w:rsidP="00297F6E">
      <w:pPr>
        <w:rPr>
          <w:rFonts w:cstheme="minorHAnsi"/>
          <w:bCs/>
          <w:szCs w:val="24"/>
          <w:lang w:val="es-ES_tradnl"/>
        </w:rPr>
      </w:pPr>
      <w:bookmarkStart w:id="25" w:name="lt_pId043"/>
      <w:r w:rsidRPr="0095139E">
        <w:rPr>
          <w:lang w:val="es-ES_tradnl"/>
        </w:rPr>
        <w:t>En lo referente a los datos empíricos de la utilización actual del RTI por parte de los organismos y/o administraciones de explotación y la proporción de los servicios de telecomunicaciones mundiales que se basan actualmente en el RTI, en la última reunión, el GE-RTI decidió que no se emitiría una encuesta para recabar datos empíricos, y que los Estados Miembros podían realizar sus propias encuestas y presentar los resultados al Grupo en futuras reuniones.</w:t>
      </w:r>
      <w:bookmarkEnd w:id="25"/>
    </w:p>
    <w:p w14:paraId="6D48981F" w14:textId="77777777" w:rsidR="00297F6E" w:rsidRPr="0095139E" w:rsidRDefault="00297F6E" w:rsidP="00297F6E">
      <w:pPr>
        <w:rPr>
          <w:rFonts w:cstheme="minorHAnsi"/>
          <w:b/>
          <w:bCs/>
          <w:szCs w:val="24"/>
          <w:lang w:val="es-ES_tradnl"/>
        </w:rPr>
      </w:pPr>
      <w:bookmarkStart w:id="26" w:name="lt_pId044"/>
      <w:r w:rsidRPr="0095139E">
        <w:rPr>
          <w:lang w:val="es-ES_tradnl"/>
        </w:rPr>
        <w:t>Teniendo en cuenta el programa de trabajo y las contribuciones recibidas para estas reuniones del GE-RTI, no había ninguna cuestión en concreto que requiriera la intervención de la BDT.</w:t>
      </w:r>
      <w:bookmarkEnd w:id="26"/>
    </w:p>
    <w:p w14:paraId="1500DD51" w14:textId="77777777" w:rsidR="00297F6E" w:rsidRPr="0095139E" w:rsidRDefault="00297F6E" w:rsidP="00297F6E">
      <w:pPr>
        <w:pStyle w:val="Headingb"/>
        <w:rPr>
          <w:rFonts w:cstheme="minorHAnsi"/>
          <w:szCs w:val="24"/>
          <w:lang w:val="es-ES_tradnl"/>
        </w:rPr>
      </w:pPr>
      <w:bookmarkStart w:id="27" w:name="lt_pId045"/>
      <w:r w:rsidRPr="0095139E">
        <w:rPr>
          <w:lang w:val="es-ES_tradnl"/>
        </w:rPr>
        <w:t>Próximas etapas:</w:t>
      </w:r>
      <w:bookmarkEnd w:id="27"/>
    </w:p>
    <w:p w14:paraId="5D37303C" w14:textId="6FB4FA81" w:rsidR="00297F6E" w:rsidRPr="0095139E" w:rsidRDefault="00297F6E" w:rsidP="00297F6E">
      <w:pPr>
        <w:pStyle w:val="enumlev1"/>
        <w:rPr>
          <w:rFonts w:eastAsia="Calibri" w:cstheme="minorHAnsi"/>
          <w:bCs/>
          <w:szCs w:val="24"/>
          <w:lang w:val="es-ES_tradnl"/>
        </w:rPr>
      </w:pPr>
      <w:bookmarkStart w:id="28" w:name="lt_pId046"/>
      <w:r w:rsidRPr="0095139E">
        <w:rPr>
          <w:lang w:val="es-ES_tradnl"/>
        </w:rPr>
        <w:t>–</w:t>
      </w:r>
      <w:r w:rsidRPr="0095139E">
        <w:rPr>
          <w:lang w:val="es-ES_tradnl"/>
        </w:rPr>
        <w:tab/>
      </w:r>
      <w:r w:rsidRPr="0095139E">
        <w:rPr>
          <w:lang w:val="es-ES_tradnl"/>
        </w:rPr>
        <w:t>La próxima reunión se celebrará durante la próxima reunión del Grupo de Trabajo del Consejo.</w:t>
      </w:r>
      <w:bookmarkEnd w:id="28"/>
    </w:p>
    <w:p w14:paraId="29425666" w14:textId="58A3D963" w:rsidR="00297F6E" w:rsidRPr="0095139E" w:rsidRDefault="00297F6E" w:rsidP="00297F6E">
      <w:pPr>
        <w:pStyle w:val="enumlev1"/>
        <w:rPr>
          <w:rFonts w:eastAsia="Calibri" w:cstheme="minorHAnsi"/>
          <w:bCs/>
          <w:szCs w:val="24"/>
          <w:lang w:val="es-ES_tradnl"/>
        </w:rPr>
      </w:pPr>
      <w:bookmarkStart w:id="29" w:name="lt_pId047"/>
      <w:r w:rsidRPr="0095139E">
        <w:rPr>
          <w:lang w:val="es-ES_tradnl"/>
        </w:rPr>
        <w:t>–</w:t>
      </w:r>
      <w:r w:rsidRPr="0095139E">
        <w:rPr>
          <w:lang w:val="es-ES_tradnl"/>
        </w:rPr>
        <w:tab/>
        <w:t>Siguiendo la práctica habitual, la reunión acordó que el Presidente integraría los informes de las reuniones primera y segunda del Grupo en un breve documento, con los enlaces correspondientes, que se presentaría como Informe de situación al Consejo de 2024.</w:t>
      </w:r>
      <w:bookmarkEnd w:id="29"/>
    </w:p>
    <w:p w14:paraId="70F95068" w14:textId="77777777" w:rsidR="00297F6E" w:rsidRPr="0095139E" w:rsidRDefault="00297F6E" w:rsidP="00297F6E">
      <w:pPr>
        <w:tabs>
          <w:tab w:val="clear" w:pos="794"/>
          <w:tab w:val="clear" w:pos="1191"/>
          <w:tab w:val="clear" w:pos="1588"/>
          <w:tab w:val="clear" w:pos="1985"/>
        </w:tabs>
        <w:overflowPunct/>
        <w:autoSpaceDE/>
        <w:autoSpaceDN/>
        <w:adjustRightInd/>
        <w:spacing w:before="0"/>
        <w:textAlignment w:val="auto"/>
        <w:rPr>
          <w:lang w:val="es-ES_tradnl"/>
        </w:rPr>
      </w:pPr>
      <w:r w:rsidRPr="0095139E">
        <w:rPr>
          <w:lang w:val="es-ES_tradnl"/>
        </w:rPr>
        <w:br w:type="page"/>
      </w:r>
    </w:p>
    <w:p w14:paraId="278E9F51" w14:textId="77777777" w:rsidR="00297F6E" w:rsidRPr="0095139E" w:rsidRDefault="00297F6E" w:rsidP="00297F6E">
      <w:pPr>
        <w:pStyle w:val="AnnexNo"/>
        <w:rPr>
          <w:szCs w:val="24"/>
          <w:lang w:val="es-ES_tradnl"/>
        </w:rPr>
      </w:pPr>
      <w:bookmarkStart w:id="30" w:name="lt_pId048"/>
      <w:r w:rsidRPr="0095139E">
        <w:rPr>
          <w:lang w:val="es-ES_tradnl"/>
        </w:rPr>
        <w:lastRenderedPageBreak/>
        <w:t>Anexo 1</w:t>
      </w:r>
      <w:bookmarkEnd w:id="30"/>
    </w:p>
    <w:p w14:paraId="2582B1E1" w14:textId="77777777" w:rsidR="00297F6E" w:rsidRPr="0095139E" w:rsidRDefault="00297F6E" w:rsidP="00297F6E">
      <w:pPr>
        <w:pStyle w:val="Annextitle"/>
        <w:rPr>
          <w:sz w:val="24"/>
          <w:szCs w:val="24"/>
          <w:lang w:val="es-ES_tradnl"/>
        </w:rPr>
      </w:pPr>
      <w:bookmarkStart w:id="31" w:name="lt_pId049"/>
      <w:r w:rsidRPr="0095139E">
        <w:rPr>
          <w:lang w:val="es-ES_tradnl"/>
        </w:rPr>
        <w:t>Plan de Trabajo</w:t>
      </w:r>
      <w:bookmarkEnd w:id="31"/>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678"/>
        <w:gridCol w:w="2551"/>
        <w:gridCol w:w="1560"/>
      </w:tblGrid>
      <w:tr w:rsidR="00297F6E" w:rsidRPr="0095139E" w14:paraId="421FB5EC" w14:textId="77777777" w:rsidTr="00F12701">
        <w:trPr>
          <w:trHeight w:val="303"/>
          <w:tblHeader/>
          <w:jc w:val="center"/>
        </w:trPr>
        <w:tc>
          <w:tcPr>
            <w:tcW w:w="1271" w:type="dxa"/>
            <w:vAlign w:val="center"/>
          </w:tcPr>
          <w:p w14:paraId="21EEDB35" w14:textId="77777777" w:rsidR="00297F6E" w:rsidRPr="0095139E" w:rsidRDefault="00297F6E" w:rsidP="00297F6E">
            <w:pPr>
              <w:pStyle w:val="Tablehead"/>
              <w:rPr>
                <w:rFonts w:cs="Calibri"/>
                <w:lang w:val="es-ES_tradnl"/>
              </w:rPr>
            </w:pPr>
            <w:bookmarkStart w:id="32" w:name="lt_pId050"/>
            <w:r w:rsidRPr="0095139E">
              <w:rPr>
                <w:lang w:val="es-ES_tradnl"/>
              </w:rPr>
              <w:t>Reunión</w:t>
            </w:r>
            <w:bookmarkEnd w:id="32"/>
          </w:p>
        </w:tc>
        <w:tc>
          <w:tcPr>
            <w:tcW w:w="4678" w:type="dxa"/>
            <w:vAlign w:val="center"/>
          </w:tcPr>
          <w:p w14:paraId="635C4B41" w14:textId="77777777" w:rsidR="00297F6E" w:rsidRPr="0095139E" w:rsidRDefault="00297F6E" w:rsidP="00297F6E">
            <w:pPr>
              <w:pStyle w:val="Tablehead"/>
              <w:rPr>
                <w:rFonts w:cs="Calibri"/>
                <w:lang w:val="es-ES_tradnl"/>
              </w:rPr>
            </w:pPr>
            <w:bookmarkStart w:id="33" w:name="lt_pId051"/>
            <w:r w:rsidRPr="0095139E">
              <w:rPr>
                <w:lang w:val="es-ES_tradnl"/>
              </w:rPr>
              <w:t>Objetivo</w:t>
            </w:r>
            <w:bookmarkEnd w:id="33"/>
          </w:p>
        </w:tc>
        <w:tc>
          <w:tcPr>
            <w:tcW w:w="2551" w:type="dxa"/>
            <w:vAlign w:val="center"/>
          </w:tcPr>
          <w:p w14:paraId="66BFF5FF" w14:textId="77777777" w:rsidR="00297F6E" w:rsidRPr="0095139E" w:rsidRDefault="00297F6E" w:rsidP="00297F6E">
            <w:pPr>
              <w:pStyle w:val="Tablehead"/>
              <w:rPr>
                <w:rFonts w:cs="Calibri"/>
                <w:lang w:val="es-ES_tradnl"/>
              </w:rPr>
            </w:pPr>
            <w:bookmarkStart w:id="34" w:name="lt_pId052"/>
            <w:r w:rsidRPr="0095139E">
              <w:rPr>
                <w:lang w:val="es-ES_tradnl"/>
              </w:rPr>
              <w:t>Posibles actividades</w:t>
            </w:r>
            <w:bookmarkEnd w:id="34"/>
          </w:p>
        </w:tc>
        <w:tc>
          <w:tcPr>
            <w:tcW w:w="1560" w:type="dxa"/>
            <w:vAlign w:val="center"/>
          </w:tcPr>
          <w:p w14:paraId="6D4D1B5D" w14:textId="77777777" w:rsidR="00297F6E" w:rsidRPr="0095139E" w:rsidRDefault="00297F6E" w:rsidP="00297F6E">
            <w:pPr>
              <w:pStyle w:val="Tablehead"/>
              <w:rPr>
                <w:rFonts w:cs="Calibri"/>
                <w:lang w:val="es-ES_tradnl"/>
              </w:rPr>
            </w:pPr>
            <w:bookmarkStart w:id="35" w:name="lt_pId053"/>
            <w:r w:rsidRPr="0095139E">
              <w:rPr>
                <w:lang w:val="es-ES_tradnl"/>
              </w:rPr>
              <w:t>Resultado deseado</w:t>
            </w:r>
            <w:bookmarkEnd w:id="35"/>
          </w:p>
        </w:tc>
      </w:tr>
      <w:tr w:rsidR="00297F6E" w:rsidRPr="0095139E" w14:paraId="1D0D1147" w14:textId="77777777" w:rsidTr="00F12701">
        <w:trPr>
          <w:trHeight w:val="1429"/>
          <w:jc w:val="center"/>
        </w:trPr>
        <w:tc>
          <w:tcPr>
            <w:tcW w:w="1271" w:type="dxa"/>
          </w:tcPr>
          <w:p w14:paraId="5592F161" w14:textId="77777777" w:rsidR="00297F6E" w:rsidRPr="0095139E" w:rsidRDefault="00297F6E" w:rsidP="00297F6E">
            <w:pPr>
              <w:pStyle w:val="Tabletext"/>
              <w:rPr>
                <w:rFonts w:cs="Calibri"/>
                <w:bCs/>
                <w:lang w:val="es-ES_tradnl"/>
              </w:rPr>
            </w:pPr>
            <w:bookmarkStart w:id="36" w:name="lt_pId054"/>
            <w:r w:rsidRPr="0095139E">
              <w:rPr>
                <w:lang w:val="es-ES_tradnl"/>
              </w:rPr>
              <w:t>Reuniones 3ª, 4ª y 5ª del GE-RTI</w:t>
            </w:r>
            <w:bookmarkStart w:id="37" w:name="lt_pId055"/>
            <w:bookmarkEnd w:id="36"/>
            <w:bookmarkEnd w:id="37"/>
          </w:p>
        </w:tc>
        <w:tc>
          <w:tcPr>
            <w:tcW w:w="4678" w:type="dxa"/>
          </w:tcPr>
          <w:p w14:paraId="0142FD7E" w14:textId="572FF6A9" w:rsidR="00297F6E" w:rsidRPr="0095139E" w:rsidRDefault="00297F6E" w:rsidP="00297F6E">
            <w:pPr>
              <w:pStyle w:val="Tabletext"/>
              <w:rPr>
                <w:rFonts w:cs="Calibri"/>
                <w:bCs/>
                <w:lang w:val="es-ES_tradnl"/>
              </w:rPr>
            </w:pPr>
            <w:bookmarkStart w:id="38" w:name="lt_pId056"/>
            <w:r w:rsidRPr="0095139E">
              <w:rPr>
                <w:lang w:val="es-ES_tradnl"/>
              </w:rPr>
              <w:t>Según el orden del día de cada una de estas sesiones, se seguirá examinando el RTI, teniendo en cuenta la labor de los dos Grupos de Expertos anteriores, sobre la base del mandato establecido en la Resolución 1379 (Mod. 2023) del Consejo, que abarca, entre otras cosas, lo siguiente:</w:t>
            </w:r>
            <w:bookmarkEnd w:id="38"/>
          </w:p>
          <w:p w14:paraId="698BD6A1" w14:textId="77777777" w:rsidR="0095139E" w:rsidRPr="0095139E" w:rsidRDefault="00297F6E" w:rsidP="00297F6E">
            <w:pPr>
              <w:pStyle w:val="Tabletext"/>
              <w:rPr>
                <w:lang w:val="es-ES_tradnl"/>
              </w:rPr>
            </w:pPr>
            <w:bookmarkStart w:id="39" w:name="lt_pId057"/>
            <w:r w:rsidRPr="0095139E">
              <w:rPr>
                <w:lang w:val="es-ES_tradnl"/>
              </w:rPr>
              <w:t>a)</w:t>
            </w:r>
            <w:r w:rsidR="0095139E" w:rsidRPr="0095139E">
              <w:rPr>
                <w:lang w:val="es-ES_tradnl"/>
              </w:rPr>
              <w:tab/>
            </w:r>
            <w:r w:rsidRPr="0095139E">
              <w:rPr>
                <w:lang w:val="es-ES_tradnl"/>
              </w:rPr>
              <w:t>las nuevas tendencias en las telecomunicaciones/TIC y los nuevos problemas del entorno internacional de las telecomunicaciones/TIC que pueden repercutir en el RTI;</w:t>
            </w:r>
          </w:p>
          <w:p w14:paraId="42EBC99D" w14:textId="77777777" w:rsidR="0095139E" w:rsidRPr="0095139E" w:rsidRDefault="00297F6E" w:rsidP="00297F6E">
            <w:pPr>
              <w:pStyle w:val="Tabletext"/>
              <w:rPr>
                <w:lang w:val="es-ES_tradnl"/>
              </w:rPr>
            </w:pPr>
            <w:r w:rsidRPr="0095139E">
              <w:rPr>
                <w:lang w:val="es-ES_tradnl"/>
              </w:rPr>
              <w:t>b)</w:t>
            </w:r>
            <w:r w:rsidR="0095139E" w:rsidRPr="0095139E">
              <w:rPr>
                <w:lang w:val="es-ES_tradnl"/>
              </w:rPr>
              <w:tab/>
            </w:r>
            <w:r w:rsidRPr="0095139E">
              <w:rPr>
                <w:lang w:val="es-ES_tradnl"/>
              </w:rPr>
              <w:t>datos empíricos de la utilización actual del RTI por parte de los organismos y/o administraciones de explotación y la proporción de los servicios de telecomunicaciones mundiales que se basan actualmente en el RTI, y</w:t>
            </w:r>
          </w:p>
          <w:p w14:paraId="020389CB" w14:textId="7190068A" w:rsidR="00297F6E" w:rsidRPr="0095139E" w:rsidRDefault="00297F6E" w:rsidP="00297F6E">
            <w:pPr>
              <w:pStyle w:val="Tabletext"/>
              <w:rPr>
                <w:rFonts w:cs="Calibri"/>
                <w:bCs/>
                <w:lang w:val="es-ES_tradnl"/>
              </w:rPr>
            </w:pPr>
            <w:r w:rsidRPr="0095139E">
              <w:rPr>
                <w:lang w:val="es-ES_tradnl"/>
              </w:rPr>
              <w:t>c)</w:t>
            </w:r>
            <w:r w:rsidR="0095139E" w:rsidRPr="0095139E">
              <w:rPr>
                <w:lang w:val="es-ES_tradnl"/>
              </w:rPr>
              <w:tab/>
            </w:r>
            <w:r w:rsidRPr="0095139E">
              <w:rPr>
                <w:lang w:val="es-ES_tradnl"/>
              </w:rPr>
              <w:t>la pertinencia del RTI que está conformado por "los principios rectores de alto nivel" en el entorno actual de telecomunicaciones/TIC.</w:t>
            </w:r>
            <w:bookmarkStart w:id="40" w:name="lt_pId058"/>
            <w:bookmarkStart w:id="41" w:name="lt_pId059"/>
            <w:bookmarkEnd w:id="39"/>
            <w:bookmarkEnd w:id="40"/>
            <w:bookmarkEnd w:id="41"/>
          </w:p>
        </w:tc>
        <w:tc>
          <w:tcPr>
            <w:tcW w:w="2551" w:type="dxa"/>
          </w:tcPr>
          <w:p w14:paraId="5CC9DB01" w14:textId="78C90951" w:rsidR="00297F6E" w:rsidRPr="0095139E" w:rsidRDefault="0095139E" w:rsidP="0095139E">
            <w:pPr>
              <w:pStyle w:val="Tabletext"/>
              <w:ind w:left="284" w:hanging="284"/>
              <w:rPr>
                <w:rFonts w:cs="Calibri"/>
                <w:bCs/>
                <w:lang w:val="es-ES_tradnl"/>
              </w:rPr>
            </w:pPr>
            <w:bookmarkStart w:id="42" w:name="lt_pId060"/>
            <w:r w:rsidRPr="0095139E">
              <w:rPr>
                <w:lang w:val="es-ES_tradnl"/>
              </w:rPr>
              <w:t>•</w:t>
            </w:r>
            <w:r w:rsidRPr="0095139E">
              <w:rPr>
                <w:lang w:val="es-ES_tradnl"/>
              </w:rPr>
              <w:tab/>
            </w:r>
            <w:r w:rsidR="00297F6E" w:rsidRPr="0095139E">
              <w:rPr>
                <w:lang w:val="es-ES_tradnl"/>
              </w:rPr>
              <w:t>Examinar las contribuciones recibidas</w:t>
            </w:r>
            <w:bookmarkEnd w:id="42"/>
          </w:p>
          <w:p w14:paraId="46E3ABC9" w14:textId="53775A51" w:rsidR="00297F6E" w:rsidRPr="0095139E" w:rsidRDefault="0095139E" w:rsidP="0095139E">
            <w:pPr>
              <w:pStyle w:val="Tabletext"/>
              <w:ind w:left="284" w:hanging="284"/>
              <w:rPr>
                <w:rFonts w:cs="Calibri"/>
                <w:bCs/>
                <w:lang w:val="es-ES_tradnl"/>
              </w:rPr>
            </w:pPr>
            <w:bookmarkStart w:id="43" w:name="lt_pId061"/>
            <w:r w:rsidRPr="0095139E">
              <w:rPr>
                <w:lang w:val="es-ES_tradnl"/>
              </w:rPr>
              <w:t>•</w:t>
            </w:r>
            <w:r w:rsidRPr="0095139E">
              <w:rPr>
                <w:lang w:val="es-ES_tradnl"/>
              </w:rPr>
              <w:tab/>
            </w:r>
            <w:r w:rsidR="00297F6E" w:rsidRPr="0095139E">
              <w:rPr>
                <w:lang w:val="es-ES_tradnl"/>
              </w:rPr>
              <w:t>Examinar los informes de las reuniones</w:t>
            </w:r>
            <w:bookmarkEnd w:id="43"/>
          </w:p>
        </w:tc>
        <w:tc>
          <w:tcPr>
            <w:tcW w:w="1560" w:type="dxa"/>
          </w:tcPr>
          <w:p w14:paraId="27421743" w14:textId="77777777" w:rsidR="00297F6E" w:rsidRPr="0095139E" w:rsidRDefault="00297F6E" w:rsidP="00297F6E">
            <w:pPr>
              <w:pStyle w:val="Tabletext"/>
              <w:rPr>
                <w:rFonts w:cs="Calibri"/>
                <w:bCs/>
                <w:lang w:val="es-ES_tradnl"/>
              </w:rPr>
            </w:pPr>
            <w:bookmarkStart w:id="44" w:name="lt_pId062"/>
            <w:r w:rsidRPr="0095139E">
              <w:rPr>
                <w:lang w:val="es-ES_tradnl"/>
              </w:rPr>
              <w:t>3ª reunión – Informe de la reunión</w:t>
            </w:r>
            <w:bookmarkEnd w:id="44"/>
          </w:p>
          <w:p w14:paraId="2D8325A1" w14:textId="77777777" w:rsidR="00297F6E" w:rsidRPr="0095139E" w:rsidRDefault="00297F6E" w:rsidP="00297F6E">
            <w:pPr>
              <w:pStyle w:val="Tabletext"/>
              <w:rPr>
                <w:rFonts w:cs="Calibri"/>
                <w:bCs/>
                <w:lang w:val="es-ES_tradnl"/>
              </w:rPr>
            </w:pPr>
            <w:bookmarkStart w:id="45" w:name="lt_pId063"/>
            <w:r w:rsidRPr="0095139E">
              <w:rPr>
                <w:lang w:val="es-ES_tradnl"/>
              </w:rPr>
              <w:t>4ª reunión – Informe de la reunión</w:t>
            </w:r>
            <w:bookmarkEnd w:id="45"/>
          </w:p>
          <w:p w14:paraId="1B47657C" w14:textId="77777777" w:rsidR="00297F6E" w:rsidRPr="0095139E" w:rsidRDefault="00297F6E" w:rsidP="00297F6E">
            <w:pPr>
              <w:pStyle w:val="Tabletext"/>
              <w:rPr>
                <w:rFonts w:cs="Calibri"/>
                <w:bCs/>
                <w:lang w:val="es-ES_tradnl"/>
              </w:rPr>
            </w:pPr>
            <w:bookmarkStart w:id="46" w:name="lt_pId064"/>
            <w:r w:rsidRPr="0095139E">
              <w:rPr>
                <w:lang w:val="es-ES_tradnl"/>
              </w:rPr>
              <w:t>5ª reunión – Informe de la reunión y comienzo de la redacción del Informe Final</w:t>
            </w:r>
            <w:bookmarkEnd w:id="46"/>
          </w:p>
        </w:tc>
      </w:tr>
      <w:tr w:rsidR="00297F6E" w:rsidRPr="0095139E" w14:paraId="6024374B" w14:textId="77777777" w:rsidTr="00F12701">
        <w:trPr>
          <w:trHeight w:val="1429"/>
          <w:jc w:val="center"/>
        </w:trPr>
        <w:tc>
          <w:tcPr>
            <w:tcW w:w="1271" w:type="dxa"/>
          </w:tcPr>
          <w:p w14:paraId="195C925C" w14:textId="77777777" w:rsidR="00297F6E" w:rsidRPr="0095139E" w:rsidRDefault="00297F6E" w:rsidP="00297F6E">
            <w:pPr>
              <w:pStyle w:val="Tabletext"/>
              <w:rPr>
                <w:rFonts w:cs="Calibri"/>
                <w:bCs/>
                <w:lang w:val="es-ES_tradnl"/>
              </w:rPr>
            </w:pPr>
            <w:bookmarkStart w:id="47" w:name="lt_pId065"/>
            <w:r w:rsidRPr="0095139E">
              <w:rPr>
                <w:lang w:val="es-ES_tradnl"/>
              </w:rPr>
              <w:t>6</w:t>
            </w:r>
            <w:r w:rsidRPr="0095139E">
              <w:rPr>
                <w:vertAlign w:val="superscript"/>
                <w:lang w:val="es-ES_tradnl"/>
              </w:rPr>
              <w:t>a</w:t>
            </w:r>
            <w:r w:rsidRPr="0095139E">
              <w:rPr>
                <w:lang w:val="es-ES_tradnl"/>
              </w:rPr>
              <w:t xml:space="preserve"> reunión </w:t>
            </w:r>
            <w:bookmarkEnd w:id="47"/>
          </w:p>
        </w:tc>
        <w:tc>
          <w:tcPr>
            <w:tcW w:w="4678" w:type="dxa"/>
          </w:tcPr>
          <w:p w14:paraId="0F67846E" w14:textId="77777777" w:rsidR="00297F6E" w:rsidRPr="0095139E" w:rsidRDefault="00297F6E" w:rsidP="00297F6E">
            <w:pPr>
              <w:pStyle w:val="Tabletext"/>
              <w:rPr>
                <w:rFonts w:cs="Calibri"/>
                <w:bCs/>
                <w:lang w:val="es-ES_tradnl"/>
              </w:rPr>
            </w:pPr>
            <w:bookmarkStart w:id="48" w:name="lt_pId066"/>
            <w:r w:rsidRPr="0095139E">
              <w:rPr>
                <w:lang w:val="es-ES_tradnl"/>
              </w:rPr>
              <w:t>Examinar el proyecto de Informe Final al Consejo de 2026</w:t>
            </w:r>
            <w:bookmarkEnd w:id="48"/>
          </w:p>
        </w:tc>
        <w:tc>
          <w:tcPr>
            <w:tcW w:w="2551" w:type="dxa"/>
          </w:tcPr>
          <w:p w14:paraId="11501B7F" w14:textId="24D0C9F1" w:rsidR="00297F6E" w:rsidRPr="0095139E" w:rsidRDefault="0095139E" w:rsidP="0095139E">
            <w:pPr>
              <w:pStyle w:val="Tabletext"/>
              <w:ind w:left="284" w:hanging="284"/>
              <w:rPr>
                <w:rFonts w:cs="Calibri"/>
                <w:bCs/>
                <w:lang w:val="es-ES_tradnl"/>
              </w:rPr>
            </w:pPr>
            <w:bookmarkStart w:id="49" w:name="lt_pId067"/>
            <w:r w:rsidRPr="0095139E">
              <w:rPr>
                <w:lang w:val="es-ES_tradnl"/>
              </w:rPr>
              <w:t>•</w:t>
            </w:r>
            <w:r w:rsidRPr="0095139E">
              <w:rPr>
                <w:lang w:val="es-ES_tradnl"/>
              </w:rPr>
              <w:tab/>
            </w:r>
            <w:r w:rsidR="00297F6E" w:rsidRPr="0095139E">
              <w:rPr>
                <w:lang w:val="es-ES_tradnl"/>
              </w:rPr>
              <w:t>Examinar las contribuciones recibidas</w:t>
            </w:r>
            <w:bookmarkEnd w:id="49"/>
          </w:p>
          <w:p w14:paraId="493B9F11" w14:textId="78DFE755" w:rsidR="00297F6E" w:rsidRPr="0095139E" w:rsidRDefault="0095139E" w:rsidP="0095139E">
            <w:pPr>
              <w:pStyle w:val="Tabletext"/>
              <w:ind w:left="284" w:hanging="284"/>
              <w:rPr>
                <w:rFonts w:cs="Calibri"/>
                <w:bCs/>
                <w:lang w:val="es-ES_tradnl"/>
              </w:rPr>
            </w:pPr>
            <w:bookmarkStart w:id="50" w:name="lt_pId068"/>
            <w:r w:rsidRPr="0095139E">
              <w:rPr>
                <w:lang w:val="es-ES_tradnl"/>
              </w:rPr>
              <w:t>•</w:t>
            </w:r>
            <w:r w:rsidRPr="0095139E">
              <w:rPr>
                <w:lang w:val="es-ES_tradnl"/>
              </w:rPr>
              <w:tab/>
            </w:r>
            <w:r w:rsidR="00297F6E" w:rsidRPr="0095139E">
              <w:rPr>
                <w:lang w:val="es-ES_tradnl"/>
              </w:rPr>
              <w:t>Conclusión de los trabajos sobre el Informe Final al Consejo</w:t>
            </w:r>
            <w:bookmarkEnd w:id="50"/>
          </w:p>
        </w:tc>
        <w:tc>
          <w:tcPr>
            <w:tcW w:w="1560" w:type="dxa"/>
          </w:tcPr>
          <w:p w14:paraId="0F523768" w14:textId="77777777" w:rsidR="00297F6E" w:rsidRPr="0095139E" w:rsidRDefault="00297F6E" w:rsidP="00297F6E">
            <w:pPr>
              <w:pStyle w:val="Tabletext"/>
              <w:rPr>
                <w:rFonts w:cs="Calibri"/>
                <w:bCs/>
                <w:lang w:val="es-ES_tradnl"/>
              </w:rPr>
            </w:pPr>
            <w:bookmarkStart w:id="51" w:name="lt_pId069"/>
            <w:r w:rsidRPr="0095139E">
              <w:rPr>
                <w:lang w:val="es-ES_tradnl"/>
              </w:rPr>
              <w:t>Informe Final al Consejo de 2026</w:t>
            </w:r>
            <w:bookmarkEnd w:id="51"/>
          </w:p>
        </w:tc>
      </w:tr>
    </w:tbl>
    <w:p w14:paraId="5AC10D78" w14:textId="77777777" w:rsidR="00297F6E" w:rsidRPr="0095139E" w:rsidRDefault="00297F6E" w:rsidP="00411C49">
      <w:pPr>
        <w:pStyle w:val="Reasons"/>
        <w:rPr>
          <w:lang w:val="es-ES_tradnl"/>
        </w:rPr>
      </w:pPr>
    </w:p>
    <w:p w14:paraId="3B2EA25D" w14:textId="77777777" w:rsidR="00297F6E" w:rsidRPr="0095139E" w:rsidRDefault="00297F6E">
      <w:pPr>
        <w:jc w:val="center"/>
        <w:rPr>
          <w:lang w:val="es-ES_tradnl"/>
        </w:rPr>
      </w:pPr>
      <w:r w:rsidRPr="0095139E">
        <w:rPr>
          <w:lang w:val="es-ES_tradnl"/>
        </w:rPr>
        <w:t>______________</w:t>
      </w:r>
    </w:p>
    <w:sectPr w:rsidR="00297F6E" w:rsidRPr="0095139E"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DE72" w14:textId="2AC2E0EB" w:rsidR="00297F6E" w:rsidRPr="00297F6E" w:rsidRDefault="00297F6E" w:rsidP="00297F6E">
    <w:pPr>
      <w:pStyle w:val="Footer"/>
      <w:rPr>
        <w:lang w:val="en-GB"/>
      </w:rPr>
    </w:pPr>
    <w:r>
      <w:fldChar w:fldCharType="begin"/>
    </w:r>
    <w:r w:rsidRPr="00297F6E">
      <w:rPr>
        <w:lang w:val="en-GB"/>
      </w:rPr>
      <w:instrText xml:space="preserve"> FILENAME \p  \* MERGEFORMAT </w:instrText>
    </w:r>
    <w:r>
      <w:fldChar w:fldCharType="separate"/>
    </w:r>
    <w:r w:rsidR="00E93C73">
      <w:rPr>
        <w:lang w:val="en-GB"/>
      </w:rPr>
      <w:t>P:\ESP\DCPMS\2024\2400257S.docx</w:t>
    </w:r>
    <w:r>
      <w:fldChar w:fldCharType="end"/>
    </w:r>
    <w:r w:rsidRPr="00297F6E">
      <w:rPr>
        <w:lang w:val="en-GB"/>
      </w:rPr>
      <w:t xml:space="preserve"> (</w:t>
    </w:r>
    <w:r w:rsidR="00E93C73">
      <w:rPr>
        <w:lang w:val="en-GB"/>
      </w:rPr>
      <w:t>2400257</w:t>
    </w:r>
    <w:r w:rsidRPr="00297F6E">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297F6E"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02E23CA6" w:rsidR="0059420B" w:rsidRPr="00842E57" w:rsidRDefault="00297F6E" w:rsidP="0059420B">
          <w:pPr>
            <w:pStyle w:val="FirstFooter"/>
            <w:tabs>
              <w:tab w:val="left" w:pos="2302"/>
            </w:tabs>
            <w:rPr>
              <w:sz w:val="18"/>
              <w:szCs w:val="18"/>
              <w:lang w:val="es-ES_tradnl"/>
            </w:rPr>
          </w:pPr>
          <w:r w:rsidRPr="00297F6E">
            <w:rPr>
              <w:sz w:val="18"/>
              <w:szCs w:val="18"/>
              <w:lang w:val="es-ES_tradnl"/>
            </w:rPr>
            <w:t>Sra. Sofie Maddens, Jefa en funciones del Departamento de Conocimientos Digitales, Oficina de Desarrollo de las Telecomunicaciones</w:t>
          </w:r>
        </w:p>
      </w:tc>
      <w:bookmarkStart w:id="52" w:name="OrgName"/>
      <w:bookmarkEnd w:id="52"/>
    </w:tr>
    <w:tr w:rsidR="0059420B" w:rsidRPr="00842E57" w14:paraId="61167678" w14:textId="77777777" w:rsidTr="004E3CF5">
      <w:tc>
        <w:tcPr>
          <w:tcW w:w="1526"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6D7949F0" w14:textId="5F74DDE4" w:rsidR="0059420B" w:rsidRPr="00842E57" w:rsidRDefault="00297F6E" w:rsidP="00297F6E">
          <w:pPr>
            <w:pStyle w:val="FirstFooter"/>
            <w:tabs>
              <w:tab w:val="left" w:pos="1521"/>
            </w:tabs>
            <w:rPr>
              <w:sz w:val="18"/>
              <w:szCs w:val="18"/>
              <w:lang w:val="es-ES_tradnl"/>
            </w:rPr>
          </w:pPr>
          <w:r w:rsidRPr="00297F6E">
            <w:rPr>
              <w:sz w:val="18"/>
              <w:szCs w:val="18"/>
              <w:lang w:val="es-ES_tradnl"/>
            </w:rPr>
            <w:t>+41 22 730 6256</w:t>
          </w:r>
        </w:p>
      </w:tc>
      <w:bookmarkStart w:id="53" w:name="PhoneNo"/>
      <w:bookmarkEnd w:id="53"/>
    </w:tr>
    <w:tr w:rsidR="0059420B" w:rsidRPr="00842E57" w14:paraId="0299A231" w14:textId="77777777" w:rsidTr="00297F6E">
      <w:trPr>
        <w:trHeight w:val="57"/>
      </w:trPr>
      <w:tc>
        <w:tcPr>
          <w:tcW w:w="1526" w:type="dxa"/>
          <w:shd w:val="clear" w:color="auto" w:fill="auto"/>
        </w:tcPr>
        <w:p w14:paraId="35CBC438"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5335E06" w14:textId="676092A0"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vAlign w:val="center"/>
        </w:tcPr>
        <w:p w14:paraId="7EAB0988" w14:textId="09A1FE75" w:rsidR="0059420B" w:rsidRPr="00842E57" w:rsidRDefault="00297F6E" w:rsidP="00297F6E">
          <w:pPr>
            <w:spacing w:before="40"/>
            <w:rPr>
              <w:sz w:val="18"/>
              <w:szCs w:val="18"/>
              <w:lang w:val="es-ES_tradnl"/>
            </w:rPr>
          </w:pPr>
          <w:hyperlink r:id="rId1" w:history="1">
            <w:r w:rsidRPr="003F33B3">
              <w:rPr>
                <w:rStyle w:val="Hyperlink"/>
                <w:sz w:val="18"/>
                <w:szCs w:val="18"/>
                <w:lang w:val="es-ES_tradnl"/>
              </w:rPr>
              <w:t>sofie.maddens@itu.int</w:t>
            </w:r>
          </w:hyperlink>
        </w:p>
      </w:tc>
      <w:bookmarkStart w:id="54" w:name="Email"/>
      <w:bookmarkEnd w:id="54"/>
    </w:tr>
  </w:tbl>
  <w:p w14:paraId="5AEFE7F9" w14:textId="77777777" w:rsidR="0059420B" w:rsidRDefault="0059420B" w:rsidP="00B80157">
    <w:pPr>
      <w:pStyle w:val="Footer"/>
      <w:jc w:val="center"/>
      <w:rPr>
        <w:lang w:val="en-GB"/>
      </w:rPr>
    </w:pPr>
  </w:p>
  <w:p w14:paraId="40A321D0" w14:textId="78E43D36" w:rsidR="00721657" w:rsidRPr="003C6C09" w:rsidRDefault="0095139E"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686A2005" w14:textId="491BBF29" w:rsidR="00297F6E" w:rsidRPr="00D47DC6" w:rsidRDefault="00297F6E" w:rsidP="00297F6E">
      <w:pPr>
        <w:pStyle w:val="FootnoteText"/>
        <w:rPr>
          <w:sz w:val="20"/>
        </w:rPr>
      </w:pPr>
      <w:r w:rsidRPr="00D47DC6">
        <w:rPr>
          <w:rStyle w:val="FootnoteReference"/>
          <w:sz w:val="20"/>
          <w:lang w:val="es-ES"/>
        </w:rPr>
        <w:footnoteRef/>
      </w:r>
      <w:r>
        <w:rPr>
          <w:lang w:val="es-ES"/>
        </w:rPr>
        <w:tab/>
      </w:r>
      <w:hyperlink r:id="rId1" w:history="1">
        <w:r w:rsidRPr="003F33B3">
          <w:rPr>
            <w:rStyle w:val="Hyperlink"/>
            <w:lang w:val="es-ES"/>
          </w:rPr>
          <w:t>https://www.itu.int/en/council/Pages/eg-itrs.aspx</w:t>
        </w:r>
      </w:hyperlink>
      <w:hyperlink r:id="rId2" w:history="1">
        <w:bookmarkStart w:id="8" w:name="lt_pId071"/>
        <w:bookmarkEnd w:id="8"/>
      </w:hyperlink>
    </w:p>
  </w:footnote>
  <w:footnote w:id="2">
    <w:p w14:paraId="4A5B4F9C" w14:textId="2918DDBE" w:rsidR="00297F6E" w:rsidRPr="00EB3A3E" w:rsidRDefault="00297F6E" w:rsidP="00297F6E">
      <w:pPr>
        <w:pStyle w:val="FootnoteText"/>
        <w:spacing w:before="0"/>
        <w:ind w:left="0" w:firstLine="0"/>
        <w:rPr>
          <w:sz w:val="20"/>
          <w:lang w:val="es-ES"/>
        </w:rPr>
      </w:pPr>
      <w:r w:rsidRPr="00D47DC6">
        <w:rPr>
          <w:rStyle w:val="FootnoteReference"/>
          <w:sz w:val="20"/>
          <w:lang w:val="es-ES"/>
        </w:rPr>
        <w:footnoteRef/>
      </w:r>
      <w:r>
        <w:rPr>
          <w:lang w:val="es-ES"/>
        </w:rPr>
        <w:tab/>
      </w:r>
      <w:r>
        <w:rPr>
          <w:lang w:val="es-ES"/>
        </w:rPr>
        <w:t>Este término comprende los países menos adelantados, los pequeños Estados insulares en desarrollo, los países en desarrollo sin litoral y los países con economías en transición.</w:t>
      </w:r>
      <w:bookmarkStart w:id="13" w:name="lt_pId072"/>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CD4E2B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297F6E">
      <w:rPr>
        <w:sz w:val="22"/>
        <w:szCs w:val="22"/>
        <w:lang w:val="de-CH"/>
      </w:rPr>
      <w:t>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2585A"/>
    <w:multiLevelType w:val="hybridMultilevel"/>
    <w:tmpl w:val="9A6809EE"/>
    <w:lvl w:ilvl="0" w:tplc="A7FC1E52">
      <w:start w:val="1"/>
      <w:numFmt w:val="bullet"/>
      <w:lvlText w:val=""/>
      <w:lvlJc w:val="left"/>
      <w:pPr>
        <w:ind w:left="360" w:hanging="360"/>
      </w:pPr>
      <w:rPr>
        <w:rFonts w:ascii="Symbol" w:hAnsi="Symbol" w:hint="default"/>
      </w:rPr>
    </w:lvl>
    <w:lvl w:ilvl="1" w:tplc="8BF81736" w:tentative="1">
      <w:start w:val="1"/>
      <w:numFmt w:val="bullet"/>
      <w:lvlText w:val="o"/>
      <w:lvlJc w:val="left"/>
      <w:pPr>
        <w:ind w:left="1080" w:hanging="360"/>
      </w:pPr>
      <w:rPr>
        <w:rFonts w:ascii="Courier New" w:hAnsi="Courier New" w:hint="default"/>
      </w:rPr>
    </w:lvl>
    <w:lvl w:ilvl="2" w:tplc="D6DC63F6" w:tentative="1">
      <w:start w:val="1"/>
      <w:numFmt w:val="bullet"/>
      <w:lvlText w:val=""/>
      <w:lvlJc w:val="left"/>
      <w:pPr>
        <w:ind w:left="1800" w:hanging="360"/>
      </w:pPr>
      <w:rPr>
        <w:rFonts w:ascii="Wingdings" w:hAnsi="Wingdings" w:hint="default"/>
      </w:rPr>
    </w:lvl>
    <w:lvl w:ilvl="3" w:tplc="3F20371A" w:tentative="1">
      <w:start w:val="1"/>
      <w:numFmt w:val="bullet"/>
      <w:lvlText w:val=""/>
      <w:lvlJc w:val="left"/>
      <w:pPr>
        <w:ind w:left="2520" w:hanging="360"/>
      </w:pPr>
      <w:rPr>
        <w:rFonts w:ascii="Symbol" w:hAnsi="Symbol" w:hint="default"/>
      </w:rPr>
    </w:lvl>
    <w:lvl w:ilvl="4" w:tplc="40D8F29E" w:tentative="1">
      <w:start w:val="1"/>
      <w:numFmt w:val="bullet"/>
      <w:lvlText w:val="o"/>
      <w:lvlJc w:val="left"/>
      <w:pPr>
        <w:ind w:left="3240" w:hanging="360"/>
      </w:pPr>
      <w:rPr>
        <w:rFonts w:ascii="Courier New" w:hAnsi="Courier New" w:hint="default"/>
      </w:rPr>
    </w:lvl>
    <w:lvl w:ilvl="5" w:tplc="25966122" w:tentative="1">
      <w:start w:val="1"/>
      <w:numFmt w:val="bullet"/>
      <w:lvlText w:val=""/>
      <w:lvlJc w:val="left"/>
      <w:pPr>
        <w:ind w:left="3960" w:hanging="360"/>
      </w:pPr>
      <w:rPr>
        <w:rFonts w:ascii="Wingdings" w:hAnsi="Wingdings" w:hint="default"/>
      </w:rPr>
    </w:lvl>
    <w:lvl w:ilvl="6" w:tplc="DECE185E" w:tentative="1">
      <w:start w:val="1"/>
      <w:numFmt w:val="bullet"/>
      <w:lvlText w:val=""/>
      <w:lvlJc w:val="left"/>
      <w:pPr>
        <w:ind w:left="4680" w:hanging="360"/>
      </w:pPr>
      <w:rPr>
        <w:rFonts w:ascii="Symbol" w:hAnsi="Symbol" w:hint="default"/>
      </w:rPr>
    </w:lvl>
    <w:lvl w:ilvl="7" w:tplc="2A0091DE" w:tentative="1">
      <w:start w:val="1"/>
      <w:numFmt w:val="bullet"/>
      <w:lvlText w:val="o"/>
      <w:lvlJc w:val="left"/>
      <w:pPr>
        <w:ind w:left="5400" w:hanging="360"/>
      </w:pPr>
      <w:rPr>
        <w:rFonts w:ascii="Courier New" w:hAnsi="Courier New" w:hint="default"/>
      </w:rPr>
    </w:lvl>
    <w:lvl w:ilvl="8" w:tplc="8978401C"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7637CA4"/>
    <w:multiLevelType w:val="hybridMultilevel"/>
    <w:tmpl w:val="179E6260"/>
    <w:lvl w:ilvl="0" w:tplc="8BD00D24">
      <w:start w:val="1"/>
      <w:numFmt w:val="decimal"/>
      <w:lvlText w:val="%1."/>
      <w:lvlJc w:val="left"/>
      <w:pPr>
        <w:ind w:left="720" w:hanging="360"/>
      </w:pPr>
      <w:rPr>
        <w:rFonts w:hint="default"/>
      </w:rPr>
    </w:lvl>
    <w:lvl w:ilvl="1" w:tplc="59069A84" w:tentative="1">
      <w:start w:val="1"/>
      <w:numFmt w:val="lowerLetter"/>
      <w:lvlText w:val="%2."/>
      <w:lvlJc w:val="left"/>
      <w:pPr>
        <w:ind w:left="1440" w:hanging="360"/>
      </w:pPr>
    </w:lvl>
    <w:lvl w:ilvl="2" w:tplc="2ED2794E" w:tentative="1">
      <w:start w:val="1"/>
      <w:numFmt w:val="lowerRoman"/>
      <w:lvlText w:val="%3."/>
      <w:lvlJc w:val="right"/>
      <w:pPr>
        <w:ind w:left="2160" w:hanging="180"/>
      </w:pPr>
    </w:lvl>
    <w:lvl w:ilvl="3" w:tplc="017C6C9C" w:tentative="1">
      <w:start w:val="1"/>
      <w:numFmt w:val="decimal"/>
      <w:lvlText w:val="%4."/>
      <w:lvlJc w:val="left"/>
      <w:pPr>
        <w:ind w:left="2880" w:hanging="360"/>
      </w:pPr>
    </w:lvl>
    <w:lvl w:ilvl="4" w:tplc="30CA365A" w:tentative="1">
      <w:start w:val="1"/>
      <w:numFmt w:val="lowerLetter"/>
      <w:lvlText w:val="%5."/>
      <w:lvlJc w:val="left"/>
      <w:pPr>
        <w:ind w:left="3600" w:hanging="360"/>
      </w:pPr>
    </w:lvl>
    <w:lvl w:ilvl="5" w:tplc="91AE3E6E" w:tentative="1">
      <w:start w:val="1"/>
      <w:numFmt w:val="lowerRoman"/>
      <w:lvlText w:val="%6."/>
      <w:lvlJc w:val="right"/>
      <w:pPr>
        <w:ind w:left="4320" w:hanging="180"/>
      </w:pPr>
    </w:lvl>
    <w:lvl w:ilvl="6" w:tplc="95FE9468" w:tentative="1">
      <w:start w:val="1"/>
      <w:numFmt w:val="decimal"/>
      <w:lvlText w:val="%7."/>
      <w:lvlJc w:val="left"/>
      <w:pPr>
        <w:ind w:left="5040" w:hanging="360"/>
      </w:pPr>
    </w:lvl>
    <w:lvl w:ilvl="7" w:tplc="F626A010" w:tentative="1">
      <w:start w:val="1"/>
      <w:numFmt w:val="lowerLetter"/>
      <w:lvlText w:val="%8."/>
      <w:lvlJc w:val="left"/>
      <w:pPr>
        <w:ind w:left="5760" w:hanging="360"/>
      </w:pPr>
    </w:lvl>
    <w:lvl w:ilvl="8" w:tplc="29B2E708" w:tentative="1">
      <w:start w:val="1"/>
      <w:numFmt w:val="lowerRoman"/>
      <w:lvlText w:val="%9."/>
      <w:lvlJc w:val="right"/>
      <w:pPr>
        <w:ind w:left="6480" w:hanging="180"/>
      </w:pPr>
    </w:lvl>
  </w:abstractNum>
  <w:abstractNum w:abstractNumId="3" w15:restartNumberingAfterBreak="0">
    <w:nsid w:val="6ED10C1B"/>
    <w:multiLevelType w:val="hybridMultilevel"/>
    <w:tmpl w:val="2708C2BA"/>
    <w:lvl w:ilvl="0" w:tplc="BB7028EE">
      <w:start w:val="1"/>
      <w:numFmt w:val="bullet"/>
      <w:lvlText w:val=""/>
      <w:lvlJc w:val="left"/>
      <w:pPr>
        <w:ind w:left="720" w:hanging="360"/>
      </w:pPr>
      <w:rPr>
        <w:rFonts w:ascii="Symbol" w:hAnsi="Symbol" w:hint="default"/>
      </w:rPr>
    </w:lvl>
    <w:lvl w:ilvl="1" w:tplc="AE5A3626" w:tentative="1">
      <w:start w:val="1"/>
      <w:numFmt w:val="bullet"/>
      <w:lvlText w:val="o"/>
      <w:lvlJc w:val="left"/>
      <w:pPr>
        <w:ind w:left="1440" w:hanging="360"/>
      </w:pPr>
      <w:rPr>
        <w:rFonts w:ascii="Courier New" w:hAnsi="Courier New" w:cs="Courier New" w:hint="default"/>
      </w:rPr>
    </w:lvl>
    <w:lvl w:ilvl="2" w:tplc="CD5E329E" w:tentative="1">
      <w:start w:val="1"/>
      <w:numFmt w:val="bullet"/>
      <w:lvlText w:val=""/>
      <w:lvlJc w:val="left"/>
      <w:pPr>
        <w:ind w:left="2160" w:hanging="360"/>
      </w:pPr>
      <w:rPr>
        <w:rFonts w:ascii="Wingdings" w:hAnsi="Wingdings" w:hint="default"/>
      </w:rPr>
    </w:lvl>
    <w:lvl w:ilvl="3" w:tplc="3B686A94" w:tentative="1">
      <w:start w:val="1"/>
      <w:numFmt w:val="bullet"/>
      <w:lvlText w:val=""/>
      <w:lvlJc w:val="left"/>
      <w:pPr>
        <w:ind w:left="2880" w:hanging="360"/>
      </w:pPr>
      <w:rPr>
        <w:rFonts w:ascii="Symbol" w:hAnsi="Symbol" w:hint="default"/>
      </w:rPr>
    </w:lvl>
    <w:lvl w:ilvl="4" w:tplc="09A689EE" w:tentative="1">
      <w:start w:val="1"/>
      <w:numFmt w:val="bullet"/>
      <w:lvlText w:val="o"/>
      <w:lvlJc w:val="left"/>
      <w:pPr>
        <w:ind w:left="3600" w:hanging="360"/>
      </w:pPr>
      <w:rPr>
        <w:rFonts w:ascii="Courier New" w:hAnsi="Courier New" w:cs="Courier New" w:hint="default"/>
      </w:rPr>
    </w:lvl>
    <w:lvl w:ilvl="5" w:tplc="FC747918" w:tentative="1">
      <w:start w:val="1"/>
      <w:numFmt w:val="bullet"/>
      <w:lvlText w:val=""/>
      <w:lvlJc w:val="left"/>
      <w:pPr>
        <w:ind w:left="4320" w:hanging="360"/>
      </w:pPr>
      <w:rPr>
        <w:rFonts w:ascii="Wingdings" w:hAnsi="Wingdings" w:hint="default"/>
      </w:rPr>
    </w:lvl>
    <w:lvl w:ilvl="6" w:tplc="EEB6479C" w:tentative="1">
      <w:start w:val="1"/>
      <w:numFmt w:val="bullet"/>
      <w:lvlText w:val=""/>
      <w:lvlJc w:val="left"/>
      <w:pPr>
        <w:ind w:left="5040" w:hanging="360"/>
      </w:pPr>
      <w:rPr>
        <w:rFonts w:ascii="Symbol" w:hAnsi="Symbol" w:hint="default"/>
      </w:rPr>
    </w:lvl>
    <w:lvl w:ilvl="7" w:tplc="ACC47E70" w:tentative="1">
      <w:start w:val="1"/>
      <w:numFmt w:val="bullet"/>
      <w:lvlText w:val="o"/>
      <w:lvlJc w:val="left"/>
      <w:pPr>
        <w:ind w:left="5760" w:hanging="360"/>
      </w:pPr>
      <w:rPr>
        <w:rFonts w:ascii="Courier New" w:hAnsi="Courier New" w:cs="Courier New" w:hint="default"/>
      </w:rPr>
    </w:lvl>
    <w:lvl w:ilvl="8" w:tplc="045E03B0" w:tentative="1">
      <w:start w:val="1"/>
      <w:numFmt w:val="bullet"/>
      <w:lvlText w:val=""/>
      <w:lvlJc w:val="left"/>
      <w:pPr>
        <w:ind w:left="6480" w:hanging="360"/>
      </w:pPr>
      <w:rPr>
        <w:rFonts w:ascii="Wingdings" w:hAnsi="Wingdings" w:hint="default"/>
      </w:rPr>
    </w:lvl>
  </w:abstractNum>
  <w:abstractNum w:abstractNumId="4" w15:restartNumberingAfterBreak="0">
    <w:nsid w:val="74A106AF"/>
    <w:multiLevelType w:val="hybridMultilevel"/>
    <w:tmpl w:val="477CC04A"/>
    <w:lvl w:ilvl="0" w:tplc="7B20D60C">
      <w:start w:val="1"/>
      <w:numFmt w:val="bullet"/>
      <w:lvlText w:val=""/>
      <w:lvlJc w:val="left"/>
      <w:pPr>
        <w:ind w:left="720" w:hanging="360"/>
      </w:pPr>
      <w:rPr>
        <w:rFonts w:ascii="Symbol" w:hAnsi="Symbol" w:hint="default"/>
      </w:rPr>
    </w:lvl>
    <w:lvl w:ilvl="1" w:tplc="1F7E6F9E" w:tentative="1">
      <w:start w:val="1"/>
      <w:numFmt w:val="bullet"/>
      <w:lvlText w:val="o"/>
      <w:lvlJc w:val="left"/>
      <w:pPr>
        <w:ind w:left="1440" w:hanging="360"/>
      </w:pPr>
      <w:rPr>
        <w:rFonts w:ascii="Courier New" w:hAnsi="Courier New" w:cs="Courier New" w:hint="default"/>
      </w:rPr>
    </w:lvl>
    <w:lvl w:ilvl="2" w:tplc="8DEAB058" w:tentative="1">
      <w:start w:val="1"/>
      <w:numFmt w:val="bullet"/>
      <w:lvlText w:val=""/>
      <w:lvlJc w:val="left"/>
      <w:pPr>
        <w:ind w:left="2160" w:hanging="360"/>
      </w:pPr>
      <w:rPr>
        <w:rFonts w:ascii="Wingdings" w:hAnsi="Wingdings" w:hint="default"/>
      </w:rPr>
    </w:lvl>
    <w:lvl w:ilvl="3" w:tplc="C876D940" w:tentative="1">
      <w:start w:val="1"/>
      <w:numFmt w:val="bullet"/>
      <w:lvlText w:val=""/>
      <w:lvlJc w:val="left"/>
      <w:pPr>
        <w:ind w:left="2880" w:hanging="360"/>
      </w:pPr>
      <w:rPr>
        <w:rFonts w:ascii="Symbol" w:hAnsi="Symbol" w:hint="default"/>
      </w:rPr>
    </w:lvl>
    <w:lvl w:ilvl="4" w:tplc="287A5166" w:tentative="1">
      <w:start w:val="1"/>
      <w:numFmt w:val="bullet"/>
      <w:lvlText w:val="o"/>
      <w:lvlJc w:val="left"/>
      <w:pPr>
        <w:ind w:left="3600" w:hanging="360"/>
      </w:pPr>
      <w:rPr>
        <w:rFonts w:ascii="Courier New" w:hAnsi="Courier New" w:cs="Courier New" w:hint="default"/>
      </w:rPr>
    </w:lvl>
    <w:lvl w:ilvl="5" w:tplc="1F1CD87E" w:tentative="1">
      <w:start w:val="1"/>
      <w:numFmt w:val="bullet"/>
      <w:lvlText w:val=""/>
      <w:lvlJc w:val="left"/>
      <w:pPr>
        <w:ind w:left="4320" w:hanging="360"/>
      </w:pPr>
      <w:rPr>
        <w:rFonts w:ascii="Wingdings" w:hAnsi="Wingdings" w:hint="default"/>
      </w:rPr>
    </w:lvl>
    <w:lvl w:ilvl="6" w:tplc="185CEFA6" w:tentative="1">
      <w:start w:val="1"/>
      <w:numFmt w:val="bullet"/>
      <w:lvlText w:val=""/>
      <w:lvlJc w:val="left"/>
      <w:pPr>
        <w:ind w:left="5040" w:hanging="360"/>
      </w:pPr>
      <w:rPr>
        <w:rFonts w:ascii="Symbol" w:hAnsi="Symbol" w:hint="default"/>
      </w:rPr>
    </w:lvl>
    <w:lvl w:ilvl="7" w:tplc="3CCCEF3A" w:tentative="1">
      <w:start w:val="1"/>
      <w:numFmt w:val="bullet"/>
      <w:lvlText w:val="o"/>
      <w:lvlJc w:val="left"/>
      <w:pPr>
        <w:ind w:left="5760" w:hanging="360"/>
      </w:pPr>
      <w:rPr>
        <w:rFonts w:ascii="Courier New" w:hAnsi="Courier New" w:cs="Courier New" w:hint="default"/>
      </w:rPr>
    </w:lvl>
    <w:lvl w:ilvl="8" w:tplc="4D3A29C4" w:tentative="1">
      <w:start w:val="1"/>
      <w:numFmt w:val="bullet"/>
      <w:lvlText w:val=""/>
      <w:lvlJc w:val="left"/>
      <w:pPr>
        <w:ind w:left="6480" w:hanging="360"/>
      </w:pPr>
      <w:rPr>
        <w:rFonts w:ascii="Wingdings" w:hAnsi="Wingdings" w:hint="default"/>
      </w:rPr>
    </w:lvl>
  </w:abstractNum>
  <w:num w:numId="1" w16cid:durableId="1933271959">
    <w:abstractNumId w:val="1"/>
  </w:num>
  <w:num w:numId="2" w16cid:durableId="1370301772">
    <w:abstractNumId w:val="2"/>
  </w:num>
  <w:num w:numId="3" w16cid:durableId="549532548">
    <w:abstractNumId w:val="0"/>
  </w:num>
  <w:num w:numId="4" w16cid:durableId="514535519">
    <w:abstractNumId w:val="3"/>
  </w:num>
  <w:num w:numId="5" w16cid:durableId="1480615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7F6E"/>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42FC"/>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139E"/>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3C7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F52741"/>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297F6E"/>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297F6E"/>
    <w:rPr>
      <w:rFonts w:asciiTheme="minorHAnsi" w:hAnsiTheme="minorHAnsi"/>
      <w:sz w:val="24"/>
      <w:lang w:val="en-GB" w:eastAsia="en-US"/>
    </w:rPr>
  </w:style>
  <w:style w:type="paragraph" w:customStyle="1" w:styleId="BodyAA">
    <w:name w:val="Body A A"/>
    <w:rsid w:val="00297F6E"/>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23-CL-C-0121/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146-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ofie.maddens@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council/Pages/eg-itrs.aspx" TargetMode="External"/><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1187</Words>
  <Characters>6344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Marin Matas, Juan Gabriel</cp:lastModifiedBy>
  <cp:revision>3</cp:revision>
  <cp:lastPrinted>2014-11-04T09:22:00Z</cp:lastPrinted>
  <dcterms:created xsi:type="dcterms:W3CDTF">2024-03-20T14:37:00Z</dcterms:created>
  <dcterms:modified xsi:type="dcterms:W3CDTF">2024-03-20T14:56:00Z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