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AC34EC" w14:paraId="0685D54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5F682FD3" w14:textId="77777777" w:rsidR="00982196" w:rsidRPr="00AC34EC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C34E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AC34E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AFF9622" w14:textId="77777777" w:rsidR="00982196" w:rsidRPr="00AC34EC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AC34E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AC34E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AC34E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AC34EC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AC34EC">
              <w:rPr>
                <w:b/>
                <w:bCs/>
                <w:sz w:val="24"/>
                <w:szCs w:val="24"/>
              </w:rPr>
              <w:t>20</w:t>
            </w:r>
            <w:r w:rsidR="003A5506" w:rsidRPr="00AC34EC">
              <w:rPr>
                <w:b/>
                <w:bCs/>
                <w:sz w:val="24"/>
                <w:szCs w:val="24"/>
              </w:rPr>
              <w:t>−</w:t>
            </w:r>
            <w:r w:rsidR="003C01D0" w:rsidRPr="00AC34EC">
              <w:rPr>
                <w:b/>
                <w:bCs/>
                <w:sz w:val="24"/>
                <w:szCs w:val="24"/>
              </w:rPr>
              <w:t>2</w:t>
            </w:r>
            <w:r w:rsidR="009F4457" w:rsidRPr="00AC34EC">
              <w:rPr>
                <w:b/>
                <w:bCs/>
                <w:sz w:val="24"/>
                <w:szCs w:val="24"/>
              </w:rPr>
              <w:t>3</w:t>
            </w:r>
            <w:r w:rsidRPr="00AC34EC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AC34EC">
              <w:rPr>
                <w:b/>
                <w:bCs/>
                <w:sz w:val="24"/>
                <w:szCs w:val="24"/>
              </w:rPr>
              <w:t>мая</w:t>
            </w:r>
            <w:r w:rsidRPr="00AC34EC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AC34EC">
              <w:rPr>
                <w:b/>
                <w:bCs/>
                <w:sz w:val="24"/>
                <w:szCs w:val="24"/>
              </w:rPr>
              <w:t>4</w:t>
            </w:r>
            <w:r w:rsidRPr="00AC34EC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A2F6014" w14:textId="77777777" w:rsidR="00982196" w:rsidRPr="00AC34EC" w:rsidRDefault="00982196" w:rsidP="00FA6BDB">
            <w:pPr>
              <w:widowControl w:val="0"/>
              <w:jc w:val="center"/>
            </w:pPr>
            <w:r w:rsidRPr="00AC34EC">
              <w:drawing>
                <wp:inline distT="0" distB="0" distL="0" distR="0" wp14:anchorId="27DE9D4B" wp14:editId="22451A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C34EC" w14:paraId="0B042743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753E1EE" w14:textId="77777777" w:rsidR="00CD34AE" w:rsidRPr="00AC34EC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80F38D5" w14:textId="77777777" w:rsidR="00CD34AE" w:rsidRPr="00AC34EC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AC34EC" w14:paraId="332F88DE" w14:textId="77777777" w:rsidTr="00CD34AE">
        <w:trPr>
          <w:trHeight w:val="300"/>
        </w:trPr>
        <w:tc>
          <w:tcPr>
            <w:tcW w:w="6662" w:type="dxa"/>
          </w:tcPr>
          <w:p w14:paraId="3962EDB0" w14:textId="77777777" w:rsidR="00F105F5" w:rsidRPr="00AC34E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3454332" w14:textId="07801209" w:rsidR="00F105F5" w:rsidRPr="00AC34EC" w:rsidRDefault="004126BA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0" w:name="lt_pId012"/>
            <w:r w:rsidRPr="00AC34EC">
              <w:rPr>
                <w:b/>
                <w:bCs/>
              </w:rPr>
              <w:t>Документ TDAG-24/3-R</w:t>
            </w:r>
            <w:bookmarkEnd w:id="0"/>
          </w:p>
        </w:tc>
      </w:tr>
      <w:tr w:rsidR="00F105F5" w:rsidRPr="00AC34EC" w14:paraId="51EBF769" w14:textId="77777777" w:rsidTr="00CD34AE">
        <w:trPr>
          <w:trHeight w:val="300"/>
        </w:trPr>
        <w:tc>
          <w:tcPr>
            <w:tcW w:w="6662" w:type="dxa"/>
          </w:tcPr>
          <w:p w14:paraId="41A26CDD" w14:textId="77777777" w:rsidR="00F105F5" w:rsidRPr="00AC34EC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F372751" w14:textId="1F529C69" w:rsidR="00F105F5" w:rsidRPr="00AC34EC" w:rsidRDefault="004126BA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1" w:name="CreationDate"/>
            <w:bookmarkEnd w:id="1"/>
            <w:r w:rsidRPr="00AC34EC">
              <w:rPr>
                <w:b/>
                <w:bCs/>
              </w:rPr>
              <w:t>19 марта 2024 года</w:t>
            </w:r>
          </w:p>
        </w:tc>
      </w:tr>
      <w:tr w:rsidR="00F105F5" w:rsidRPr="00AC34EC" w14:paraId="68EEE0B9" w14:textId="77777777" w:rsidTr="00CD34AE">
        <w:trPr>
          <w:trHeight w:val="300"/>
        </w:trPr>
        <w:tc>
          <w:tcPr>
            <w:tcW w:w="6662" w:type="dxa"/>
          </w:tcPr>
          <w:p w14:paraId="647F5EB2" w14:textId="77777777" w:rsidR="00F105F5" w:rsidRPr="00AC34E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560AD8E" w14:textId="77777777" w:rsidR="00F105F5" w:rsidRPr="00AC34E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C34EC">
              <w:rPr>
                <w:rFonts w:cstheme="minorHAnsi"/>
                <w:b/>
                <w:bCs/>
              </w:rPr>
              <w:t>Оригинал:</w:t>
            </w:r>
            <w:bookmarkStart w:id="2" w:name="Original"/>
            <w:bookmarkEnd w:id="2"/>
            <w:r w:rsidRPr="00AC34EC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AC34EC" w14:paraId="6054C4F5" w14:textId="77777777" w:rsidTr="00CD34AE">
        <w:trPr>
          <w:trHeight w:val="850"/>
        </w:trPr>
        <w:tc>
          <w:tcPr>
            <w:tcW w:w="9923" w:type="dxa"/>
            <w:gridSpan w:val="3"/>
          </w:tcPr>
          <w:p w14:paraId="2F3005A1" w14:textId="6647DF41" w:rsidR="00CD34AE" w:rsidRPr="00AC34EC" w:rsidRDefault="004126BA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Start w:id="4" w:name="lt_pId016"/>
            <w:bookmarkEnd w:id="3"/>
            <w:r w:rsidRPr="00AC34EC">
              <w:rPr>
                <w:bCs/>
              </w:rPr>
              <w:t>Директор Бюро развития электросвязи</w:t>
            </w:r>
            <w:bookmarkEnd w:id="4"/>
          </w:p>
        </w:tc>
      </w:tr>
      <w:tr w:rsidR="00CD34AE" w:rsidRPr="00AC34EC" w14:paraId="4CD00D1F" w14:textId="77777777" w:rsidTr="00270876">
        <w:tc>
          <w:tcPr>
            <w:tcW w:w="9923" w:type="dxa"/>
            <w:gridSpan w:val="3"/>
          </w:tcPr>
          <w:p w14:paraId="2F14D22E" w14:textId="207A4A1D" w:rsidR="00CD34AE" w:rsidRPr="00AC34EC" w:rsidRDefault="004126BA" w:rsidP="00FA6BDB">
            <w:pPr>
              <w:pStyle w:val="Title1"/>
            </w:pPr>
            <w:bookmarkStart w:id="5" w:name="Title"/>
            <w:bookmarkStart w:id="6" w:name="lt_pId017"/>
            <w:bookmarkEnd w:id="5"/>
            <w:r w:rsidRPr="00AC34EC">
              <w:t>ОТЧЕТ О РАБОТЕ ГРУППЫ ЭКСПЕРТОВ ПО РЕГЛАМЕНТУ МЕЖДУНАРОДНОЙ ЭЛЕКТРОСВЯЗИ (ГЭ-РМЭ) ДЛЯ КГРЭ</w:t>
            </w:r>
            <w:bookmarkEnd w:id="6"/>
          </w:p>
        </w:tc>
      </w:tr>
      <w:tr w:rsidR="00CD34AE" w:rsidRPr="00AC34EC" w14:paraId="247597EA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4943301" w14:textId="77777777" w:rsidR="00CD34AE" w:rsidRPr="00AC34EC" w:rsidRDefault="00CD34AE" w:rsidP="00CD34AE"/>
        </w:tc>
      </w:tr>
      <w:tr w:rsidR="00CD34AE" w:rsidRPr="00AC34EC" w14:paraId="6CF4F285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AB9" w14:textId="77777777" w:rsidR="00F105F5" w:rsidRPr="00AC34EC" w:rsidRDefault="00F105F5" w:rsidP="00F105F5">
            <w:pPr>
              <w:pStyle w:val="Headingb"/>
              <w:jc w:val="both"/>
            </w:pPr>
            <w:r w:rsidRPr="00AC34EC">
              <w:t>Резюме</w:t>
            </w:r>
          </w:p>
          <w:p w14:paraId="2E0F5652" w14:textId="0407375C" w:rsidR="00F105F5" w:rsidRPr="00AC34EC" w:rsidRDefault="004126BA" w:rsidP="00F105F5">
            <w:bookmarkStart w:id="7" w:name="lt_pId019"/>
            <w:r w:rsidRPr="00AC34EC">
              <w:t>В соответствии с Резолюцией 146 (Пересм. Бухарест, 2022 г.) ПК и Резолюцией 1379 (Изм., 2023 г.) Совета в настоящем отчете о ходе работы изложены основные результаты первого и второго собраний ГЭ-РМЭ, проведенных 16 октября 2023 года и 29</w:t>
            </w:r>
            <w:r w:rsidR="00E94ECD" w:rsidRPr="00AC34EC">
              <w:sym w:font="Symbol" w:char="F02D"/>
            </w:r>
            <w:r w:rsidRPr="00AC34EC">
              <w:t>30 января 2024 года соответственно.</w:t>
            </w:r>
            <w:bookmarkEnd w:id="7"/>
          </w:p>
          <w:p w14:paraId="1D6F5CD6" w14:textId="77777777" w:rsidR="00F105F5" w:rsidRPr="00AC34EC" w:rsidRDefault="00F105F5" w:rsidP="00135135">
            <w:pPr>
              <w:pStyle w:val="Headingb"/>
            </w:pPr>
            <w:r w:rsidRPr="00AC34EC">
              <w:t>Необходимые действия</w:t>
            </w:r>
          </w:p>
          <w:p w14:paraId="75FD5701" w14:textId="23E37CB2" w:rsidR="004126BA" w:rsidRPr="00AC34EC" w:rsidRDefault="004126BA" w:rsidP="004126BA">
            <w:pPr>
              <w:rPr>
                <w:iCs/>
              </w:rPr>
            </w:pPr>
            <w:bookmarkStart w:id="8" w:name="lt_pId021"/>
            <w:r w:rsidRPr="00AC34EC">
              <w:t>В Резолюции 146 (Пересм. Бухарест, 2022 г.) поручается Директорам Бюро, "</w:t>
            </w:r>
            <w:r w:rsidRPr="00AC34EC">
              <w:rPr>
                <w:i/>
                <w:iCs/>
              </w:rPr>
              <w:t>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Регламенту международной электросвязи</w:t>
            </w:r>
            <w:r w:rsidRPr="00AC34EC">
              <w:t>".</w:t>
            </w:r>
            <w:bookmarkEnd w:id="8"/>
          </w:p>
          <w:p w14:paraId="54493770" w14:textId="12FFB6EE" w:rsidR="00F105F5" w:rsidRPr="00AC34EC" w:rsidRDefault="004126BA" w:rsidP="004126BA">
            <w:bookmarkStart w:id="9" w:name="lt_pId022"/>
            <w:r w:rsidRPr="00AC34EC">
              <w:t>КГРЭ предлагается принять настоящий документ к сведению на своем 31-м собрании, проводимом 20–23 мая 2024 года.</w:t>
            </w:r>
            <w:bookmarkEnd w:id="9"/>
          </w:p>
          <w:p w14:paraId="17E09849" w14:textId="77777777" w:rsidR="00F105F5" w:rsidRPr="00AC34EC" w:rsidRDefault="00F105F5" w:rsidP="00F105F5">
            <w:pPr>
              <w:pStyle w:val="Headingb"/>
              <w:jc w:val="both"/>
            </w:pPr>
            <w:r w:rsidRPr="00AC34EC">
              <w:t>Справочные материалы</w:t>
            </w:r>
          </w:p>
          <w:bookmarkStart w:id="10" w:name="lt_pId024"/>
          <w:p w14:paraId="34383325" w14:textId="411E9097" w:rsidR="004126BA" w:rsidRPr="00AC34EC" w:rsidRDefault="004126BA" w:rsidP="004126BA">
            <w:pPr>
              <w:spacing w:after="120"/>
            </w:pPr>
            <w:r w:rsidRPr="00AC34EC">
              <w:fldChar w:fldCharType="begin"/>
            </w:r>
            <w:r w:rsidR="00EF0C49" w:rsidRPr="00AC34EC">
              <w:instrText>HYPERLINK "https://www.itu.int/en/council/Documents/basic-texts-2023/RES-146-R.pdf"</w:instrText>
            </w:r>
            <w:r w:rsidRPr="00AC34EC">
              <w:fldChar w:fldCharType="separate"/>
            </w:r>
            <w:r w:rsidRPr="00AC34EC">
              <w:rPr>
                <w:rStyle w:val="Hyperlink"/>
              </w:rPr>
              <w:t>Резолюция 146 (Пересм. Бухарест, 2022 г.)</w:t>
            </w:r>
            <w:r w:rsidRPr="00AC34EC">
              <w:fldChar w:fldCharType="end"/>
            </w:r>
            <w:r w:rsidRPr="00AC34EC">
              <w:t xml:space="preserve"> "Регулярное рассмотрение Регламента международной электросвязи"</w:t>
            </w:r>
            <w:bookmarkEnd w:id="10"/>
          </w:p>
          <w:bookmarkStart w:id="11" w:name="lt_pId025"/>
          <w:p w14:paraId="1E3EDEC5" w14:textId="6B0ED653" w:rsidR="00CD34AE" w:rsidRPr="00AC34EC" w:rsidRDefault="004126BA" w:rsidP="004126BA">
            <w:pPr>
              <w:spacing w:after="120"/>
            </w:pPr>
            <w:r w:rsidRPr="00AC34EC">
              <w:fldChar w:fldCharType="begin"/>
            </w:r>
            <w:r w:rsidRPr="00AC34EC">
              <w:instrText>HYPERLINK "https://www.itu.int/md/S23-CL-C-0121/en"</w:instrText>
            </w:r>
            <w:r w:rsidRPr="00AC34EC">
              <w:fldChar w:fldCharType="separate"/>
            </w:r>
            <w:r w:rsidRPr="00AC34EC">
              <w:rPr>
                <w:rStyle w:val="Hyperlink"/>
              </w:rPr>
              <w:t>Резолюция Совета 1379 (Изм., 2023 г.)</w:t>
            </w:r>
            <w:r w:rsidRPr="00AC34EC">
              <w:fldChar w:fldCharType="end"/>
            </w:r>
            <w:r w:rsidRPr="00AC34EC">
              <w:t xml:space="preserve"> "Группа экспертов по Регламенту международной электросвязи (ГЭ-РМЭ)"</w:t>
            </w:r>
            <w:bookmarkEnd w:id="11"/>
          </w:p>
        </w:tc>
      </w:tr>
    </w:tbl>
    <w:p w14:paraId="5C30E370" w14:textId="77777777" w:rsidR="00EF0C49" w:rsidRPr="00AC34EC" w:rsidRDefault="00EF0C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p w14:paraId="02C91A59" w14:textId="4C9DC8E5" w:rsidR="002931FA" w:rsidRPr="00AC34EC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C34EC">
        <w:br w:type="page"/>
      </w:r>
    </w:p>
    <w:p w14:paraId="08BBDBC4" w14:textId="58E111C7" w:rsidR="004126BA" w:rsidRPr="00AC34EC" w:rsidRDefault="001E0FE9" w:rsidP="00E94ECD">
      <w:pPr>
        <w:pStyle w:val="Heading1"/>
        <w:rPr>
          <w:rFonts w:cstheme="minorHAnsi"/>
          <w:szCs w:val="24"/>
        </w:rPr>
      </w:pPr>
      <w:bookmarkStart w:id="12" w:name="lt_pId026"/>
      <w:r w:rsidRPr="00AC34EC">
        <w:lastRenderedPageBreak/>
        <w:t>1</w:t>
      </w:r>
      <w:r w:rsidRPr="00AC34EC">
        <w:tab/>
      </w:r>
      <w:r w:rsidR="004126BA" w:rsidRPr="00AC34EC">
        <w:t>Базовая информация</w:t>
      </w:r>
      <w:bookmarkEnd w:id="12"/>
    </w:p>
    <w:p w14:paraId="29EAB47D" w14:textId="5F929E22" w:rsidR="004126BA" w:rsidRPr="00AC34EC" w:rsidRDefault="004126BA" w:rsidP="00E94ECD">
      <w:pPr>
        <w:rPr>
          <w:rFonts w:cstheme="minorHAnsi"/>
          <w:szCs w:val="24"/>
        </w:rPr>
      </w:pPr>
      <w:bookmarkStart w:id="13" w:name="lt_pId027"/>
      <w:r w:rsidRPr="00AC34EC">
        <w:t>Цель настоящего документа – изложить ход работы Группы экспертов по Регламенту международной электросвязи (ГЭ-РМЭ)</w:t>
      </w:r>
      <w:r w:rsidRPr="00AC34EC">
        <w:rPr>
          <w:rStyle w:val="FootnoteReference"/>
          <w:rFonts w:cstheme="minorHAnsi"/>
          <w:szCs w:val="18"/>
        </w:rPr>
        <w:footnoteReference w:id="1"/>
      </w:r>
      <w:r w:rsidRPr="00AC34EC">
        <w:t>, как это предусмотрено Полномочной конференцией МСЭ (Бухарест, 26</w:t>
      </w:r>
      <w:r w:rsidR="00143529" w:rsidRPr="00AC34EC">
        <w:t> </w:t>
      </w:r>
      <w:r w:rsidRPr="00AC34EC">
        <w:t>сентября – 14 октября 2022 г.) в связи с утверждением Резолюции 146 (Пересм. Бухарест, 2022 г.) о регулярном рассмотрении РМЭ. Настоящий отчет посвящен основным результатам первого и второго собраний ГЭ-РМЭ, которые проходили 16 октября 2023 года и 29–30 января 2024 года соответственно.</w:t>
      </w:r>
      <w:bookmarkStart w:id="15" w:name="lt_pId028"/>
      <w:bookmarkEnd w:id="13"/>
      <w:bookmarkEnd w:id="15"/>
    </w:p>
    <w:p w14:paraId="2C1AE16C" w14:textId="1531D932" w:rsidR="004126BA" w:rsidRPr="00AC34EC" w:rsidRDefault="001E0FE9" w:rsidP="00E94ECD">
      <w:pPr>
        <w:pStyle w:val="Heading1"/>
        <w:rPr>
          <w:rFonts w:cstheme="minorHAnsi"/>
          <w:szCs w:val="24"/>
        </w:rPr>
      </w:pPr>
      <w:bookmarkStart w:id="16" w:name="lt_pId029"/>
      <w:r w:rsidRPr="00AC34EC">
        <w:t>2</w:t>
      </w:r>
      <w:r w:rsidRPr="00AC34EC">
        <w:tab/>
      </w:r>
      <w:r w:rsidR="004126BA" w:rsidRPr="00AC34EC">
        <w:t>Регулярное рассмотрение РМЭ</w:t>
      </w:r>
      <w:bookmarkEnd w:id="16"/>
    </w:p>
    <w:p w14:paraId="1E46C70D" w14:textId="16C976EA" w:rsidR="004126BA" w:rsidRPr="00AC34EC" w:rsidRDefault="004126BA" w:rsidP="00E94ECD">
      <w:pPr>
        <w:rPr>
          <w:rFonts w:cstheme="minorHAnsi"/>
          <w:szCs w:val="24"/>
        </w:rPr>
      </w:pPr>
      <w:bookmarkStart w:id="17" w:name="lt_pId030"/>
      <w:r w:rsidRPr="00AC34EC">
        <w:t>В Резолюции 146 (Пересм. Бухарест, 2022 г.) Генеральному секретарю поручено вновь созвать ГЭ</w:t>
      </w:r>
      <w:r w:rsidR="001E0FE9" w:rsidRPr="00AC34EC">
        <w:noBreakHyphen/>
      </w:r>
      <w:r w:rsidRPr="00AC34EC">
        <w:t>РМЭ, открытую для Государств-Членов и Членов Секторов МСЭ, с кругом ведения и методами работы, которые устанавливает Совет МСЭ, и представить подготовленный по результатам рассмотрения отчет ГЭ-РМЭ Совету МСЭ для рассмотрения, опубликования и последующего представления Полномочной конференции 2026 года.</w:t>
      </w:r>
      <w:bookmarkEnd w:id="17"/>
    </w:p>
    <w:p w14:paraId="1C4EF6E5" w14:textId="55C3FC48" w:rsidR="004126BA" w:rsidRPr="00AC34EC" w:rsidRDefault="004126BA" w:rsidP="00E94ECD">
      <w:pPr>
        <w:rPr>
          <w:rFonts w:cstheme="minorHAnsi"/>
          <w:iCs/>
          <w:szCs w:val="24"/>
        </w:rPr>
      </w:pPr>
      <w:bookmarkStart w:id="18" w:name="lt_pId031"/>
      <w:r w:rsidRPr="00AC34EC">
        <w:t xml:space="preserve">Важно отметить, что в этой Резолюции Директорам Бюро поручается: </w:t>
      </w:r>
      <w:r w:rsidRPr="00AC34EC">
        <w:rPr>
          <w:i/>
          <w:iCs/>
        </w:rPr>
        <w:t>1) 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Регламенту международной электросвязи; 2) представить результаты своей работы ГЭ-РМЭ; 3)</w:t>
      </w:r>
      <w:r w:rsidRPr="00AC34EC">
        <w:t> </w:t>
      </w:r>
      <w:r w:rsidRPr="00AC34EC">
        <w:rPr>
          <w:i/>
          <w:iCs/>
        </w:rPr>
        <w:t>рассмотреть вопрос о предоставлении стипендий, при наличии ресурсов, для развивающихся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</w:t>
      </w:r>
      <w:r w:rsidRPr="00AC34EC">
        <w:rPr>
          <w:rStyle w:val="FootnoteReference"/>
          <w:rFonts w:cstheme="minorHAnsi"/>
          <w:szCs w:val="18"/>
        </w:rPr>
        <w:footnoteReference w:id="2"/>
      </w:r>
      <w:r w:rsidRPr="00AC34EC">
        <w:t>.</w:t>
      </w:r>
      <w:bookmarkEnd w:id="18"/>
    </w:p>
    <w:p w14:paraId="1C62795F" w14:textId="77777777" w:rsidR="004126BA" w:rsidRPr="00AC34EC" w:rsidRDefault="004126BA" w:rsidP="00E94ECD">
      <w:pPr>
        <w:rPr>
          <w:rFonts w:cstheme="minorHAnsi"/>
          <w:szCs w:val="24"/>
        </w:rPr>
      </w:pPr>
      <w:bookmarkStart w:id="20" w:name="lt_pId032"/>
      <w:r w:rsidRPr="00AC34EC">
        <w:t>Согласно кругу ведения, определенному в Резолюции 1379 (Изм., 2023 г.) Совета, ГЭ-РМЭ должна продолжать заниматься рассмотрением РМЭ. Принимая во внимание работу двух предыдущих Групп экспертов, при рассмотрении могут учитываться в том числе:</w:t>
      </w:r>
      <w:bookmarkStart w:id="21" w:name="lt_pId033"/>
      <w:bookmarkEnd w:id="20"/>
      <w:bookmarkEnd w:id="21"/>
    </w:p>
    <w:p w14:paraId="08D7049C" w14:textId="60C97C5D" w:rsidR="004126BA" w:rsidRPr="00AC34EC" w:rsidRDefault="00E94ECD" w:rsidP="00E94ECD">
      <w:pPr>
        <w:pStyle w:val="enumlev1"/>
        <w:rPr>
          <w:rFonts w:cstheme="minorHAnsi"/>
          <w:szCs w:val="24"/>
        </w:rPr>
      </w:pPr>
      <w:bookmarkStart w:id="22" w:name="lt_pId034"/>
      <w:r w:rsidRPr="00AC34EC">
        <w:sym w:font="Symbol" w:char="F02D"/>
      </w:r>
      <w:r w:rsidRPr="00AC34EC">
        <w:tab/>
      </w:r>
      <w:r w:rsidR="004126BA" w:rsidRPr="00AC34EC">
        <w:t>новые тенденции в области электросвязи/ИКТ и возникающие вопросы в среде международной электросвязи/ИКТ, которые могут оказывать воздействие на РМЭ;</w:t>
      </w:r>
      <w:bookmarkEnd w:id="22"/>
    </w:p>
    <w:p w14:paraId="3BD89902" w14:textId="0787E1AD" w:rsidR="004126BA" w:rsidRPr="00AC34EC" w:rsidRDefault="00E94ECD" w:rsidP="00E94ECD">
      <w:pPr>
        <w:pStyle w:val="enumlev1"/>
        <w:rPr>
          <w:rFonts w:cstheme="minorHAnsi"/>
          <w:szCs w:val="24"/>
        </w:rPr>
      </w:pPr>
      <w:bookmarkStart w:id="23" w:name="lt_pId035"/>
      <w:r w:rsidRPr="00AC34EC">
        <w:sym w:font="Symbol" w:char="F02D"/>
      </w:r>
      <w:r w:rsidRPr="00AC34EC">
        <w:tab/>
      </w:r>
      <w:r w:rsidR="004126BA" w:rsidRPr="00AC34EC">
        <w:t>эмпирические данные о текущем использовании РМЭ эксплуатационными организациями и/или администрациями и доля глобальных услуг электросвязи, которые в настоящее время основываются на РМЭ;</w:t>
      </w:r>
      <w:bookmarkEnd w:id="23"/>
    </w:p>
    <w:p w14:paraId="7F72AE60" w14:textId="02E95ED3" w:rsidR="004126BA" w:rsidRPr="00AC34EC" w:rsidRDefault="00E94ECD" w:rsidP="00E94ECD">
      <w:pPr>
        <w:pStyle w:val="enumlev1"/>
        <w:rPr>
          <w:rFonts w:cstheme="minorHAnsi"/>
          <w:szCs w:val="24"/>
        </w:rPr>
      </w:pPr>
      <w:bookmarkStart w:id="24" w:name="lt_pId036"/>
      <w:r w:rsidRPr="00AC34EC">
        <w:sym w:font="Symbol" w:char="F02D"/>
      </w:r>
      <w:r w:rsidRPr="00AC34EC">
        <w:tab/>
      </w:r>
      <w:r w:rsidR="004126BA" w:rsidRPr="00AC34EC">
        <w:t>значение РМЭ, в котором "содержатся руководящие принципы высокого уровня", в существующей среде электросвязи/ИКТ.</w:t>
      </w:r>
      <w:bookmarkEnd w:id="24"/>
    </w:p>
    <w:p w14:paraId="6D98921B" w14:textId="77777777" w:rsidR="004126BA" w:rsidRPr="00AC34EC" w:rsidRDefault="004126BA" w:rsidP="00E94ECD">
      <w:pPr>
        <w:rPr>
          <w:rFonts w:asciiTheme="minorHAnsi" w:hAnsiTheme="minorHAnsi" w:cstheme="minorHAnsi"/>
        </w:rPr>
      </w:pPr>
      <w:bookmarkStart w:id="25" w:name="lt_pId037"/>
      <w:r w:rsidRPr="00AC34EC">
        <w:t xml:space="preserve">ГЭ-РМЭ провела первое и второе собрания в штаб-квартире МСЭ в Женеве, Швейцария, 16 октября 2023 года и 29–30 января 2024 года соответственно. ГЭ-РМЭ утвердила отчеты о </w:t>
      </w:r>
      <w:hyperlink r:id="rId11" w:history="1">
        <w:r w:rsidRPr="00AC34EC">
          <w:rPr>
            <w:rStyle w:val="Hyperlink"/>
          </w:rPr>
          <w:t>первом</w:t>
        </w:r>
      </w:hyperlink>
      <w:r w:rsidRPr="00AC34EC">
        <w:t xml:space="preserve"> и </w:t>
      </w:r>
      <w:hyperlink r:id="rId12" w:history="1">
        <w:r w:rsidRPr="00AC34EC">
          <w:rPr>
            <w:rStyle w:val="Hyperlink"/>
          </w:rPr>
          <w:t>втором</w:t>
        </w:r>
      </w:hyperlink>
      <w:r w:rsidRPr="00AC34EC">
        <w:t xml:space="preserve"> собраниях.</w:t>
      </w:r>
      <w:bookmarkStart w:id="26" w:name="lt_pId038"/>
      <w:bookmarkEnd w:id="25"/>
      <w:bookmarkEnd w:id="26"/>
    </w:p>
    <w:p w14:paraId="1605C990" w14:textId="77777777" w:rsidR="004126BA" w:rsidRDefault="004126BA" w:rsidP="00E94ECD">
      <w:bookmarkStart w:id="27" w:name="lt_pId039"/>
      <w:bookmarkStart w:id="28" w:name="_Hlk38891878"/>
      <w:r w:rsidRPr="00AC34EC">
        <w:t>На первом собрании ГЭ-РМЭ обсуждались полученные вклады, при этом особое внимание уделялось предложениям по плану работы. Консенсус по плану работы не был достигнут.</w:t>
      </w:r>
    </w:p>
    <w:p w14:paraId="10D00A12" w14:textId="181F192D" w:rsidR="00AC34EC" w:rsidRDefault="00AC34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771269C8" w14:textId="3E5B8F85" w:rsidR="004126BA" w:rsidRPr="00AC34EC" w:rsidRDefault="004126BA" w:rsidP="00E94ECD">
      <w:r w:rsidRPr="00AC34EC">
        <w:lastRenderedPageBreak/>
        <w:t>На втором собрании ГЭ-РМЭ был утвержден план работы (см. Приложение) при том понимании, что он содержит руководящие указания для работы Группы и не ограничивает каких-либо членов в представлении вкладов в соответствии с Резолюцией 146 (Пересм. Бухарест, 2022 г.) и Резолюцией</w:t>
      </w:r>
      <w:r w:rsidR="00143529" w:rsidRPr="00AC34EC">
        <w:t> </w:t>
      </w:r>
      <w:r w:rsidRPr="00AC34EC">
        <w:t>1379 (Изм., 2023 г.) Совета. Заявление Российской Федерации по этому вопросу содержится в Приложении 2 к Отчету о втором собрании.</w:t>
      </w:r>
    </w:p>
    <w:p w14:paraId="18712102" w14:textId="599DAFB1" w:rsidR="004126BA" w:rsidRPr="00AC34EC" w:rsidRDefault="004126BA" w:rsidP="00E94ECD">
      <w:pPr>
        <w:rPr>
          <w:rFonts w:cstheme="minorHAnsi"/>
          <w:bCs/>
          <w:szCs w:val="24"/>
        </w:rPr>
      </w:pPr>
      <w:bookmarkStart w:id="29" w:name="lt_pId043"/>
      <w:bookmarkEnd w:id="27"/>
      <w:bookmarkEnd w:id="28"/>
      <w:r w:rsidRPr="00AC34EC">
        <w:t>В отношении эмпирических данных о текущем использовании РМЭ эксплуатационными организациями и/или администрациями и доле глобальных услуг электросвязи, которые в настоящее время основываются на РМЭ, на последнем собрании ГЭ-РМЭ приняла решение, что обследование для сбора эмпирических данных проводиться не будет и что Государства-Члены могут провести собственные обследования и довести результаты до сведения Группы на предстоящих собраниях.</w:t>
      </w:r>
      <w:bookmarkEnd w:id="29"/>
    </w:p>
    <w:p w14:paraId="470C0D3D" w14:textId="77777777" w:rsidR="004126BA" w:rsidRPr="00AC34EC" w:rsidRDefault="004126BA" w:rsidP="00E94ECD">
      <w:pPr>
        <w:rPr>
          <w:rFonts w:cstheme="minorHAnsi"/>
          <w:szCs w:val="24"/>
        </w:rPr>
      </w:pPr>
      <w:bookmarkStart w:id="30" w:name="lt_pId044"/>
      <w:r w:rsidRPr="00AC34EC">
        <w:rPr>
          <w:rFonts w:cstheme="minorHAnsi"/>
          <w:szCs w:val="24"/>
        </w:rPr>
        <w:t>Повестка дня работы и полученные вклады для этих собраний ГЭ-РМЭ не содержали какого-либо конкретного вопроса, требующего вмешательства БРЭ.</w:t>
      </w:r>
    </w:p>
    <w:p w14:paraId="3464A9E3" w14:textId="77777777" w:rsidR="004126BA" w:rsidRPr="00AC34EC" w:rsidRDefault="004126BA" w:rsidP="00143529">
      <w:pPr>
        <w:pStyle w:val="Headingb"/>
        <w:rPr>
          <w:rFonts w:cstheme="minorHAnsi"/>
          <w:szCs w:val="24"/>
        </w:rPr>
      </w:pPr>
      <w:bookmarkStart w:id="31" w:name="lt_pId045"/>
      <w:bookmarkEnd w:id="30"/>
      <w:r w:rsidRPr="00AC34EC">
        <w:t>Следующие шаги</w:t>
      </w:r>
      <w:bookmarkEnd w:id="31"/>
    </w:p>
    <w:p w14:paraId="14D6434F" w14:textId="7E77DDA1" w:rsidR="004126BA" w:rsidRPr="00AC34EC" w:rsidRDefault="00E94ECD" w:rsidP="00E94ECD">
      <w:pPr>
        <w:pStyle w:val="enumlev1"/>
        <w:rPr>
          <w:rFonts w:eastAsia="Calibri"/>
        </w:rPr>
      </w:pPr>
      <w:bookmarkStart w:id="32" w:name="lt_pId046"/>
      <w:r w:rsidRPr="00AC34EC">
        <w:rPr>
          <w:rFonts w:eastAsia="Calibri"/>
        </w:rPr>
        <w:sym w:font="Symbol" w:char="F02D"/>
      </w:r>
      <w:r w:rsidRPr="00AC34EC">
        <w:rPr>
          <w:rFonts w:eastAsia="Calibri"/>
        </w:rPr>
        <w:tab/>
      </w:r>
      <w:r w:rsidR="004126BA" w:rsidRPr="00AC34EC">
        <w:rPr>
          <w:rFonts w:eastAsia="Calibri"/>
        </w:rPr>
        <w:t>Следующее собрание состоится в ходе предстоящей сессии рабочих групп Совета.</w:t>
      </w:r>
    </w:p>
    <w:p w14:paraId="545BC499" w14:textId="77777777" w:rsidR="00143529" w:rsidRPr="00AC34EC" w:rsidRDefault="00E94ECD" w:rsidP="00E94ECD">
      <w:pPr>
        <w:pStyle w:val="enumlev1"/>
        <w:rPr>
          <w:rFonts w:eastAsia="Calibri"/>
        </w:rPr>
      </w:pPr>
      <w:r w:rsidRPr="00AC34EC">
        <w:rPr>
          <w:rFonts w:eastAsia="Calibri"/>
        </w:rPr>
        <w:sym w:font="Symbol" w:char="F02D"/>
      </w:r>
      <w:r w:rsidRPr="00AC34EC">
        <w:rPr>
          <w:rFonts w:eastAsia="Calibri"/>
        </w:rPr>
        <w:tab/>
      </w:r>
      <w:r w:rsidR="004126BA" w:rsidRPr="00AC34EC">
        <w:rPr>
          <w:rFonts w:eastAsia="Calibri"/>
        </w:rPr>
        <w:t>В соответствии с прежней практикой собрание приняло решение о том, что отчеты о первом и втором собраниях Группы будут представлены Председателем с гиперссылками в коротком документе и направлены в виде отчета о ходе работы Совету в 2024 году.</w:t>
      </w:r>
      <w:bookmarkStart w:id="33" w:name="Proposal"/>
      <w:bookmarkEnd w:id="32"/>
      <w:bookmarkEnd w:id="33"/>
    </w:p>
    <w:p w14:paraId="01B449E3" w14:textId="77777777" w:rsidR="00143529" w:rsidRPr="00AC34EC" w:rsidRDefault="00143529" w:rsidP="00E94ECD">
      <w:pPr>
        <w:pStyle w:val="enumlev1"/>
        <w:rPr>
          <w:rFonts w:eastAsia="Calibri"/>
        </w:rPr>
      </w:pPr>
    </w:p>
    <w:p w14:paraId="7AE0D901" w14:textId="5F921173" w:rsidR="004126BA" w:rsidRPr="00AC34EC" w:rsidRDefault="004126BA" w:rsidP="00E94ECD">
      <w:pPr>
        <w:pStyle w:val="enumlev1"/>
        <w:rPr>
          <w:rFonts w:eastAsia="Calibri"/>
        </w:rPr>
      </w:pPr>
      <w:r w:rsidRPr="00AC34EC">
        <w:br w:type="page"/>
      </w:r>
    </w:p>
    <w:p w14:paraId="1EF1FB1E" w14:textId="77777777" w:rsidR="004126BA" w:rsidRPr="00AC34EC" w:rsidRDefault="004126BA" w:rsidP="001E0FE9">
      <w:pPr>
        <w:pStyle w:val="AnnexNo"/>
        <w:rPr>
          <w:szCs w:val="24"/>
        </w:rPr>
      </w:pPr>
      <w:bookmarkStart w:id="34" w:name="lt_pId048"/>
      <w:r w:rsidRPr="00AC34EC">
        <w:lastRenderedPageBreak/>
        <w:t>ПРИЛОЖЕНИЕ 1</w:t>
      </w:r>
      <w:bookmarkEnd w:id="34"/>
    </w:p>
    <w:p w14:paraId="443B7C33" w14:textId="77777777" w:rsidR="004126BA" w:rsidRPr="00AC34EC" w:rsidRDefault="004126BA" w:rsidP="001E0FE9">
      <w:pPr>
        <w:pStyle w:val="Annextitle"/>
        <w:rPr>
          <w:sz w:val="24"/>
          <w:szCs w:val="24"/>
        </w:rPr>
      </w:pPr>
      <w:bookmarkStart w:id="35" w:name="lt_pId049"/>
      <w:r w:rsidRPr="00AC34EC">
        <w:t>План работы</w:t>
      </w:r>
      <w:bookmarkEnd w:id="35"/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394"/>
        <w:gridCol w:w="2126"/>
        <w:gridCol w:w="1985"/>
      </w:tblGrid>
      <w:tr w:rsidR="004126BA" w:rsidRPr="00AC34EC" w14:paraId="721EEB33" w14:textId="77777777" w:rsidTr="00AC34EC">
        <w:trPr>
          <w:trHeight w:val="303"/>
          <w:tblHeader/>
          <w:jc w:val="center"/>
        </w:trPr>
        <w:tc>
          <w:tcPr>
            <w:tcW w:w="1555" w:type="dxa"/>
            <w:vAlign w:val="center"/>
          </w:tcPr>
          <w:p w14:paraId="39188340" w14:textId="77777777" w:rsidR="004126BA" w:rsidRPr="00AC34EC" w:rsidRDefault="004126BA" w:rsidP="001E0FE9">
            <w:pPr>
              <w:pStyle w:val="Tablehead"/>
              <w:rPr>
                <w:rFonts w:cs="Calibri"/>
              </w:rPr>
            </w:pPr>
            <w:bookmarkStart w:id="36" w:name="lt_pId050"/>
            <w:r w:rsidRPr="00AC34EC">
              <w:t>Собрание</w:t>
            </w:r>
            <w:bookmarkEnd w:id="36"/>
          </w:p>
        </w:tc>
        <w:tc>
          <w:tcPr>
            <w:tcW w:w="4394" w:type="dxa"/>
            <w:vAlign w:val="center"/>
          </w:tcPr>
          <w:p w14:paraId="7C6FF61A" w14:textId="77777777" w:rsidR="004126BA" w:rsidRPr="00AC34EC" w:rsidRDefault="004126BA" w:rsidP="001E0FE9">
            <w:pPr>
              <w:pStyle w:val="Tablehead"/>
              <w:rPr>
                <w:rFonts w:cs="Calibri"/>
              </w:rPr>
            </w:pPr>
            <w:bookmarkStart w:id="37" w:name="lt_pId051"/>
            <w:r w:rsidRPr="00AC34EC">
              <w:t>Задача</w:t>
            </w:r>
            <w:bookmarkEnd w:id="37"/>
          </w:p>
        </w:tc>
        <w:tc>
          <w:tcPr>
            <w:tcW w:w="2126" w:type="dxa"/>
            <w:vAlign w:val="center"/>
          </w:tcPr>
          <w:p w14:paraId="6E414B10" w14:textId="77777777" w:rsidR="004126BA" w:rsidRPr="00AC34EC" w:rsidRDefault="004126BA" w:rsidP="001E0FE9">
            <w:pPr>
              <w:pStyle w:val="Tablehead"/>
              <w:rPr>
                <w:rFonts w:cs="Calibri"/>
              </w:rPr>
            </w:pPr>
            <w:bookmarkStart w:id="38" w:name="lt_pId052"/>
            <w:r w:rsidRPr="00AC34EC">
              <w:t>Возможные виды деятельности</w:t>
            </w:r>
            <w:bookmarkEnd w:id="38"/>
          </w:p>
        </w:tc>
        <w:tc>
          <w:tcPr>
            <w:tcW w:w="1985" w:type="dxa"/>
            <w:vAlign w:val="center"/>
          </w:tcPr>
          <w:p w14:paraId="59E99C52" w14:textId="77777777" w:rsidR="004126BA" w:rsidRPr="00AC34EC" w:rsidRDefault="004126BA" w:rsidP="001E0FE9">
            <w:pPr>
              <w:pStyle w:val="Tablehead"/>
              <w:rPr>
                <w:rFonts w:cs="Calibri"/>
              </w:rPr>
            </w:pPr>
            <w:bookmarkStart w:id="39" w:name="lt_pId053"/>
            <w:r w:rsidRPr="00AC34EC">
              <w:t>Необходимый результат</w:t>
            </w:r>
            <w:bookmarkEnd w:id="39"/>
          </w:p>
        </w:tc>
      </w:tr>
      <w:tr w:rsidR="004126BA" w:rsidRPr="00AC34EC" w14:paraId="523756D4" w14:textId="77777777" w:rsidTr="00AC34EC">
        <w:trPr>
          <w:trHeight w:val="1429"/>
          <w:jc w:val="center"/>
        </w:trPr>
        <w:tc>
          <w:tcPr>
            <w:tcW w:w="1555" w:type="dxa"/>
          </w:tcPr>
          <w:p w14:paraId="2731F592" w14:textId="541BA053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40" w:name="lt_pId054"/>
            <w:r w:rsidRPr="00AC34EC">
              <w:t>3-я, 4-я и 5</w:t>
            </w:r>
            <w:r w:rsidR="00143529" w:rsidRPr="00AC34EC">
              <w:noBreakHyphen/>
            </w:r>
            <w:r w:rsidRPr="00AC34EC">
              <w:t>я сессии ГЭ-РМЭ</w:t>
            </w:r>
            <w:bookmarkStart w:id="41" w:name="lt_pId055"/>
            <w:bookmarkEnd w:id="40"/>
            <w:bookmarkEnd w:id="41"/>
          </w:p>
        </w:tc>
        <w:tc>
          <w:tcPr>
            <w:tcW w:w="4394" w:type="dxa"/>
          </w:tcPr>
          <w:p w14:paraId="42A6A733" w14:textId="05063E9F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42" w:name="lt_pId056"/>
            <w:r w:rsidRPr="00AC34EC">
              <w:t>Повестка дня каждой из этих сессий заключается в продолжении рассмотрения РМЭ с учетом работы двух предыдущих Групп экспертов на основе круга ведения, установленного в Резолюции 1379 (Изм.,</w:t>
            </w:r>
            <w:r w:rsidR="00143529" w:rsidRPr="00AC34EC">
              <w:t> </w:t>
            </w:r>
            <w:r w:rsidRPr="00AC34EC">
              <w:t>2023</w:t>
            </w:r>
            <w:r w:rsidR="00143529" w:rsidRPr="00AC34EC">
              <w:t> </w:t>
            </w:r>
            <w:r w:rsidRPr="00AC34EC">
              <w:t>г.) Совета, который включает, среди прочего, следующее:</w:t>
            </w:r>
            <w:bookmarkEnd w:id="42"/>
          </w:p>
          <w:p w14:paraId="538A20D4" w14:textId="77777777" w:rsidR="00FE12B2" w:rsidRPr="00AC34EC" w:rsidRDefault="004126BA" w:rsidP="00FE12B2">
            <w:pPr>
              <w:pStyle w:val="Tabletext"/>
              <w:tabs>
                <w:tab w:val="left" w:pos="376"/>
              </w:tabs>
            </w:pPr>
            <w:bookmarkStart w:id="43" w:name="lt_pId057"/>
            <w:r w:rsidRPr="00AC34EC">
              <w:t>а)</w:t>
            </w:r>
            <w:r w:rsidR="00FE12B2" w:rsidRPr="00AC34EC">
              <w:tab/>
            </w:r>
            <w:r w:rsidRPr="00AC34EC">
              <w:t>новые тенденции в области электросвязи/ИКТ и возникающие вопросы в среде международной электросвязи/ИКТ, которые могут оказывать воздействие на РМЭ;</w:t>
            </w:r>
          </w:p>
          <w:p w14:paraId="6DB66829" w14:textId="77B92346" w:rsidR="00FE12B2" w:rsidRPr="00AC34EC" w:rsidRDefault="004126BA" w:rsidP="00FE12B2">
            <w:pPr>
              <w:pStyle w:val="Tabletext"/>
              <w:tabs>
                <w:tab w:val="left" w:pos="376"/>
              </w:tabs>
            </w:pPr>
            <w:r w:rsidRPr="00AC34EC">
              <w:t>b)</w:t>
            </w:r>
            <w:r w:rsidR="00FE12B2" w:rsidRPr="00AC34EC">
              <w:tab/>
            </w:r>
            <w:r w:rsidRPr="00AC34EC">
              <w:t>эмпирические данные о текущем использовании РМЭ эксплуатационными организациями и/или администрациями и доля глобальных услуг электросвязи, которые в настоящее время основываются на РМЭ;</w:t>
            </w:r>
          </w:p>
          <w:p w14:paraId="0E691C1B" w14:textId="398092D8" w:rsidR="004126BA" w:rsidRPr="00AC34EC" w:rsidRDefault="004126BA" w:rsidP="00FE12B2">
            <w:pPr>
              <w:pStyle w:val="Tabletext"/>
              <w:tabs>
                <w:tab w:val="left" w:pos="376"/>
              </w:tabs>
              <w:rPr>
                <w:rFonts w:cs="Calibri"/>
                <w:bCs/>
              </w:rPr>
            </w:pPr>
            <w:r w:rsidRPr="00AC34EC">
              <w:t>c)</w:t>
            </w:r>
            <w:r w:rsidR="00FE12B2" w:rsidRPr="00AC34EC">
              <w:tab/>
            </w:r>
            <w:r w:rsidRPr="00AC34EC">
              <w:t>значение РМЭ, в котором "содержатся руководящие принципы высокого уровня", в существующей среде электросвязи/ИКТ.</w:t>
            </w:r>
            <w:bookmarkStart w:id="44" w:name="lt_pId058"/>
            <w:bookmarkStart w:id="45" w:name="lt_pId059"/>
            <w:bookmarkEnd w:id="43"/>
            <w:bookmarkEnd w:id="44"/>
            <w:bookmarkEnd w:id="45"/>
          </w:p>
        </w:tc>
        <w:tc>
          <w:tcPr>
            <w:tcW w:w="2126" w:type="dxa"/>
          </w:tcPr>
          <w:p w14:paraId="716803B5" w14:textId="53046987" w:rsidR="004126BA" w:rsidRPr="00AC34EC" w:rsidRDefault="001E0FE9" w:rsidP="001E0FE9">
            <w:pPr>
              <w:pStyle w:val="Tabletext"/>
              <w:tabs>
                <w:tab w:val="left" w:pos="316"/>
              </w:tabs>
              <w:ind w:left="320" w:hanging="320"/>
              <w:rPr>
                <w:rFonts w:cs="Calibri"/>
                <w:bCs/>
              </w:rPr>
            </w:pPr>
            <w:bookmarkStart w:id="46" w:name="lt_pId060"/>
            <w:r w:rsidRPr="00AC34EC">
              <w:t>•</w:t>
            </w:r>
            <w:r w:rsidRPr="00AC34EC">
              <w:tab/>
            </w:r>
            <w:r w:rsidR="004126BA" w:rsidRPr="00AC34EC">
              <w:t>Обсуждение полученных вкладов</w:t>
            </w:r>
            <w:bookmarkEnd w:id="46"/>
          </w:p>
          <w:p w14:paraId="3E633708" w14:textId="6B51371B" w:rsidR="004126BA" w:rsidRPr="00AC34EC" w:rsidRDefault="001E0FE9" w:rsidP="001E0FE9">
            <w:pPr>
              <w:pStyle w:val="Tabletext"/>
              <w:tabs>
                <w:tab w:val="left" w:pos="316"/>
              </w:tabs>
              <w:ind w:left="320" w:hanging="320"/>
              <w:rPr>
                <w:rFonts w:cs="Calibri"/>
                <w:bCs/>
              </w:rPr>
            </w:pPr>
            <w:bookmarkStart w:id="47" w:name="lt_pId061"/>
            <w:r w:rsidRPr="00AC34EC">
              <w:t>•</w:t>
            </w:r>
            <w:r w:rsidRPr="00AC34EC">
              <w:tab/>
            </w:r>
            <w:r w:rsidR="004126BA" w:rsidRPr="00AC34EC">
              <w:t>Рассмотрение отчетов о собраниях</w:t>
            </w:r>
            <w:bookmarkEnd w:id="47"/>
          </w:p>
        </w:tc>
        <w:tc>
          <w:tcPr>
            <w:tcW w:w="1985" w:type="dxa"/>
          </w:tcPr>
          <w:p w14:paraId="7F43068B" w14:textId="77777777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48" w:name="lt_pId062"/>
            <w:r w:rsidRPr="00AC34EC">
              <w:t>3-е собрание – Отчет о собрании</w:t>
            </w:r>
            <w:bookmarkEnd w:id="48"/>
          </w:p>
          <w:p w14:paraId="495EFE21" w14:textId="77777777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49" w:name="lt_pId063"/>
            <w:r w:rsidRPr="00AC34EC">
              <w:t>4-е собрание – Отчет о собрании</w:t>
            </w:r>
            <w:bookmarkEnd w:id="49"/>
          </w:p>
          <w:p w14:paraId="5C4806BD" w14:textId="77777777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50" w:name="lt_pId064"/>
            <w:r w:rsidRPr="00AC34EC">
              <w:t>5-е собрание – Отчет о собрании и начало подготовки Заключительного отчета</w:t>
            </w:r>
            <w:bookmarkEnd w:id="50"/>
          </w:p>
        </w:tc>
      </w:tr>
      <w:tr w:rsidR="004126BA" w:rsidRPr="00AC34EC" w14:paraId="224A172E" w14:textId="77777777" w:rsidTr="00AC34EC">
        <w:trPr>
          <w:trHeight w:val="1429"/>
          <w:jc w:val="center"/>
        </w:trPr>
        <w:tc>
          <w:tcPr>
            <w:tcW w:w="1555" w:type="dxa"/>
          </w:tcPr>
          <w:p w14:paraId="300AD883" w14:textId="1F70CABC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51" w:name="lt_pId065"/>
            <w:r w:rsidRPr="00AC34EC">
              <w:t>6-я сессия</w:t>
            </w:r>
            <w:bookmarkEnd w:id="51"/>
          </w:p>
        </w:tc>
        <w:tc>
          <w:tcPr>
            <w:tcW w:w="4394" w:type="dxa"/>
          </w:tcPr>
          <w:p w14:paraId="2B20D6BC" w14:textId="77777777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52" w:name="lt_pId066"/>
            <w:r w:rsidRPr="00AC34EC">
              <w:t>Обсуждение проекта Заключительного отчета Совету 2026 года</w:t>
            </w:r>
            <w:bookmarkEnd w:id="52"/>
          </w:p>
        </w:tc>
        <w:tc>
          <w:tcPr>
            <w:tcW w:w="2126" w:type="dxa"/>
          </w:tcPr>
          <w:p w14:paraId="25DAA62B" w14:textId="345DFFA5" w:rsidR="004126BA" w:rsidRPr="00AC34EC" w:rsidRDefault="001E0FE9" w:rsidP="001E0FE9">
            <w:pPr>
              <w:pStyle w:val="Tabletext"/>
              <w:tabs>
                <w:tab w:val="left" w:pos="316"/>
              </w:tabs>
              <w:ind w:left="320" w:hanging="320"/>
              <w:rPr>
                <w:rFonts w:cs="Calibri"/>
                <w:bCs/>
              </w:rPr>
            </w:pPr>
            <w:bookmarkStart w:id="53" w:name="lt_pId067"/>
            <w:r w:rsidRPr="00AC34EC">
              <w:t>•</w:t>
            </w:r>
            <w:r w:rsidRPr="00AC34EC">
              <w:tab/>
            </w:r>
            <w:r w:rsidR="004126BA" w:rsidRPr="00AC34EC">
              <w:t>Обсуждение полученных вкладов</w:t>
            </w:r>
            <w:bookmarkEnd w:id="53"/>
          </w:p>
          <w:p w14:paraId="5025781E" w14:textId="451E3EDA" w:rsidR="004126BA" w:rsidRPr="00AC34EC" w:rsidRDefault="001E0FE9" w:rsidP="001E0FE9">
            <w:pPr>
              <w:pStyle w:val="Tabletext"/>
              <w:tabs>
                <w:tab w:val="left" w:pos="316"/>
              </w:tabs>
              <w:ind w:left="320" w:hanging="320"/>
              <w:rPr>
                <w:rFonts w:cs="Calibri"/>
                <w:bCs/>
              </w:rPr>
            </w:pPr>
            <w:bookmarkStart w:id="54" w:name="lt_pId068"/>
            <w:r w:rsidRPr="00AC34EC">
              <w:t>•</w:t>
            </w:r>
            <w:r w:rsidRPr="00AC34EC">
              <w:tab/>
            </w:r>
            <w:r w:rsidR="004126BA" w:rsidRPr="00AC34EC">
              <w:t>Завершение работы по Заключительному отчету Совету</w:t>
            </w:r>
            <w:bookmarkEnd w:id="54"/>
          </w:p>
        </w:tc>
        <w:tc>
          <w:tcPr>
            <w:tcW w:w="1985" w:type="dxa"/>
          </w:tcPr>
          <w:p w14:paraId="487DEF17" w14:textId="77777777" w:rsidR="004126BA" w:rsidRPr="00AC34EC" w:rsidRDefault="004126BA" w:rsidP="001E0FE9">
            <w:pPr>
              <w:pStyle w:val="Tabletext"/>
              <w:rPr>
                <w:rFonts w:cs="Calibri"/>
                <w:bCs/>
              </w:rPr>
            </w:pPr>
            <w:bookmarkStart w:id="55" w:name="lt_pId069"/>
            <w:r w:rsidRPr="00AC34EC">
              <w:t>Заключительный отчет Совету 2026 года</w:t>
            </w:r>
            <w:bookmarkEnd w:id="55"/>
          </w:p>
        </w:tc>
      </w:tr>
    </w:tbl>
    <w:p w14:paraId="5E596E05" w14:textId="77777777" w:rsidR="00F105F5" w:rsidRPr="00AC34EC" w:rsidRDefault="00F105F5" w:rsidP="001E0FE9">
      <w:pPr>
        <w:spacing w:before="720"/>
        <w:jc w:val="center"/>
      </w:pPr>
      <w:r w:rsidRPr="00AC34EC">
        <w:t>______________</w:t>
      </w:r>
    </w:p>
    <w:sectPr w:rsidR="00F105F5" w:rsidRPr="00AC34EC" w:rsidSect="004126BA">
      <w:headerReference w:type="defaul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BE44" w14:textId="77777777" w:rsidR="004126BA" w:rsidRDefault="004126BA" w:rsidP="00E54FD2">
      <w:pPr>
        <w:spacing w:before="0"/>
      </w:pPr>
      <w:r>
        <w:separator/>
      </w:r>
    </w:p>
  </w:endnote>
  <w:endnote w:type="continuationSeparator" w:id="0">
    <w:p w14:paraId="09D80220" w14:textId="77777777" w:rsidR="004126BA" w:rsidRDefault="004126B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F0C49" w:rsidRPr="004D495C" w14:paraId="5AF4E044" w14:textId="77777777" w:rsidTr="00EF0C49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FF8DC2F" w14:textId="77777777" w:rsidR="00EF0C49" w:rsidRPr="004D495C" w:rsidRDefault="00EF0C49" w:rsidP="004126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923EDD6" w14:textId="77777777" w:rsidR="00EF0C49" w:rsidRPr="00EB2F10" w:rsidRDefault="00EF0C49" w:rsidP="004126BA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0D5A452" w14:textId="6927857C" w:rsidR="00EF0C49" w:rsidRPr="004126BA" w:rsidRDefault="00EF0C49" w:rsidP="004126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bookmarkStart w:id="56" w:name="lt_pId004"/>
          <w:r>
            <w:t xml:space="preserve">г-жа Софи Мэдденс (Ms Sofie Maddens), </w:t>
          </w:r>
          <w:r>
            <w:br/>
          </w:r>
          <w:r>
            <w:t>и.о. руководителя Департамента центра цифровых знаний Бюро развития электросвязи</w:t>
          </w:r>
          <w:bookmarkEnd w:id="56"/>
        </w:p>
      </w:tc>
    </w:tr>
    <w:tr w:rsidR="00EF0C49" w:rsidRPr="004D495C" w14:paraId="39584D5E" w14:textId="77777777" w:rsidTr="00EF0C49">
      <w:tc>
        <w:tcPr>
          <w:tcW w:w="1418" w:type="dxa"/>
          <w:shd w:val="clear" w:color="auto" w:fill="auto"/>
        </w:tcPr>
        <w:p w14:paraId="7F4C7853" w14:textId="77777777" w:rsidR="00EF0C49" w:rsidRPr="004126BA" w:rsidRDefault="00EF0C49" w:rsidP="004126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3B11060" w14:textId="77777777" w:rsidR="00EF0C49" w:rsidRPr="00EB2F10" w:rsidRDefault="00EF0C49" w:rsidP="004126BA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3DBAE48" w14:textId="76FF96F7" w:rsidR="00EF0C49" w:rsidRPr="00B41105" w:rsidRDefault="00EF0C49" w:rsidP="004126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t>+41 22 730 6256</w:t>
          </w:r>
        </w:p>
      </w:tc>
    </w:tr>
    <w:tr w:rsidR="00EF0C49" w:rsidRPr="004D495C" w14:paraId="6CA69F78" w14:textId="77777777" w:rsidTr="00EF0C49">
      <w:tc>
        <w:tcPr>
          <w:tcW w:w="1418" w:type="dxa"/>
          <w:shd w:val="clear" w:color="auto" w:fill="auto"/>
        </w:tcPr>
        <w:p w14:paraId="0B9CD6DC" w14:textId="77777777" w:rsidR="00EF0C49" w:rsidRPr="004D495C" w:rsidRDefault="00EF0C49" w:rsidP="004126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AEB62E2" w14:textId="77777777" w:rsidR="00EF0C49" w:rsidRPr="00EB2F10" w:rsidRDefault="00EF0C49" w:rsidP="004126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bookmarkStart w:id="57" w:name="lt_pId008"/>
      <w:tc>
        <w:tcPr>
          <w:tcW w:w="4961" w:type="dxa"/>
        </w:tcPr>
        <w:p w14:paraId="63748D94" w14:textId="464F72CC" w:rsidR="00EF0C49" w:rsidRPr="00B41105" w:rsidRDefault="00EF0C49" w:rsidP="004126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u w:val="single"/>
            </w:rPr>
            <w:fldChar w:fldCharType="begin"/>
          </w:r>
          <w:r>
            <w:rPr>
              <w:u w:val="single"/>
            </w:rPr>
            <w:instrText>HYPERLINK "mailto:sofie.maddens@itu.int</w:instrText>
          </w:r>
          <w:r>
            <w:instrText xml:space="preserve"> </w:instrText>
          </w:r>
          <w:r>
            <w:rPr>
              <w:u w:val="single"/>
            </w:rPr>
            <w:instrText>"</w:instrText>
          </w:r>
          <w:r>
            <w:rPr>
              <w:u w:val="single"/>
            </w:rPr>
          </w:r>
          <w:r>
            <w:rPr>
              <w:u w:val="single"/>
            </w:rPr>
            <w:fldChar w:fldCharType="separate"/>
          </w:r>
          <w:r w:rsidRPr="00AF2814">
            <w:rPr>
              <w:rStyle w:val="Hyperlink"/>
            </w:rPr>
            <w:t xml:space="preserve">sofie.maddens@itu.int </w:t>
          </w:r>
          <w:bookmarkEnd w:id="57"/>
          <w:r>
            <w:rPr>
              <w:u w:val="single"/>
            </w:rPr>
            <w:fldChar w:fldCharType="end"/>
          </w:r>
        </w:p>
      </w:tc>
    </w:tr>
  </w:tbl>
  <w:p w14:paraId="4F40B8F3" w14:textId="77777777" w:rsidR="00B52E6E" w:rsidRPr="006E4AB3" w:rsidRDefault="00AC34EC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4ECA" w14:textId="77777777" w:rsidR="004126BA" w:rsidRDefault="004126BA" w:rsidP="00E54FD2">
      <w:pPr>
        <w:spacing w:before="0"/>
      </w:pPr>
      <w:r>
        <w:separator/>
      </w:r>
    </w:p>
  </w:footnote>
  <w:footnote w:type="continuationSeparator" w:id="0">
    <w:p w14:paraId="7CC9E481" w14:textId="77777777" w:rsidR="004126BA" w:rsidRDefault="004126BA" w:rsidP="00E54FD2">
      <w:pPr>
        <w:spacing w:before="0"/>
      </w:pPr>
      <w:r>
        <w:continuationSeparator/>
      </w:r>
    </w:p>
  </w:footnote>
  <w:footnote w:id="1">
    <w:p w14:paraId="0F6800AD" w14:textId="5AB7BC69" w:rsidR="004126BA" w:rsidRPr="004126BA" w:rsidRDefault="004126BA" w:rsidP="004126BA">
      <w:pPr>
        <w:pStyle w:val="FootnoteText"/>
        <w:rPr>
          <w:lang w:val="en-GB"/>
        </w:rPr>
      </w:pPr>
      <w:r w:rsidRPr="00AC34EC">
        <w:rPr>
          <w:rStyle w:val="FootnoteReference"/>
          <w:szCs w:val="16"/>
        </w:rPr>
        <w:footnoteRef/>
      </w:r>
      <w:r w:rsidR="001E0FE9">
        <w:rPr>
          <w:lang w:val="en-US"/>
        </w:rPr>
        <w:tab/>
      </w:r>
      <w:r w:rsidRPr="004568AD">
        <w:rPr>
          <w:lang w:val="en-US"/>
        </w:rPr>
        <w:t xml:space="preserve">URL: </w:t>
      </w:r>
      <w:hyperlink r:id="rId1" w:history="1">
        <w:r w:rsidRPr="00AF2814">
          <w:rPr>
            <w:rStyle w:val="Hyperlink"/>
            <w:lang w:val="en-US"/>
          </w:rPr>
          <w:t>https://www.itu.int/en/council/Pages/eg-itrs.aspx</w:t>
        </w:r>
      </w:hyperlink>
      <w:r w:rsidRPr="004568AD">
        <w:rPr>
          <w:lang w:val="en-US"/>
        </w:rPr>
        <w:t>.</w:t>
      </w:r>
      <w:hyperlink r:id="rId2" w:history="1">
        <w:bookmarkStart w:id="14" w:name="lt_pId071"/>
        <w:bookmarkEnd w:id="14"/>
      </w:hyperlink>
    </w:p>
  </w:footnote>
  <w:footnote w:id="2">
    <w:p w14:paraId="23EEB2D5" w14:textId="36E681D3" w:rsidR="004126BA" w:rsidRPr="004568AD" w:rsidRDefault="004126BA" w:rsidP="004126BA">
      <w:pPr>
        <w:pStyle w:val="FootnoteText"/>
        <w:spacing w:before="0"/>
        <w:ind w:left="0" w:firstLine="0"/>
      </w:pPr>
      <w:r w:rsidRPr="00AC34EC">
        <w:rPr>
          <w:rStyle w:val="FootnoteReference"/>
          <w:szCs w:val="16"/>
        </w:rPr>
        <w:footnoteRef/>
      </w:r>
      <w:r w:rsidR="001E0FE9">
        <w:tab/>
      </w:r>
      <w: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  <w:bookmarkStart w:id="19" w:name="lt_pId072"/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B5BF" w14:textId="3DC4CFAF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4126BA" w:rsidRPr="006D271A">
      <w:rPr>
        <w:lang w:val="de-CH"/>
      </w:rPr>
      <w:t>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585A"/>
    <w:multiLevelType w:val="hybridMultilevel"/>
    <w:tmpl w:val="9A6809EE"/>
    <w:lvl w:ilvl="0" w:tplc="E604C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9A4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502D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4A60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4E8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600C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F4A5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A81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06B6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37CA4"/>
    <w:multiLevelType w:val="hybridMultilevel"/>
    <w:tmpl w:val="179E6260"/>
    <w:lvl w:ilvl="0" w:tplc="34CA8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E69486" w:tentative="1">
      <w:start w:val="1"/>
      <w:numFmt w:val="lowerLetter"/>
      <w:lvlText w:val="%2."/>
      <w:lvlJc w:val="left"/>
      <w:pPr>
        <w:ind w:left="1440" w:hanging="360"/>
      </w:pPr>
    </w:lvl>
    <w:lvl w:ilvl="2" w:tplc="525852C8" w:tentative="1">
      <w:start w:val="1"/>
      <w:numFmt w:val="lowerRoman"/>
      <w:lvlText w:val="%3."/>
      <w:lvlJc w:val="right"/>
      <w:pPr>
        <w:ind w:left="2160" w:hanging="180"/>
      </w:pPr>
    </w:lvl>
    <w:lvl w:ilvl="3" w:tplc="22EAB972" w:tentative="1">
      <w:start w:val="1"/>
      <w:numFmt w:val="decimal"/>
      <w:lvlText w:val="%4."/>
      <w:lvlJc w:val="left"/>
      <w:pPr>
        <w:ind w:left="2880" w:hanging="360"/>
      </w:pPr>
    </w:lvl>
    <w:lvl w:ilvl="4" w:tplc="F140D532" w:tentative="1">
      <w:start w:val="1"/>
      <w:numFmt w:val="lowerLetter"/>
      <w:lvlText w:val="%5."/>
      <w:lvlJc w:val="left"/>
      <w:pPr>
        <w:ind w:left="3600" w:hanging="360"/>
      </w:pPr>
    </w:lvl>
    <w:lvl w:ilvl="5" w:tplc="7DBE8852" w:tentative="1">
      <w:start w:val="1"/>
      <w:numFmt w:val="lowerRoman"/>
      <w:lvlText w:val="%6."/>
      <w:lvlJc w:val="right"/>
      <w:pPr>
        <w:ind w:left="4320" w:hanging="180"/>
      </w:pPr>
    </w:lvl>
    <w:lvl w:ilvl="6" w:tplc="1632D30E" w:tentative="1">
      <w:start w:val="1"/>
      <w:numFmt w:val="decimal"/>
      <w:lvlText w:val="%7."/>
      <w:lvlJc w:val="left"/>
      <w:pPr>
        <w:ind w:left="5040" w:hanging="360"/>
      </w:pPr>
    </w:lvl>
    <w:lvl w:ilvl="7" w:tplc="3B4E89A6" w:tentative="1">
      <w:start w:val="1"/>
      <w:numFmt w:val="lowerLetter"/>
      <w:lvlText w:val="%8."/>
      <w:lvlJc w:val="left"/>
      <w:pPr>
        <w:ind w:left="5760" w:hanging="360"/>
      </w:pPr>
    </w:lvl>
    <w:lvl w:ilvl="8" w:tplc="3FBA3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10C1B"/>
    <w:multiLevelType w:val="hybridMultilevel"/>
    <w:tmpl w:val="2708C2BA"/>
    <w:lvl w:ilvl="0" w:tplc="12E67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583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C6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A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EE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F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C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8E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2B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06AF"/>
    <w:multiLevelType w:val="hybridMultilevel"/>
    <w:tmpl w:val="477CC04A"/>
    <w:lvl w:ilvl="0" w:tplc="9F6A1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0A2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AF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3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4A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A8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23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F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8B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80329">
    <w:abstractNumId w:val="1"/>
  </w:num>
  <w:num w:numId="2" w16cid:durableId="136076070">
    <w:abstractNumId w:val="0"/>
  </w:num>
  <w:num w:numId="3" w16cid:durableId="1895922652">
    <w:abstractNumId w:val="2"/>
  </w:num>
  <w:num w:numId="4" w16cid:durableId="3690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BA"/>
    <w:rsid w:val="000C09B0"/>
    <w:rsid w:val="000E7EAE"/>
    <w:rsid w:val="00107E03"/>
    <w:rsid w:val="00111662"/>
    <w:rsid w:val="00134D3C"/>
    <w:rsid w:val="00135135"/>
    <w:rsid w:val="00143529"/>
    <w:rsid w:val="001530FB"/>
    <w:rsid w:val="00191479"/>
    <w:rsid w:val="00197305"/>
    <w:rsid w:val="001C6DD3"/>
    <w:rsid w:val="001E0FE9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83C75"/>
    <w:rsid w:val="003A294B"/>
    <w:rsid w:val="003A5506"/>
    <w:rsid w:val="003C01D0"/>
    <w:rsid w:val="003C6E83"/>
    <w:rsid w:val="003E6E87"/>
    <w:rsid w:val="0040328D"/>
    <w:rsid w:val="004126BA"/>
    <w:rsid w:val="004143D5"/>
    <w:rsid w:val="00422053"/>
    <w:rsid w:val="00453874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E006A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9F4457"/>
    <w:rsid w:val="00A30897"/>
    <w:rsid w:val="00A44602"/>
    <w:rsid w:val="00A64F9D"/>
    <w:rsid w:val="00A73D91"/>
    <w:rsid w:val="00AA42F8"/>
    <w:rsid w:val="00AC2E0E"/>
    <w:rsid w:val="00AC34EC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D1F3E"/>
    <w:rsid w:val="00CD34AE"/>
    <w:rsid w:val="00CD6DB6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11980"/>
    <w:rsid w:val="00E30170"/>
    <w:rsid w:val="00E54FD2"/>
    <w:rsid w:val="00E82D31"/>
    <w:rsid w:val="00E94ECD"/>
    <w:rsid w:val="00EE153D"/>
    <w:rsid w:val="00EF0C49"/>
    <w:rsid w:val="00F105F5"/>
    <w:rsid w:val="00F72A94"/>
    <w:rsid w:val="00F746B3"/>
    <w:rsid w:val="00F961B7"/>
    <w:rsid w:val="00FA2BC3"/>
    <w:rsid w:val="00FA6BDB"/>
    <w:rsid w:val="00FC1008"/>
    <w:rsid w:val="00FC5ABC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E42B"/>
  <w15:docId w15:val="{E187688E-31DF-40B5-B215-DDA606A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126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126BA"/>
    <w:rPr>
      <w:rFonts w:eastAsia="Times New Roman" w:cs="Times New Roman"/>
      <w:sz w:val="24"/>
      <w:szCs w:val="20"/>
      <w:lang w:val="en-GB" w:eastAsia="en-US"/>
    </w:rPr>
  </w:style>
  <w:style w:type="paragraph" w:customStyle="1" w:styleId="BodyAA">
    <w:name w:val="Body A A"/>
    <w:rsid w:val="004126B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4-EGITRS2-C-0021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4-EGITRS2-C-0020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council/Pages/eg-itrs.aspx" TargetMode="External"/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PR_TDAG24.DOCX</Template>
  <TotalTime>17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Sikacheva, Violetta</dc:creator>
  <cp:keywords/>
  <dc:description/>
  <cp:lastModifiedBy>Sikacheva, Violetta</cp:lastModifiedBy>
  <cp:revision>7</cp:revision>
  <cp:lastPrinted>2015-03-02T13:42:00Z</cp:lastPrinted>
  <dcterms:created xsi:type="dcterms:W3CDTF">2024-03-25T12:35:00Z</dcterms:created>
  <dcterms:modified xsi:type="dcterms:W3CDTF">2024-03-25T12:52:00Z</dcterms:modified>
</cp:coreProperties>
</file>