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1A1599" w14:paraId="3F0E9EC4" w14:textId="77777777" w:rsidTr="00952667">
        <w:trPr>
          <w:cantSplit/>
          <w:trHeight w:val="1134"/>
        </w:trPr>
        <w:tc>
          <w:tcPr>
            <w:tcW w:w="6379" w:type="dxa"/>
          </w:tcPr>
          <w:p w14:paraId="68FE8375" w14:textId="60D4E501" w:rsidR="00307769" w:rsidRPr="001A1599" w:rsidRDefault="001011EB" w:rsidP="00307769">
            <w:pPr>
              <w:tabs>
                <w:tab w:val="clear" w:pos="1191"/>
                <w:tab w:val="clear" w:pos="1588"/>
                <w:tab w:val="clear" w:pos="1985"/>
              </w:tabs>
              <w:ind w:left="34"/>
              <w:rPr>
                <w:b/>
                <w:bCs/>
                <w:sz w:val="32"/>
                <w:szCs w:val="32"/>
                <w:lang w:val="fr-FR"/>
              </w:rPr>
            </w:pPr>
            <w:r w:rsidRPr="001A1599">
              <w:rPr>
                <w:b/>
                <w:bCs/>
                <w:sz w:val="32"/>
                <w:szCs w:val="32"/>
                <w:lang w:val="fr-FR"/>
              </w:rPr>
              <w:t xml:space="preserve">Groupe consultatif pour le développement </w:t>
            </w:r>
            <w:r w:rsidR="00307769" w:rsidRPr="001A1599">
              <w:rPr>
                <w:b/>
                <w:bCs/>
                <w:sz w:val="32"/>
                <w:szCs w:val="32"/>
                <w:lang w:val="fr-FR"/>
              </w:rPr>
              <w:br/>
            </w:r>
            <w:r w:rsidRPr="001A1599">
              <w:rPr>
                <w:b/>
                <w:bCs/>
                <w:sz w:val="32"/>
                <w:szCs w:val="32"/>
                <w:lang w:val="fr-FR"/>
              </w:rPr>
              <w:t>des télécommunications (GCDT</w:t>
            </w:r>
            <w:r w:rsidR="00307769" w:rsidRPr="001A1599">
              <w:rPr>
                <w:b/>
                <w:bCs/>
                <w:sz w:val="32"/>
                <w:szCs w:val="32"/>
                <w:lang w:val="fr-FR"/>
              </w:rPr>
              <w:t>)</w:t>
            </w:r>
          </w:p>
          <w:p w14:paraId="5F5F590A" w14:textId="114AEE46" w:rsidR="00307769" w:rsidRPr="001A1599" w:rsidRDefault="00307769" w:rsidP="001011EB">
            <w:pPr>
              <w:tabs>
                <w:tab w:val="clear" w:pos="1191"/>
                <w:tab w:val="clear" w:pos="1588"/>
                <w:tab w:val="clear" w:pos="1985"/>
              </w:tabs>
              <w:spacing w:after="120"/>
              <w:ind w:left="34"/>
              <w:rPr>
                <w:rFonts w:ascii="Verdana" w:hAnsi="Verdana"/>
                <w:sz w:val="28"/>
                <w:szCs w:val="28"/>
                <w:lang w:val="fr-FR"/>
              </w:rPr>
            </w:pPr>
            <w:r w:rsidRPr="001A1599">
              <w:rPr>
                <w:b/>
                <w:bCs/>
                <w:sz w:val="26"/>
                <w:szCs w:val="26"/>
                <w:lang w:val="fr-FR"/>
              </w:rPr>
              <w:t>3</w:t>
            </w:r>
            <w:r w:rsidR="00873313" w:rsidRPr="001A1599">
              <w:rPr>
                <w:b/>
                <w:bCs/>
                <w:sz w:val="26"/>
                <w:szCs w:val="26"/>
                <w:lang w:val="fr-FR"/>
              </w:rPr>
              <w:t>1</w:t>
            </w:r>
            <w:r w:rsidR="001011EB" w:rsidRPr="001A1599">
              <w:rPr>
                <w:b/>
                <w:bCs/>
                <w:sz w:val="26"/>
                <w:szCs w:val="26"/>
                <w:lang w:val="fr-FR"/>
              </w:rPr>
              <w:t>ème réunion</w:t>
            </w:r>
            <w:r w:rsidRPr="001A1599">
              <w:rPr>
                <w:b/>
                <w:bCs/>
                <w:sz w:val="26"/>
                <w:szCs w:val="26"/>
                <w:lang w:val="fr-FR"/>
              </w:rPr>
              <w:t xml:space="preserve">, </w:t>
            </w:r>
            <w:r w:rsidR="001011EB" w:rsidRPr="001A1599">
              <w:rPr>
                <w:b/>
                <w:bCs/>
                <w:sz w:val="26"/>
                <w:szCs w:val="26"/>
                <w:lang w:val="fr-FR"/>
              </w:rPr>
              <w:t>Genève</w:t>
            </w:r>
            <w:r w:rsidR="00D47E23" w:rsidRPr="001A1599">
              <w:rPr>
                <w:b/>
                <w:bCs/>
                <w:sz w:val="26"/>
                <w:szCs w:val="26"/>
                <w:lang w:val="fr-FR"/>
              </w:rPr>
              <w:t xml:space="preserve">, </w:t>
            </w:r>
            <w:r w:rsidR="001011EB" w:rsidRPr="001A1599">
              <w:rPr>
                <w:b/>
                <w:bCs/>
                <w:sz w:val="26"/>
                <w:szCs w:val="26"/>
                <w:lang w:val="fr-FR"/>
              </w:rPr>
              <w:t>Suisse</w:t>
            </w:r>
            <w:r w:rsidRPr="001A1599">
              <w:rPr>
                <w:b/>
                <w:bCs/>
                <w:sz w:val="26"/>
                <w:szCs w:val="26"/>
                <w:lang w:val="fr-FR"/>
              </w:rPr>
              <w:t xml:space="preserve">, </w:t>
            </w:r>
            <w:r w:rsidR="00873313" w:rsidRPr="001A1599">
              <w:rPr>
                <w:b/>
                <w:bCs/>
                <w:sz w:val="26"/>
                <w:szCs w:val="26"/>
                <w:lang w:val="fr-FR"/>
              </w:rPr>
              <w:t>20</w:t>
            </w:r>
            <w:r w:rsidRPr="001A1599">
              <w:rPr>
                <w:b/>
                <w:bCs/>
                <w:sz w:val="26"/>
                <w:szCs w:val="26"/>
                <w:lang w:val="fr-FR"/>
              </w:rPr>
              <w:t>-</w:t>
            </w:r>
            <w:r w:rsidR="00873313" w:rsidRPr="001A1599">
              <w:rPr>
                <w:b/>
                <w:bCs/>
                <w:sz w:val="26"/>
                <w:szCs w:val="26"/>
                <w:lang w:val="fr-FR"/>
              </w:rPr>
              <w:t>2</w:t>
            </w:r>
            <w:r w:rsidR="00930514" w:rsidRPr="001A1599">
              <w:rPr>
                <w:b/>
                <w:bCs/>
                <w:sz w:val="26"/>
                <w:szCs w:val="26"/>
                <w:lang w:val="fr-FR"/>
              </w:rPr>
              <w:t>3</w:t>
            </w:r>
            <w:r w:rsidR="00873313" w:rsidRPr="001A1599">
              <w:rPr>
                <w:b/>
                <w:bCs/>
                <w:sz w:val="26"/>
                <w:szCs w:val="26"/>
                <w:lang w:val="fr-FR"/>
              </w:rPr>
              <w:t xml:space="preserve"> mai</w:t>
            </w:r>
            <w:r w:rsidRPr="001A1599">
              <w:rPr>
                <w:b/>
                <w:bCs/>
                <w:sz w:val="26"/>
                <w:szCs w:val="26"/>
                <w:lang w:val="fr-FR"/>
              </w:rPr>
              <w:t xml:space="preserve"> 202</w:t>
            </w:r>
            <w:r w:rsidR="00873313" w:rsidRPr="001A1599">
              <w:rPr>
                <w:b/>
                <w:bCs/>
                <w:sz w:val="26"/>
                <w:szCs w:val="26"/>
                <w:lang w:val="fr-FR"/>
              </w:rPr>
              <w:t>4</w:t>
            </w:r>
          </w:p>
        </w:tc>
        <w:tc>
          <w:tcPr>
            <w:tcW w:w="3509" w:type="dxa"/>
          </w:tcPr>
          <w:p w14:paraId="67E7B4C4" w14:textId="0F52E4CC" w:rsidR="00307769" w:rsidRPr="001A1599" w:rsidRDefault="00307769" w:rsidP="00952667">
            <w:pPr>
              <w:spacing w:after="120"/>
              <w:ind w:right="142"/>
              <w:jc w:val="right"/>
              <w:rPr>
                <w:lang w:val="fr-FR"/>
              </w:rPr>
            </w:pPr>
            <w:r w:rsidRPr="001A1599">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A1599" w14:paraId="3C13197B" w14:textId="77777777" w:rsidTr="0009076F">
        <w:trPr>
          <w:cantSplit/>
        </w:trPr>
        <w:tc>
          <w:tcPr>
            <w:tcW w:w="6379" w:type="dxa"/>
            <w:tcBorders>
              <w:top w:val="single" w:sz="12" w:space="0" w:color="auto"/>
            </w:tcBorders>
          </w:tcPr>
          <w:p w14:paraId="2EED9DB2" w14:textId="77777777" w:rsidR="00683C32" w:rsidRPr="001A1599"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1A1599" w:rsidRDefault="00683C32" w:rsidP="00107E85">
            <w:pPr>
              <w:spacing w:before="0"/>
              <w:rPr>
                <w:b/>
                <w:bCs/>
                <w:sz w:val="20"/>
                <w:lang w:val="fr-FR"/>
              </w:rPr>
            </w:pPr>
          </w:p>
        </w:tc>
      </w:tr>
      <w:tr w:rsidR="00683C32" w:rsidRPr="001A1599" w14:paraId="0BB3FBC4" w14:textId="77777777" w:rsidTr="0009076F">
        <w:trPr>
          <w:cantSplit/>
        </w:trPr>
        <w:tc>
          <w:tcPr>
            <w:tcW w:w="6379" w:type="dxa"/>
          </w:tcPr>
          <w:p w14:paraId="43C54B3D" w14:textId="77777777" w:rsidR="00683C32" w:rsidRPr="001A1599" w:rsidRDefault="00683C32" w:rsidP="00400CCF">
            <w:pPr>
              <w:pStyle w:val="Committee"/>
              <w:spacing w:before="0"/>
              <w:rPr>
                <w:b w:val="0"/>
                <w:szCs w:val="24"/>
                <w:lang w:val="fr-FR"/>
              </w:rPr>
            </w:pPr>
          </w:p>
        </w:tc>
        <w:tc>
          <w:tcPr>
            <w:tcW w:w="3509" w:type="dxa"/>
          </w:tcPr>
          <w:p w14:paraId="02E44EE9" w14:textId="700326BF" w:rsidR="00683C32" w:rsidRPr="001A1599" w:rsidRDefault="0096201B" w:rsidP="00E25345">
            <w:pPr>
              <w:spacing w:before="0"/>
              <w:jc w:val="both"/>
              <w:rPr>
                <w:bCs/>
                <w:szCs w:val="24"/>
                <w:lang w:val="fr-FR"/>
              </w:rPr>
            </w:pPr>
            <w:r w:rsidRPr="001A1599">
              <w:rPr>
                <w:b/>
                <w:bCs/>
                <w:lang w:val="fr-FR"/>
              </w:rPr>
              <w:t xml:space="preserve">Document </w:t>
            </w:r>
            <w:bookmarkStart w:id="0" w:name="DocRef1"/>
            <w:bookmarkEnd w:id="0"/>
            <w:r w:rsidRPr="001A1599">
              <w:rPr>
                <w:b/>
                <w:bCs/>
                <w:lang w:val="fr-FR"/>
              </w:rPr>
              <w:t>TDAG</w:t>
            </w:r>
            <w:r w:rsidR="003242AB" w:rsidRPr="001A1599">
              <w:rPr>
                <w:b/>
                <w:bCs/>
                <w:lang w:val="fr-FR"/>
              </w:rPr>
              <w:t>-</w:t>
            </w:r>
            <w:r w:rsidR="00B648C7" w:rsidRPr="001A1599">
              <w:rPr>
                <w:b/>
                <w:bCs/>
                <w:lang w:val="fr-FR"/>
              </w:rPr>
              <w:t>2</w:t>
            </w:r>
            <w:bookmarkStart w:id="1" w:name="DocNo1"/>
            <w:bookmarkEnd w:id="1"/>
            <w:r w:rsidR="00873313" w:rsidRPr="001A1599">
              <w:rPr>
                <w:b/>
                <w:bCs/>
                <w:lang w:val="fr-FR"/>
              </w:rPr>
              <w:t>4</w:t>
            </w:r>
            <w:r w:rsidR="0009076F" w:rsidRPr="001A1599">
              <w:rPr>
                <w:b/>
                <w:bCs/>
                <w:lang w:val="fr-FR"/>
              </w:rPr>
              <w:t>/</w:t>
            </w:r>
            <w:r w:rsidR="000A0AE2" w:rsidRPr="001A1599">
              <w:rPr>
                <w:b/>
                <w:bCs/>
                <w:lang w:val="fr-FR"/>
              </w:rPr>
              <w:t>3</w:t>
            </w:r>
            <w:r w:rsidRPr="001A1599">
              <w:rPr>
                <w:b/>
                <w:bCs/>
                <w:lang w:val="fr-FR"/>
              </w:rPr>
              <w:t>-</w:t>
            </w:r>
            <w:r w:rsidR="00E25345" w:rsidRPr="001A1599">
              <w:rPr>
                <w:b/>
                <w:bCs/>
                <w:lang w:val="fr-FR"/>
              </w:rPr>
              <w:t>F</w:t>
            </w:r>
          </w:p>
        </w:tc>
      </w:tr>
      <w:tr w:rsidR="00683C32" w:rsidRPr="001A1599" w14:paraId="24D04936" w14:textId="77777777" w:rsidTr="0009076F">
        <w:trPr>
          <w:cantSplit/>
        </w:trPr>
        <w:tc>
          <w:tcPr>
            <w:tcW w:w="6379" w:type="dxa"/>
          </w:tcPr>
          <w:p w14:paraId="12CE4DBF" w14:textId="77777777" w:rsidR="00683C32" w:rsidRPr="001A1599" w:rsidRDefault="00683C32" w:rsidP="00400CCF">
            <w:pPr>
              <w:spacing w:before="0"/>
              <w:rPr>
                <w:b/>
                <w:bCs/>
                <w:smallCaps/>
                <w:szCs w:val="24"/>
                <w:lang w:val="fr-FR"/>
              </w:rPr>
            </w:pPr>
          </w:p>
        </w:tc>
        <w:tc>
          <w:tcPr>
            <w:tcW w:w="3509" w:type="dxa"/>
          </w:tcPr>
          <w:p w14:paraId="0F89640F" w14:textId="12BF569D" w:rsidR="00683C32" w:rsidRPr="001A1599" w:rsidRDefault="000A0AE2" w:rsidP="00B648C7">
            <w:pPr>
              <w:spacing w:before="0"/>
              <w:rPr>
                <w:b/>
                <w:szCs w:val="24"/>
                <w:lang w:val="fr-FR"/>
              </w:rPr>
            </w:pPr>
            <w:bookmarkStart w:id="2" w:name="CreationDate"/>
            <w:bookmarkEnd w:id="2"/>
            <w:r w:rsidRPr="001A1599">
              <w:rPr>
                <w:b/>
                <w:bCs/>
                <w:szCs w:val="28"/>
                <w:lang w:val="fr-FR"/>
              </w:rPr>
              <w:t>19 mars</w:t>
            </w:r>
            <w:r w:rsidR="00CE0422" w:rsidRPr="001A1599">
              <w:rPr>
                <w:b/>
                <w:bCs/>
                <w:szCs w:val="28"/>
                <w:lang w:val="fr-FR"/>
              </w:rPr>
              <w:t xml:space="preserve"> 20</w:t>
            </w:r>
            <w:r w:rsidR="00B648C7" w:rsidRPr="001A1599">
              <w:rPr>
                <w:b/>
                <w:bCs/>
                <w:szCs w:val="28"/>
                <w:lang w:val="fr-FR"/>
              </w:rPr>
              <w:t>2</w:t>
            </w:r>
            <w:r w:rsidR="005A0CA5" w:rsidRPr="001A1599">
              <w:rPr>
                <w:b/>
                <w:bCs/>
                <w:szCs w:val="28"/>
                <w:lang w:val="fr-FR"/>
              </w:rPr>
              <w:t>4</w:t>
            </w:r>
          </w:p>
        </w:tc>
      </w:tr>
      <w:tr w:rsidR="00683C32" w:rsidRPr="001A1599" w14:paraId="7B96545F" w14:textId="77777777" w:rsidTr="0009076F">
        <w:trPr>
          <w:cantSplit/>
        </w:trPr>
        <w:tc>
          <w:tcPr>
            <w:tcW w:w="6379" w:type="dxa"/>
          </w:tcPr>
          <w:p w14:paraId="65956FD3" w14:textId="77777777" w:rsidR="00683C32" w:rsidRPr="001A1599" w:rsidRDefault="00683C32" w:rsidP="00400CCF">
            <w:pPr>
              <w:spacing w:before="0"/>
              <w:rPr>
                <w:b/>
                <w:bCs/>
                <w:smallCaps/>
                <w:szCs w:val="24"/>
                <w:lang w:val="fr-FR"/>
              </w:rPr>
            </w:pPr>
          </w:p>
        </w:tc>
        <w:tc>
          <w:tcPr>
            <w:tcW w:w="3509" w:type="dxa"/>
          </w:tcPr>
          <w:p w14:paraId="30EFD39F" w14:textId="33ACFB79" w:rsidR="00514D2F" w:rsidRPr="001A1599" w:rsidRDefault="0096201B" w:rsidP="001011EB">
            <w:pPr>
              <w:spacing w:before="0"/>
              <w:rPr>
                <w:szCs w:val="24"/>
                <w:lang w:val="fr-FR"/>
              </w:rPr>
            </w:pPr>
            <w:r w:rsidRPr="001A1599">
              <w:rPr>
                <w:b/>
                <w:lang w:val="fr-FR"/>
              </w:rPr>
              <w:t>Original:</w:t>
            </w:r>
            <w:bookmarkStart w:id="3" w:name="Original"/>
            <w:bookmarkEnd w:id="3"/>
            <w:r w:rsidR="00CE0422" w:rsidRPr="001A1599">
              <w:rPr>
                <w:b/>
                <w:lang w:val="fr-FR"/>
              </w:rPr>
              <w:t xml:space="preserve"> </w:t>
            </w:r>
            <w:r w:rsidR="001011EB" w:rsidRPr="001A1599">
              <w:rPr>
                <w:b/>
                <w:lang w:val="fr-FR"/>
              </w:rPr>
              <w:t>anglais</w:t>
            </w:r>
          </w:p>
        </w:tc>
      </w:tr>
      <w:tr w:rsidR="00A13162" w:rsidRPr="001A1599" w14:paraId="31656E31" w14:textId="77777777" w:rsidTr="00107E85">
        <w:trPr>
          <w:cantSplit/>
          <w:trHeight w:val="852"/>
        </w:trPr>
        <w:tc>
          <w:tcPr>
            <w:tcW w:w="9888" w:type="dxa"/>
            <w:gridSpan w:val="2"/>
          </w:tcPr>
          <w:p w14:paraId="512FCA01" w14:textId="771B544B" w:rsidR="00A13162" w:rsidRPr="001A1599" w:rsidRDefault="000A0AE2" w:rsidP="0030353C">
            <w:pPr>
              <w:pStyle w:val="Source"/>
              <w:rPr>
                <w:lang w:val="fr-FR"/>
              </w:rPr>
            </w:pPr>
            <w:bookmarkStart w:id="4" w:name="Source"/>
            <w:bookmarkEnd w:id="4"/>
            <w:r w:rsidRPr="001A1599">
              <w:rPr>
                <w:lang w:val="fr-FR"/>
              </w:rPr>
              <w:t>Directeur du Bureau de développement des télécommunications</w:t>
            </w:r>
          </w:p>
        </w:tc>
      </w:tr>
      <w:tr w:rsidR="00AC6F14" w:rsidRPr="001A1599" w14:paraId="2CBD3A36" w14:textId="77777777" w:rsidTr="00107E85">
        <w:trPr>
          <w:cantSplit/>
        </w:trPr>
        <w:tc>
          <w:tcPr>
            <w:tcW w:w="9888" w:type="dxa"/>
            <w:gridSpan w:val="2"/>
          </w:tcPr>
          <w:p w14:paraId="1B4121DF" w14:textId="31A15D6F" w:rsidR="00AC6F14" w:rsidRPr="001A1599" w:rsidRDefault="000A0AE2" w:rsidP="001011EB">
            <w:pPr>
              <w:pStyle w:val="Title1"/>
              <w:rPr>
                <w:lang w:val="fr-FR"/>
              </w:rPr>
            </w:pPr>
            <w:bookmarkStart w:id="5" w:name="Title"/>
            <w:bookmarkEnd w:id="5"/>
            <w:r w:rsidRPr="001A1599">
              <w:rPr>
                <w:lang w:val="fr-FR"/>
              </w:rPr>
              <w:t>Rapport sur les travaux du Groupe d'experts sur le Règlement des télécommunications internationales (EG-RTI) au GCDT</w:t>
            </w:r>
          </w:p>
        </w:tc>
      </w:tr>
      <w:tr w:rsidR="00A721F4" w:rsidRPr="001A1599" w14:paraId="23A30231" w14:textId="77777777" w:rsidTr="00A721F4">
        <w:trPr>
          <w:cantSplit/>
        </w:trPr>
        <w:tc>
          <w:tcPr>
            <w:tcW w:w="9888" w:type="dxa"/>
            <w:gridSpan w:val="2"/>
            <w:tcBorders>
              <w:bottom w:val="single" w:sz="4" w:space="0" w:color="auto"/>
            </w:tcBorders>
          </w:tcPr>
          <w:p w14:paraId="726EE70E" w14:textId="77777777" w:rsidR="00A721F4" w:rsidRPr="001A1599" w:rsidRDefault="00A721F4" w:rsidP="0030353C">
            <w:pPr>
              <w:rPr>
                <w:lang w:val="fr-FR"/>
              </w:rPr>
            </w:pPr>
          </w:p>
        </w:tc>
      </w:tr>
      <w:tr w:rsidR="00A721F4" w:rsidRPr="001A1599"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1A1599" w:rsidRDefault="001011EB" w:rsidP="00EA0C51">
            <w:pPr>
              <w:spacing w:after="120"/>
              <w:rPr>
                <w:b/>
                <w:bCs/>
                <w:szCs w:val="24"/>
                <w:lang w:val="fr-FR"/>
              </w:rPr>
            </w:pPr>
            <w:r w:rsidRPr="001A1599">
              <w:rPr>
                <w:b/>
                <w:bCs/>
                <w:szCs w:val="24"/>
                <w:lang w:val="fr-FR"/>
              </w:rPr>
              <w:t>Résumé</w:t>
            </w:r>
            <w:r w:rsidR="00A721F4" w:rsidRPr="001A1599">
              <w:rPr>
                <w:b/>
                <w:bCs/>
                <w:szCs w:val="24"/>
                <w:lang w:val="fr-FR"/>
              </w:rPr>
              <w:t>:</w:t>
            </w:r>
          </w:p>
          <w:p w14:paraId="4082D7E8" w14:textId="2D704B3C" w:rsidR="00A721F4" w:rsidRPr="001A1599" w:rsidRDefault="000A0AE2" w:rsidP="00EA0C51">
            <w:pPr>
              <w:spacing w:after="120"/>
              <w:rPr>
                <w:szCs w:val="24"/>
                <w:lang w:val="fr-FR"/>
              </w:rPr>
            </w:pPr>
            <w:r w:rsidRPr="001A1599">
              <w:rPr>
                <w:lang w:val="fr-FR"/>
              </w:rPr>
              <w:t>Le présent rapport d'activité rend compte des principaux résultats des première et deuxième</w:t>
            </w:r>
            <w:r w:rsidR="00D907B1" w:rsidRPr="001A1599">
              <w:rPr>
                <w:lang w:val="fr-FR"/>
              </w:rPr>
              <w:t> </w:t>
            </w:r>
            <w:r w:rsidRPr="001A1599">
              <w:rPr>
                <w:lang w:val="fr-FR"/>
              </w:rPr>
              <w:t>réunions du Groupe d'experts sur le Règlement des télécommunications internationales (EG-RTI), tenues respectivement le 16 octobre 2023 et les 29 et 30 janvier 2024, conformément à la Résolution 146 (Rév. Bucarest, 2022) de la Conférence de plénipotentiaires et à la Résolution</w:t>
            </w:r>
            <w:r w:rsidR="00D907B1" w:rsidRPr="001A1599">
              <w:rPr>
                <w:lang w:val="fr-FR"/>
              </w:rPr>
              <w:t> </w:t>
            </w:r>
            <w:r w:rsidRPr="001A1599">
              <w:rPr>
                <w:lang w:val="fr-FR"/>
              </w:rPr>
              <w:t>1379 du Conseil (Mod. 2023).</w:t>
            </w:r>
          </w:p>
          <w:p w14:paraId="76A1C541" w14:textId="23209CDB" w:rsidR="00A721F4" w:rsidRPr="001A1599" w:rsidRDefault="001011EB" w:rsidP="00EA0C51">
            <w:pPr>
              <w:spacing w:after="120"/>
              <w:rPr>
                <w:b/>
                <w:bCs/>
                <w:szCs w:val="24"/>
                <w:lang w:val="fr-FR"/>
              </w:rPr>
            </w:pPr>
            <w:r w:rsidRPr="001A1599">
              <w:rPr>
                <w:b/>
                <w:bCs/>
                <w:lang w:val="fr-FR"/>
              </w:rPr>
              <w:t>Suite à donner</w:t>
            </w:r>
            <w:r w:rsidR="00A721F4" w:rsidRPr="001A1599">
              <w:rPr>
                <w:b/>
                <w:bCs/>
                <w:lang w:val="fr-FR"/>
              </w:rPr>
              <w:t>:</w:t>
            </w:r>
          </w:p>
          <w:p w14:paraId="371956FC" w14:textId="6AECC50C" w:rsidR="00A721F4" w:rsidRPr="001A1599" w:rsidRDefault="000A0AE2" w:rsidP="00EA0C51">
            <w:pPr>
              <w:spacing w:after="120"/>
              <w:rPr>
                <w:lang w:val="fr-FR"/>
              </w:rPr>
            </w:pPr>
            <w:r w:rsidRPr="001A1599">
              <w:rPr>
                <w:lang w:val="fr-FR"/>
              </w:rPr>
              <w:t>En vertu de la Résolution 146 (Rév. Bucarest, 2022), les Directeurs des Bureaux sont chargés, "</w:t>
            </w:r>
            <w:r w:rsidRPr="001A1599">
              <w:rPr>
                <w:i/>
                <w:iCs/>
                <w:lang w:val="fr-FR"/>
              </w:rPr>
              <w:t>chacun dans son domaine de compétence, en prenant l'avis des groupes consultatifs concernés, de contribuer aux activités du Groupe d'experts sur le RTI, étant entendu que le Secteur de la normalisation des télécommunications de l'UIT effectue la plus grande partie du travail concernant le RTI</w:t>
            </w:r>
            <w:r w:rsidRPr="001A1599">
              <w:rPr>
                <w:lang w:val="fr-FR"/>
              </w:rPr>
              <w:t>".</w:t>
            </w:r>
          </w:p>
          <w:p w14:paraId="18505087" w14:textId="41CDB5A0" w:rsidR="000A0AE2" w:rsidRPr="001A1599" w:rsidRDefault="000A0AE2" w:rsidP="00EA0C51">
            <w:pPr>
              <w:spacing w:after="120"/>
              <w:rPr>
                <w:szCs w:val="24"/>
                <w:lang w:val="fr-FR"/>
              </w:rPr>
            </w:pPr>
            <w:r w:rsidRPr="001A1599">
              <w:rPr>
                <w:szCs w:val="24"/>
                <w:lang w:val="fr-FR"/>
              </w:rPr>
              <w:t>Le GCDT est invité à prendre note du présent document à sa 31ème réunion, qui se tiendra du 20</w:t>
            </w:r>
            <w:r w:rsidR="00170746" w:rsidRPr="001A1599">
              <w:rPr>
                <w:szCs w:val="24"/>
                <w:lang w:val="fr-FR"/>
              </w:rPr>
              <w:t> </w:t>
            </w:r>
            <w:r w:rsidRPr="001A1599">
              <w:rPr>
                <w:szCs w:val="24"/>
                <w:lang w:val="fr-FR"/>
              </w:rPr>
              <w:t>au 23 mai 2024.</w:t>
            </w:r>
          </w:p>
          <w:p w14:paraId="622ACB80" w14:textId="39EE560D" w:rsidR="00A721F4" w:rsidRPr="001A1599" w:rsidRDefault="00A721F4" w:rsidP="00EA0C51">
            <w:pPr>
              <w:spacing w:after="120"/>
              <w:rPr>
                <w:b/>
                <w:bCs/>
                <w:szCs w:val="24"/>
                <w:lang w:val="fr-FR"/>
              </w:rPr>
            </w:pPr>
            <w:r w:rsidRPr="001A1599">
              <w:rPr>
                <w:b/>
                <w:bCs/>
                <w:szCs w:val="24"/>
                <w:lang w:val="fr-FR"/>
              </w:rPr>
              <w:t>R</w:t>
            </w:r>
            <w:r w:rsidR="001011EB" w:rsidRPr="001A1599">
              <w:rPr>
                <w:b/>
                <w:bCs/>
                <w:szCs w:val="24"/>
                <w:lang w:val="fr-FR"/>
              </w:rPr>
              <w:t>é</w:t>
            </w:r>
            <w:r w:rsidRPr="001A1599">
              <w:rPr>
                <w:b/>
                <w:bCs/>
                <w:szCs w:val="24"/>
                <w:lang w:val="fr-FR"/>
              </w:rPr>
              <w:t>f</w:t>
            </w:r>
            <w:r w:rsidR="001011EB" w:rsidRPr="001A1599">
              <w:rPr>
                <w:b/>
                <w:bCs/>
                <w:szCs w:val="24"/>
                <w:lang w:val="fr-FR"/>
              </w:rPr>
              <w:t>é</w:t>
            </w:r>
            <w:r w:rsidRPr="001A1599">
              <w:rPr>
                <w:b/>
                <w:bCs/>
                <w:szCs w:val="24"/>
                <w:lang w:val="fr-FR"/>
              </w:rPr>
              <w:t>rences:</w:t>
            </w:r>
          </w:p>
          <w:p w14:paraId="26B3CAD0" w14:textId="5C8E88E1" w:rsidR="000A0AE2" w:rsidRPr="001A1599" w:rsidRDefault="001A1599" w:rsidP="000A0AE2">
            <w:pPr>
              <w:spacing w:after="120"/>
              <w:rPr>
                <w:lang w:val="fr-FR"/>
              </w:rPr>
            </w:pPr>
            <w:hyperlink r:id="rId11" w:history="1">
              <w:r w:rsidR="000A0AE2" w:rsidRPr="001A1599">
                <w:rPr>
                  <w:rStyle w:val="Hyperlink"/>
                  <w:shd w:val="clear" w:color="auto" w:fill="FFFFFF" w:themeFill="background1"/>
                  <w:lang w:val="fr-FR"/>
                </w:rPr>
                <w:t>Résolution 146 (Rév. Bu</w:t>
              </w:r>
              <w:r w:rsidR="000A0AE2" w:rsidRPr="001A1599">
                <w:rPr>
                  <w:rStyle w:val="Hyperlink"/>
                  <w:shd w:val="clear" w:color="auto" w:fill="FFFFFF" w:themeFill="background1"/>
                  <w:lang w:val="fr-FR"/>
                </w:rPr>
                <w:t>c</w:t>
              </w:r>
              <w:r w:rsidR="000A0AE2" w:rsidRPr="001A1599">
                <w:rPr>
                  <w:rStyle w:val="Hyperlink"/>
                  <w:shd w:val="clear" w:color="auto" w:fill="FFFFFF" w:themeFill="background1"/>
                  <w:lang w:val="fr-FR"/>
                </w:rPr>
                <w:t>arest, 2022)</w:t>
              </w:r>
            </w:hyperlink>
            <w:r w:rsidR="000A0AE2" w:rsidRPr="001A1599">
              <w:rPr>
                <w:lang w:val="fr-FR"/>
              </w:rPr>
              <w:t xml:space="preserve"> de la Conférence de plénipotentiaires – Examen périodique du Règlement des télécommunications internationales</w:t>
            </w:r>
          </w:p>
          <w:p w14:paraId="1ECDD20E" w14:textId="39EC25D2" w:rsidR="00A721F4" w:rsidRPr="001A1599" w:rsidRDefault="001A1599" w:rsidP="000A0AE2">
            <w:pPr>
              <w:spacing w:after="120"/>
              <w:rPr>
                <w:lang w:val="fr-FR"/>
              </w:rPr>
            </w:pPr>
            <w:hyperlink r:id="rId12" w:history="1">
              <w:r w:rsidR="000A0AE2" w:rsidRPr="001A1599">
                <w:rPr>
                  <w:rStyle w:val="Hyperlink"/>
                  <w:lang w:val="fr-FR"/>
                </w:rPr>
                <w:t>Résolution 1379 du C</w:t>
              </w:r>
              <w:r w:rsidR="000A0AE2" w:rsidRPr="001A1599">
                <w:rPr>
                  <w:rStyle w:val="Hyperlink"/>
                  <w:lang w:val="fr-FR"/>
                </w:rPr>
                <w:t>o</w:t>
              </w:r>
              <w:r w:rsidR="000A0AE2" w:rsidRPr="001A1599">
                <w:rPr>
                  <w:rStyle w:val="Hyperlink"/>
                  <w:lang w:val="fr-FR"/>
                </w:rPr>
                <w:t>nseil (Mod. 2023)</w:t>
              </w:r>
            </w:hyperlink>
            <w:r w:rsidR="000A0AE2" w:rsidRPr="001A1599">
              <w:rPr>
                <w:lang w:val="fr-FR"/>
              </w:rPr>
              <w:t>: Groupe d'experts sur le Règlement des télécommunications internationales (EG-RTI)</w:t>
            </w:r>
          </w:p>
        </w:tc>
      </w:tr>
    </w:tbl>
    <w:p w14:paraId="5B29B2A3" w14:textId="77777777" w:rsidR="00923CF1" w:rsidRPr="001A1599" w:rsidRDefault="00923CF1">
      <w:pPr>
        <w:tabs>
          <w:tab w:val="clear" w:pos="794"/>
          <w:tab w:val="clear" w:pos="1191"/>
          <w:tab w:val="clear" w:pos="1588"/>
          <w:tab w:val="clear" w:pos="1985"/>
        </w:tabs>
        <w:overflowPunct/>
        <w:autoSpaceDE/>
        <w:autoSpaceDN/>
        <w:adjustRightInd/>
        <w:spacing w:before="0"/>
        <w:textAlignment w:val="auto"/>
        <w:rPr>
          <w:lang w:val="fr-FR"/>
        </w:rPr>
      </w:pPr>
      <w:r w:rsidRPr="001A1599">
        <w:rPr>
          <w:lang w:val="fr-FR"/>
        </w:rPr>
        <w:br w:type="page"/>
      </w:r>
    </w:p>
    <w:p w14:paraId="5DAAD4E0" w14:textId="2DD78890" w:rsidR="00A246A1" w:rsidRPr="001A1599" w:rsidRDefault="00A246A1" w:rsidP="00A246A1">
      <w:pPr>
        <w:pStyle w:val="Heading1"/>
        <w:rPr>
          <w:lang w:val="fr-FR"/>
        </w:rPr>
      </w:pPr>
      <w:r w:rsidRPr="001A1599">
        <w:rPr>
          <w:lang w:val="fr-FR"/>
        </w:rPr>
        <w:lastRenderedPageBreak/>
        <w:t>1</w:t>
      </w:r>
      <w:r w:rsidRPr="001A1599">
        <w:rPr>
          <w:lang w:val="fr-FR"/>
        </w:rPr>
        <w:tab/>
        <w:t>Considérations générales</w:t>
      </w:r>
    </w:p>
    <w:p w14:paraId="7DB58803" w14:textId="5BD5F034" w:rsidR="00A246A1" w:rsidRPr="001A1599" w:rsidRDefault="00A246A1" w:rsidP="00A246A1">
      <w:pPr>
        <w:rPr>
          <w:lang w:val="fr-FR"/>
        </w:rPr>
      </w:pPr>
      <w:r w:rsidRPr="001A1599">
        <w:rPr>
          <w:lang w:val="fr-FR"/>
        </w:rPr>
        <w:t>Le présent document a pour objet de présenter l'état d'avancement des travaux du Groupe d'experts sur le Règlement des télécommunications internationales (EG-RTI)</w:t>
      </w:r>
      <w:r w:rsidRPr="001A1599">
        <w:rPr>
          <w:rStyle w:val="FootnoteReference"/>
          <w:lang w:val="fr-FR"/>
        </w:rPr>
        <w:footnoteReference w:id="1"/>
      </w:r>
      <w:r w:rsidRPr="001A1599">
        <w:rPr>
          <w:lang w:val="fr-FR"/>
        </w:rPr>
        <w:t>, conformément à la décision prise par la Conférence de plénipotentiaires de l'UIT (Bucarest,</w:t>
      </w:r>
      <w:r w:rsidR="00F50D6C" w:rsidRPr="001A1599">
        <w:rPr>
          <w:lang w:val="fr-FR"/>
        </w:rPr>
        <w:t xml:space="preserve"> </w:t>
      </w:r>
      <w:r w:rsidRPr="001A1599">
        <w:rPr>
          <w:lang w:val="fr-FR"/>
        </w:rPr>
        <w:t>26</w:t>
      </w:r>
      <w:r w:rsidR="00F50D6C" w:rsidRPr="001A1599">
        <w:rPr>
          <w:lang w:val="fr-FR"/>
        </w:rPr>
        <w:t xml:space="preserve"> </w:t>
      </w:r>
      <w:r w:rsidRPr="001A1599">
        <w:rPr>
          <w:lang w:val="fr-FR"/>
        </w:rPr>
        <w:t>septembre</w:t>
      </w:r>
      <w:r w:rsidR="00F50D6C" w:rsidRPr="001A1599">
        <w:rPr>
          <w:lang w:val="fr-FR"/>
        </w:rPr>
        <w:t xml:space="preserve"> </w:t>
      </w:r>
      <w:r w:rsidRPr="001A1599">
        <w:rPr>
          <w:lang w:val="fr-FR"/>
        </w:rPr>
        <w:t>–</w:t>
      </w:r>
      <w:r w:rsidR="00F50D6C" w:rsidRPr="001A1599">
        <w:rPr>
          <w:lang w:val="fr-FR"/>
        </w:rPr>
        <w:t xml:space="preserve"> </w:t>
      </w:r>
      <w:r w:rsidRPr="001A1599">
        <w:rPr>
          <w:lang w:val="fr-FR"/>
        </w:rPr>
        <w:t>14</w:t>
      </w:r>
      <w:r w:rsidR="00F50D6C" w:rsidRPr="001A1599">
        <w:rPr>
          <w:lang w:val="fr-FR"/>
        </w:rPr>
        <w:t> </w:t>
      </w:r>
      <w:r w:rsidRPr="001A1599">
        <w:rPr>
          <w:lang w:val="fr-FR"/>
        </w:rPr>
        <w:t>octobre 2022) à la suite de l'approbation de la Résolution 146 (Rév. Bucarest, 2022) relative à l'examen périodique du RTI. Le présent rapport est axé sur les principaux résultats des première et deuxième réunions du Groupe EG-RTI, tenues respectivement le 16 octobre 2023 et les 29 et 30</w:t>
      </w:r>
      <w:r w:rsidR="00F50D6C" w:rsidRPr="001A1599">
        <w:rPr>
          <w:lang w:val="fr-FR"/>
        </w:rPr>
        <w:t> </w:t>
      </w:r>
      <w:r w:rsidRPr="001A1599">
        <w:rPr>
          <w:lang w:val="fr-FR"/>
        </w:rPr>
        <w:t>janvier 2024.</w:t>
      </w:r>
    </w:p>
    <w:p w14:paraId="382FD7D9" w14:textId="409EC19F" w:rsidR="00A246A1" w:rsidRPr="001A1599" w:rsidRDefault="00A246A1" w:rsidP="00A246A1">
      <w:pPr>
        <w:pStyle w:val="Heading1"/>
        <w:rPr>
          <w:lang w:val="fr-FR"/>
        </w:rPr>
      </w:pPr>
      <w:r w:rsidRPr="001A1599">
        <w:rPr>
          <w:lang w:val="fr-FR"/>
        </w:rPr>
        <w:t>2</w:t>
      </w:r>
      <w:r w:rsidRPr="001A1599">
        <w:rPr>
          <w:lang w:val="fr-FR"/>
        </w:rPr>
        <w:tab/>
        <w:t>Examen périodique du RTI</w:t>
      </w:r>
    </w:p>
    <w:p w14:paraId="1E7863F2" w14:textId="4ED73918" w:rsidR="00A246A1" w:rsidRPr="001A1599" w:rsidRDefault="00A246A1" w:rsidP="00A246A1">
      <w:pPr>
        <w:rPr>
          <w:lang w:val="fr-FR"/>
        </w:rPr>
      </w:pPr>
      <w:r w:rsidRPr="001A1599">
        <w:rPr>
          <w:lang w:val="fr-FR"/>
        </w:rPr>
        <w:t>Aux termes de la Résolution 146, le Secrétaire général est chargé de convoquer à nouveau un Groupe d'experts sur le RTI, ouvert à la participation des États Membres et des Membres de Secteur de l'UIT, dont le mandat et les méthodes de travail seront définis par le Conseil de l'UIT, et de soumettre le rapport du Groupe d'experts sur le RTI concernant les résultats de l'examen au Conseil pour qu'il l'examine, le publie et le transmette ensuite à la Conférence de plénipotentiaires de 2026.</w:t>
      </w:r>
    </w:p>
    <w:p w14:paraId="0B9EF2AA" w14:textId="23EF84A5" w:rsidR="00A246A1" w:rsidRPr="001A1599" w:rsidRDefault="00A246A1" w:rsidP="00A246A1">
      <w:pPr>
        <w:rPr>
          <w:lang w:val="fr-FR"/>
        </w:rPr>
      </w:pPr>
      <w:r w:rsidRPr="001A1599">
        <w:rPr>
          <w:lang w:val="fr-FR"/>
        </w:rPr>
        <w:t>Il est important de souligner qu'aux termes de cette Résolution, les Directeurs des Bureaux sont chargés, "</w:t>
      </w:r>
      <w:r w:rsidRPr="001A1599">
        <w:rPr>
          <w:i/>
          <w:iCs/>
          <w:lang w:val="fr-FR"/>
        </w:rPr>
        <w:t>1) chacun dans son domaine de compétence, en prenant l'avis des groupes consultatifs concernés, de contribuer aux activités du Groupe d'experts sur le RTI, étant entendu que le Secteur de la normalisation des télécommunications de l'UIT effectue la plus grande partie du travail concernant le RTI; 2) de soumettre les résultats de leurs travaux au Groupe d'experts sur le RTI; 3)</w:t>
      </w:r>
      <w:r w:rsidR="00D907B1" w:rsidRPr="001A1599">
        <w:rPr>
          <w:i/>
          <w:iCs/>
          <w:lang w:val="fr-FR"/>
        </w:rPr>
        <w:t> </w:t>
      </w:r>
      <w:r w:rsidRPr="001A1599">
        <w:rPr>
          <w:i/>
          <w:iCs/>
          <w:lang w:val="fr-FR"/>
        </w:rPr>
        <w:t>d'étudier la possibilité d'accorder des bourses, lorsque des ressources sont disponibles, aux pays classés par l'ONU comme pays en développement</w:t>
      </w:r>
      <w:r w:rsidRPr="001A1599">
        <w:rPr>
          <w:rStyle w:val="FootnoteReference"/>
          <w:i/>
          <w:iCs/>
          <w:lang w:val="fr-FR"/>
        </w:rPr>
        <w:footnoteReference w:id="2"/>
      </w:r>
      <w:r w:rsidRPr="001A1599">
        <w:rPr>
          <w:i/>
          <w:iCs/>
          <w:lang w:val="fr-FR"/>
        </w:rPr>
        <w:t xml:space="preserve"> ou pays les moins avancés, afin d'accroître leur participation aux travaux du Groupe d'experts</w:t>
      </w:r>
      <w:r w:rsidRPr="001A1599">
        <w:rPr>
          <w:lang w:val="fr-FR"/>
        </w:rPr>
        <w:t>".</w:t>
      </w:r>
    </w:p>
    <w:p w14:paraId="6BD01CA0" w14:textId="77777777" w:rsidR="00A246A1" w:rsidRPr="001A1599" w:rsidRDefault="00A246A1" w:rsidP="00A246A1">
      <w:pPr>
        <w:rPr>
          <w:lang w:val="fr-FR"/>
        </w:rPr>
      </w:pPr>
      <w:r w:rsidRPr="001A1599">
        <w:rPr>
          <w:lang w:val="fr-FR"/>
        </w:rPr>
        <w:t>Le mandat du Groupe EG-RTI, défini dans la Résolution 1379 (Mod. 2023) du Conseil, consiste à poursuivre l'examen du RTI. Compte tenu des travaux menés par les deux groupes d'experts précédents, l'examen peut notamment porter sur:</w:t>
      </w:r>
    </w:p>
    <w:p w14:paraId="29E72129" w14:textId="615B58F8" w:rsidR="00A246A1" w:rsidRPr="001A1599" w:rsidRDefault="00A246A1" w:rsidP="00A246A1">
      <w:pPr>
        <w:pStyle w:val="enumlev1"/>
        <w:rPr>
          <w:lang w:val="fr-FR"/>
        </w:rPr>
      </w:pPr>
      <w:r w:rsidRPr="001A1599">
        <w:rPr>
          <w:lang w:val="fr-FR"/>
        </w:rPr>
        <w:t>–</w:t>
      </w:r>
      <w:r w:rsidRPr="001A1599">
        <w:rPr>
          <w:lang w:val="fr-FR"/>
        </w:rPr>
        <w:tab/>
        <w:t>les nouvelles tendances des télécommunications/TIC ainsi que les nouveaux problèmes qui se font jour dans l'environnement international des télécommunications/TIC et qui sont susceptibles d'avoir des incidences sur le RTI;</w:t>
      </w:r>
    </w:p>
    <w:p w14:paraId="22EFDF43" w14:textId="12A0D65E" w:rsidR="00A246A1" w:rsidRPr="001A1599" w:rsidRDefault="00A246A1" w:rsidP="00A246A1">
      <w:pPr>
        <w:pStyle w:val="enumlev1"/>
        <w:rPr>
          <w:lang w:val="fr-FR"/>
        </w:rPr>
      </w:pPr>
      <w:r w:rsidRPr="001A1599">
        <w:rPr>
          <w:lang w:val="fr-FR"/>
        </w:rPr>
        <w:t>–</w:t>
      </w:r>
      <w:r w:rsidRPr="001A1599">
        <w:rPr>
          <w:lang w:val="fr-FR"/>
        </w:rPr>
        <w:tab/>
        <w:t>des données empiriques relatives à l'utilisation actuelle du RTI par les exploitations et/ou les administrations et à la proportion de services mondiaux de télécommunication qui reposent sur le RTI à l'heure actuelle;</w:t>
      </w:r>
    </w:p>
    <w:p w14:paraId="6754DE1C" w14:textId="7865DAFD" w:rsidR="00A246A1" w:rsidRPr="001A1599" w:rsidRDefault="00A246A1" w:rsidP="00A246A1">
      <w:pPr>
        <w:pStyle w:val="enumlev1"/>
        <w:rPr>
          <w:lang w:val="fr-FR"/>
        </w:rPr>
      </w:pPr>
      <w:r w:rsidRPr="001A1599">
        <w:rPr>
          <w:lang w:val="fr-FR"/>
        </w:rPr>
        <w:t>–</w:t>
      </w:r>
      <w:r w:rsidRPr="001A1599">
        <w:rPr>
          <w:lang w:val="fr-FR"/>
        </w:rPr>
        <w:tab/>
        <w:t>la pertinence du RTI, qui comprend des "principes directeurs de haut niveau", dans l'environnement des télécommunications/TIC actuel.</w:t>
      </w:r>
    </w:p>
    <w:p w14:paraId="3DD9D108" w14:textId="14F9B1D5" w:rsidR="00A246A1" w:rsidRPr="001A1599" w:rsidRDefault="00A246A1" w:rsidP="00A246A1">
      <w:pPr>
        <w:rPr>
          <w:lang w:val="fr-FR"/>
        </w:rPr>
      </w:pPr>
      <w:r w:rsidRPr="001A1599">
        <w:rPr>
          <w:lang w:val="fr-FR"/>
        </w:rPr>
        <w:t xml:space="preserve">Le Groupe EG-RTI a tenu ses première et deuxième réunions au siège de l'UIT, à Genève (Suisse), respectivement le 16 octobre 2023 et les 29 et 30 janvier 2024. Les rapports des </w:t>
      </w:r>
      <w:hyperlink r:id="rId13" w:history="1">
        <w:r w:rsidRPr="001A1599">
          <w:rPr>
            <w:rStyle w:val="Hyperlink"/>
            <w:lang w:val="fr-FR"/>
          </w:rPr>
          <w:t>prem</w:t>
        </w:r>
        <w:r w:rsidRPr="001A1599">
          <w:rPr>
            <w:rStyle w:val="Hyperlink"/>
            <w:lang w:val="fr-FR"/>
          </w:rPr>
          <w:t>i</w:t>
        </w:r>
        <w:r w:rsidRPr="001A1599">
          <w:rPr>
            <w:rStyle w:val="Hyperlink"/>
            <w:lang w:val="fr-FR"/>
          </w:rPr>
          <w:t>ère</w:t>
        </w:r>
      </w:hyperlink>
      <w:r w:rsidRPr="001A1599">
        <w:rPr>
          <w:lang w:val="fr-FR"/>
        </w:rPr>
        <w:t xml:space="preserve"> et </w:t>
      </w:r>
      <w:hyperlink r:id="rId14" w:history="1">
        <w:r w:rsidRPr="001A1599">
          <w:rPr>
            <w:rStyle w:val="Hyperlink"/>
            <w:lang w:val="fr-FR"/>
          </w:rPr>
          <w:t>d</w:t>
        </w:r>
        <w:r w:rsidRPr="001A1599">
          <w:rPr>
            <w:rStyle w:val="Hyperlink"/>
            <w:lang w:val="fr-FR"/>
          </w:rPr>
          <w:t>e</w:t>
        </w:r>
        <w:r w:rsidRPr="001A1599">
          <w:rPr>
            <w:rStyle w:val="Hyperlink"/>
            <w:lang w:val="fr-FR"/>
          </w:rPr>
          <w:t>uxième</w:t>
        </w:r>
      </w:hyperlink>
      <w:r w:rsidRPr="001A1599">
        <w:rPr>
          <w:lang w:val="fr-FR"/>
        </w:rPr>
        <w:t xml:space="preserve"> réunions du Groupe EG-RTI ont été approuvés par le Groupe.</w:t>
      </w:r>
    </w:p>
    <w:p w14:paraId="6834F938" w14:textId="7853F569" w:rsidR="00A246A1" w:rsidRPr="001A1599" w:rsidRDefault="00A246A1" w:rsidP="00A246A1">
      <w:pPr>
        <w:rPr>
          <w:lang w:val="fr-FR"/>
        </w:rPr>
      </w:pPr>
      <w:r w:rsidRPr="001A1599">
        <w:rPr>
          <w:lang w:val="fr-FR"/>
        </w:rPr>
        <w:lastRenderedPageBreak/>
        <w:t>À sa première réunion, le Groupe EG-RTI a débattu des contributions reçues, les débats portant sur les propositions de programme de travail, sur lequel aucun consensus n'a été</w:t>
      </w:r>
      <w:r w:rsidR="00D907B1" w:rsidRPr="001A1599">
        <w:rPr>
          <w:lang w:val="fr-FR"/>
        </w:rPr>
        <w:t xml:space="preserve"> atteint</w:t>
      </w:r>
      <w:r w:rsidRPr="001A1599">
        <w:rPr>
          <w:lang w:val="fr-FR"/>
        </w:rPr>
        <w:t>.</w:t>
      </w:r>
    </w:p>
    <w:p w14:paraId="5349C6F7" w14:textId="423ADC11" w:rsidR="00A246A1" w:rsidRPr="001A1599" w:rsidRDefault="006850EB" w:rsidP="00A246A1">
      <w:pPr>
        <w:rPr>
          <w:lang w:val="fr-FR"/>
        </w:rPr>
      </w:pPr>
      <w:r w:rsidRPr="001A1599">
        <w:rPr>
          <w:lang w:val="fr-FR"/>
        </w:rPr>
        <w:t>À</w:t>
      </w:r>
      <w:r w:rsidR="00A246A1" w:rsidRPr="001A1599">
        <w:rPr>
          <w:lang w:val="fr-FR"/>
        </w:rPr>
        <w:t xml:space="preserve"> la deuxième réunion du Groupe EG-RTI, les participants ont approuvé un programme de travail (voir l'annexe), étant entendu que ce programme donne des orientations pour les travaux du Groupe et n'empêche pas les membres de soumettre des contributions, conformément à la Résolution 146 (Rév. Bucarest, 2022) et à la Résolution 1379 du Conseil (Mod. 2023). Une déclaration de la Fédération de Russie à cet égard est reproduite dans l'Annexe 2 du rapport de la deuxième réunion.</w:t>
      </w:r>
    </w:p>
    <w:p w14:paraId="5062C19A" w14:textId="746F0B11" w:rsidR="00A246A1" w:rsidRPr="001A1599" w:rsidRDefault="00A246A1" w:rsidP="00A246A1">
      <w:pPr>
        <w:rPr>
          <w:lang w:val="fr-FR"/>
        </w:rPr>
      </w:pPr>
      <w:r w:rsidRPr="001A1599">
        <w:rPr>
          <w:lang w:val="fr-FR"/>
        </w:rPr>
        <w:t>S'agissant des données empiriques relatives à l'utilisation actuelle du RTI par les exploitations et/ou les administrations et à la proportion de services mondiaux de télécommunication qui reposent sur le RTI à l'heure actuelle, le Groupe EG-RTI a décidé, à sa dernière réunion, qu'aucune enquête ne serait publiée pour la collecte de données empiriques et que les États Membres pourraient mener leurs propres enquêtes et soumettre les résultats au Groupe lors de réunions futures.</w:t>
      </w:r>
    </w:p>
    <w:p w14:paraId="77AA22E8" w14:textId="03E02FB5" w:rsidR="00A246A1" w:rsidRPr="001A1599" w:rsidRDefault="00A246A1" w:rsidP="00A246A1">
      <w:pPr>
        <w:rPr>
          <w:lang w:val="fr-FR"/>
        </w:rPr>
      </w:pPr>
      <w:r w:rsidRPr="001A1599">
        <w:rPr>
          <w:lang w:val="fr-FR"/>
        </w:rPr>
        <w:t>Compte tenu du programme de travail et des contributions reçues pour ces réunions du Groupe</w:t>
      </w:r>
      <w:r w:rsidR="00170746" w:rsidRPr="001A1599">
        <w:rPr>
          <w:lang w:val="fr-FR"/>
        </w:rPr>
        <w:t> </w:t>
      </w:r>
      <w:r w:rsidRPr="001A1599">
        <w:rPr>
          <w:lang w:val="fr-FR"/>
        </w:rPr>
        <w:t>EG-RTI, aucune question particulière ne nécessitait l'intervention du BDT.</w:t>
      </w:r>
    </w:p>
    <w:p w14:paraId="550A290C" w14:textId="77777777" w:rsidR="00A246A1" w:rsidRPr="001A1599" w:rsidRDefault="00A246A1" w:rsidP="00A246A1">
      <w:pPr>
        <w:pStyle w:val="Headingb"/>
        <w:rPr>
          <w:lang w:val="fr-FR"/>
        </w:rPr>
      </w:pPr>
      <w:r w:rsidRPr="001A1599">
        <w:rPr>
          <w:lang w:val="fr-FR"/>
        </w:rPr>
        <w:t>Étapes suivantes:</w:t>
      </w:r>
    </w:p>
    <w:p w14:paraId="01D59A7D" w14:textId="35636AFB" w:rsidR="00A246A1" w:rsidRPr="001A1599" w:rsidRDefault="00A246A1" w:rsidP="00A246A1">
      <w:pPr>
        <w:pStyle w:val="enumlev1"/>
        <w:rPr>
          <w:lang w:val="fr-FR"/>
        </w:rPr>
      </w:pPr>
      <w:r w:rsidRPr="001A1599">
        <w:rPr>
          <w:lang w:val="fr-FR"/>
        </w:rPr>
        <w:t>–</w:t>
      </w:r>
      <w:r w:rsidRPr="001A1599">
        <w:rPr>
          <w:lang w:val="fr-FR"/>
        </w:rPr>
        <w:tab/>
        <w:t>La réunion suivante du Groupe EG-RTI se déroulera dans le cadre de la prochaine session du groupe de travail du Conseil.</w:t>
      </w:r>
    </w:p>
    <w:p w14:paraId="69B70EE0" w14:textId="2F2DF9C2" w:rsidR="006850EB" w:rsidRPr="001A1599" w:rsidRDefault="00A246A1" w:rsidP="00A246A1">
      <w:pPr>
        <w:pStyle w:val="enumlev1"/>
        <w:rPr>
          <w:lang w:val="fr-FR"/>
        </w:rPr>
      </w:pPr>
      <w:r w:rsidRPr="001A1599">
        <w:rPr>
          <w:lang w:val="fr-FR"/>
        </w:rPr>
        <w:t>–</w:t>
      </w:r>
      <w:r w:rsidRPr="001A1599">
        <w:rPr>
          <w:lang w:val="fr-FR"/>
        </w:rPr>
        <w:tab/>
        <w:t>Conformément à la pratique établie, les participants sont convenus que les rapports des première et deuxième réunions du Groupe seraient présentés, via un lien hypertexte, dans un document concis élaboré par le Président et soumis sous la forme de rapport d'activité qui sera adressé au Conseil à sa session de 2024.</w:t>
      </w:r>
    </w:p>
    <w:p w14:paraId="534C3F87" w14:textId="65757815" w:rsidR="006850EB" w:rsidRPr="001A1599" w:rsidRDefault="006850EB">
      <w:pPr>
        <w:tabs>
          <w:tab w:val="clear" w:pos="794"/>
          <w:tab w:val="clear" w:pos="1191"/>
          <w:tab w:val="clear" w:pos="1588"/>
          <w:tab w:val="clear" w:pos="1985"/>
        </w:tabs>
        <w:overflowPunct/>
        <w:autoSpaceDE/>
        <w:autoSpaceDN/>
        <w:adjustRightInd/>
        <w:spacing w:before="0"/>
        <w:textAlignment w:val="auto"/>
        <w:rPr>
          <w:lang w:val="fr-FR"/>
        </w:rPr>
      </w:pPr>
      <w:r w:rsidRPr="001A1599">
        <w:rPr>
          <w:lang w:val="fr-FR"/>
        </w:rPr>
        <w:br w:type="page"/>
      </w:r>
    </w:p>
    <w:p w14:paraId="31C1F415" w14:textId="6E21C6AB" w:rsidR="00A246A1" w:rsidRPr="001A1599" w:rsidRDefault="00F50D6C" w:rsidP="00D907B1">
      <w:pPr>
        <w:pStyle w:val="AnnexNo"/>
        <w:rPr>
          <w:b/>
          <w:bCs/>
          <w:szCs w:val="24"/>
          <w:lang w:val="fr-FR"/>
        </w:rPr>
      </w:pPr>
      <w:bookmarkStart w:id="6" w:name="lt_pId048"/>
      <w:r w:rsidRPr="001A1599">
        <w:rPr>
          <w:b/>
          <w:bCs/>
          <w:caps w:val="0"/>
          <w:lang w:val="fr-FR"/>
        </w:rPr>
        <w:lastRenderedPageBreak/>
        <w:t>Annexe 1</w:t>
      </w:r>
      <w:bookmarkEnd w:id="6"/>
    </w:p>
    <w:p w14:paraId="78BDA231" w14:textId="77777777" w:rsidR="00A246A1" w:rsidRPr="001A1599" w:rsidRDefault="00A246A1" w:rsidP="00D907B1">
      <w:pPr>
        <w:pStyle w:val="Annextitle"/>
        <w:spacing w:after="120"/>
        <w:rPr>
          <w:sz w:val="24"/>
          <w:szCs w:val="24"/>
          <w:lang w:val="fr-FR"/>
        </w:rPr>
      </w:pPr>
      <w:bookmarkStart w:id="7" w:name="lt_pId049"/>
      <w:r w:rsidRPr="001A1599">
        <w:rPr>
          <w:bCs/>
          <w:lang w:val="fr-FR"/>
        </w:rPr>
        <w:t>Programme de travail</w:t>
      </w:r>
      <w:bookmarkEnd w:id="7"/>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678"/>
        <w:gridCol w:w="2551"/>
        <w:gridCol w:w="1560"/>
      </w:tblGrid>
      <w:tr w:rsidR="00A246A1" w:rsidRPr="001A1599" w14:paraId="310A49F8" w14:textId="77777777" w:rsidTr="001F5E06">
        <w:trPr>
          <w:trHeight w:val="303"/>
          <w:tblHeader/>
          <w:jc w:val="center"/>
        </w:trPr>
        <w:tc>
          <w:tcPr>
            <w:tcW w:w="1271" w:type="dxa"/>
            <w:vAlign w:val="center"/>
          </w:tcPr>
          <w:p w14:paraId="1E042677" w14:textId="77777777" w:rsidR="00A246A1" w:rsidRPr="001A1599" w:rsidRDefault="00A246A1" w:rsidP="00A246A1">
            <w:pPr>
              <w:pStyle w:val="Tablehead"/>
              <w:rPr>
                <w:rFonts w:cs="Calibri"/>
                <w:lang w:val="fr-FR"/>
              </w:rPr>
            </w:pPr>
            <w:bookmarkStart w:id="8" w:name="lt_pId050"/>
            <w:r w:rsidRPr="001A1599">
              <w:rPr>
                <w:lang w:val="fr-FR"/>
              </w:rPr>
              <w:t>Réunion</w:t>
            </w:r>
            <w:bookmarkEnd w:id="8"/>
          </w:p>
        </w:tc>
        <w:tc>
          <w:tcPr>
            <w:tcW w:w="4678" w:type="dxa"/>
            <w:vAlign w:val="center"/>
          </w:tcPr>
          <w:p w14:paraId="20447607" w14:textId="77777777" w:rsidR="00A246A1" w:rsidRPr="001A1599" w:rsidRDefault="00A246A1" w:rsidP="00A246A1">
            <w:pPr>
              <w:pStyle w:val="Tablehead"/>
              <w:rPr>
                <w:rFonts w:cs="Calibri"/>
                <w:lang w:val="fr-FR"/>
              </w:rPr>
            </w:pPr>
            <w:bookmarkStart w:id="9" w:name="lt_pId051"/>
            <w:r w:rsidRPr="001A1599">
              <w:rPr>
                <w:lang w:val="fr-FR"/>
              </w:rPr>
              <w:t>Objectif</w:t>
            </w:r>
            <w:bookmarkEnd w:id="9"/>
          </w:p>
        </w:tc>
        <w:tc>
          <w:tcPr>
            <w:tcW w:w="2551" w:type="dxa"/>
            <w:vAlign w:val="center"/>
          </w:tcPr>
          <w:p w14:paraId="7D70B95D" w14:textId="77777777" w:rsidR="00A246A1" w:rsidRPr="001A1599" w:rsidRDefault="00A246A1" w:rsidP="00A246A1">
            <w:pPr>
              <w:pStyle w:val="Tablehead"/>
              <w:rPr>
                <w:rFonts w:cs="Calibri"/>
                <w:lang w:val="fr-FR"/>
              </w:rPr>
            </w:pPr>
            <w:bookmarkStart w:id="10" w:name="lt_pId052"/>
            <w:r w:rsidRPr="001A1599">
              <w:rPr>
                <w:lang w:val="fr-FR"/>
              </w:rPr>
              <w:t>Activités possibles</w:t>
            </w:r>
            <w:bookmarkEnd w:id="10"/>
          </w:p>
        </w:tc>
        <w:tc>
          <w:tcPr>
            <w:tcW w:w="1560" w:type="dxa"/>
            <w:vAlign w:val="center"/>
          </w:tcPr>
          <w:p w14:paraId="68842848" w14:textId="77777777" w:rsidR="00A246A1" w:rsidRPr="001A1599" w:rsidRDefault="00A246A1" w:rsidP="00A246A1">
            <w:pPr>
              <w:pStyle w:val="Tablehead"/>
              <w:rPr>
                <w:rFonts w:cs="Calibri"/>
                <w:lang w:val="fr-FR"/>
              </w:rPr>
            </w:pPr>
            <w:bookmarkStart w:id="11" w:name="lt_pId053"/>
            <w:r w:rsidRPr="001A1599">
              <w:rPr>
                <w:lang w:val="fr-FR"/>
              </w:rPr>
              <w:t>Résultats requis</w:t>
            </w:r>
            <w:bookmarkEnd w:id="11"/>
          </w:p>
        </w:tc>
      </w:tr>
      <w:tr w:rsidR="00A246A1" w:rsidRPr="001A1599" w14:paraId="0D9B234F" w14:textId="77777777" w:rsidTr="001F5E06">
        <w:trPr>
          <w:trHeight w:val="1429"/>
          <w:jc w:val="center"/>
        </w:trPr>
        <w:tc>
          <w:tcPr>
            <w:tcW w:w="1271" w:type="dxa"/>
          </w:tcPr>
          <w:p w14:paraId="72C47393" w14:textId="77777777" w:rsidR="00A246A1" w:rsidRPr="001A1599" w:rsidRDefault="00A246A1" w:rsidP="00ED7C51">
            <w:pPr>
              <w:pStyle w:val="Tabletext"/>
              <w:rPr>
                <w:rFonts w:cs="Calibri"/>
                <w:bCs/>
                <w:lang w:val="fr-FR"/>
              </w:rPr>
            </w:pPr>
            <w:bookmarkStart w:id="12" w:name="lt_pId054"/>
            <w:r w:rsidRPr="001A1599">
              <w:rPr>
                <w:lang w:val="fr-FR"/>
              </w:rPr>
              <w:t>3ème, 4ème et 5ème réunions du Groupe EG-RTI</w:t>
            </w:r>
            <w:bookmarkStart w:id="13" w:name="lt_pId055"/>
            <w:bookmarkEnd w:id="12"/>
            <w:bookmarkEnd w:id="13"/>
          </w:p>
        </w:tc>
        <w:tc>
          <w:tcPr>
            <w:tcW w:w="4678" w:type="dxa"/>
          </w:tcPr>
          <w:p w14:paraId="7592CF5A" w14:textId="58D9CA05" w:rsidR="00A246A1" w:rsidRPr="001A1599" w:rsidRDefault="00A246A1" w:rsidP="00ED7C51">
            <w:pPr>
              <w:pStyle w:val="Tabletext"/>
              <w:rPr>
                <w:rFonts w:cs="Calibri"/>
                <w:bCs/>
                <w:lang w:val="fr-FR"/>
              </w:rPr>
            </w:pPr>
            <w:bookmarkStart w:id="14" w:name="lt_pId056"/>
            <w:r w:rsidRPr="001A1599">
              <w:rPr>
                <w:lang w:val="fr-FR"/>
              </w:rPr>
              <w:t>Conformément à l'ordre du jour de ces réunions, les participants sont chargés de poursuivre l'examen du RTI, compte tenu des travaux menés par les deux groupes d'experts précédents, sur la base du mandat énoncé dans la Résolution 1379 du Conseil (Mod. 2023) notamment en ce qui concerne ce qui suit:</w:t>
            </w:r>
            <w:bookmarkEnd w:id="14"/>
          </w:p>
          <w:p w14:paraId="389FDA43" w14:textId="4627850C" w:rsidR="00ED7C51" w:rsidRPr="001A1599" w:rsidRDefault="00A246A1" w:rsidP="001A1599">
            <w:pPr>
              <w:pStyle w:val="enumlev1"/>
              <w:tabs>
                <w:tab w:val="clear" w:pos="794"/>
              </w:tabs>
              <w:ind w:left="315" w:hanging="315"/>
              <w:rPr>
                <w:sz w:val="22"/>
                <w:szCs w:val="18"/>
                <w:lang w:val="fr-FR"/>
              </w:rPr>
            </w:pPr>
            <w:bookmarkStart w:id="15" w:name="lt_pId057"/>
            <w:r w:rsidRPr="001A1599">
              <w:rPr>
                <w:sz w:val="22"/>
                <w:szCs w:val="18"/>
                <w:lang w:val="fr-FR"/>
              </w:rPr>
              <w:t>a)</w:t>
            </w:r>
            <w:r w:rsidR="00ED7C51" w:rsidRPr="001A1599">
              <w:rPr>
                <w:sz w:val="22"/>
                <w:szCs w:val="18"/>
                <w:lang w:val="fr-FR"/>
              </w:rPr>
              <w:tab/>
            </w:r>
            <w:r w:rsidRPr="001A1599">
              <w:rPr>
                <w:sz w:val="22"/>
                <w:szCs w:val="18"/>
                <w:lang w:val="fr-FR"/>
              </w:rPr>
              <w:t>les nouvelles tendances des télécommunications/TIC ainsi que les nouveaux problèmes qui se font jour dans l'environnement international des télécommunications/TIC et qui sont susceptibles d'avoir des incidences sur le</w:t>
            </w:r>
            <w:r w:rsidR="00D907B1" w:rsidRPr="001A1599">
              <w:rPr>
                <w:sz w:val="22"/>
                <w:szCs w:val="18"/>
                <w:lang w:val="fr-FR"/>
              </w:rPr>
              <w:t> </w:t>
            </w:r>
            <w:r w:rsidRPr="001A1599">
              <w:rPr>
                <w:sz w:val="22"/>
                <w:szCs w:val="18"/>
                <w:lang w:val="fr-FR"/>
              </w:rPr>
              <w:t>RTI;</w:t>
            </w:r>
          </w:p>
          <w:p w14:paraId="6D39E046" w14:textId="7EA25CEE" w:rsidR="00ED7C51" w:rsidRPr="001A1599" w:rsidRDefault="00A246A1" w:rsidP="001A1599">
            <w:pPr>
              <w:pStyle w:val="enumlev1"/>
              <w:tabs>
                <w:tab w:val="clear" w:pos="794"/>
              </w:tabs>
              <w:ind w:left="315" w:hanging="315"/>
              <w:rPr>
                <w:sz w:val="22"/>
                <w:szCs w:val="18"/>
                <w:lang w:val="fr-FR"/>
              </w:rPr>
            </w:pPr>
            <w:r w:rsidRPr="001A1599">
              <w:rPr>
                <w:sz w:val="22"/>
                <w:szCs w:val="18"/>
                <w:lang w:val="fr-FR"/>
              </w:rPr>
              <w:t>b)</w:t>
            </w:r>
            <w:r w:rsidR="00ED7C51" w:rsidRPr="001A1599">
              <w:rPr>
                <w:sz w:val="22"/>
                <w:szCs w:val="18"/>
                <w:lang w:val="fr-FR"/>
              </w:rPr>
              <w:tab/>
            </w:r>
            <w:r w:rsidRPr="001A1599">
              <w:rPr>
                <w:sz w:val="22"/>
                <w:szCs w:val="18"/>
                <w:lang w:val="fr-FR"/>
              </w:rPr>
              <w:t>des données empiriques relatives à l'utilisation actuelle du RTI par les exploitations et/ou les administrations et à la proportion de services mondiaux de télécommunication qui reposent sur le RTI à l'heure actuelle; et</w:t>
            </w:r>
          </w:p>
          <w:p w14:paraId="1C29A0C4" w14:textId="21938AD2" w:rsidR="00A246A1" w:rsidRPr="001A1599" w:rsidRDefault="00A246A1" w:rsidP="001A1599">
            <w:pPr>
              <w:pStyle w:val="enumlev1"/>
              <w:tabs>
                <w:tab w:val="clear" w:pos="794"/>
              </w:tabs>
              <w:spacing w:after="40"/>
              <w:ind w:left="315" w:hanging="315"/>
              <w:rPr>
                <w:rFonts w:cs="Calibri"/>
                <w:bCs/>
                <w:lang w:val="fr-FR"/>
              </w:rPr>
            </w:pPr>
            <w:r w:rsidRPr="001A1599">
              <w:rPr>
                <w:sz w:val="22"/>
                <w:szCs w:val="18"/>
                <w:lang w:val="fr-FR"/>
              </w:rPr>
              <w:t>c)</w:t>
            </w:r>
            <w:r w:rsidR="00ED7C51" w:rsidRPr="001A1599">
              <w:rPr>
                <w:sz w:val="22"/>
                <w:szCs w:val="18"/>
                <w:lang w:val="fr-FR"/>
              </w:rPr>
              <w:tab/>
            </w:r>
            <w:r w:rsidRPr="001A1599">
              <w:rPr>
                <w:sz w:val="22"/>
                <w:szCs w:val="18"/>
                <w:lang w:val="fr-FR"/>
              </w:rPr>
              <w:t>la pertinence du RTI, qui comprend des "principes directeurs de haut niveau", dans l'environnement des télécommunications/TIC actuel.</w:t>
            </w:r>
            <w:bookmarkStart w:id="16" w:name="lt_pId058"/>
            <w:bookmarkStart w:id="17" w:name="lt_pId059"/>
            <w:bookmarkEnd w:id="15"/>
            <w:bookmarkEnd w:id="16"/>
            <w:bookmarkEnd w:id="17"/>
          </w:p>
        </w:tc>
        <w:tc>
          <w:tcPr>
            <w:tcW w:w="2551" w:type="dxa"/>
          </w:tcPr>
          <w:p w14:paraId="0409366E" w14:textId="63087439" w:rsidR="00A246A1" w:rsidRPr="001A1599" w:rsidRDefault="00ED7C51" w:rsidP="001A1599">
            <w:pPr>
              <w:pStyle w:val="enumlev1"/>
              <w:tabs>
                <w:tab w:val="clear" w:pos="794"/>
              </w:tabs>
              <w:ind w:left="319" w:hanging="319"/>
              <w:rPr>
                <w:rFonts w:cs="Calibri"/>
                <w:bCs/>
                <w:sz w:val="22"/>
                <w:szCs w:val="18"/>
                <w:lang w:val="fr-FR"/>
              </w:rPr>
            </w:pPr>
            <w:bookmarkStart w:id="18" w:name="lt_pId060"/>
            <w:r w:rsidRPr="001A1599">
              <w:rPr>
                <w:sz w:val="22"/>
                <w:szCs w:val="18"/>
                <w:lang w:val="fr-FR"/>
              </w:rPr>
              <w:t>•</w:t>
            </w:r>
            <w:r w:rsidRPr="001A1599">
              <w:rPr>
                <w:sz w:val="22"/>
                <w:szCs w:val="18"/>
                <w:lang w:val="fr-FR"/>
              </w:rPr>
              <w:tab/>
            </w:r>
            <w:r w:rsidR="00A246A1" w:rsidRPr="001A1599">
              <w:rPr>
                <w:sz w:val="22"/>
                <w:szCs w:val="18"/>
                <w:lang w:val="fr-FR"/>
              </w:rPr>
              <w:t>Examen des contributions reçues</w:t>
            </w:r>
            <w:bookmarkEnd w:id="18"/>
          </w:p>
          <w:p w14:paraId="7079C86A" w14:textId="3A44ECE2" w:rsidR="00A246A1" w:rsidRPr="001A1599" w:rsidRDefault="00ED7C51" w:rsidP="001A1599">
            <w:pPr>
              <w:pStyle w:val="enumlev1"/>
              <w:tabs>
                <w:tab w:val="clear" w:pos="794"/>
              </w:tabs>
              <w:ind w:left="319" w:hanging="319"/>
              <w:rPr>
                <w:rFonts w:cs="Calibri"/>
                <w:bCs/>
                <w:sz w:val="22"/>
                <w:szCs w:val="18"/>
                <w:lang w:val="fr-FR"/>
              </w:rPr>
            </w:pPr>
            <w:bookmarkStart w:id="19" w:name="lt_pId061"/>
            <w:r w:rsidRPr="001A1599">
              <w:rPr>
                <w:sz w:val="22"/>
                <w:szCs w:val="18"/>
                <w:lang w:val="fr-FR"/>
              </w:rPr>
              <w:t>•</w:t>
            </w:r>
            <w:r w:rsidRPr="001A1599">
              <w:rPr>
                <w:sz w:val="22"/>
                <w:szCs w:val="18"/>
                <w:lang w:val="fr-FR"/>
              </w:rPr>
              <w:tab/>
            </w:r>
            <w:r w:rsidR="00A246A1" w:rsidRPr="001A1599">
              <w:rPr>
                <w:sz w:val="22"/>
                <w:szCs w:val="18"/>
                <w:lang w:val="fr-FR"/>
              </w:rPr>
              <w:t>Examen des rapports de réunion</w:t>
            </w:r>
            <w:bookmarkEnd w:id="19"/>
          </w:p>
        </w:tc>
        <w:tc>
          <w:tcPr>
            <w:tcW w:w="1560" w:type="dxa"/>
          </w:tcPr>
          <w:p w14:paraId="0B0A7C07" w14:textId="68F76BD5" w:rsidR="00A246A1" w:rsidRPr="001A1599" w:rsidRDefault="00A246A1" w:rsidP="00ED7C51">
            <w:pPr>
              <w:pStyle w:val="Tabletext"/>
              <w:rPr>
                <w:rFonts w:cs="Calibri"/>
                <w:bCs/>
                <w:lang w:val="fr-FR"/>
              </w:rPr>
            </w:pPr>
            <w:bookmarkStart w:id="20" w:name="lt_pId062"/>
            <w:r w:rsidRPr="001A1599">
              <w:rPr>
                <w:lang w:val="fr-FR"/>
              </w:rPr>
              <w:t>3ème réunion</w:t>
            </w:r>
            <w:r w:rsidR="00AA7FF4" w:rsidRPr="001A1599">
              <w:rPr>
                <w:lang w:val="fr-FR"/>
              </w:rPr>
              <w:t xml:space="preserve">: </w:t>
            </w:r>
            <w:r w:rsidRPr="001A1599">
              <w:rPr>
                <w:lang w:val="fr-FR"/>
              </w:rPr>
              <w:t>Rapport de la réunion</w:t>
            </w:r>
            <w:bookmarkEnd w:id="20"/>
          </w:p>
          <w:p w14:paraId="2C44D337" w14:textId="25A73B28" w:rsidR="00A246A1" w:rsidRPr="001A1599" w:rsidRDefault="00A246A1" w:rsidP="00ED7C51">
            <w:pPr>
              <w:pStyle w:val="Tabletext"/>
              <w:rPr>
                <w:lang w:val="fr-FR"/>
              </w:rPr>
            </w:pPr>
            <w:bookmarkStart w:id="21" w:name="lt_pId063"/>
            <w:r w:rsidRPr="001A1599">
              <w:rPr>
                <w:lang w:val="fr-FR"/>
              </w:rPr>
              <w:t>4ème réunion</w:t>
            </w:r>
            <w:r w:rsidR="00AA7FF4" w:rsidRPr="001A1599">
              <w:rPr>
                <w:lang w:val="fr-FR"/>
              </w:rPr>
              <w:t>:</w:t>
            </w:r>
            <w:r w:rsidRPr="001A1599">
              <w:rPr>
                <w:lang w:val="fr-FR"/>
              </w:rPr>
              <w:t xml:space="preserve"> Rapport de la réunion</w:t>
            </w:r>
            <w:bookmarkEnd w:id="21"/>
          </w:p>
          <w:p w14:paraId="6767A112" w14:textId="41A8D456" w:rsidR="00A246A1" w:rsidRPr="001A1599" w:rsidRDefault="00A246A1" w:rsidP="00ED7C51">
            <w:pPr>
              <w:pStyle w:val="Tabletext"/>
              <w:rPr>
                <w:rFonts w:cs="Calibri"/>
                <w:bCs/>
                <w:lang w:val="fr-FR"/>
              </w:rPr>
            </w:pPr>
            <w:bookmarkStart w:id="22" w:name="lt_pId064"/>
            <w:r w:rsidRPr="001A1599">
              <w:rPr>
                <w:lang w:val="fr-FR"/>
              </w:rPr>
              <w:t>5ème réunion</w:t>
            </w:r>
            <w:r w:rsidR="00AA7FF4" w:rsidRPr="001A1599">
              <w:rPr>
                <w:lang w:val="fr-FR"/>
              </w:rPr>
              <w:t>:</w:t>
            </w:r>
            <w:r w:rsidRPr="001A1599">
              <w:rPr>
                <w:lang w:val="fr-FR"/>
              </w:rPr>
              <w:t xml:space="preserve"> Rapport de la réunion et début de la rédaction du rapport final</w:t>
            </w:r>
            <w:bookmarkEnd w:id="22"/>
          </w:p>
        </w:tc>
      </w:tr>
      <w:tr w:rsidR="00A246A1" w:rsidRPr="001A1599" w14:paraId="7D095807" w14:textId="77777777" w:rsidTr="001F5E06">
        <w:trPr>
          <w:trHeight w:val="1429"/>
          <w:jc w:val="center"/>
        </w:trPr>
        <w:tc>
          <w:tcPr>
            <w:tcW w:w="1271" w:type="dxa"/>
          </w:tcPr>
          <w:p w14:paraId="13A6332B" w14:textId="77777777" w:rsidR="00A246A1" w:rsidRPr="001A1599" w:rsidRDefault="00A246A1" w:rsidP="00ED7C51">
            <w:pPr>
              <w:pStyle w:val="Tabletext"/>
              <w:rPr>
                <w:rFonts w:cs="Calibri"/>
                <w:bCs/>
                <w:lang w:val="fr-FR"/>
              </w:rPr>
            </w:pPr>
            <w:bookmarkStart w:id="23" w:name="lt_pId065"/>
            <w:r w:rsidRPr="001A1599">
              <w:rPr>
                <w:lang w:val="fr-FR"/>
              </w:rPr>
              <w:t>6ème réunion</w:t>
            </w:r>
            <w:bookmarkEnd w:id="23"/>
          </w:p>
        </w:tc>
        <w:tc>
          <w:tcPr>
            <w:tcW w:w="4678" w:type="dxa"/>
          </w:tcPr>
          <w:p w14:paraId="6A05A534" w14:textId="77777777" w:rsidR="00A246A1" w:rsidRPr="001A1599" w:rsidRDefault="00A246A1" w:rsidP="00ED7C51">
            <w:pPr>
              <w:pStyle w:val="Tabletext"/>
              <w:rPr>
                <w:rFonts w:cs="Calibri"/>
                <w:bCs/>
                <w:lang w:val="fr-FR"/>
              </w:rPr>
            </w:pPr>
            <w:bookmarkStart w:id="24" w:name="lt_pId066"/>
            <w:r w:rsidRPr="001A1599">
              <w:rPr>
                <w:lang w:val="fr-FR"/>
              </w:rPr>
              <w:t>Examen du projet de rapport final au Conseil à sa session de 2026</w:t>
            </w:r>
            <w:bookmarkEnd w:id="24"/>
          </w:p>
        </w:tc>
        <w:tc>
          <w:tcPr>
            <w:tcW w:w="2551" w:type="dxa"/>
          </w:tcPr>
          <w:p w14:paraId="759F98A6" w14:textId="53831D37" w:rsidR="00A246A1" w:rsidRPr="001A1599" w:rsidRDefault="00ED7C51" w:rsidP="001A1599">
            <w:pPr>
              <w:pStyle w:val="enumlev1"/>
              <w:tabs>
                <w:tab w:val="clear" w:pos="794"/>
              </w:tabs>
              <w:ind w:left="319" w:hanging="319"/>
              <w:rPr>
                <w:rFonts w:cs="Calibri"/>
                <w:bCs/>
                <w:sz w:val="22"/>
                <w:szCs w:val="18"/>
                <w:lang w:val="fr-FR"/>
              </w:rPr>
            </w:pPr>
            <w:bookmarkStart w:id="25" w:name="lt_pId067"/>
            <w:r w:rsidRPr="001A1599">
              <w:rPr>
                <w:sz w:val="22"/>
                <w:szCs w:val="18"/>
                <w:lang w:val="fr-FR"/>
              </w:rPr>
              <w:t>•</w:t>
            </w:r>
            <w:r w:rsidRPr="001A1599">
              <w:rPr>
                <w:sz w:val="22"/>
                <w:szCs w:val="18"/>
                <w:lang w:val="fr-FR"/>
              </w:rPr>
              <w:tab/>
            </w:r>
            <w:r w:rsidR="00A246A1" w:rsidRPr="001A1599">
              <w:rPr>
                <w:sz w:val="22"/>
                <w:szCs w:val="18"/>
                <w:lang w:val="fr-FR"/>
              </w:rPr>
              <w:t>Examen des contributions reçues</w:t>
            </w:r>
            <w:bookmarkEnd w:id="25"/>
          </w:p>
          <w:p w14:paraId="06B01391" w14:textId="3E305933" w:rsidR="00A246A1" w:rsidRPr="001A1599" w:rsidRDefault="00ED7C51" w:rsidP="001A1599">
            <w:pPr>
              <w:pStyle w:val="enumlev1"/>
              <w:tabs>
                <w:tab w:val="clear" w:pos="794"/>
              </w:tabs>
              <w:spacing w:after="40"/>
              <w:ind w:left="319" w:hanging="319"/>
              <w:rPr>
                <w:rFonts w:cs="Calibri"/>
                <w:bCs/>
                <w:sz w:val="22"/>
                <w:szCs w:val="18"/>
                <w:lang w:val="fr-FR"/>
              </w:rPr>
            </w:pPr>
            <w:bookmarkStart w:id="26" w:name="lt_pId068"/>
            <w:r w:rsidRPr="001A1599">
              <w:rPr>
                <w:sz w:val="22"/>
                <w:szCs w:val="18"/>
                <w:lang w:val="fr-FR"/>
              </w:rPr>
              <w:t>•</w:t>
            </w:r>
            <w:r w:rsidRPr="001A1599">
              <w:rPr>
                <w:sz w:val="22"/>
                <w:szCs w:val="18"/>
                <w:lang w:val="fr-FR"/>
              </w:rPr>
              <w:tab/>
            </w:r>
            <w:r w:rsidR="00A246A1" w:rsidRPr="001A1599">
              <w:rPr>
                <w:sz w:val="22"/>
                <w:szCs w:val="18"/>
                <w:lang w:val="fr-FR"/>
              </w:rPr>
              <w:t>Achèvement des travaux relatifs au rapport final au Conseil</w:t>
            </w:r>
            <w:bookmarkEnd w:id="26"/>
          </w:p>
        </w:tc>
        <w:tc>
          <w:tcPr>
            <w:tcW w:w="1560" w:type="dxa"/>
          </w:tcPr>
          <w:p w14:paraId="2BEB4D83" w14:textId="1CD5A274" w:rsidR="00A246A1" w:rsidRPr="001A1599" w:rsidRDefault="00A246A1" w:rsidP="00ED7C51">
            <w:pPr>
              <w:pStyle w:val="Tabletext"/>
              <w:rPr>
                <w:rFonts w:cs="Calibri"/>
                <w:bCs/>
                <w:lang w:val="fr-FR"/>
              </w:rPr>
            </w:pPr>
            <w:bookmarkStart w:id="27" w:name="lt_pId069"/>
            <w:r w:rsidRPr="001A1599">
              <w:rPr>
                <w:lang w:val="fr-FR"/>
              </w:rPr>
              <w:t>Rapport final au Conseil à sa session de</w:t>
            </w:r>
            <w:r w:rsidR="001A1599" w:rsidRPr="001A1599">
              <w:rPr>
                <w:lang w:val="fr-FR"/>
              </w:rPr>
              <w:t> </w:t>
            </w:r>
            <w:r w:rsidRPr="001A1599">
              <w:rPr>
                <w:lang w:val="fr-FR"/>
              </w:rPr>
              <w:t>2026</w:t>
            </w:r>
            <w:bookmarkEnd w:id="27"/>
          </w:p>
        </w:tc>
      </w:tr>
    </w:tbl>
    <w:p w14:paraId="7759C759" w14:textId="4FE31B5D" w:rsidR="00821996" w:rsidRPr="001A1599" w:rsidRDefault="003C58BF" w:rsidP="001A1599">
      <w:pPr>
        <w:tabs>
          <w:tab w:val="clear" w:pos="794"/>
          <w:tab w:val="clear" w:pos="1191"/>
          <w:tab w:val="clear" w:pos="1588"/>
          <w:tab w:val="clear" w:pos="1985"/>
        </w:tabs>
        <w:spacing w:before="240" w:after="120"/>
        <w:jc w:val="center"/>
        <w:rPr>
          <w:lang w:val="fr-FR"/>
        </w:rPr>
      </w:pPr>
      <w:bookmarkStart w:id="28" w:name="Proposal"/>
      <w:bookmarkEnd w:id="28"/>
      <w:r w:rsidRPr="001A1599">
        <w:rPr>
          <w:lang w:val="fr-FR"/>
        </w:rPr>
        <w:t>_____________</w:t>
      </w:r>
      <w:r w:rsidR="004122C5" w:rsidRPr="001A1599">
        <w:rPr>
          <w:lang w:val="fr-FR"/>
        </w:rPr>
        <w:t>_</w:t>
      </w:r>
      <w:r w:rsidR="00922EC1" w:rsidRPr="001A1599">
        <w:rPr>
          <w:lang w:val="fr-FR"/>
        </w:rPr>
        <w:t>_</w:t>
      </w:r>
    </w:p>
    <w:sectPr w:rsidR="00821996" w:rsidRPr="001A1599" w:rsidSect="00473791">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D907B1"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6CFDB5FD" w:rsidR="0059420B" w:rsidRPr="001011EB" w:rsidRDefault="000A0AE2" w:rsidP="0059420B">
          <w:pPr>
            <w:pStyle w:val="FirstFooter"/>
            <w:tabs>
              <w:tab w:val="left" w:pos="2302"/>
            </w:tabs>
            <w:rPr>
              <w:sz w:val="18"/>
              <w:szCs w:val="18"/>
              <w:lang w:val="fr-CH"/>
            </w:rPr>
          </w:pPr>
          <w:r w:rsidRPr="000A0AE2">
            <w:rPr>
              <w:sz w:val="18"/>
              <w:szCs w:val="18"/>
              <w:lang w:val="fr-CH"/>
            </w:rPr>
            <w:t>Mme Sofie Maddens, Cheffe a.i. du Département du pôle de connaissances numériques, Bureau du développement des télécommunications</w:t>
          </w:r>
        </w:p>
      </w:tc>
      <w:bookmarkStart w:id="29" w:name="OrgName"/>
      <w:bookmarkEnd w:id="29"/>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5E8D9997" w:rsidR="0059420B" w:rsidRPr="001011EB" w:rsidRDefault="000A0AE2" w:rsidP="0059420B">
          <w:pPr>
            <w:pStyle w:val="FirstFooter"/>
            <w:tabs>
              <w:tab w:val="left" w:pos="2302"/>
            </w:tabs>
            <w:rPr>
              <w:sz w:val="18"/>
              <w:szCs w:val="18"/>
              <w:lang w:val="fr-CH"/>
            </w:rPr>
          </w:pPr>
          <w:r w:rsidRPr="000A0AE2">
            <w:rPr>
              <w:sz w:val="18"/>
              <w:szCs w:val="18"/>
              <w:lang w:val="fr-CH"/>
            </w:rPr>
            <w:t>+41 22 730 6256</w:t>
          </w:r>
        </w:p>
      </w:tc>
      <w:bookmarkStart w:id="30" w:name="PhoneNo"/>
      <w:bookmarkEnd w:id="30"/>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14B5858C" w:rsidR="0059420B" w:rsidRPr="001011EB" w:rsidRDefault="001A1599" w:rsidP="00D907B1">
          <w:pPr>
            <w:spacing w:before="0"/>
            <w:rPr>
              <w:sz w:val="18"/>
              <w:szCs w:val="18"/>
              <w:lang w:val="fr-CH"/>
            </w:rPr>
          </w:pPr>
          <w:hyperlink r:id="rId1" w:history="1">
            <w:r w:rsidR="000A0AE2" w:rsidRPr="000B56EF">
              <w:rPr>
                <w:rStyle w:val="Hyperlink"/>
                <w:sz w:val="18"/>
                <w:szCs w:val="18"/>
                <w:lang w:val="fr-CH"/>
              </w:rPr>
              <w:t>sofie.maddens</w:t>
            </w:r>
            <w:r w:rsidR="000A0AE2" w:rsidRPr="000B56EF">
              <w:rPr>
                <w:rStyle w:val="Hyperlink"/>
                <w:sz w:val="18"/>
                <w:szCs w:val="18"/>
                <w:lang w:val="fr-CH"/>
              </w:rPr>
              <w:t>@</w:t>
            </w:r>
            <w:r w:rsidR="000A0AE2" w:rsidRPr="000B56EF">
              <w:rPr>
                <w:rStyle w:val="Hyperlink"/>
                <w:sz w:val="18"/>
                <w:szCs w:val="18"/>
                <w:lang w:val="fr-CH"/>
              </w:rPr>
              <w:t>itu.int</w:t>
            </w:r>
          </w:hyperlink>
          <w:r w:rsidR="000A0AE2">
            <w:rPr>
              <w:sz w:val="18"/>
              <w:szCs w:val="18"/>
              <w:lang w:val="fr-CH"/>
            </w:rPr>
            <w:t xml:space="preserve"> </w:t>
          </w:r>
        </w:p>
      </w:tc>
      <w:bookmarkStart w:id="31" w:name="Email"/>
      <w:bookmarkEnd w:id="31"/>
    </w:tr>
  </w:tbl>
  <w:p w14:paraId="40A321D0" w14:textId="50FEB05F" w:rsidR="00721657" w:rsidRPr="001011EB" w:rsidRDefault="001A1599" w:rsidP="00B80157">
    <w:pPr>
      <w:pStyle w:val="Footer"/>
      <w:jc w:val="center"/>
      <w:rPr>
        <w:lang w:val="fr-CH"/>
      </w:rPr>
    </w:pPr>
    <w:hyperlink r:id="rId2" w:history="1">
      <w:r w:rsidR="008B47C7" w:rsidRPr="001011EB">
        <w:rPr>
          <w:rStyle w:val="Hyperlink"/>
          <w:caps w:val="0"/>
          <w:noProof w:val="0"/>
          <w:sz w:val="18"/>
          <w:szCs w:val="18"/>
          <w:lang w:val="fr-CH"/>
        </w:rPr>
        <w:t>T</w:t>
      </w:r>
      <w:r w:rsidR="008B47C7" w:rsidRPr="001011EB">
        <w:rPr>
          <w:rStyle w:val="Hyperlink"/>
          <w:caps w:val="0"/>
          <w:noProof w:val="0"/>
          <w:sz w:val="18"/>
          <w:szCs w:val="18"/>
          <w:lang w:val="fr-CH"/>
        </w:rPr>
        <w:t>D</w:t>
      </w:r>
      <w:r w:rsidR="008B47C7" w:rsidRPr="001011EB">
        <w:rPr>
          <w:rStyle w:val="Hyperlink"/>
          <w:caps w:val="0"/>
          <w:noProof w:val="0"/>
          <w:sz w:val="18"/>
          <w:szCs w:val="18"/>
          <w:lang w:val="fr-CH"/>
        </w:rPr>
        <w:t>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0D7D4BE3" w14:textId="6B36D61B" w:rsidR="00A246A1" w:rsidRPr="006850EB" w:rsidRDefault="00A246A1">
      <w:pPr>
        <w:pStyle w:val="FootnoteText"/>
        <w:rPr>
          <w:lang w:val="fr-FR"/>
        </w:rPr>
      </w:pPr>
      <w:r w:rsidRPr="006850EB">
        <w:rPr>
          <w:rStyle w:val="FootnoteReference"/>
          <w:lang w:val="fr-FR"/>
        </w:rPr>
        <w:footnoteRef/>
      </w:r>
      <w:r w:rsidRPr="006850EB">
        <w:rPr>
          <w:lang w:val="fr-FR"/>
        </w:rPr>
        <w:tab/>
      </w:r>
      <w:hyperlink r:id="rId1" w:history="1">
        <w:r w:rsidRPr="006850EB">
          <w:rPr>
            <w:rStyle w:val="Hyperlink"/>
            <w:lang w:val="fr-FR"/>
          </w:rPr>
          <w:t>https://www.itu.int/en/council/P</w:t>
        </w:r>
        <w:r w:rsidRPr="006850EB">
          <w:rPr>
            <w:rStyle w:val="Hyperlink"/>
            <w:lang w:val="fr-FR"/>
          </w:rPr>
          <w:t>a</w:t>
        </w:r>
        <w:r w:rsidRPr="006850EB">
          <w:rPr>
            <w:rStyle w:val="Hyperlink"/>
            <w:lang w:val="fr-FR"/>
          </w:rPr>
          <w:t>ges/eg-itrs.aspx</w:t>
        </w:r>
      </w:hyperlink>
      <w:r w:rsidR="00D907B1" w:rsidRPr="00D907B1">
        <w:rPr>
          <w:rStyle w:val="Hyperlink"/>
          <w:color w:val="auto"/>
          <w:u w:val="none"/>
          <w:lang w:val="fr-FR"/>
        </w:rPr>
        <w:t>.</w:t>
      </w:r>
    </w:p>
  </w:footnote>
  <w:footnote w:id="2">
    <w:p w14:paraId="3A500046" w14:textId="13096A11" w:rsidR="00A246A1" w:rsidRPr="006850EB" w:rsidRDefault="00A246A1">
      <w:pPr>
        <w:pStyle w:val="FootnoteText"/>
        <w:rPr>
          <w:lang w:val="fr-FR"/>
        </w:rPr>
      </w:pPr>
      <w:r w:rsidRPr="006850EB">
        <w:rPr>
          <w:rStyle w:val="FootnoteReference"/>
          <w:lang w:val="fr-FR"/>
        </w:rPr>
        <w:footnoteRef/>
      </w:r>
      <w:r w:rsidRPr="006850EB">
        <w:rPr>
          <w:lang w:val="fr-FR"/>
        </w:rPr>
        <w:tab/>
        <w:t>Par pays en développement, on entend aussi les pays les moins avancés, les petits États</w:t>
      </w:r>
      <w:r w:rsidR="00D907B1">
        <w:rPr>
          <w:lang w:val="fr-FR"/>
        </w:rPr>
        <w:t> </w:t>
      </w:r>
      <w:r w:rsidRPr="006850EB">
        <w:rPr>
          <w:lang w:val="fr-FR"/>
        </w:rPr>
        <w:t>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A782E8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0A0AE2">
      <w:rPr>
        <w:sz w:val="22"/>
        <w:szCs w:val="22"/>
        <w:lang w:val="de-CH"/>
      </w:rPr>
      <w:t>3</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F4C9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412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F8D0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FE6D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E0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03F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6AE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7059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529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D65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02585A"/>
    <w:multiLevelType w:val="hybridMultilevel"/>
    <w:tmpl w:val="9A6809EE"/>
    <w:lvl w:ilvl="0" w:tplc="4120D658">
      <w:start w:val="1"/>
      <w:numFmt w:val="bullet"/>
      <w:lvlText w:val=""/>
      <w:lvlJc w:val="left"/>
      <w:pPr>
        <w:ind w:left="360" w:hanging="360"/>
      </w:pPr>
      <w:rPr>
        <w:rFonts w:ascii="Symbol" w:hAnsi="Symbol" w:hint="default"/>
      </w:rPr>
    </w:lvl>
    <w:lvl w:ilvl="1" w:tplc="8352626A" w:tentative="1">
      <w:start w:val="1"/>
      <w:numFmt w:val="bullet"/>
      <w:lvlText w:val="o"/>
      <w:lvlJc w:val="left"/>
      <w:pPr>
        <w:ind w:left="1080" w:hanging="360"/>
      </w:pPr>
      <w:rPr>
        <w:rFonts w:ascii="Courier New" w:hAnsi="Courier New" w:hint="default"/>
      </w:rPr>
    </w:lvl>
    <w:lvl w:ilvl="2" w:tplc="DF0C4BC4" w:tentative="1">
      <w:start w:val="1"/>
      <w:numFmt w:val="bullet"/>
      <w:lvlText w:val=""/>
      <w:lvlJc w:val="left"/>
      <w:pPr>
        <w:ind w:left="1800" w:hanging="360"/>
      </w:pPr>
      <w:rPr>
        <w:rFonts w:ascii="Wingdings" w:hAnsi="Wingdings" w:hint="default"/>
      </w:rPr>
    </w:lvl>
    <w:lvl w:ilvl="3" w:tplc="099E49A4" w:tentative="1">
      <w:start w:val="1"/>
      <w:numFmt w:val="bullet"/>
      <w:lvlText w:val=""/>
      <w:lvlJc w:val="left"/>
      <w:pPr>
        <w:ind w:left="2520" w:hanging="360"/>
      </w:pPr>
      <w:rPr>
        <w:rFonts w:ascii="Symbol" w:hAnsi="Symbol" w:hint="default"/>
      </w:rPr>
    </w:lvl>
    <w:lvl w:ilvl="4" w:tplc="6F4E6610" w:tentative="1">
      <w:start w:val="1"/>
      <w:numFmt w:val="bullet"/>
      <w:lvlText w:val="o"/>
      <w:lvlJc w:val="left"/>
      <w:pPr>
        <w:ind w:left="3240" w:hanging="360"/>
      </w:pPr>
      <w:rPr>
        <w:rFonts w:ascii="Courier New" w:hAnsi="Courier New" w:hint="default"/>
      </w:rPr>
    </w:lvl>
    <w:lvl w:ilvl="5" w:tplc="11AC515C" w:tentative="1">
      <w:start w:val="1"/>
      <w:numFmt w:val="bullet"/>
      <w:lvlText w:val=""/>
      <w:lvlJc w:val="left"/>
      <w:pPr>
        <w:ind w:left="3960" w:hanging="360"/>
      </w:pPr>
      <w:rPr>
        <w:rFonts w:ascii="Wingdings" w:hAnsi="Wingdings" w:hint="default"/>
      </w:rPr>
    </w:lvl>
    <w:lvl w:ilvl="6" w:tplc="BB183E90" w:tentative="1">
      <w:start w:val="1"/>
      <w:numFmt w:val="bullet"/>
      <w:lvlText w:val=""/>
      <w:lvlJc w:val="left"/>
      <w:pPr>
        <w:ind w:left="4680" w:hanging="360"/>
      </w:pPr>
      <w:rPr>
        <w:rFonts w:ascii="Symbol" w:hAnsi="Symbol" w:hint="default"/>
      </w:rPr>
    </w:lvl>
    <w:lvl w:ilvl="7" w:tplc="6DB40DB2" w:tentative="1">
      <w:start w:val="1"/>
      <w:numFmt w:val="bullet"/>
      <w:lvlText w:val="o"/>
      <w:lvlJc w:val="left"/>
      <w:pPr>
        <w:ind w:left="5400" w:hanging="360"/>
      </w:pPr>
      <w:rPr>
        <w:rFonts w:ascii="Courier New" w:hAnsi="Courier New" w:hint="default"/>
      </w:rPr>
    </w:lvl>
    <w:lvl w:ilvl="8" w:tplc="EC4820C2" w:tentative="1">
      <w:start w:val="1"/>
      <w:numFmt w:val="bullet"/>
      <w:lvlText w:val=""/>
      <w:lvlJc w:val="left"/>
      <w:pPr>
        <w:ind w:left="612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859926437">
    <w:abstractNumId w:val="11"/>
  </w:num>
  <w:num w:numId="2" w16cid:durableId="1962616104">
    <w:abstractNumId w:val="10"/>
  </w:num>
  <w:num w:numId="3" w16cid:durableId="1127434119">
    <w:abstractNumId w:val="9"/>
  </w:num>
  <w:num w:numId="4" w16cid:durableId="1651639199">
    <w:abstractNumId w:val="7"/>
  </w:num>
  <w:num w:numId="5" w16cid:durableId="2118718677">
    <w:abstractNumId w:val="6"/>
  </w:num>
  <w:num w:numId="6" w16cid:durableId="22292155">
    <w:abstractNumId w:val="5"/>
  </w:num>
  <w:num w:numId="7" w16cid:durableId="1947224150">
    <w:abstractNumId w:val="4"/>
  </w:num>
  <w:num w:numId="8" w16cid:durableId="843125248">
    <w:abstractNumId w:val="8"/>
  </w:num>
  <w:num w:numId="9" w16cid:durableId="306932255">
    <w:abstractNumId w:val="3"/>
  </w:num>
  <w:num w:numId="10" w16cid:durableId="1130123999">
    <w:abstractNumId w:val="2"/>
  </w:num>
  <w:num w:numId="11" w16cid:durableId="600576702">
    <w:abstractNumId w:val="1"/>
  </w:num>
  <w:num w:numId="12" w16cid:durableId="142187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0AE2"/>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0746"/>
    <w:rsid w:val="00173781"/>
    <w:rsid w:val="00175ADF"/>
    <w:rsid w:val="00175CAE"/>
    <w:rsid w:val="001828DB"/>
    <w:rsid w:val="001850FE"/>
    <w:rsid w:val="00185135"/>
    <w:rsid w:val="0019037C"/>
    <w:rsid w:val="001905A9"/>
    <w:rsid w:val="00191273"/>
    <w:rsid w:val="001942A7"/>
    <w:rsid w:val="0019587B"/>
    <w:rsid w:val="001A1599"/>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E2BE2"/>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850EB"/>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B596B"/>
    <w:rsid w:val="009C110B"/>
    <w:rsid w:val="009C5441"/>
    <w:rsid w:val="009D119F"/>
    <w:rsid w:val="009D49A2"/>
    <w:rsid w:val="009F3940"/>
    <w:rsid w:val="009F3EB2"/>
    <w:rsid w:val="009F6EB1"/>
    <w:rsid w:val="00A11D05"/>
    <w:rsid w:val="00A13162"/>
    <w:rsid w:val="00A20267"/>
    <w:rsid w:val="00A246A1"/>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A7FF4"/>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07B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D7C51"/>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0D6C"/>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A0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24-EGITRS2-C-0020/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23-CL-C-0121/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146-F.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4-EGITRS2-C-0021/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sofie.maddens@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1176</Words>
  <Characters>6827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6</cp:revision>
  <cp:lastPrinted>2014-11-04T09:22:00Z</cp:lastPrinted>
  <dcterms:created xsi:type="dcterms:W3CDTF">2024-03-27T08:58:00Z</dcterms:created>
  <dcterms:modified xsi:type="dcterms:W3CDTF">2024-03-27T10:25:00Z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