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EFA1C2A"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w:t>
            </w:r>
            <w:r w:rsidR="00B967B2">
              <w:rPr>
                <w:b/>
                <w:bCs/>
                <w:sz w:val="26"/>
                <w:szCs w:val="26"/>
              </w:rPr>
              <w:t>1st</w:t>
            </w:r>
            <w:r>
              <w:rPr>
                <w:b/>
                <w:bCs/>
                <w:sz w:val="26"/>
                <w:szCs w:val="26"/>
              </w:rPr>
              <w:t xml:space="preserve"> Meeting, Geneva, Switzerland,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Pr="00307769">
              <w:rPr>
                <w:b/>
                <w:bCs/>
                <w:sz w:val="26"/>
                <w:szCs w:val="26"/>
              </w:rPr>
              <w:t xml:space="preserve"> </w:t>
            </w:r>
            <w:r w:rsidR="00B967B2">
              <w:rPr>
                <w:b/>
                <w:bCs/>
                <w:sz w:val="26"/>
                <w:szCs w:val="26"/>
              </w:rPr>
              <w:t>May</w:t>
            </w:r>
            <w:r w:rsidRPr="00307769">
              <w:rPr>
                <w:b/>
                <w:bCs/>
                <w:sz w:val="26"/>
                <w:szCs w:val="26"/>
              </w:rPr>
              <w:t xml:space="preserve"> 202</w:t>
            </w:r>
            <w:r w:rsidR="00B967B2">
              <w:rPr>
                <w:b/>
                <w:bCs/>
                <w:sz w:val="26"/>
                <w:szCs w:val="26"/>
              </w:rPr>
              <w:t>4</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702F692"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B967B2">
              <w:rPr>
                <w:b/>
                <w:bCs/>
                <w:lang w:val="en-US"/>
              </w:rPr>
              <w:t>4</w:t>
            </w:r>
            <w:r w:rsidR="00B23389">
              <w:rPr>
                <w:b/>
                <w:bCs/>
                <w:lang w:val="en-US"/>
              </w:rPr>
              <w:t>/</w:t>
            </w:r>
            <w:r w:rsidR="00962E54">
              <w:rPr>
                <w:b/>
                <w:bCs/>
                <w:lang w:val="en-US"/>
              </w:rPr>
              <w:t>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CFD8CDF" w:rsidR="00683C32" w:rsidRPr="007F1CC7" w:rsidRDefault="009D03CF" w:rsidP="00B648C7">
            <w:pPr>
              <w:spacing w:before="0"/>
              <w:rPr>
                <w:b/>
                <w:szCs w:val="24"/>
              </w:rPr>
            </w:pPr>
            <w:bookmarkStart w:id="2" w:name="CreationDate"/>
            <w:bookmarkEnd w:id="2"/>
            <w:r>
              <w:rPr>
                <w:b/>
                <w:bCs/>
                <w:szCs w:val="28"/>
              </w:rPr>
              <w:t>19 March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618008AC" w:rsidR="00A13162" w:rsidRPr="0030353C" w:rsidRDefault="00AA625F" w:rsidP="0030353C">
            <w:pPr>
              <w:pStyle w:val="Source"/>
            </w:pPr>
            <w:bookmarkStart w:id="4" w:name="Source"/>
            <w:bookmarkEnd w:id="4"/>
            <w:r w:rsidRPr="00AA625F">
              <w:t>Director, Telecommunication Development Bureau</w:t>
            </w:r>
          </w:p>
        </w:tc>
      </w:tr>
      <w:tr w:rsidR="00AC6F14" w:rsidRPr="002E6963" w14:paraId="2CBD3A36" w14:textId="77777777" w:rsidTr="00107E85">
        <w:trPr>
          <w:cantSplit/>
        </w:trPr>
        <w:tc>
          <w:tcPr>
            <w:tcW w:w="9888" w:type="dxa"/>
            <w:gridSpan w:val="2"/>
          </w:tcPr>
          <w:p w14:paraId="1B4121DF" w14:textId="09034B77" w:rsidR="00AC6F14" w:rsidRPr="0030353C" w:rsidRDefault="00AA625F" w:rsidP="0030353C">
            <w:pPr>
              <w:pStyle w:val="Title1"/>
            </w:pPr>
            <w:bookmarkStart w:id="5" w:name="Title"/>
            <w:bookmarkEnd w:id="5"/>
            <w:r w:rsidRPr="00AA625F">
              <w:t>Report on the work of the Expert Group on International Telecommunication Regulations (EG-ITRs)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29F40886" w14:textId="5E0CDD17" w:rsidR="00AA625F" w:rsidRDefault="00AA625F" w:rsidP="00EA0C51">
            <w:pPr>
              <w:spacing w:after="120"/>
            </w:pPr>
            <w:r w:rsidRPr="00AA625F">
              <w:t xml:space="preserve">This progress report presents </w:t>
            </w:r>
            <w:r w:rsidR="00306BEF" w:rsidRPr="00306BEF">
              <w:t>the main results of the first and second meetings of the EG-ITRs, held on 16 October 2023 and 29-30 January 2024 respectively, in line with PP Resolution 146 (Rev. Bucharest, 2022) and Council Resolutions 1379 (Mod. 2023)</w:t>
            </w:r>
            <w:r w:rsidRPr="00AA625F">
              <w:t>.</w:t>
            </w:r>
          </w:p>
          <w:p w14:paraId="76A1C541" w14:textId="27EC292A" w:rsidR="00A721F4" w:rsidRPr="00D9621A" w:rsidRDefault="00A721F4" w:rsidP="00EA0C51">
            <w:pPr>
              <w:spacing w:after="120"/>
              <w:rPr>
                <w:b/>
                <w:bCs/>
                <w:szCs w:val="24"/>
              </w:rPr>
            </w:pPr>
            <w:r w:rsidRPr="005E090D">
              <w:rPr>
                <w:b/>
                <w:bCs/>
              </w:rPr>
              <w:t>Action required:</w:t>
            </w:r>
          </w:p>
          <w:p w14:paraId="31510CFC" w14:textId="77777777" w:rsidR="00AA625F" w:rsidRDefault="00AA625F" w:rsidP="00AA625F">
            <w:pPr>
              <w:rPr>
                <w:iCs/>
                <w:lang w:val="en-US"/>
              </w:rPr>
            </w:pPr>
            <w:r>
              <w:rPr>
                <w:bCs/>
                <w:szCs w:val="24"/>
              </w:rPr>
              <w:t xml:space="preserve">Pursuant to </w:t>
            </w:r>
            <w:r w:rsidRPr="00247585">
              <w:rPr>
                <w:iCs/>
              </w:rPr>
              <w:t>Resolution 146 (Rev. Bucharest, 2022)</w:t>
            </w:r>
            <w:r>
              <w:rPr>
                <w:iCs/>
              </w:rPr>
              <w:t xml:space="preserve"> which</w:t>
            </w:r>
            <w:r w:rsidRPr="00247585">
              <w:rPr>
                <w:iCs/>
              </w:rPr>
              <w:t xml:space="preserve"> </w:t>
            </w:r>
            <w:r>
              <w:rPr>
                <w:iCs/>
              </w:rPr>
              <w:t>“</w:t>
            </w:r>
            <w:r w:rsidRPr="0051120E">
              <w:rPr>
                <w:i/>
              </w:rPr>
              <w:t xml:space="preserve">instructs the </w:t>
            </w:r>
            <w:r w:rsidRPr="0051120E">
              <w:rPr>
                <w:i/>
                <w:lang w:val="en-US"/>
              </w:rPr>
              <w:t xml:space="preserve">Directors of the </w:t>
            </w:r>
            <w:proofErr w:type="spellStart"/>
            <w:r w:rsidRPr="0051120E">
              <w:rPr>
                <w:i/>
                <w:lang w:val="en-US"/>
              </w:rPr>
              <w:t>Bureaux</w:t>
            </w:r>
            <w:proofErr w:type="spellEnd"/>
            <w:r w:rsidRPr="0051120E">
              <w:rPr>
                <w:i/>
                <w:lang w:val="en-US"/>
              </w:rPr>
              <w:t xml:space="preserve"> </w:t>
            </w:r>
            <w:r w:rsidRPr="0051120E">
              <w:rPr>
                <w:i/>
              </w:rPr>
              <w:t>each within their field of competence, with advice from the relevant advisory group, to contribute to the activities of EG-ITR, recognizing that the ITU Telecommunication Standardization Sector has most of the work relevant to the ITRs</w:t>
            </w:r>
            <w:r>
              <w:t>.</w:t>
            </w:r>
            <w:r>
              <w:rPr>
                <w:iCs/>
                <w:lang w:val="en-US"/>
              </w:rPr>
              <w:t xml:space="preserve">” </w:t>
            </w:r>
          </w:p>
          <w:p w14:paraId="0D6BFB56" w14:textId="011D1031" w:rsidR="00AA625F" w:rsidRDefault="00AA625F" w:rsidP="00AA625F">
            <w:r w:rsidRPr="004A34BD">
              <w:rPr>
                <w:bCs/>
                <w:szCs w:val="24"/>
              </w:rPr>
              <w:t xml:space="preserve">TDAG is invited to </w:t>
            </w:r>
            <w:r>
              <w:rPr>
                <w:bCs/>
                <w:szCs w:val="24"/>
              </w:rPr>
              <w:t xml:space="preserve">take </w:t>
            </w:r>
            <w:r w:rsidRPr="004A34BD">
              <w:rPr>
                <w:bCs/>
                <w:szCs w:val="24"/>
              </w:rPr>
              <w:t xml:space="preserve">note </w:t>
            </w:r>
            <w:r>
              <w:rPr>
                <w:bCs/>
                <w:szCs w:val="24"/>
              </w:rPr>
              <w:t xml:space="preserve">of </w:t>
            </w:r>
            <w:r w:rsidRPr="004A34BD">
              <w:rPr>
                <w:bCs/>
                <w:szCs w:val="24"/>
              </w:rPr>
              <w:t xml:space="preserve">this document </w:t>
            </w:r>
            <w:r>
              <w:t>at its 31</w:t>
            </w:r>
            <w:r w:rsidR="00C9176C" w:rsidRPr="00C9176C">
              <w:rPr>
                <w:vertAlign w:val="superscript"/>
              </w:rPr>
              <w:t>st</w:t>
            </w:r>
            <w:r w:rsidR="00C9176C">
              <w:t xml:space="preserve"> </w:t>
            </w:r>
            <w:r>
              <w:t xml:space="preserve">meeting to be held from 20-23 May 2024.  </w:t>
            </w:r>
          </w:p>
          <w:p w14:paraId="622ACB80" w14:textId="77777777" w:rsidR="00A721F4" w:rsidRPr="00D9621A" w:rsidRDefault="00A721F4" w:rsidP="00EA0C51">
            <w:pPr>
              <w:spacing w:after="120"/>
              <w:rPr>
                <w:b/>
                <w:bCs/>
                <w:szCs w:val="24"/>
              </w:rPr>
            </w:pPr>
            <w:r w:rsidRPr="00D9621A">
              <w:rPr>
                <w:b/>
                <w:bCs/>
                <w:szCs w:val="24"/>
              </w:rPr>
              <w:t>References:</w:t>
            </w:r>
          </w:p>
          <w:p w14:paraId="7A42DCA2" w14:textId="76BFB150" w:rsidR="00A721F4" w:rsidRDefault="00D47DC6" w:rsidP="00EA0C51">
            <w:pPr>
              <w:spacing w:after="120"/>
            </w:pPr>
            <w:hyperlink r:id="rId12" w:history="1">
              <w:r w:rsidR="00AA625F" w:rsidRPr="004F504A">
                <w:rPr>
                  <w:rStyle w:val="Hyperlink"/>
                </w:rPr>
                <w:t>Resolution 146 (Rev. Bucharest, 2022)</w:t>
              </w:r>
            </w:hyperlink>
            <w:r w:rsidR="00AA625F">
              <w:t>: Periodic Review of the International Telecommunication Regulations.</w:t>
            </w:r>
          </w:p>
          <w:p w14:paraId="1ECDD20E" w14:textId="4C973CF9" w:rsidR="004F504A" w:rsidRPr="00D9621A" w:rsidRDefault="00D47DC6" w:rsidP="00EA0C51">
            <w:pPr>
              <w:spacing w:after="120"/>
            </w:pPr>
            <w:hyperlink r:id="rId13" w:history="1">
              <w:r w:rsidR="004F504A" w:rsidRPr="004F504A">
                <w:rPr>
                  <w:rStyle w:val="Hyperlink"/>
                  <w:rFonts w:cs="Calibri"/>
                  <w:bCs/>
                </w:rPr>
                <w:t>Council Resolution 1379 (Mod. 2023)</w:t>
              </w:r>
            </w:hyperlink>
            <w:r w:rsidR="004F504A">
              <w:rPr>
                <w:rFonts w:cs="Calibri"/>
                <w:bCs/>
              </w:rPr>
              <w:t xml:space="preserve">: </w:t>
            </w:r>
            <w:r w:rsidR="004F504A">
              <w:t xml:space="preserve"> </w:t>
            </w:r>
            <w:r w:rsidR="004F504A" w:rsidRPr="004F504A">
              <w:rPr>
                <w:rFonts w:cs="Calibri"/>
                <w:bCs/>
              </w:rPr>
              <w:t>Expert Group on the International Telecommunication Regulations (EG-ITRs)</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296D6F53" w14:textId="77777777" w:rsidR="00C9176C" w:rsidRPr="00B23389" w:rsidRDefault="00C9176C" w:rsidP="00B23389">
      <w:pPr>
        <w:pStyle w:val="ListParagraph"/>
        <w:numPr>
          <w:ilvl w:val="0"/>
          <w:numId w:val="2"/>
        </w:numPr>
        <w:snapToGrid w:val="0"/>
        <w:spacing w:after="120"/>
        <w:ind w:left="357" w:hanging="357"/>
        <w:contextualSpacing w:val="0"/>
        <w:rPr>
          <w:rFonts w:cstheme="minorHAnsi"/>
          <w:b/>
          <w:bCs/>
          <w:szCs w:val="24"/>
        </w:rPr>
      </w:pPr>
      <w:r w:rsidRPr="00B23389">
        <w:rPr>
          <w:rFonts w:cstheme="minorHAnsi"/>
          <w:b/>
          <w:bCs/>
          <w:szCs w:val="24"/>
        </w:rPr>
        <w:lastRenderedPageBreak/>
        <w:t>Background</w:t>
      </w:r>
    </w:p>
    <w:p w14:paraId="66549A84" w14:textId="61EF4632" w:rsidR="00C9176C" w:rsidRPr="00B23389" w:rsidRDefault="00C9176C" w:rsidP="00B23389">
      <w:pPr>
        <w:snapToGrid w:val="0"/>
        <w:spacing w:after="120"/>
        <w:rPr>
          <w:rFonts w:cstheme="minorHAnsi"/>
          <w:szCs w:val="24"/>
          <w:lang w:val="en-US"/>
        </w:rPr>
      </w:pPr>
      <w:r w:rsidRPr="00B23389">
        <w:rPr>
          <w:rFonts w:cstheme="minorHAnsi"/>
          <w:szCs w:val="24"/>
        </w:rPr>
        <w:t>The objective of this document is to present the situation of the work of the Expert Group on the International Telecommunication Regulations (EG-ITRs)</w:t>
      </w:r>
      <w:r w:rsidR="00366541" w:rsidRPr="00B54CB2">
        <w:rPr>
          <w:rStyle w:val="FootnoteReference"/>
          <w:rFonts w:cstheme="minorHAnsi"/>
          <w:szCs w:val="18"/>
        </w:rPr>
        <w:footnoteReference w:id="1"/>
      </w:r>
      <w:r w:rsidRPr="00B23389">
        <w:rPr>
          <w:rFonts w:cstheme="minorHAnsi"/>
          <w:szCs w:val="24"/>
        </w:rPr>
        <w:t xml:space="preserve">, as mandated by the ITU Plenipotentiary Conference (Bucharest, 26 September to 14 October 2022) following the approval of Resolution 146 (Rev. Bucharest, 2022) on Periodic review of the ITRs. </w:t>
      </w:r>
      <w:r w:rsidR="00306BEF" w:rsidRPr="00B23389">
        <w:rPr>
          <w:rFonts w:cstheme="minorHAnsi"/>
          <w:szCs w:val="24"/>
        </w:rPr>
        <w:t>This report focuses on the main results of the first and second meetings of the EG-ITRs, held on 16 October 2023 and 29-30 January 2024 respectively.</w:t>
      </w:r>
    </w:p>
    <w:p w14:paraId="56B8B236" w14:textId="77777777" w:rsidR="00C9176C" w:rsidRPr="00B23389" w:rsidRDefault="00C9176C" w:rsidP="00B23389">
      <w:pPr>
        <w:pStyle w:val="ListParagraph"/>
        <w:numPr>
          <w:ilvl w:val="0"/>
          <w:numId w:val="2"/>
        </w:numPr>
        <w:snapToGrid w:val="0"/>
        <w:spacing w:after="120"/>
        <w:ind w:left="357" w:hanging="357"/>
        <w:contextualSpacing w:val="0"/>
        <w:rPr>
          <w:rFonts w:cstheme="minorHAnsi"/>
          <w:b/>
          <w:bCs/>
          <w:szCs w:val="24"/>
        </w:rPr>
      </w:pPr>
      <w:r w:rsidRPr="00B23389">
        <w:rPr>
          <w:rFonts w:cstheme="minorHAnsi"/>
          <w:b/>
          <w:bCs/>
          <w:szCs w:val="24"/>
        </w:rPr>
        <w:t>Periodic review of the ITRs</w:t>
      </w:r>
    </w:p>
    <w:p w14:paraId="0699AFEA" w14:textId="77777777" w:rsidR="00C9176C" w:rsidRPr="00B23389" w:rsidRDefault="00C9176C" w:rsidP="00B23389">
      <w:pPr>
        <w:snapToGrid w:val="0"/>
        <w:spacing w:after="120"/>
        <w:rPr>
          <w:rFonts w:cstheme="minorHAnsi"/>
          <w:szCs w:val="24"/>
          <w:lang w:val="en-US"/>
        </w:rPr>
      </w:pPr>
      <w:r w:rsidRPr="00B23389">
        <w:rPr>
          <w:rFonts w:cstheme="minorHAnsi"/>
          <w:szCs w:val="24"/>
        </w:rPr>
        <w:t xml:space="preserve">Resolution 146 (Rev. Bucharest, 2022) </w:t>
      </w:r>
      <w:r w:rsidRPr="00B23389">
        <w:rPr>
          <w:rFonts w:cstheme="minorHAnsi"/>
          <w:szCs w:val="24"/>
          <w:lang w:val="en-US"/>
        </w:rPr>
        <w:t>instructs the Secretary-General to</w:t>
      </w:r>
      <w:r w:rsidRPr="00B23389">
        <w:rPr>
          <w:rFonts w:cstheme="minorHAnsi"/>
          <w:szCs w:val="24"/>
        </w:rPr>
        <w:t xml:space="preserve"> reconvene an EG</w:t>
      </w:r>
      <w:r w:rsidRPr="00B23389">
        <w:rPr>
          <w:rFonts w:ascii="Cambria Math" w:hAnsi="Cambria Math" w:cs="Cambria Math"/>
          <w:szCs w:val="24"/>
        </w:rPr>
        <w:t>‑</w:t>
      </w:r>
      <w:r w:rsidRPr="00B23389">
        <w:rPr>
          <w:rFonts w:cstheme="minorHAnsi"/>
          <w:szCs w:val="24"/>
        </w:rPr>
        <w:t>ITR, open to the ITU Member States and Sector Members, with terms of reference and working methods established by the ITU Council and to submit the report of EG</w:t>
      </w:r>
      <w:r w:rsidRPr="00B23389">
        <w:rPr>
          <w:rFonts w:cstheme="minorHAnsi"/>
          <w:szCs w:val="24"/>
        </w:rPr>
        <w:noBreakHyphen/>
        <w:t>ITR on the outcome of the review to the Council for consideration, publication and subsequent submission to the 2026 plenipotentiary conference.</w:t>
      </w:r>
      <w:r w:rsidRPr="00B23389">
        <w:rPr>
          <w:rFonts w:cstheme="minorHAnsi"/>
          <w:szCs w:val="24"/>
          <w:lang w:val="en-US"/>
        </w:rPr>
        <w:t xml:space="preserve"> </w:t>
      </w:r>
    </w:p>
    <w:p w14:paraId="50FE65DE" w14:textId="77777777" w:rsidR="00C9176C" w:rsidRPr="00B23389" w:rsidRDefault="00C9176C" w:rsidP="00B23389">
      <w:pPr>
        <w:spacing w:after="120"/>
        <w:rPr>
          <w:rFonts w:cstheme="minorHAnsi"/>
          <w:iCs/>
          <w:szCs w:val="24"/>
          <w:lang w:val="en-US"/>
        </w:rPr>
      </w:pPr>
      <w:r w:rsidRPr="00B23389">
        <w:rPr>
          <w:rFonts w:cstheme="minorHAnsi"/>
          <w:szCs w:val="24"/>
          <w:lang w:val="en-US"/>
        </w:rPr>
        <w:t>It is important to highlight that this resolution</w:t>
      </w:r>
      <w:r w:rsidRPr="00B23389">
        <w:rPr>
          <w:rFonts w:cstheme="minorHAnsi"/>
          <w:iCs/>
          <w:szCs w:val="24"/>
        </w:rPr>
        <w:t xml:space="preserve"> “</w:t>
      </w:r>
      <w:r w:rsidRPr="00B23389">
        <w:rPr>
          <w:rFonts w:cstheme="minorHAnsi"/>
          <w:i/>
          <w:szCs w:val="24"/>
          <w:lang w:val="en-US"/>
        </w:rPr>
        <w:t xml:space="preserve">instructs the Directors of the </w:t>
      </w:r>
      <w:proofErr w:type="spellStart"/>
      <w:r w:rsidRPr="00B23389">
        <w:rPr>
          <w:rFonts w:cstheme="minorHAnsi"/>
          <w:i/>
          <w:szCs w:val="24"/>
          <w:lang w:val="en-US"/>
        </w:rPr>
        <w:t>Bureaux</w:t>
      </w:r>
      <w:proofErr w:type="spellEnd"/>
      <w:r w:rsidRPr="00B23389">
        <w:rPr>
          <w:rFonts w:cstheme="minorHAnsi"/>
          <w:i/>
          <w:szCs w:val="24"/>
          <w:lang w:val="en-US"/>
        </w:rPr>
        <w:t xml:space="preserve"> 1) each within their field of competence, with advice from the relevant advisory group, to contribute to the activities of EG-ITR, recognizing that the ITU Telecommunication Standardization Sector has most of the work relevant to the ITRs; 2) to submit the results of their work to EG</w:t>
      </w:r>
      <w:r w:rsidRPr="00B23389">
        <w:rPr>
          <w:rFonts w:ascii="Cambria Math" w:hAnsi="Cambria Math" w:cs="Cambria Math"/>
          <w:i/>
          <w:szCs w:val="24"/>
          <w:lang w:val="en-US"/>
        </w:rPr>
        <w:t>‑</w:t>
      </w:r>
      <w:r w:rsidRPr="00B23389">
        <w:rPr>
          <w:rFonts w:cstheme="minorHAnsi"/>
          <w:i/>
          <w:szCs w:val="24"/>
          <w:lang w:val="en-US"/>
        </w:rPr>
        <w:t>ITR; 3) to consider providing fellowships, where resources are available, for developing</w:t>
      </w:r>
      <w:r w:rsidRPr="00B23389">
        <w:rPr>
          <w:rStyle w:val="FootnoteReference"/>
          <w:rFonts w:cstheme="minorHAnsi"/>
          <w:i/>
          <w:sz w:val="24"/>
          <w:szCs w:val="24"/>
          <w:lang w:val="en-US"/>
        </w:rPr>
        <w:footnoteReference w:id="2"/>
      </w:r>
      <w:r w:rsidRPr="00B23389">
        <w:rPr>
          <w:rFonts w:cstheme="minorHAnsi"/>
          <w:i/>
          <w:szCs w:val="24"/>
          <w:lang w:val="en-US"/>
        </w:rPr>
        <w:t xml:space="preserve"> and least developed countries according to the list established by the United Nations, in order to widen their participation in the expert group</w:t>
      </w:r>
      <w:r w:rsidRPr="00B23389">
        <w:rPr>
          <w:rFonts w:cstheme="minorHAnsi"/>
          <w:iCs/>
          <w:szCs w:val="24"/>
          <w:lang w:val="en-US" w:eastAsia="zh-CN"/>
        </w:rPr>
        <w:t>”</w:t>
      </w:r>
      <w:r w:rsidRPr="00B23389">
        <w:rPr>
          <w:rFonts w:cstheme="minorHAnsi"/>
          <w:iCs/>
          <w:szCs w:val="24"/>
          <w:lang w:val="en-US"/>
        </w:rPr>
        <w:t xml:space="preserve">. </w:t>
      </w:r>
    </w:p>
    <w:p w14:paraId="33CB70DA" w14:textId="77777777" w:rsidR="008863F3" w:rsidRPr="00B23389" w:rsidRDefault="008863F3" w:rsidP="00B23389">
      <w:pPr>
        <w:pStyle w:val="Normalaftertitle"/>
        <w:spacing w:before="120" w:after="120"/>
        <w:rPr>
          <w:rFonts w:cstheme="minorHAnsi"/>
          <w:szCs w:val="24"/>
        </w:rPr>
      </w:pPr>
      <w:r w:rsidRPr="00B23389">
        <w:rPr>
          <w:rFonts w:cstheme="minorHAnsi"/>
          <w:szCs w:val="24"/>
        </w:rPr>
        <w:t xml:space="preserve">The terms of reference for the EG-ITRs, specified in Council </w:t>
      </w:r>
      <w:r w:rsidRPr="00B23389">
        <w:rPr>
          <w:rFonts w:cstheme="minorHAnsi"/>
          <w:szCs w:val="24"/>
          <w:lang w:val="en-US"/>
        </w:rPr>
        <w:t>Resolution 1379 (Mod. 2023)</w:t>
      </w:r>
      <w:r w:rsidRPr="00B23389">
        <w:rPr>
          <w:rFonts w:cstheme="minorHAnsi"/>
          <w:szCs w:val="24"/>
        </w:rPr>
        <w:t xml:space="preserve">, </w:t>
      </w:r>
      <w:r w:rsidRPr="00B23389">
        <w:rPr>
          <w:rStyle w:val="None"/>
          <w:rFonts w:cstheme="minorHAnsi"/>
          <w:szCs w:val="24"/>
          <w:lang w:val="en-US"/>
        </w:rPr>
        <w:t>are to continue to review the ITRs.</w:t>
      </w:r>
      <w:r w:rsidRPr="00B23389">
        <w:rPr>
          <w:rFonts w:cstheme="minorHAnsi"/>
          <w:szCs w:val="24"/>
        </w:rPr>
        <w:t xml:space="preserve"> Taking into consideration the work of the previous two Expert Groups, the review may consider, among others:</w:t>
      </w:r>
    </w:p>
    <w:p w14:paraId="1EB53350" w14:textId="77777777" w:rsidR="008863F3" w:rsidRPr="00B23389" w:rsidRDefault="008863F3" w:rsidP="00B23389">
      <w:pPr>
        <w:pStyle w:val="Normalaftertitle"/>
        <w:numPr>
          <w:ilvl w:val="0"/>
          <w:numId w:val="9"/>
        </w:numPr>
        <w:tabs>
          <w:tab w:val="clear" w:pos="794"/>
          <w:tab w:val="clear" w:pos="1191"/>
          <w:tab w:val="clear" w:pos="1588"/>
          <w:tab w:val="clear" w:pos="1985"/>
        </w:tabs>
        <w:spacing w:before="120" w:after="120"/>
        <w:rPr>
          <w:rFonts w:cstheme="minorHAnsi"/>
          <w:szCs w:val="24"/>
        </w:rPr>
      </w:pPr>
      <w:r w:rsidRPr="00B23389">
        <w:rPr>
          <w:rFonts w:cstheme="minorHAnsi"/>
          <w:szCs w:val="24"/>
        </w:rPr>
        <w:t>new trends in telecommunications/ICT and emerging issues in international telecommunications/ICT environment which may impact the ITRs,</w:t>
      </w:r>
    </w:p>
    <w:p w14:paraId="287E4EEB" w14:textId="77777777" w:rsidR="008863F3" w:rsidRPr="00B23389" w:rsidRDefault="008863F3" w:rsidP="00B23389">
      <w:pPr>
        <w:pStyle w:val="Normalaftertitle"/>
        <w:numPr>
          <w:ilvl w:val="0"/>
          <w:numId w:val="9"/>
        </w:numPr>
        <w:tabs>
          <w:tab w:val="clear" w:pos="794"/>
          <w:tab w:val="clear" w:pos="1191"/>
          <w:tab w:val="clear" w:pos="1588"/>
          <w:tab w:val="clear" w:pos="1985"/>
        </w:tabs>
        <w:spacing w:before="120" w:after="120"/>
        <w:rPr>
          <w:rFonts w:cstheme="minorHAnsi"/>
          <w:szCs w:val="24"/>
        </w:rPr>
      </w:pPr>
      <w:r w:rsidRPr="00B23389">
        <w:rPr>
          <w:rFonts w:cstheme="minorHAnsi"/>
          <w:szCs w:val="24"/>
        </w:rPr>
        <w:t>empirical data on the current use of the ITRs by operating agencies and/or administrations and the proportion of global telecommunication services which now rely on the ITRs, and</w:t>
      </w:r>
    </w:p>
    <w:p w14:paraId="10A65275" w14:textId="77777777" w:rsidR="008863F3" w:rsidRPr="00B23389" w:rsidRDefault="008863F3" w:rsidP="00B23389">
      <w:pPr>
        <w:pStyle w:val="Normalaftertitle"/>
        <w:numPr>
          <w:ilvl w:val="0"/>
          <w:numId w:val="9"/>
        </w:numPr>
        <w:tabs>
          <w:tab w:val="clear" w:pos="794"/>
          <w:tab w:val="clear" w:pos="1191"/>
          <w:tab w:val="clear" w:pos="1588"/>
          <w:tab w:val="clear" w:pos="1985"/>
        </w:tabs>
        <w:spacing w:before="120" w:after="120"/>
        <w:rPr>
          <w:rFonts w:cstheme="minorHAnsi"/>
          <w:szCs w:val="24"/>
        </w:rPr>
      </w:pPr>
      <w:r w:rsidRPr="00B23389">
        <w:rPr>
          <w:rFonts w:cstheme="minorHAnsi"/>
          <w:szCs w:val="24"/>
        </w:rPr>
        <w:t>the relevance of the ITRs which “consist of high-level guiding principles” in the current telecommunication/ICT environment.</w:t>
      </w:r>
    </w:p>
    <w:p w14:paraId="490EED81" w14:textId="525D08BF" w:rsidR="00354CC3" w:rsidRPr="00B23389" w:rsidRDefault="00354CC3" w:rsidP="00B23389">
      <w:pPr>
        <w:pStyle w:val="BodyAA"/>
        <w:tabs>
          <w:tab w:val="clear" w:pos="567"/>
          <w:tab w:val="clear" w:pos="1134"/>
          <w:tab w:val="clear" w:pos="1701"/>
          <w:tab w:val="clear" w:pos="2268"/>
          <w:tab w:val="clear" w:pos="2835"/>
        </w:tabs>
        <w:spacing w:after="120"/>
        <w:rPr>
          <w:rFonts w:asciiTheme="minorHAnsi" w:hAnsiTheme="minorHAnsi" w:cstheme="minorHAnsi"/>
        </w:rPr>
      </w:pPr>
      <w:r w:rsidRPr="00B23389">
        <w:rPr>
          <w:rStyle w:val="None"/>
          <w:rFonts w:asciiTheme="minorHAnsi" w:hAnsiTheme="minorHAnsi" w:cstheme="minorHAnsi"/>
        </w:rPr>
        <w:t xml:space="preserve">The </w:t>
      </w:r>
      <w:r w:rsidRPr="00B23389">
        <w:rPr>
          <w:rFonts w:asciiTheme="minorHAnsi" w:hAnsiTheme="minorHAnsi" w:cstheme="minorHAnsi"/>
        </w:rPr>
        <w:t xml:space="preserve">EG-ITRs held its first and second meetings at the ITU Headquarters in Geneva, Switzerland, on </w:t>
      </w:r>
      <w:r w:rsidRPr="00B23389">
        <w:rPr>
          <w:rFonts w:asciiTheme="minorHAnsi" w:hAnsiTheme="minorHAnsi" w:cstheme="minorHAnsi"/>
          <w:lang w:val="en-GB"/>
        </w:rPr>
        <w:t>16 October 2023</w:t>
      </w:r>
      <w:r w:rsidRPr="00B23389">
        <w:rPr>
          <w:rFonts w:asciiTheme="minorHAnsi" w:hAnsiTheme="minorHAnsi" w:cstheme="minorHAnsi"/>
        </w:rPr>
        <w:t xml:space="preserve"> and 29-30 January 2024, respectively. </w:t>
      </w:r>
      <w:r w:rsidRPr="00B23389">
        <w:rPr>
          <w:rFonts w:asciiTheme="minorHAnsi" w:hAnsiTheme="minorHAnsi" w:cstheme="minorHAnsi"/>
          <w:color w:val="auto"/>
        </w:rPr>
        <w:t xml:space="preserve">The Reports of the </w:t>
      </w:r>
      <w:hyperlink r:id="rId14" w:history="1">
        <w:r w:rsidRPr="00B23389">
          <w:rPr>
            <w:rStyle w:val="Hyperlink"/>
            <w:rFonts w:asciiTheme="minorHAnsi" w:hAnsiTheme="minorHAnsi" w:cstheme="minorHAnsi"/>
            <w:u w:color="0000FF"/>
          </w:rPr>
          <w:t>first</w:t>
        </w:r>
      </w:hyperlink>
      <w:r w:rsidRPr="00B23389">
        <w:rPr>
          <w:rFonts w:asciiTheme="minorHAnsi" w:hAnsiTheme="minorHAnsi" w:cstheme="minorHAnsi"/>
          <w:color w:val="auto"/>
        </w:rPr>
        <w:t xml:space="preserve"> and </w:t>
      </w:r>
      <w:hyperlink r:id="rId15" w:history="1">
        <w:r w:rsidRPr="00B23389">
          <w:rPr>
            <w:rStyle w:val="Hyperlink"/>
            <w:rFonts w:asciiTheme="minorHAnsi" w:hAnsiTheme="minorHAnsi" w:cstheme="minorHAnsi"/>
            <w:u w:color="0000FF"/>
          </w:rPr>
          <w:t>second</w:t>
        </w:r>
      </w:hyperlink>
      <w:r w:rsidRPr="00B23389">
        <w:rPr>
          <w:rFonts w:asciiTheme="minorHAnsi" w:hAnsiTheme="minorHAnsi" w:cstheme="minorHAnsi"/>
          <w:color w:val="auto"/>
        </w:rPr>
        <w:t xml:space="preserve"> meeting of EG-ITRs were approved by the Group.</w:t>
      </w:r>
    </w:p>
    <w:p w14:paraId="5CBA48C0" w14:textId="13C62F6E" w:rsidR="00354CC3" w:rsidRPr="00B23389" w:rsidRDefault="00354CC3" w:rsidP="00B23389">
      <w:pPr>
        <w:pStyle w:val="BodyAA"/>
        <w:tabs>
          <w:tab w:val="clear" w:pos="567"/>
          <w:tab w:val="clear" w:pos="1134"/>
          <w:tab w:val="clear" w:pos="1701"/>
          <w:tab w:val="clear" w:pos="2268"/>
          <w:tab w:val="clear" w:pos="2835"/>
        </w:tabs>
        <w:spacing w:after="120"/>
        <w:rPr>
          <w:rFonts w:asciiTheme="minorHAnsi" w:hAnsiTheme="minorHAnsi" w:cstheme="minorHAnsi"/>
        </w:rPr>
      </w:pPr>
      <w:bookmarkStart w:id="6" w:name="_Hlk38891878"/>
      <w:r w:rsidRPr="00B23389">
        <w:rPr>
          <w:rFonts w:asciiTheme="minorHAnsi" w:hAnsiTheme="minorHAnsi" w:cstheme="minorHAnsi"/>
        </w:rPr>
        <w:t xml:space="preserve">In the </w:t>
      </w:r>
      <w:r w:rsidRPr="00B23389">
        <w:rPr>
          <w:rFonts w:asciiTheme="minorHAnsi" w:hAnsiTheme="minorHAnsi" w:cstheme="minorHAnsi"/>
          <w:u w:color="0000FF"/>
        </w:rPr>
        <w:t>first</w:t>
      </w:r>
      <w:r w:rsidRPr="00B23389">
        <w:rPr>
          <w:rFonts w:asciiTheme="minorHAnsi" w:hAnsiTheme="minorHAnsi" w:cstheme="minorHAnsi"/>
        </w:rPr>
        <w:t xml:space="preserve"> meeting of the EG-ITRs, the Group deliberated on the contributions received, with the discussion focusing on the work plan proposals. No consensus was reached on the work plan. </w:t>
      </w:r>
    </w:p>
    <w:bookmarkEnd w:id="6"/>
    <w:p w14:paraId="7185D440" w14:textId="4D8E77C9" w:rsidR="00354CC3" w:rsidRPr="00B23389" w:rsidRDefault="00354CC3" w:rsidP="00B23389">
      <w:pPr>
        <w:pStyle w:val="BodyAA"/>
        <w:spacing w:after="120"/>
        <w:rPr>
          <w:rFonts w:asciiTheme="minorHAnsi" w:hAnsiTheme="minorHAnsi" w:cstheme="minorHAnsi"/>
          <w:lang w:val="en-GB"/>
        </w:rPr>
      </w:pPr>
      <w:r w:rsidRPr="00B23389">
        <w:rPr>
          <w:rFonts w:asciiTheme="minorHAnsi" w:hAnsiTheme="minorHAnsi" w:cstheme="minorHAnsi"/>
        </w:rPr>
        <w:t xml:space="preserve">In the second meeting of the EG-ITRs, a work plan was </w:t>
      </w:r>
      <w:r w:rsidRPr="00B23389">
        <w:rPr>
          <w:rFonts w:asciiTheme="minorHAnsi" w:hAnsiTheme="minorHAnsi" w:cstheme="minorHAnsi"/>
          <w:lang w:val="en-GB"/>
        </w:rPr>
        <w:t>approved</w:t>
      </w:r>
      <w:r w:rsidR="002E0A7F" w:rsidRPr="00B23389">
        <w:rPr>
          <w:rFonts w:asciiTheme="minorHAnsi" w:hAnsiTheme="minorHAnsi" w:cstheme="minorHAnsi"/>
          <w:lang w:val="en-GB"/>
        </w:rPr>
        <w:t xml:space="preserve"> (see annex)</w:t>
      </w:r>
      <w:r w:rsidRPr="00B23389">
        <w:rPr>
          <w:rFonts w:asciiTheme="minorHAnsi" w:hAnsiTheme="minorHAnsi" w:cstheme="minorHAnsi"/>
          <w:lang w:val="en-GB"/>
        </w:rPr>
        <w:t xml:space="preserve"> by the meeting with the understanding that it provides guidance for the work of the Group and does not limit any members to submit contributions in line with Resolution 146 (Rev. Bucharest, 2022) and Council </w:t>
      </w:r>
      <w:r w:rsidRPr="00B23389">
        <w:rPr>
          <w:rFonts w:asciiTheme="minorHAnsi" w:hAnsiTheme="minorHAnsi" w:cstheme="minorHAnsi"/>
          <w:lang w:val="en-GB"/>
        </w:rPr>
        <w:lastRenderedPageBreak/>
        <w:t>Resolution 1379 (Amended 2023). A statement from the Russian Federation in this respect is attached as Annex 2 to the Second Meeting Report.</w:t>
      </w:r>
    </w:p>
    <w:p w14:paraId="03EDF7F5" w14:textId="1D575498" w:rsidR="00C9176C" w:rsidRPr="00B23389" w:rsidRDefault="00A46601" w:rsidP="00B23389">
      <w:pPr>
        <w:tabs>
          <w:tab w:val="left" w:pos="720"/>
        </w:tabs>
        <w:spacing w:after="120"/>
        <w:rPr>
          <w:rFonts w:cstheme="minorHAnsi"/>
          <w:bCs/>
          <w:szCs w:val="24"/>
        </w:rPr>
      </w:pPr>
      <w:r w:rsidRPr="00B23389">
        <w:rPr>
          <w:rFonts w:cstheme="minorHAnsi"/>
          <w:szCs w:val="24"/>
        </w:rPr>
        <w:t xml:space="preserve">Regarding </w:t>
      </w:r>
      <w:r w:rsidR="00C9176C" w:rsidRPr="00B23389">
        <w:rPr>
          <w:rFonts w:cstheme="minorHAnsi"/>
          <w:szCs w:val="24"/>
        </w:rPr>
        <w:t>empirical data on the current use of the ITRs by operating agencies and/or administrations and the proportion of global telecommunication services which now rely on the ITRs</w:t>
      </w:r>
      <w:r w:rsidRPr="00B23389">
        <w:rPr>
          <w:rFonts w:cstheme="minorHAnsi"/>
          <w:szCs w:val="24"/>
        </w:rPr>
        <w:t>, d</w:t>
      </w:r>
      <w:r w:rsidR="00366541" w:rsidRPr="00B23389">
        <w:rPr>
          <w:rFonts w:cstheme="minorHAnsi"/>
          <w:szCs w:val="24"/>
        </w:rPr>
        <w:t>uring the</w:t>
      </w:r>
      <w:r w:rsidR="00366541" w:rsidRPr="00B23389">
        <w:rPr>
          <w:rFonts w:cstheme="minorHAnsi"/>
          <w:bCs/>
          <w:szCs w:val="24"/>
        </w:rPr>
        <w:t xml:space="preserve"> last meeting the EG-ITRs </w:t>
      </w:r>
      <w:r w:rsidR="00C9176C" w:rsidRPr="00B23389">
        <w:rPr>
          <w:rFonts w:cstheme="minorHAnsi"/>
          <w:bCs/>
          <w:szCs w:val="24"/>
        </w:rPr>
        <w:t xml:space="preserve">decided </w:t>
      </w:r>
      <w:r w:rsidR="002E0A7F" w:rsidRPr="00B23389">
        <w:rPr>
          <w:rFonts w:cstheme="minorHAnsi"/>
          <w:bCs/>
          <w:szCs w:val="24"/>
        </w:rPr>
        <w:t xml:space="preserve">that a survey for collection of empirical data would not be issued, and </w:t>
      </w:r>
      <w:r w:rsidR="00C9176C" w:rsidRPr="00B23389">
        <w:rPr>
          <w:rFonts w:cstheme="minorHAnsi"/>
          <w:bCs/>
          <w:szCs w:val="24"/>
        </w:rPr>
        <w:t xml:space="preserve">that Member States can carry out their own surveys, and bring the results to the Group in future meetings. </w:t>
      </w:r>
    </w:p>
    <w:p w14:paraId="4EBA7103" w14:textId="191C8264" w:rsidR="00C9176C" w:rsidRPr="00B23389" w:rsidRDefault="00C9176C" w:rsidP="00B23389">
      <w:pPr>
        <w:spacing w:after="120"/>
        <w:rPr>
          <w:rFonts w:cstheme="minorHAnsi"/>
          <w:b/>
          <w:bCs/>
          <w:szCs w:val="24"/>
        </w:rPr>
      </w:pPr>
      <w:r w:rsidRPr="00B23389">
        <w:rPr>
          <w:rFonts w:cstheme="minorHAnsi"/>
          <w:szCs w:val="24"/>
        </w:rPr>
        <w:t>Considering the working agenda and received contributions for these EG-ITRs meetings, there was no specific issue requiring BDT intervention.</w:t>
      </w:r>
    </w:p>
    <w:p w14:paraId="618E4FD0" w14:textId="1B39AD4B" w:rsidR="00C9176C" w:rsidRPr="00B23389" w:rsidRDefault="00C9176C" w:rsidP="00B23389">
      <w:pPr>
        <w:spacing w:after="120"/>
        <w:rPr>
          <w:rFonts w:cstheme="minorHAnsi"/>
          <w:b/>
          <w:bCs/>
          <w:szCs w:val="24"/>
        </w:rPr>
      </w:pPr>
      <w:r w:rsidRPr="00B23389">
        <w:rPr>
          <w:rFonts w:cstheme="minorHAnsi"/>
          <w:b/>
          <w:bCs/>
          <w:szCs w:val="24"/>
        </w:rPr>
        <w:t>Next steps:</w:t>
      </w:r>
    </w:p>
    <w:p w14:paraId="2B98C298" w14:textId="77777777" w:rsidR="00C9176C" w:rsidRPr="00B23389" w:rsidRDefault="00C9176C" w:rsidP="00B23389">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eastAsia="Calibri" w:cstheme="minorHAnsi"/>
          <w:bCs/>
          <w:szCs w:val="24"/>
        </w:rPr>
      </w:pPr>
      <w:r w:rsidRPr="00B23389">
        <w:rPr>
          <w:rFonts w:eastAsia="Calibri" w:cstheme="minorHAnsi"/>
          <w:bCs/>
          <w:szCs w:val="24"/>
        </w:rPr>
        <w:t xml:space="preserve">The next meeting will be held during the next session of Council working group.  </w:t>
      </w:r>
    </w:p>
    <w:p w14:paraId="11A8E931" w14:textId="1554F634" w:rsidR="00C9176C" w:rsidRPr="00B23389" w:rsidRDefault="00C9176C" w:rsidP="00B23389">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eastAsia="Calibri" w:cstheme="minorHAnsi"/>
          <w:bCs/>
          <w:szCs w:val="24"/>
        </w:rPr>
      </w:pPr>
      <w:r w:rsidRPr="00B23389">
        <w:rPr>
          <w:rFonts w:eastAsia="Calibri" w:cstheme="minorHAnsi"/>
          <w:bCs/>
          <w:szCs w:val="24"/>
        </w:rPr>
        <w:t>In keeping with past practice, the meeting agreed that the first and second meeting reports of the Group</w:t>
      </w:r>
      <w:r w:rsidR="00354CC3" w:rsidRPr="00B23389">
        <w:rPr>
          <w:rFonts w:eastAsia="Calibri" w:cstheme="minorHAnsi"/>
          <w:bCs/>
          <w:szCs w:val="24"/>
        </w:rPr>
        <w:t xml:space="preserve"> </w:t>
      </w:r>
      <w:r w:rsidRPr="00B23389">
        <w:rPr>
          <w:rFonts w:eastAsia="Calibri" w:cstheme="minorHAnsi"/>
          <w:bCs/>
          <w:szCs w:val="24"/>
        </w:rPr>
        <w:t>will be presented and hyperlinked in a short document by the Chair and submitted as a Progress Report to be presented to Council 2024.</w:t>
      </w:r>
    </w:p>
    <w:p w14:paraId="3715DC05" w14:textId="77777777" w:rsidR="004F504A" w:rsidRDefault="004F504A">
      <w:pPr>
        <w:tabs>
          <w:tab w:val="clear" w:pos="794"/>
          <w:tab w:val="clear" w:pos="1191"/>
          <w:tab w:val="clear" w:pos="1588"/>
          <w:tab w:val="clear" w:pos="1985"/>
        </w:tabs>
        <w:overflowPunct/>
        <w:autoSpaceDE/>
        <w:autoSpaceDN/>
        <w:adjustRightInd/>
        <w:spacing w:before="0"/>
        <w:textAlignment w:val="auto"/>
        <w:rPr>
          <w:lang w:val="en-US"/>
        </w:rPr>
      </w:pPr>
      <w:bookmarkStart w:id="7" w:name="Proposal"/>
      <w:bookmarkEnd w:id="7"/>
      <w:r>
        <w:rPr>
          <w:lang w:val="en-US"/>
        </w:rPr>
        <w:br w:type="page"/>
      </w:r>
    </w:p>
    <w:p w14:paraId="10689944" w14:textId="2C68446D" w:rsidR="00366541" w:rsidRPr="00D47DC6" w:rsidRDefault="00366541" w:rsidP="00D47DC6">
      <w:pPr>
        <w:tabs>
          <w:tab w:val="clear" w:pos="794"/>
          <w:tab w:val="clear" w:pos="1191"/>
          <w:tab w:val="clear" w:pos="1588"/>
          <w:tab w:val="clear" w:pos="1985"/>
        </w:tabs>
        <w:overflowPunct/>
        <w:autoSpaceDE/>
        <w:autoSpaceDN/>
        <w:adjustRightInd/>
        <w:spacing w:after="120"/>
        <w:textAlignment w:val="auto"/>
        <w:rPr>
          <w:b/>
          <w:bCs/>
          <w:szCs w:val="24"/>
          <w:lang w:val="en-US"/>
        </w:rPr>
      </w:pPr>
      <w:r w:rsidRPr="00D47DC6">
        <w:rPr>
          <w:b/>
          <w:bCs/>
          <w:szCs w:val="24"/>
          <w:lang w:val="en-US"/>
        </w:rPr>
        <w:lastRenderedPageBreak/>
        <w:t>Annex 1</w:t>
      </w:r>
      <w:bookmarkStart w:id="8" w:name="_GoBack"/>
      <w:bookmarkEnd w:id="8"/>
    </w:p>
    <w:p w14:paraId="17CC8745" w14:textId="77777777" w:rsidR="00366541" w:rsidRPr="00D47DC6" w:rsidRDefault="00366541" w:rsidP="00D47DC6">
      <w:pPr>
        <w:pStyle w:val="Annextitle"/>
        <w:spacing w:before="120" w:after="120"/>
        <w:rPr>
          <w:sz w:val="24"/>
          <w:szCs w:val="24"/>
          <w:lang w:val="en-US"/>
        </w:rPr>
      </w:pPr>
      <w:r w:rsidRPr="00D47DC6">
        <w:rPr>
          <w:sz w:val="24"/>
          <w:szCs w:val="24"/>
          <w:lang w:val="en-US"/>
        </w:rPr>
        <w:t>Work Plan</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678"/>
        <w:gridCol w:w="2551"/>
        <w:gridCol w:w="1560"/>
      </w:tblGrid>
      <w:tr w:rsidR="00366541" w:rsidRPr="002A4D72" w14:paraId="45030F01" w14:textId="77777777" w:rsidTr="00A33A02">
        <w:trPr>
          <w:trHeight w:val="303"/>
          <w:tblHeader/>
          <w:jc w:val="center"/>
        </w:trPr>
        <w:tc>
          <w:tcPr>
            <w:tcW w:w="1271" w:type="dxa"/>
            <w:vAlign w:val="center"/>
          </w:tcPr>
          <w:p w14:paraId="1C6E1312" w14:textId="77777777" w:rsidR="00366541" w:rsidRPr="002A4D72" w:rsidRDefault="00366541" w:rsidP="00A33A02">
            <w:pPr>
              <w:overflowPunct/>
              <w:autoSpaceDE/>
              <w:autoSpaceDN/>
              <w:adjustRightInd/>
              <w:spacing w:before="0" w:after="160" w:line="259" w:lineRule="auto"/>
              <w:textAlignment w:val="auto"/>
              <w:rPr>
                <w:rFonts w:cs="Calibri"/>
                <w:b/>
              </w:rPr>
            </w:pPr>
            <w:r w:rsidRPr="002A4D72">
              <w:rPr>
                <w:rFonts w:cs="Calibri"/>
                <w:b/>
              </w:rPr>
              <w:t>Meeting</w:t>
            </w:r>
          </w:p>
        </w:tc>
        <w:tc>
          <w:tcPr>
            <w:tcW w:w="4678" w:type="dxa"/>
            <w:vAlign w:val="center"/>
          </w:tcPr>
          <w:p w14:paraId="45DE6B70" w14:textId="77777777" w:rsidR="00366541" w:rsidRPr="002A4D72" w:rsidRDefault="00366541" w:rsidP="00A33A02">
            <w:pPr>
              <w:overflowPunct/>
              <w:autoSpaceDE/>
              <w:autoSpaceDN/>
              <w:adjustRightInd/>
              <w:spacing w:before="0" w:after="160" w:line="259" w:lineRule="auto"/>
              <w:textAlignment w:val="auto"/>
              <w:rPr>
                <w:rFonts w:cs="Calibri"/>
                <w:b/>
              </w:rPr>
            </w:pPr>
            <w:r w:rsidRPr="002A4D72">
              <w:rPr>
                <w:rFonts w:cs="Calibri"/>
                <w:b/>
              </w:rPr>
              <w:t>Objective</w:t>
            </w:r>
          </w:p>
        </w:tc>
        <w:tc>
          <w:tcPr>
            <w:tcW w:w="2551" w:type="dxa"/>
            <w:vAlign w:val="center"/>
          </w:tcPr>
          <w:p w14:paraId="00CC6F9F" w14:textId="77777777" w:rsidR="00366541" w:rsidRPr="002A4D72" w:rsidRDefault="00366541" w:rsidP="00A33A02">
            <w:pPr>
              <w:overflowPunct/>
              <w:autoSpaceDE/>
              <w:autoSpaceDN/>
              <w:adjustRightInd/>
              <w:spacing w:before="0" w:after="160" w:line="259" w:lineRule="auto"/>
              <w:textAlignment w:val="auto"/>
              <w:rPr>
                <w:rFonts w:cs="Calibri"/>
                <w:b/>
              </w:rPr>
            </w:pPr>
            <w:r w:rsidRPr="002A4D72">
              <w:rPr>
                <w:rFonts w:cs="Calibri"/>
                <w:b/>
              </w:rPr>
              <w:t>Possible Activities</w:t>
            </w:r>
          </w:p>
        </w:tc>
        <w:tc>
          <w:tcPr>
            <w:tcW w:w="1560" w:type="dxa"/>
            <w:vAlign w:val="center"/>
          </w:tcPr>
          <w:p w14:paraId="3DE2E8A0" w14:textId="77777777" w:rsidR="00366541" w:rsidRPr="002A4D72" w:rsidRDefault="00366541" w:rsidP="00A33A02">
            <w:pPr>
              <w:overflowPunct/>
              <w:autoSpaceDE/>
              <w:autoSpaceDN/>
              <w:adjustRightInd/>
              <w:spacing w:before="0" w:after="160" w:line="259" w:lineRule="auto"/>
              <w:textAlignment w:val="auto"/>
              <w:rPr>
                <w:rFonts w:cs="Calibri"/>
                <w:b/>
              </w:rPr>
            </w:pPr>
            <w:r w:rsidRPr="002A4D72">
              <w:rPr>
                <w:rFonts w:cs="Calibri"/>
                <w:b/>
              </w:rPr>
              <w:t>Required outcome</w:t>
            </w:r>
          </w:p>
        </w:tc>
      </w:tr>
      <w:tr w:rsidR="00366541" w:rsidRPr="002A4D72" w14:paraId="0BB3715C" w14:textId="77777777" w:rsidTr="00A33A02">
        <w:trPr>
          <w:trHeight w:val="1429"/>
          <w:jc w:val="center"/>
        </w:trPr>
        <w:tc>
          <w:tcPr>
            <w:tcW w:w="1271" w:type="dxa"/>
          </w:tcPr>
          <w:p w14:paraId="7D5619EF" w14:textId="5C26902C" w:rsidR="00366541" w:rsidRPr="002A4D72" w:rsidRDefault="00366541" w:rsidP="00B23389">
            <w:pPr>
              <w:overflowPunct/>
              <w:autoSpaceDE/>
              <w:autoSpaceDN/>
              <w:adjustRightInd/>
              <w:spacing w:before="0" w:after="160" w:line="259" w:lineRule="auto"/>
              <w:textAlignment w:val="auto"/>
              <w:rPr>
                <w:rFonts w:cs="Calibri"/>
                <w:bCs/>
              </w:rPr>
            </w:pPr>
            <w:r w:rsidRPr="002A4D72">
              <w:rPr>
                <w:rFonts w:cs="Calibri"/>
                <w:bCs/>
              </w:rPr>
              <w:t>EG-ITRs</w:t>
            </w:r>
            <w:r w:rsidRPr="002A4D72">
              <w:rPr>
                <w:rFonts w:cs="Calibri"/>
                <w:bCs/>
              </w:rPr>
              <w:br/>
              <w:t>3</w:t>
            </w:r>
            <w:r w:rsidRPr="002A4D72">
              <w:rPr>
                <w:rFonts w:cs="Calibri"/>
                <w:bCs/>
                <w:vertAlign w:val="superscript"/>
              </w:rPr>
              <w:t>rd</w:t>
            </w:r>
            <w:r w:rsidRPr="002A4D72">
              <w:rPr>
                <w:rFonts w:cs="Calibri"/>
                <w:bCs/>
              </w:rPr>
              <w:t>, 4</w:t>
            </w:r>
            <w:r w:rsidRPr="002A4D72">
              <w:rPr>
                <w:rFonts w:cs="Calibri"/>
                <w:bCs/>
                <w:vertAlign w:val="superscript"/>
              </w:rPr>
              <w:t>th</w:t>
            </w:r>
            <w:r w:rsidRPr="002A4D72">
              <w:rPr>
                <w:rFonts w:cs="Calibri"/>
                <w:bCs/>
              </w:rPr>
              <w:t xml:space="preserve"> and 5</w:t>
            </w:r>
            <w:r w:rsidRPr="002A4D72">
              <w:rPr>
                <w:rFonts w:cs="Calibri"/>
                <w:bCs/>
                <w:vertAlign w:val="superscript"/>
              </w:rPr>
              <w:t>th</w:t>
            </w:r>
            <w:r w:rsidRPr="002A4D72">
              <w:rPr>
                <w:rFonts w:cs="Calibri"/>
                <w:bCs/>
              </w:rPr>
              <w:t xml:space="preserve"> sessions</w:t>
            </w:r>
          </w:p>
        </w:tc>
        <w:tc>
          <w:tcPr>
            <w:tcW w:w="4678" w:type="dxa"/>
          </w:tcPr>
          <w:p w14:paraId="6B2DD59D"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 xml:space="preserve">The agenda for each of these sessions is to continue to review the ITRs, taking into consideration the work of the previous two Expert Groups, based on the Terms of Reference set out in Council Resolution 1379 (Mod. 2023) which include, among others, as indicated below </w:t>
            </w:r>
          </w:p>
          <w:p w14:paraId="4BADBD64" w14:textId="4E75CEEF" w:rsidR="00366541" w:rsidRPr="002A4D72" w:rsidRDefault="00366541" w:rsidP="00FA614B">
            <w:pPr>
              <w:overflowPunct/>
              <w:autoSpaceDE/>
              <w:autoSpaceDN/>
              <w:adjustRightInd/>
              <w:spacing w:before="0" w:after="160" w:line="259" w:lineRule="auto"/>
              <w:textAlignment w:val="auto"/>
              <w:rPr>
                <w:rFonts w:cs="Calibri"/>
                <w:bCs/>
              </w:rPr>
            </w:pPr>
            <w:r w:rsidRPr="002A4D72">
              <w:rPr>
                <w:rFonts w:cs="Calibri"/>
                <w:bCs/>
              </w:rPr>
              <w:t>a)       new trends in telecommunications/ICT and emerging issues in international telecommunications/ICT environment which may impact the ITRs,</w:t>
            </w:r>
            <w:r w:rsidRPr="002A4D72">
              <w:rPr>
                <w:rFonts w:cs="Calibri"/>
                <w:bCs/>
              </w:rPr>
              <w:br/>
              <w:t>b)       empirical data on the current use of the ITRs by operating agencies and/or administrations and the proportion of global telecommunication services which now rely on the ITRs, and</w:t>
            </w:r>
            <w:r w:rsidRPr="002A4D72">
              <w:rPr>
                <w:rFonts w:cs="Calibri"/>
                <w:bCs/>
              </w:rPr>
              <w:br/>
              <w:t>c)        the relevance of the ITRs which “consist of high-level guiding principles" in the current telecommunication/ICT environment.</w:t>
            </w:r>
          </w:p>
        </w:tc>
        <w:tc>
          <w:tcPr>
            <w:tcW w:w="2551" w:type="dxa"/>
          </w:tcPr>
          <w:p w14:paraId="63477533" w14:textId="77777777" w:rsidR="00366541" w:rsidRPr="002A4D72" w:rsidRDefault="00366541" w:rsidP="00FA614B">
            <w:pPr>
              <w:numPr>
                <w:ilvl w:val="0"/>
                <w:numId w:val="6"/>
              </w:numPr>
              <w:overflowPunct/>
              <w:autoSpaceDE/>
              <w:autoSpaceDN/>
              <w:adjustRightInd/>
              <w:spacing w:before="0" w:after="160" w:line="259" w:lineRule="auto"/>
              <w:ind w:left="177" w:hanging="177"/>
              <w:textAlignment w:val="auto"/>
              <w:rPr>
                <w:rFonts w:cs="Calibri"/>
                <w:bCs/>
              </w:rPr>
            </w:pPr>
            <w:r w:rsidRPr="002A4D72">
              <w:rPr>
                <w:rFonts w:cs="Calibri"/>
                <w:bCs/>
              </w:rPr>
              <w:t xml:space="preserve">Discuss contributions received </w:t>
            </w:r>
          </w:p>
          <w:p w14:paraId="3FB7A479" w14:textId="523F2977" w:rsidR="00366541" w:rsidRPr="00B23389" w:rsidRDefault="00366541" w:rsidP="00B23389">
            <w:pPr>
              <w:numPr>
                <w:ilvl w:val="0"/>
                <w:numId w:val="6"/>
              </w:numPr>
              <w:overflowPunct/>
              <w:autoSpaceDE/>
              <w:autoSpaceDN/>
              <w:adjustRightInd/>
              <w:spacing w:before="0" w:after="160" w:line="259" w:lineRule="auto"/>
              <w:ind w:left="177" w:hanging="177"/>
              <w:textAlignment w:val="auto"/>
              <w:rPr>
                <w:rFonts w:cs="Calibri"/>
                <w:bCs/>
              </w:rPr>
            </w:pPr>
            <w:r w:rsidRPr="002A4D72">
              <w:rPr>
                <w:rFonts w:cs="Calibri"/>
                <w:bCs/>
              </w:rPr>
              <w:t xml:space="preserve">Consider the meeting reports </w:t>
            </w:r>
          </w:p>
        </w:tc>
        <w:tc>
          <w:tcPr>
            <w:tcW w:w="1560" w:type="dxa"/>
          </w:tcPr>
          <w:p w14:paraId="032D89CE"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3</w:t>
            </w:r>
            <w:r w:rsidRPr="002A4D72">
              <w:rPr>
                <w:rFonts w:cs="Calibri"/>
                <w:bCs/>
                <w:vertAlign w:val="superscript"/>
              </w:rPr>
              <w:t>rd</w:t>
            </w:r>
            <w:r w:rsidRPr="002A4D72">
              <w:rPr>
                <w:rFonts w:cs="Calibri"/>
                <w:bCs/>
              </w:rPr>
              <w:t xml:space="preserve"> meeting - Meeting Report</w:t>
            </w:r>
          </w:p>
          <w:p w14:paraId="050C6122"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4</w:t>
            </w:r>
            <w:r w:rsidRPr="002A4D72">
              <w:rPr>
                <w:rFonts w:cs="Calibri"/>
                <w:bCs/>
                <w:vertAlign w:val="superscript"/>
              </w:rPr>
              <w:t>th</w:t>
            </w:r>
            <w:r w:rsidRPr="002A4D72">
              <w:rPr>
                <w:rFonts w:cs="Calibri"/>
                <w:bCs/>
              </w:rPr>
              <w:t xml:space="preserve"> meeting – Meeting Report</w:t>
            </w:r>
          </w:p>
          <w:p w14:paraId="46F6F8CB"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5</w:t>
            </w:r>
            <w:r w:rsidRPr="002A4D72">
              <w:rPr>
                <w:rFonts w:cs="Calibri"/>
                <w:bCs/>
                <w:vertAlign w:val="superscript"/>
              </w:rPr>
              <w:t>th</w:t>
            </w:r>
            <w:r w:rsidRPr="002A4D72">
              <w:rPr>
                <w:rFonts w:cs="Calibri"/>
                <w:bCs/>
              </w:rPr>
              <w:t xml:space="preserve"> meeting – Meeting Report and begin drafting the Final Report</w:t>
            </w:r>
          </w:p>
        </w:tc>
      </w:tr>
      <w:tr w:rsidR="00366541" w:rsidRPr="002A4D72" w14:paraId="597893C3" w14:textId="77777777" w:rsidTr="00A33A02">
        <w:trPr>
          <w:trHeight w:val="1429"/>
          <w:jc w:val="center"/>
        </w:trPr>
        <w:tc>
          <w:tcPr>
            <w:tcW w:w="1271" w:type="dxa"/>
          </w:tcPr>
          <w:p w14:paraId="7E109702"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6</w:t>
            </w:r>
            <w:r w:rsidRPr="002A4D72">
              <w:rPr>
                <w:rFonts w:cs="Calibri"/>
                <w:bCs/>
                <w:vertAlign w:val="superscript"/>
              </w:rPr>
              <w:t>th</w:t>
            </w:r>
            <w:r w:rsidRPr="002A4D72">
              <w:rPr>
                <w:rFonts w:cs="Calibri"/>
                <w:bCs/>
              </w:rPr>
              <w:t xml:space="preserve"> session </w:t>
            </w:r>
          </w:p>
        </w:tc>
        <w:tc>
          <w:tcPr>
            <w:tcW w:w="4678" w:type="dxa"/>
          </w:tcPr>
          <w:p w14:paraId="5D7E1798"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Discuss the draft Final Report to Council 2026</w:t>
            </w:r>
          </w:p>
        </w:tc>
        <w:tc>
          <w:tcPr>
            <w:tcW w:w="2551" w:type="dxa"/>
          </w:tcPr>
          <w:p w14:paraId="495C0367" w14:textId="77777777" w:rsidR="00366541" w:rsidRPr="002A4D72" w:rsidRDefault="00366541" w:rsidP="00FA614B">
            <w:pPr>
              <w:numPr>
                <w:ilvl w:val="0"/>
                <w:numId w:val="6"/>
              </w:numPr>
              <w:overflowPunct/>
              <w:autoSpaceDE/>
              <w:autoSpaceDN/>
              <w:adjustRightInd/>
              <w:spacing w:before="0" w:after="160" w:line="259" w:lineRule="auto"/>
              <w:ind w:left="177" w:hanging="177"/>
              <w:textAlignment w:val="auto"/>
              <w:rPr>
                <w:rFonts w:cs="Calibri"/>
                <w:bCs/>
              </w:rPr>
            </w:pPr>
            <w:r w:rsidRPr="002A4D72">
              <w:rPr>
                <w:rFonts w:cs="Calibri"/>
                <w:bCs/>
              </w:rPr>
              <w:t xml:space="preserve">Discuss contributions received </w:t>
            </w:r>
          </w:p>
          <w:p w14:paraId="69FB5072" w14:textId="77777777" w:rsidR="00366541" w:rsidRPr="002A4D72" w:rsidRDefault="00366541" w:rsidP="00FA614B">
            <w:pPr>
              <w:numPr>
                <w:ilvl w:val="0"/>
                <w:numId w:val="6"/>
              </w:numPr>
              <w:overflowPunct/>
              <w:autoSpaceDE/>
              <w:autoSpaceDN/>
              <w:adjustRightInd/>
              <w:spacing w:before="0" w:after="160" w:line="259" w:lineRule="auto"/>
              <w:ind w:left="177" w:hanging="177"/>
              <w:textAlignment w:val="auto"/>
              <w:rPr>
                <w:rFonts w:cs="Calibri"/>
                <w:bCs/>
              </w:rPr>
            </w:pPr>
            <w:r w:rsidRPr="002A4D72">
              <w:rPr>
                <w:rFonts w:cs="Calibri"/>
                <w:bCs/>
              </w:rPr>
              <w:t xml:space="preserve">Completion of work on the Final Report to the Council </w:t>
            </w:r>
          </w:p>
        </w:tc>
        <w:tc>
          <w:tcPr>
            <w:tcW w:w="1560" w:type="dxa"/>
          </w:tcPr>
          <w:p w14:paraId="694A10EF" w14:textId="77777777" w:rsidR="00366541" w:rsidRPr="002A4D72" w:rsidRDefault="00366541" w:rsidP="00A33A02">
            <w:pPr>
              <w:overflowPunct/>
              <w:autoSpaceDE/>
              <w:autoSpaceDN/>
              <w:adjustRightInd/>
              <w:spacing w:before="0" w:after="160" w:line="259" w:lineRule="auto"/>
              <w:textAlignment w:val="auto"/>
              <w:rPr>
                <w:rFonts w:cs="Calibri"/>
                <w:bCs/>
              </w:rPr>
            </w:pPr>
            <w:r w:rsidRPr="002A4D72">
              <w:rPr>
                <w:rFonts w:cs="Calibri"/>
                <w:bCs/>
              </w:rPr>
              <w:t>Final Report to Council 2026</w:t>
            </w:r>
          </w:p>
        </w:tc>
      </w:tr>
    </w:tbl>
    <w:p w14:paraId="4278A315" w14:textId="5E1FA037" w:rsidR="00C9176C" w:rsidRDefault="00B23389" w:rsidP="00B23389">
      <w:pPr>
        <w:tabs>
          <w:tab w:val="clear" w:pos="794"/>
          <w:tab w:val="clear" w:pos="1191"/>
          <w:tab w:val="clear" w:pos="1588"/>
          <w:tab w:val="clear" w:pos="1985"/>
          <w:tab w:val="left" w:pos="2654"/>
        </w:tabs>
        <w:overflowPunct/>
        <w:autoSpaceDE/>
        <w:autoSpaceDN/>
        <w:adjustRightInd/>
        <w:spacing w:before="0" w:after="160" w:line="259" w:lineRule="auto"/>
        <w:jc w:val="center"/>
        <w:textAlignment w:val="auto"/>
      </w:pPr>
      <w:r>
        <w:rPr>
          <w:rFonts w:ascii="Times New Roman" w:hAnsi="Times New Roman"/>
          <w:b/>
          <w:lang w:val="en-US"/>
        </w:rPr>
        <w:t>________________</w:t>
      </w:r>
    </w:p>
    <w:sectPr w:rsidR="00C9176C" w:rsidSect="00D44328">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3439C" w14:textId="77777777" w:rsidR="00D44328" w:rsidRDefault="00D44328">
      <w:r>
        <w:separator/>
      </w:r>
    </w:p>
  </w:endnote>
  <w:endnote w:type="continuationSeparator" w:id="0">
    <w:p w14:paraId="574D4EEE" w14:textId="77777777" w:rsidR="00D44328" w:rsidRDefault="00D4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4D433804" w:rsidR="0059420B" w:rsidRPr="00AA625F"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AA625F">
            <w:rPr>
              <w:sz w:val="18"/>
              <w:szCs w:val="18"/>
              <w:lang w:val="en-US"/>
            </w:rPr>
            <w:t xml:space="preserve">  </w:t>
          </w:r>
        </w:p>
      </w:tc>
      <w:tc>
        <w:tcPr>
          <w:tcW w:w="5987" w:type="dxa"/>
          <w:tcBorders>
            <w:top w:val="single" w:sz="4" w:space="0" w:color="000000"/>
          </w:tcBorders>
        </w:tcPr>
        <w:p w14:paraId="148264AE" w14:textId="4BF4FF8C" w:rsidR="0059420B" w:rsidRPr="00AF7A97" w:rsidRDefault="00EA0170" w:rsidP="0059420B">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Sofie Maddens, </w:t>
          </w:r>
          <w:r w:rsidR="004E523C">
            <w:rPr>
              <w:sz w:val="18"/>
              <w:szCs w:val="18"/>
              <w:lang w:val="en-US"/>
            </w:rPr>
            <w:t xml:space="preserve">Chief </w:t>
          </w:r>
          <w:proofErr w:type="spellStart"/>
          <w:r w:rsidR="004E523C">
            <w:rPr>
              <w:sz w:val="18"/>
              <w:szCs w:val="18"/>
              <w:lang w:val="en-US"/>
            </w:rPr>
            <w:t>a.i</w:t>
          </w:r>
          <w:proofErr w:type="spellEnd"/>
          <w:r w:rsidR="004E523C">
            <w:rPr>
              <w:sz w:val="18"/>
              <w:szCs w:val="18"/>
              <w:lang w:val="en-US"/>
            </w:rPr>
            <w:t xml:space="preserve">, </w:t>
          </w:r>
          <w:r w:rsidR="00D176F6">
            <w:rPr>
              <w:sz w:val="18"/>
              <w:szCs w:val="18"/>
              <w:lang w:val="en-US"/>
            </w:rPr>
            <w:t xml:space="preserve">Digital Knowledge </w:t>
          </w:r>
          <w:r w:rsidR="002860A9">
            <w:rPr>
              <w:sz w:val="18"/>
              <w:szCs w:val="18"/>
              <w:lang w:val="en-US"/>
            </w:rPr>
            <w:t xml:space="preserve">Hub Department, </w:t>
          </w:r>
          <w:r w:rsidR="002860A9" w:rsidRPr="002860A9">
            <w:rPr>
              <w:sz w:val="18"/>
              <w:szCs w:val="18"/>
              <w:lang w:val="en-US"/>
            </w:rPr>
            <w:t>Telecommunication Development Bureau</w:t>
          </w:r>
        </w:p>
      </w:tc>
      <w:bookmarkStart w:id="9" w:name="OrgName"/>
      <w:bookmarkEnd w:id="9"/>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1B7DD92C" w:rsidR="0059420B" w:rsidRPr="00AF7A97" w:rsidRDefault="00F40315" w:rsidP="0059420B">
          <w:pPr>
            <w:pStyle w:val="FirstFooter"/>
            <w:tabs>
              <w:tab w:val="left" w:pos="2302"/>
            </w:tabs>
            <w:rPr>
              <w:sz w:val="18"/>
              <w:szCs w:val="18"/>
              <w:lang w:val="en-US"/>
            </w:rPr>
          </w:pPr>
          <w:r w:rsidRPr="00F40315">
            <w:rPr>
              <w:sz w:val="18"/>
              <w:szCs w:val="18"/>
              <w:lang w:val="en-US"/>
            </w:rPr>
            <w:t>+41</w:t>
          </w:r>
          <w:r>
            <w:rPr>
              <w:sz w:val="18"/>
              <w:szCs w:val="18"/>
              <w:lang w:val="en-US"/>
            </w:rPr>
            <w:t xml:space="preserve"> </w:t>
          </w:r>
          <w:r w:rsidRPr="00F40315">
            <w:rPr>
              <w:sz w:val="18"/>
              <w:szCs w:val="18"/>
              <w:lang w:val="en-US"/>
            </w:rPr>
            <w:t>22</w:t>
          </w:r>
          <w:r>
            <w:rPr>
              <w:sz w:val="18"/>
              <w:szCs w:val="18"/>
              <w:lang w:val="en-US"/>
            </w:rPr>
            <w:t xml:space="preserve"> </w:t>
          </w:r>
          <w:r w:rsidRPr="00F40315">
            <w:rPr>
              <w:sz w:val="18"/>
              <w:szCs w:val="18"/>
              <w:lang w:val="en-US"/>
            </w:rPr>
            <w:t>730</w:t>
          </w:r>
          <w:r>
            <w:rPr>
              <w:sz w:val="18"/>
              <w:szCs w:val="18"/>
              <w:lang w:val="en-US"/>
            </w:rPr>
            <w:t xml:space="preserve"> </w:t>
          </w:r>
          <w:r w:rsidRPr="00F40315">
            <w:rPr>
              <w:sz w:val="18"/>
              <w:szCs w:val="18"/>
              <w:lang w:val="en-US"/>
            </w:rPr>
            <w:t>6256</w:t>
          </w:r>
        </w:p>
      </w:tc>
      <w:bookmarkStart w:id="10" w:name="PhoneNo"/>
      <w:bookmarkEnd w:id="10"/>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62DB14FD" w:rsidR="0059420B" w:rsidRPr="00AF7A97" w:rsidRDefault="00CD2F03" w:rsidP="0059420B">
          <w:pPr>
            <w:pStyle w:val="FirstFooter"/>
            <w:tabs>
              <w:tab w:val="left" w:pos="2302"/>
            </w:tabs>
            <w:rPr>
              <w:sz w:val="18"/>
              <w:szCs w:val="18"/>
              <w:lang w:val="en-US"/>
            </w:rPr>
          </w:pPr>
          <w:hyperlink r:id="rId1" w:history="1">
            <w:r w:rsidRPr="00124819">
              <w:rPr>
                <w:rStyle w:val="Hyperlink"/>
                <w:sz w:val="18"/>
                <w:szCs w:val="18"/>
                <w:lang w:val="en-US"/>
              </w:rPr>
              <w:t>sofie.maddens@itu.int</w:t>
            </w:r>
          </w:hyperlink>
          <w:r>
            <w:rPr>
              <w:sz w:val="18"/>
              <w:szCs w:val="18"/>
              <w:lang w:val="en-US"/>
            </w:rPr>
            <w:t xml:space="preserve"> </w:t>
          </w:r>
        </w:p>
      </w:tc>
      <w:bookmarkStart w:id="11" w:name="Email"/>
      <w:bookmarkEnd w:id="11"/>
    </w:tr>
  </w:tbl>
  <w:p w14:paraId="40A321D0" w14:textId="2166F7E2"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39D39" w14:textId="77777777" w:rsidR="00D44328" w:rsidRDefault="00D44328">
      <w:r>
        <w:t>____________________</w:t>
      </w:r>
    </w:p>
  </w:footnote>
  <w:footnote w:type="continuationSeparator" w:id="0">
    <w:p w14:paraId="4BE46156" w14:textId="77777777" w:rsidR="00D44328" w:rsidRDefault="00D44328">
      <w:r>
        <w:continuationSeparator/>
      </w:r>
    </w:p>
  </w:footnote>
  <w:footnote w:id="1">
    <w:p w14:paraId="6121811F" w14:textId="425629F2" w:rsidR="00366541" w:rsidRPr="00D47DC6" w:rsidRDefault="00366541">
      <w:pPr>
        <w:pStyle w:val="FootnoteText"/>
        <w:rPr>
          <w:sz w:val="20"/>
        </w:rPr>
      </w:pPr>
      <w:r w:rsidRPr="00D47DC6">
        <w:rPr>
          <w:rStyle w:val="FootnoteReference"/>
          <w:sz w:val="20"/>
        </w:rPr>
        <w:footnoteRef/>
      </w:r>
      <w:r w:rsidRPr="00D47DC6">
        <w:rPr>
          <w:sz w:val="20"/>
        </w:rPr>
        <w:t xml:space="preserve"> </w:t>
      </w:r>
      <w:hyperlink r:id="rId1" w:history="1">
        <w:r w:rsidRPr="00D47DC6">
          <w:rPr>
            <w:rStyle w:val="Hyperlink"/>
            <w:sz w:val="20"/>
          </w:rPr>
          <w:t>https://www.itu.int/en/council/Pages/eg-itrs.aspx</w:t>
        </w:r>
      </w:hyperlink>
      <w:r w:rsidRPr="00D47DC6">
        <w:rPr>
          <w:sz w:val="20"/>
        </w:rPr>
        <w:t xml:space="preserve">  </w:t>
      </w:r>
    </w:p>
  </w:footnote>
  <w:footnote w:id="2">
    <w:p w14:paraId="4819CF4F" w14:textId="77777777" w:rsidR="00C9176C" w:rsidRPr="00D47DC6" w:rsidRDefault="00C9176C" w:rsidP="00C9176C">
      <w:pPr>
        <w:pStyle w:val="FootnoteText"/>
        <w:spacing w:before="0"/>
        <w:ind w:left="0" w:firstLine="0"/>
        <w:rPr>
          <w:sz w:val="20"/>
          <w:lang w:val="en-US"/>
        </w:rPr>
      </w:pPr>
      <w:r w:rsidRPr="00D47DC6">
        <w:rPr>
          <w:rStyle w:val="FootnoteReference"/>
          <w:sz w:val="20"/>
        </w:rPr>
        <w:footnoteRef/>
      </w:r>
      <w:r w:rsidRPr="00D47DC6">
        <w:rPr>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FD6E3C5"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962E54">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F29"/>
    <w:multiLevelType w:val="hybridMultilevel"/>
    <w:tmpl w:val="8E7805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4693"/>
    <w:multiLevelType w:val="hybridMultilevel"/>
    <w:tmpl w:val="80E2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2585A"/>
    <w:multiLevelType w:val="hybridMultilevel"/>
    <w:tmpl w:val="9A6809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30D266A"/>
    <w:multiLevelType w:val="hybridMultilevel"/>
    <w:tmpl w:val="DA5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259C2"/>
    <w:multiLevelType w:val="hybridMultilevel"/>
    <w:tmpl w:val="6E763EC0"/>
    <w:lvl w:ilvl="0" w:tplc="7B26C1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D10C1B"/>
    <w:multiLevelType w:val="hybridMultilevel"/>
    <w:tmpl w:val="2708C2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106AF"/>
    <w:multiLevelType w:val="hybridMultilevel"/>
    <w:tmpl w:val="477CC0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4CAB"/>
    <w:rsid w:val="001A6733"/>
    <w:rsid w:val="001B357F"/>
    <w:rsid w:val="001C3444"/>
    <w:rsid w:val="001C3702"/>
    <w:rsid w:val="001C4314"/>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60A9"/>
    <w:rsid w:val="00287A3C"/>
    <w:rsid w:val="002A2FC6"/>
    <w:rsid w:val="002C1EC7"/>
    <w:rsid w:val="002C3015"/>
    <w:rsid w:val="002C4342"/>
    <w:rsid w:val="002C7EA3"/>
    <w:rsid w:val="002D20AE"/>
    <w:rsid w:val="002D6C61"/>
    <w:rsid w:val="002E0A7F"/>
    <w:rsid w:val="002E2104"/>
    <w:rsid w:val="002E2DAC"/>
    <w:rsid w:val="002E6963"/>
    <w:rsid w:val="002E6F8F"/>
    <w:rsid w:val="002F05D8"/>
    <w:rsid w:val="002F2DE0"/>
    <w:rsid w:val="002F5E25"/>
    <w:rsid w:val="0030353C"/>
    <w:rsid w:val="00306BEF"/>
    <w:rsid w:val="003125C3"/>
    <w:rsid w:val="00312AE6"/>
    <w:rsid w:val="00317D1A"/>
    <w:rsid w:val="003211FF"/>
    <w:rsid w:val="003242AB"/>
    <w:rsid w:val="00327247"/>
    <w:rsid w:val="00327A9D"/>
    <w:rsid w:val="0033130E"/>
    <w:rsid w:val="0033269C"/>
    <w:rsid w:val="00351C79"/>
    <w:rsid w:val="00354CC3"/>
    <w:rsid w:val="0035516C"/>
    <w:rsid w:val="00355A4C"/>
    <w:rsid w:val="003604FB"/>
    <w:rsid w:val="00360B73"/>
    <w:rsid w:val="00366541"/>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3F5550"/>
    <w:rsid w:val="00400CCF"/>
    <w:rsid w:val="00401BFF"/>
    <w:rsid w:val="00404424"/>
    <w:rsid w:val="0041156B"/>
    <w:rsid w:val="004122C5"/>
    <w:rsid w:val="00413B78"/>
    <w:rsid w:val="00416DDE"/>
    <w:rsid w:val="0044411E"/>
    <w:rsid w:val="00453435"/>
    <w:rsid w:val="00460089"/>
    <w:rsid w:val="00466398"/>
    <w:rsid w:val="004675EB"/>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523C"/>
    <w:rsid w:val="004E64EA"/>
    <w:rsid w:val="004E7828"/>
    <w:rsid w:val="004F46AA"/>
    <w:rsid w:val="004F504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4E39"/>
    <w:rsid w:val="006F009A"/>
    <w:rsid w:val="006F3D93"/>
    <w:rsid w:val="00700384"/>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0015"/>
    <w:rsid w:val="00821996"/>
    <w:rsid w:val="00822323"/>
    <w:rsid w:val="00827BC6"/>
    <w:rsid w:val="008300AD"/>
    <w:rsid w:val="00833024"/>
    <w:rsid w:val="008419B1"/>
    <w:rsid w:val="00844A56"/>
    <w:rsid w:val="00845B11"/>
    <w:rsid w:val="00852081"/>
    <w:rsid w:val="00872B6E"/>
    <w:rsid w:val="00874DFD"/>
    <w:rsid w:val="008802F9"/>
    <w:rsid w:val="00883086"/>
    <w:rsid w:val="008863F3"/>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38FA"/>
    <w:rsid w:val="00904230"/>
    <w:rsid w:val="00914004"/>
    <w:rsid w:val="00922EC1"/>
    <w:rsid w:val="00923CF1"/>
    <w:rsid w:val="009301F1"/>
    <w:rsid w:val="009307DF"/>
    <w:rsid w:val="009359B8"/>
    <w:rsid w:val="00935FF0"/>
    <w:rsid w:val="009431F8"/>
    <w:rsid w:val="00947A35"/>
    <w:rsid w:val="00951382"/>
    <w:rsid w:val="0096201B"/>
    <w:rsid w:val="00962081"/>
    <w:rsid w:val="00962E54"/>
    <w:rsid w:val="00966CB5"/>
    <w:rsid w:val="00971044"/>
    <w:rsid w:val="00975786"/>
    <w:rsid w:val="00981CB7"/>
    <w:rsid w:val="00983E1F"/>
    <w:rsid w:val="00993F46"/>
    <w:rsid w:val="00997358"/>
    <w:rsid w:val="009A452B"/>
    <w:rsid w:val="009B050C"/>
    <w:rsid w:val="009B087F"/>
    <w:rsid w:val="009B2AF4"/>
    <w:rsid w:val="009C110B"/>
    <w:rsid w:val="009C5441"/>
    <w:rsid w:val="009D03CF"/>
    <w:rsid w:val="009D119F"/>
    <w:rsid w:val="009D49A2"/>
    <w:rsid w:val="009F3940"/>
    <w:rsid w:val="009F3EB2"/>
    <w:rsid w:val="009F6EB1"/>
    <w:rsid w:val="00A11D05"/>
    <w:rsid w:val="00A13162"/>
    <w:rsid w:val="00A20267"/>
    <w:rsid w:val="00A3158C"/>
    <w:rsid w:val="00A32DF3"/>
    <w:rsid w:val="00A33E32"/>
    <w:rsid w:val="00A35E20"/>
    <w:rsid w:val="00A36F6D"/>
    <w:rsid w:val="00A37DB7"/>
    <w:rsid w:val="00A46601"/>
    <w:rsid w:val="00A50CA0"/>
    <w:rsid w:val="00A525CC"/>
    <w:rsid w:val="00A53E7C"/>
    <w:rsid w:val="00A60087"/>
    <w:rsid w:val="00A705E8"/>
    <w:rsid w:val="00A721F4"/>
    <w:rsid w:val="00A9392C"/>
    <w:rsid w:val="00A9462B"/>
    <w:rsid w:val="00A97D59"/>
    <w:rsid w:val="00AA3E09"/>
    <w:rsid w:val="00AA4BEF"/>
    <w:rsid w:val="00AA625F"/>
    <w:rsid w:val="00AB1659"/>
    <w:rsid w:val="00AB2CCA"/>
    <w:rsid w:val="00AB4962"/>
    <w:rsid w:val="00AB734E"/>
    <w:rsid w:val="00AB740F"/>
    <w:rsid w:val="00AC6F14"/>
    <w:rsid w:val="00AC7221"/>
    <w:rsid w:val="00AD4677"/>
    <w:rsid w:val="00AE5961"/>
    <w:rsid w:val="00AF0745"/>
    <w:rsid w:val="00AF4971"/>
    <w:rsid w:val="00AF5276"/>
    <w:rsid w:val="00AF7C86"/>
    <w:rsid w:val="00B01046"/>
    <w:rsid w:val="00B23389"/>
    <w:rsid w:val="00B310F9"/>
    <w:rsid w:val="00B37866"/>
    <w:rsid w:val="00B412FB"/>
    <w:rsid w:val="00B42685"/>
    <w:rsid w:val="00B4576B"/>
    <w:rsid w:val="00B46350"/>
    <w:rsid w:val="00B46DF3"/>
    <w:rsid w:val="00B54CB2"/>
    <w:rsid w:val="00B648C7"/>
    <w:rsid w:val="00B66E8F"/>
    <w:rsid w:val="00B80157"/>
    <w:rsid w:val="00B83D5E"/>
    <w:rsid w:val="00B8460A"/>
    <w:rsid w:val="00B8650D"/>
    <w:rsid w:val="00B879B4"/>
    <w:rsid w:val="00B90F07"/>
    <w:rsid w:val="00B967B2"/>
    <w:rsid w:val="00B97BB9"/>
    <w:rsid w:val="00BA0009"/>
    <w:rsid w:val="00BA407D"/>
    <w:rsid w:val="00BB02B5"/>
    <w:rsid w:val="00BB1863"/>
    <w:rsid w:val="00BB25EE"/>
    <w:rsid w:val="00BB363A"/>
    <w:rsid w:val="00BC07CB"/>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24A2"/>
    <w:rsid w:val="00C60A41"/>
    <w:rsid w:val="00C62DE8"/>
    <w:rsid w:val="00C62DFB"/>
    <w:rsid w:val="00C630E6"/>
    <w:rsid w:val="00C63812"/>
    <w:rsid w:val="00C64AF3"/>
    <w:rsid w:val="00C66F4D"/>
    <w:rsid w:val="00C67BB5"/>
    <w:rsid w:val="00C72713"/>
    <w:rsid w:val="00C848EF"/>
    <w:rsid w:val="00C86600"/>
    <w:rsid w:val="00C87BCA"/>
    <w:rsid w:val="00C87EED"/>
    <w:rsid w:val="00C9176C"/>
    <w:rsid w:val="00C94506"/>
    <w:rsid w:val="00C954BC"/>
    <w:rsid w:val="00CA1F0B"/>
    <w:rsid w:val="00CB110F"/>
    <w:rsid w:val="00CB2A2E"/>
    <w:rsid w:val="00CB338A"/>
    <w:rsid w:val="00CB79C5"/>
    <w:rsid w:val="00CC411F"/>
    <w:rsid w:val="00CC4B75"/>
    <w:rsid w:val="00CC732E"/>
    <w:rsid w:val="00CD2F03"/>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76F6"/>
    <w:rsid w:val="00D20E99"/>
    <w:rsid w:val="00D21C83"/>
    <w:rsid w:val="00D35BDD"/>
    <w:rsid w:val="00D44328"/>
    <w:rsid w:val="00D47DC6"/>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078A3"/>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1C7"/>
    <w:rsid w:val="00E65CA0"/>
    <w:rsid w:val="00E66BF9"/>
    <w:rsid w:val="00E70D9F"/>
    <w:rsid w:val="00E83810"/>
    <w:rsid w:val="00E86933"/>
    <w:rsid w:val="00E9605B"/>
    <w:rsid w:val="00E97298"/>
    <w:rsid w:val="00E97753"/>
    <w:rsid w:val="00EA0170"/>
    <w:rsid w:val="00EA0C51"/>
    <w:rsid w:val="00EA7DE7"/>
    <w:rsid w:val="00EB7A8A"/>
    <w:rsid w:val="00EC6FED"/>
    <w:rsid w:val="00EC7F3B"/>
    <w:rsid w:val="00ED5299"/>
    <w:rsid w:val="00EE3A64"/>
    <w:rsid w:val="00EE50E5"/>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371A7"/>
    <w:rsid w:val="00F40315"/>
    <w:rsid w:val="00F41B1C"/>
    <w:rsid w:val="00F42E13"/>
    <w:rsid w:val="00F42F1C"/>
    <w:rsid w:val="00F43B44"/>
    <w:rsid w:val="00F440E5"/>
    <w:rsid w:val="00F448F6"/>
    <w:rsid w:val="00F52741"/>
    <w:rsid w:val="00F53D8A"/>
    <w:rsid w:val="00F626F7"/>
    <w:rsid w:val="00F736F9"/>
    <w:rsid w:val="00F73833"/>
    <w:rsid w:val="00F9211C"/>
    <w:rsid w:val="00FA095D"/>
    <w:rsid w:val="00FA614B"/>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9176C"/>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C9176C"/>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4F504A"/>
    <w:rPr>
      <w:color w:val="605E5C"/>
      <w:shd w:val="clear" w:color="auto" w:fill="E1DFDD"/>
    </w:rPr>
  </w:style>
  <w:style w:type="paragraph" w:styleId="Revision">
    <w:name w:val="Revision"/>
    <w:hidden/>
    <w:uiPriority w:val="99"/>
    <w:semiHidden/>
    <w:rsid w:val="00820015"/>
    <w:rPr>
      <w:rFonts w:asciiTheme="minorHAnsi" w:hAnsiTheme="minorHAnsi"/>
      <w:sz w:val="24"/>
      <w:lang w:val="en-GB" w:eastAsia="en-US"/>
    </w:rPr>
  </w:style>
  <w:style w:type="character" w:customStyle="1" w:styleId="None">
    <w:name w:val="None"/>
    <w:rsid w:val="008863F3"/>
  </w:style>
  <w:style w:type="paragraph" w:customStyle="1" w:styleId="BodyAA">
    <w:name w:val="Body A A"/>
    <w:rsid w:val="00354CC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2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RES-146-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4-EGITRS2-C-0021/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ITRS2-C-0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ofie.maddens@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2.xml><?xml version="1.0" encoding="utf-8"?>
<ds:datastoreItem xmlns:ds="http://schemas.openxmlformats.org/officeDocument/2006/customXml" ds:itemID="{BE5E5766-BFE3-4A8C-A012-A2F32559A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C49CD-AD70-4AD7-8FE9-B7E56BFAB7D9}">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F2BCF2A3-B40A-4E34-AAF2-3025B7F8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989</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15</cp:revision>
  <cp:lastPrinted>2014-11-04T09:22:00Z</cp:lastPrinted>
  <dcterms:created xsi:type="dcterms:W3CDTF">2024-03-19T09:14:00Z</dcterms:created>
  <dcterms:modified xsi:type="dcterms:W3CDTF">2024-03-19T12:21:00Z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