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58B0D6CF" w14:textId="77777777" w:rsidTr="00952667">
        <w:trPr>
          <w:cantSplit/>
          <w:trHeight w:val="1134"/>
        </w:trPr>
        <w:tc>
          <w:tcPr>
            <w:tcW w:w="6379" w:type="dxa"/>
          </w:tcPr>
          <w:p w14:paraId="6F8D2B01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15B7A9EC" w14:textId="77777777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4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-2</w:t>
            </w:r>
            <w:r w:rsidR="008B1E82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41FE6D38" w14:textId="77777777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B9FC6E0" wp14:editId="7B9D410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8FD9681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32D9865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573C2252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BF17B23" w14:textId="77777777" w:rsidTr="0009076F">
        <w:trPr>
          <w:cantSplit/>
        </w:trPr>
        <w:tc>
          <w:tcPr>
            <w:tcW w:w="6379" w:type="dxa"/>
          </w:tcPr>
          <w:p w14:paraId="7383B039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1E0C60FD" w14:textId="51CBC461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222A1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475E46">
              <w:rPr>
                <w:b/>
                <w:bCs/>
                <w:lang w:val="en-US"/>
              </w:rPr>
              <w:t>3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6581A073" w14:textId="77777777" w:rsidTr="0009076F">
        <w:trPr>
          <w:cantSplit/>
        </w:trPr>
        <w:tc>
          <w:tcPr>
            <w:tcW w:w="6379" w:type="dxa"/>
          </w:tcPr>
          <w:p w14:paraId="5A0DD484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5F9EADE2" w14:textId="5BBF3DE1" w:rsidR="00683C32" w:rsidRPr="007F1CC7" w:rsidRDefault="00475E46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31792A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4</w:t>
            </w:r>
            <w:r w:rsidRPr="0031792A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>
              <w:rPr>
                <w:b/>
                <w:bCs/>
                <w:szCs w:val="28"/>
                <w:lang w:eastAsia="zh-CN"/>
              </w:rPr>
              <w:t>3</w:t>
            </w:r>
            <w:r w:rsidRPr="0031792A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>
              <w:rPr>
                <w:b/>
                <w:bCs/>
                <w:szCs w:val="28"/>
                <w:lang w:eastAsia="zh-CN"/>
              </w:rPr>
              <w:t>19</w:t>
            </w:r>
            <w:r w:rsidRPr="0031792A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78493247" w14:textId="77777777" w:rsidTr="0009076F">
        <w:trPr>
          <w:cantSplit/>
        </w:trPr>
        <w:tc>
          <w:tcPr>
            <w:tcW w:w="6379" w:type="dxa"/>
          </w:tcPr>
          <w:p w14:paraId="38F54474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44FE677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3C3E39E7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2B1ABFD6" w14:textId="6388B0E4" w:rsidR="00A13162" w:rsidRPr="0030353C" w:rsidRDefault="00475E46" w:rsidP="0030353C">
            <w:pPr>
              <w:pStyle w:val="Source"/>
            </w:pPr>
            <w:bookmarkStart w:id="3" w:name="Source"/>
            <w:bookmarkEnd w:id="3"/>
            <w:r>
              <w:rPr>
                <w:rFonts w:hint="eastAsia"/>
                <w:lang w:eastAsia="zh-CN"/>
              </w:rPr>
              <w:t>电信发展局主任</w:t>
            </w:r>
          </w:p>
        </w:tc>
      </w:tr>
      <w:tr w:rsidR="00AC6F14" w:rsidRPr="002E6963" w14:paraId="4905170A" w14:textId="77777777" w:rsidTr="00107E85">
        <w:trPr>
          <w:cantSplit/>
        </w:trPr>
        <w:tc>
          <w:tcPr>
            <w:tcW w:w="9888" w:type="dxa"/>
            <w:gridSpan w:val="2"/>
          </w:tcPr>
          <w:p w14:paraId="3A401F7F" w14:textId="2669310D" w:rsidR="00AC6F14" w:rsidRPr="0030353C" w:rsidRDefault="00475E46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>
              <w:rPr>
                <w:rFonts w:hint="eastAsia"/>
                <w:lang w:eastAsia="zh-CN"/>
              </w:rPr>
              <w:t>向</w:t>
            </w:r>
            <w:r>
              <w:rPr>
                <w:lang w:eastAsia="zh-CN"/>
              </w:rPr>
              <w:t>TDAG</w:t>
            </w:r>
            <w:r>
              <w:rPr>
                <w:rFonts w:hint="eastAsia"/>
                <w:lang w:eastAsia="zh-CN"/>
              </w:rPr>
              <w:t>提交的有关</w:t>
            </w:r>
            <w:r w:rsidRPr="00F36493">
              <w:rPr>
                <w:lang w:eastAsia="zh-CN"/>
              </w:rPr>
              <w:t>《国际电信规则》</w:t>
            </w:r>
            <w:r>
              <w:rPr>
                <w:lang w:eastAsia="zh-CN"/>
              </w:rPr>
              <w:br/>
            </w:r>
            <w:r w:rsidRPr="00F36493">
              <w:rPr>
                <w:lang w:eastAsia="zh-CN"/>
              </w:rPr>
              <w:t>专家组（</w:t>
            </w:r>
            <w:r w:rsidRPr="00F36493">
              <w:rPr>
                <w:lang w:eastAsia="zh-CN"/>
              </w:rPr>
              <w:t>EG-ITRs</w:t>
            </w:r>
            <w:r w:rsidRPr="00F36493">
              <w:rPr>
                <w:rFonts w:hint="eastAsia"/>
                <w:lang w:eastAsia="zh-CN"/>
              </w:rPr>
              <w:t>）工作的报告</w:t>
            </w:r>
          </w:p>
        </w:tc>
      </w:tr>
      <w:tr w:rsidR="00A721F4" w:rsidRPr="002E6963" w14:paraId="50883780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6351B48C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52270223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EC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0ACB9A2B" w14:textId="0E16734A" w:rsidR="00A721F4" w:rsidRPr="00D9621A" w:rsidRDefault="00475E46" w:rsidP="00475E46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proofErr w:type="gramStart"/>
            <w:r w:rsidRPr="008C1826">
              <w:rPr>
                <w:rFonts w:hint="eastAsia"/>
                <w:lang w:eastAsia="zh-CN"/>
              </w:rPr>
              <w:t>本进展</w:t>
            </w:r>
            <w:proofErr w:type="gramEnd"/>
            <w:r w:rsidRPr="008C1826">
              <w:rPr>
                <w:rFonts w:hint="eastAsia"/>
                <w:lang w:eastAsia="zh-CN"/>
              </w:rPr>
              <w:t>报告介绍了根据全权代表大会第</w:t>
            </w:r>
            <w:r w:rsidRPr="008C1826">
              <w:rPr>
                <w:rFonts w:hint="eastAsia"/>
                <w:lang w:eastAsia="zh-CN"/>
              </w:rPr>
              <w:t>146</w:t>
            </w:r>
            <w:r w:rsidRPr="008C1826">
              <w:rPr>
                <w:rFonts w:hint="eastAsia"/>
                <w:lang w:eastAsia="zh-CN"/>
              </w:rPr>
              <w:t>号决议（</w:t>
            </w:r>
            <w:r w:rsidRPr="008C1826">
              <w:rPr>
                <w:rFonts w:hint="eastAsia"/>
                <w:lang w:eastAsia="zh-CN"/>
              </w:rPr>
              <w:t>2022</w:t>
            </w:r>
            <w:r w:rsidRPr="008C1826">
              <w:rPr>
                <w:rFonts w:hint="eastAsia"/>
                <w:lang w:eastAsia="zh-CN"/>
              </w:rPr>
              <w:t>年，布加勒斯特，修订版）和理事会第</w:t>
            </w:r>
            <w:r w:rsidRPr="008C1826">
              <w:rPr>
                <w:rFonts w:hint="eastAsia"/>
                <w:lang w:eastAsia="zh-CN"/>
              </w:rPr>
              <w:t>1379</w:t>
            </w:r>
            <w:r w:rsidRPr="008C1826">
              <w:rPr>
                <w:rFonts w:hint="eastAsia"/>
                <w:lang w:eastAsia="zh-CN"/>
              </w:rPr>
              <w:t>号决议（</w:t>
            </w:r>
            <w:r w:rsidRPr="008C1826">
              <w:rPr>
                <w:rFonts w:hint="eastAsia"/>
                <w:lang w:eastAsia="zh-CN"/>
              </w:rPr>
              <w:t>2023</w:t>
            </w:r>
            <w:r w:rsidRPr="008C1826">
              <w:rPr>
                <w:rFonts w:hint="eastAsia"/>
                <w:lang w:eastAsia="zh-CN"/>
              </w:rPr>
              <w:t>年，修订版）分别于</w:t>
            </w:r>
            <w:r w:rsidRPr="008C1826">
              <w:rPr>
                <w:rFonts w:hint="eastAsia"/>
                <w:lang w:eastAsia="zh-CN"/>
              </w:rPr>
              <w:t>2023</w:t>
            </w:r>
            <w:r w:rsidRPr="008C1826">
              <w:rPr>
                <w:rFonts w:hint="eastAsia"/>
                <w:lang w:eastAsia="zh-CN"/>
              </w:rPr>
              <w:t>年</w:t>
            </w:r>
            <w:r w:rsidRPr="008C1826">
              <w:rPr>
                <w:rFonts w:hint="eastAsia"/>
                <w:lang w:eastAsia="zh-CN"/>
              </w:rPr>
              <w:t>10</w:t>
            </w:r>
            <w:r w:rsidRPr="008C1826">
              <w:rPr>
                <w:rFonts w:hint="eastAsia"/>
                <w:lang w:eastAsia="zh-CN"/>
              </w:rPr>
              <w:t>月</w:t>
            </w:r>
            <w:r w:rsidRPr="008C1826">
              <w:rPr>
                <w:rFonts w:hint="eastAsia"/>
                <w:lang w:eastAsia="zh-CN"/>
              </w:rPr>
              <w:t>16</w:t>
            </w:r>
            <w:r w:rsidRPr="008C1826">
              <w:rPr>
                <w:rFonts w:hint="eastAsia"/>
                <w:lang w:eastAsia="zh-CN"/>
              </w:rPr>
              <w:t>日和</w:t>
            </w:r>
            <w:r w:rsidRPr="008C1826">
              <w:rPr>
                <w:rFonts w:hint="eastAsia"/>
                <w:lang w:eastAsia="zh-CN"/>
              </w:rPr>
              <w:t>2024</w:t>
            </w:r>
            <w:r w:rsidRPr="008C1826">
              <w:rPr>
                <w:rFonts w:hint="eastAsia"/>
                <w:lang w:eastAsia="zh-CN"/>
              </w:rPr>
              <w:t>年</w:t>
            </w:r>
            <w:r w:rsidRPr="008C1826">
              <w:rPr>
                <w:rFonts w:hint="eastAsia"/>
                <w:lang w:eastAsia="zh-CN"/>
              </w:rPr>
              <w:t>1</w:t>
            </w:r>
            <w:r w:rsidRPr="008C1826">
              <w:rPr>
                <w:rFonts w:hint="eastAsia"/>
                <w:lang w:eastAsia="zh-CN"/>
              </w:rPr>
              <w:t>月</w:t>
            </w:r>
            <w:r w:rsidRPr="008C1826">
              <w:rPr>
                <w:rFonts w:hint="eastAsia"/>
                <w:lang w:eastAsia="zh-CN"/>
              </w:rPr>
              <w:t>29-30</w:t>
            </w:r>
            <w:r w:rsidRPr="008C1826">
              <w:rPr>
                <w:rFonts w:hint="eastAsia"/>
                <w:lang w:eastAsia="zh-CN"/>
              </w:rPr>
              <w:t>日召开的</w:t>
            </w:r>
            <w:r w:rsidRPr="008C1826">
              <w:rPr>
                <w:rFonts w:hint="eastAsia"/>
                <w:lang w:eastAsia="zh-CN"/>
              </w:rPr>
              <w:t>EG-ITRs</w:t>
            </w:r>
            <w:r w:rsidRPr="008C1826">
              <w:rPr>
                <w:rFonts w:hint="eastAsia"/>
                <w:lang w:eastAsia="zh-CN"/>
              </w:rPr>
              <w:t>第一次和第二次会议的主要结果。</w:t>
            </w:r>
          </w:p>
          <w:p w14:paraId="3FE62BDA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156B80CA" w14:textId="2FDD9ADD" w:rsidR="00475E46" w:rsidRDefault="00475E46" w:rsidP="00475E46">
            <w:pPr>
              <w:ind w:firstLineChars="200" w:firstLine="480"/>
              <w:rPr>
                <w:iCs/>
                <w:lang w:val="en-US" w:eastAsia="zh-CN"/>
              </w:rPr>
            </w:pPr>
            <w:r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>146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2022</w:t>
            </w:r>
            <w:r>
              <w:rPr>
                <w:rFonts w:hint="eastAsia"/>
                <w:szCs w:val="24"/>
                <w:lang w:eastAsia="zh-CN"/>
              </w:rPr>
              <w:t>年，布加勒斯特，修订版）“</w:t>
            </w:r>
            <w:r>
              <w:rPr>
                <w:rFonts w:ascii="STKaiti" w:eastAsia="STKaiti" w:hAnsi="STKaiti" w:hint="eastAsia"/>
                <w:szCs w:val="24"/>
                <w:lang w:eastAsia="zh-CN"/>
              </w:rPr>
              <w:t>责成各局主任，在各自权能范围内并征求相关顾问组的建议，为</w:t>
            </w:r>
            <w:r>
              <w:rPr>
                <w:rFonts w:eastAsia="STKaiti"/>
                <w:szCs w:val="24"/>
                <w:lang w:eastAsia="zh-CN"/>
              </w:rPr>
              <w:t>EG-ITRs</w:t>
            </w:r>
            <w:r>
              <w:rPr>
                <w:rFonts w:ascii="STKaiti" w:eastAsia="STKaiti" w:hAnsi="STKaiti" w:hint="eastAsia"/>
                <w:szCs w:val="24"/>
                <w:lang w:eastAsia="zh-CN"/>
              </w:rPr>
              <w:t>的活动做出贡献，同时认识到国际电联电信标准化部门（</w:t>
            </w:r>
            <w:r>
              <w:rPr>
                <w:rFonts w:eastAsia="STKaiti"/>
                <w:szCs w:val="24"/>
                <w:lang w:eastAsia="zh-CN"/>
              </w:rPr>
              <w:t>ITU-T</w:t>
            </w:r>
            <w:r>
              <w:rPr>
                <w:rFonts w:ascii="STKaiti" w:eastAsia="STKaiti" w:hAnsi="STKaiti" w:hint="eastAsia"/>
                <w:szCs w:val="24"/>
                <w:lang w:eastAsia="zh-CN"/>
              </w:rPr>
              <w:t>）开展的多数工作与《国际电信规则》相关。</w:t>
            </w:r>
            <w:r>
              <w:rPr>
                <w:rFonts w:hint="eastAsia"/>
                <w:szCs w:val="24"/>
                <w:lang w:eastAsia="zh-CN"/>
              </w:rPr>
              <w:t>”</w:t>
            </w:r>
          </w:p>
          <w:p w14:paraId="7C2D27ED" w14:textId="583876C2" w:rsidR="00A721F4" w:rsidRPr="00D9621A" w:rsidRDefault="00475E46" w:rsidP="00475E46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8C1826">
              <w:rPr>
                <w:rFonts w:hint="eastAsia"/>
                <w:lang w:eastAsia="zh-CN"/>
              </w:rPr>
              <w:t>请</w:t>
            </w:r>
            <w:r w:rsidRPr="008C1826">
              <w:rPr>
                <w:rFonts w:hint="eastAsia"/>
                <w:lang w:eastAsia="zh-CN"/>
              </w:rPr>
              <w:t>TDAG</w:t>
            </w:r>
            <w:r w:rsidRPr="008C1826">
              <w:rPr>
                <w:rFonts w:hint="eastAsia"/>
                <w:lang w:eastAsia="zh-CN"/>
              </w:rPr>
              <w:t>在</w:t>
            </w:r>
            <w:r w:rsidRPr="008C1826">
              <w:rPr>
                <w:rFonts w:hint="eastAsia"/>
                <w:lang w:eastAsia="zh-CN"/>
              </w:rPr>
              <w:t>2024</w:t>
            </w:r>
            <w:r w:rsidRPr="008C1826">
              <w:rPr>
                <w:rFonts w:hint="eastAsia"/>
                <w:lang w:eastAsia="zh-CN"/>
              </w:rPr>
              <w:t>年</w:t>
            </w:r>
            <w:r w:rsidRPr="008C1826">
              <w:rPr>
                <w:rFonts w:hint="eastAsia"/>
                <w:lang w:eastAsia="zh-CN"/>
              </w:rPr>
              <w:t>5</w:t>
            </w:r>
            <w:r w:rsidRPr="008C1826">
              <w:rPr>
                <w:rFonts w:hint="eastAsia"/>
                <w:lang w:eastAsia="zh-CN"/>
              </w:rPr>
              <w:t>月</w:t>
            </w:r>
            <w:r w:rsidRPr="008C1826">
              <w:rPr>
                <w:rFonts w:hint="eastAsia"/>
                <w:lang w:eastAsia="zh-CN"/>
              </w:rPr>
              <w:t>20-23</w:t>
            </w:r>
            <w:r w:rsidRPr="008C1826">
              <w:rPr>
                <w:rFonts w:hint="eastAsia"/>
                <w:lang w:eastAsia="zh-CN"/>
              </w:rPr>
              <w:t>日召开的第</w:t>
            </w:r>
            <w:r w:rsidRPr="008C1826">
              <w:rPr>
                <w:rFonts w:hint="eastAsia"/>
                <w:lang w:eastAsia="zh-CN"/>
              </w:rPr>
              <w:t>31</w:t>
            </w:r>
            <w:r w:rsidRPr="008C1826">
              <w:rPr>
                <w:rFonts w:hint="eastAsia"/>
                <w:lang w:eastAsia="zh-CN"/>
              </w:rPr>
              <w:t>次会议上注意到本文件。</w:t>
            </w:r>
          </w:p>
          <w:p w14:paraId="6B61B837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3BE08EA9" w14:textId="77777777" w:rsidR="00475E46" w:rsidRDefault="00475E46" w:rsidP="00475E46">
            <w:pPr>
              <w:spacing w:after="120"/>
              <w:rPr>
                <w:lang w:eastAsia="zh-CN"/>
              </w:rPr>
            </w:pPr>
            <w:hyperlink r:id="rId11" w:history="1">
              <w:r w:rsidRPr="00154B90">
                <w:rPr>
                  <w:rStyle w:val="Hyperlink"/>
                  <w:rFonts w:hint="eastAsia"/>
                  <w:lang w:eastAsia="zh-CN"/>
                </w:rPr>
                <w:t>第</w:t>
              </w:r>
              <w:r w:rsidRPr="00154B90">
                <w:rPr>
                  <w:rStyle w:val="Hyperlink"/>
                  <w:rFonts w:hint="eastAsia"/>
                  <w:lang w:eastAsia="zh-CN"/>
                </w:rPr>
                <w:t>146</w:t>
              </w:r>
              <w:r w:rsidRPr="00154B90">
                <w:rPr>
                  <w:rStyle w:val="Hyperlink"/>
                  <w:rFonts w:hint="eastAsia"/>
                  <w:lang w:eastAsia="zh-CN"/>
                </w:rPr>
                <w:t>号决议（</w:t>
              </w:r>
              <w:r w:rsidRPr="00154B90">
                <w:rPr>
                  <w:rStyle w:val="Hyperlink"/>
                  <w:rFonts w:hint="eastAsia"/>
                  <w:lang w:eastAsia="zh-CN"/>
                </w:rPr>
                <w:t>2022</w:t>
              </w:r>
              <w:r w:rsidRPr="00154B90">
                <w:rPr>
                  <w:rStyle w:val="Hyperlink"/>
                  <w:rFonts w:hint="eastAsia"/>
                  <w:lang w:eastAsia="zh-CN"/>
                </w:rPr>
                <w:t>年，布加勒斯特，修订版）</w:t>
              </w:r>
            </w:hyperlink>
            <w:r>
              <w:rPr>
                <w:rFonts w:hint="eastAsia"/>
                <w:lang w:eastAsia="zh-CN"/>
              </w:rPr>
              <w:t>：</w:t>
            </w:r>
            <w:r w:rsidRPr="00883F73">
              <w:rPr>
                <w:rFonts w:hint="eastAsia"/>
                <w:lang w:eastAsia="zh-CN"/>
              </w:rPr>
              <w:t>《国际电信规则》的定期审议</w:t>
            </w:r>
          </w:p>
          <w:bookmarkStart w:id="5" w:name="lt_pId025"/>
          <w:p w14:paraId="1EE4FF68" w14:textId="30CDB84C" w:rsidR="00A721F4" w:rsidRPr="00D9621A" w:rsidRDefault="00475E46" w:rsidP="00475E46">
            <w:pPr>
              <w:spacing w:after="120"/>
              <w:rPr>
                <w:lang w:eastAsia="zh-CN"/>
              </w:rPr>
            </w:pPr>
            <w:r w:rsidRPr="00154B90">
              <w:fldChar w:fldCharType="begin"/>
            </w:r>
            <w:r w:rsidRPr="00154B90">
              <w:rPr>
                <w:lang w:eastAsia="zh-CN"/>
              </w:rPr>
              <w:instrText>HYPERLINK "https://www.itu.int/md/S23-CL-C-0121/en"</w:instrText>
            </w:r>
            <w:r w:rsidRPr="00154B90">
              <w:fldChar w:fldCharType="separate"/>
            </w:r>
            <w:r w:rsidRPr="00154B90">
              <w:rPr>
                <w:rStyle w:val="Hyperlink"/>
                <w:rFonts w:cs="Calibri"/>
                <w:bCs/>
                <w:lang w:eastAsia="zh-CN"/>
              </w:rPr>
              <w:t>理事会第</w:t>
            </w:r>
            <w:r w:rsidRPr="00154B90">
              <w:rPr>
                <w:rStyle w:val="Hyperlink"/>
                <w:rFonts w:cs="Calibri"/>
                <w:bCs/>
                <w:lang w:eastAsia="zh-CN"/>
              </w:rPr>
              <w:t>1379</w:t>
            </w:r>
            <w:r w:rsidRPr="00154B90">
              <w:rPr>
                <w:rStyle w:val="Hyperlink"/>
                <w:rFonts w:cs="Calibri"/>
                <w:bCs/>
                <w:lang w:eastAsia="zh-CN"/>
              </w:rPr>
              <w:t>号决议（</w:t>
            </w:r>
            <w:r w:rsidRPr="00154B90">
              <w:rPr>
                <w:rStyle w:val="Hyperlink"/>
                <w:rFonts w:cs="Calibri"/>
                <w:bCs/>
                <w:lang w:eastAsia="zh-CN"/>
              </w:rPr>
              <w:t>2023</w:t>
            </w:r>
            <w:r w:rsidRPr="00154B90">
              <w:rPr>
                <w:rStyle w:val="Hyperlink"/>
                <w:rFonts w:cs="Calibri"/>
                <w:bCs/>
                <w:lang w:eastAsia="zh-CN"/>
              </w:rPr>
              <w:t>年，修改版）</w:t>
            </w:r>
            <w:r w:rsidRPr="00154B90">
              <w:rPr>
                <w:rStyle w:val="Hyperlink"/>
                <w:rFonts w:cs="Calibri"/>
                <w:bCs/>
              </w:rPr>
              <w:fldChar w:fldCharType="end"/>
            </w:r>
            <w:r w:rsidRPr="00154B90">
              <w:rPr>
                <w:rFonts w:cs="Calibri" w:hint="eastAsia"/>
                <w:bCs/>
                <w:lang w:eastAsia="zh-CN"/>
              </w:rPr>
              <w:t>：</w:t>
            </w:r>
            <w:bookmarkEnd w:id="5"/>
            <w:r w:rsidRPr="00154B90">
              <w:rPr>
                <w:rFonts w:cs="Calibri" w:hint="eastAsia"/>
                <w:bCs/>
                <w:lang w:eastAsia="zh-CN"/>
              </w:rPr>
              <w:t>《国际电信规则》专家组（</w:t>
            </w:r>
            <w:r w:rsidRPr="00154B90">
              <w:rPr>
                <w:rFonts w:cs="Calibri" w:hint="eastAsia"/>
                <w:bCs/>
                <w:lang w:eastAsia="zh-CN"/>
              </w:rPr>
              <w:t>EG-ITRs</w:t>
            </w:r>
            <w:r w:rsidRPr="00154B90">
              <w:rPr>
                <w:rFonts w:cs="Calibri" w:hint="eastAsia"/>
                <w:bCs/>
                <w:lang w:eastAsia="zh-CN"/>
              </w:rPr>
              <w:t>）</w:t>
            </w:r>
          </w:p>
        </w:tc>
      </w:tr>
    </w:tbl>
    <w:p w14:paraId="6C6576DC" w14:textId="77777777" w:rsidR="00923CF1" w:rsidRDefault="00923CF1" w:rsidP="00935FF0"/>
    <w:p w14:paraId="0B8DC7AB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5F517E6" w14:textId="77777777" w:rsidR="00475E46" w:rsidRPr="00F20923" w:rsidRDefault="00475E46" w:rsidP="00475E46">
      <w:pPr>
        <w:pStyle w:val="Heading1"/>
        <w:rPr>
          <w:sz w:val="24"/>
          <w:szCs w:val="24"/>
          <w:lang w:eastAsia="zh-CN"/>
        </w:rPr>
      </w:pPr>
      <w:r w:rsidRPr="00F20923">
        <w:rPr>
          <w:rFonts w:hint="eastAsia"/>
          <w:sz w:val="24"/>
          <w:szCs w:val="24"/>
          <w:lang w:eastAsia="zh-CN"/>
        </w:rPr>
        <w:lastRenderedPageBreak/>
        <w:t>1</w:t>
      </w:r>
      <w:r w:rsidRPr="00F20923">
        <w:rPr>
          <w:rFonts w:hint="eastAsia"/>
          <w:sz w:val="24"/>
          <w:szCs w:val="24"/>
          <w:lang w:eastAsia="zh-CN"/>
        </w:rPr>
        <w:tab/>
      </w:r>
      <w:r w:rsidRPr="00F20923">
        <w:rPr>
          <w:rFonts w:hint="eastAsia"/>
          <w:sz w:val="24"/>
          <w:szCs w:val="24"/>
          <w:lang w:eastAsia="zh-CN"/>
        </w:rPr>
        <w:t>背景</w:t>
      </w:r>
    </w:p>
    <w:p w14:paraId="46A295EA" w14:textId="77777777" w:rsidR="00475E46" w:rsidRDefault="00475E46" w:rsidP="00475E46">
      <w:pPr>
        <w:snapToGrid w:val="0"/>
        <w:ind w:firstLineChars="200" w:firstLine="480"/>
        <w:rPr>
          <w:lang w:val="en-US" w:eastAsia="zh-CN"/>
        </w:rPr>
      </w:pPr>
      <w:r w:rsidRPr="00883F73">
        <w:rPr>
          <w:rFonts w:hint="eastAsia"/>
          <w:lang w:val="en-US" w:eastAsia="zh-CN"/>
        </w:rPr>
        <w:t>本文件旨在介绍</w:t>
      </w:r>
      <w:r w:rsidRPr="00F36493">
        <w:rPr>
          <w:lang w:eastAsia="zh-CN"/>
        </w:rPr>
        <w:t>《国际电信规则》专家组</w:t>
      </w:r>
      <w:r>
        <w:rPr>
          <w:rFonts w:hint="eastAsia"/>
          <w:lang w:eastAsia="zh-CN"/>
        </w:rPr>
        <w:t>（</w:t>
      </w:r>
      <w:r w:rsidRPr="008C1826">
        <w:rPr>
          <w:rFonts w:hint="eastAsia"/>
          <w:lang w:val="en-US" w:eastAsia="zh-CN"/>
        </w:rPr>
        <w:t>EG-ITRs</w:t>
      </w:r>
      <w:r>
        <w:rPr>
          <w:rFonts w:hint="eastAsia"/>
          <w:lang w:eastAsia="zh-CN"/>
        </w:rPr>
        <w:t>）</w:t>
      </w:r>
      <w:r>
        <w:rPr>
          <w:rStyle w:val="FootnoteReference"/>
          <w:rFonts w:cstheme="minorHAnsi"/>
          <w:szCs w:val="18"/>
        </w:rPr>
        <w:footnoteReference w:id="1"/>
      </w:r>
      <w:r>
        <w:rPr>
          <w:rFonts w:hint="eastAsia"/>
          <w:lang w:eastAsia="zh-CN"/>
        </w:rPr>
        <w:t>的工作现状。</w:t>
      </w:r>
      <w:r w:rsidRPr="00883F73">
        <w:rPr>
          <w:rFonts w:hint="eastAsia"/>
          <w:lang w:val="en-US" w:eastAsia="zh-CN"/>
        </w:rPr>
        <w:t>国际电联全权代表</w:t>
      </w:r>
      <w:r>
        <w:rPr>
          <w:rFonts w:hint="eastAsia"/>
          <w:lang w:val="en-US" w:eastAsia="zh-CN"/>
        </w:rPr>
        <w:t>大</w:t>
      </w:r>
      <w:r w:rsidRPr="00883F73">
        <w:rPr>
          <w:rFonts w:hint="eastAsia"/>
          <w:lang w:val="en-US" w:eastAsia="zh-CN"/>
        </w:rPr>
        <w:t>会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022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6</w:t>
      </w:r>
      <w:r>
        <w:rPr>
          <w:rFonts w:hint="eastAsia"/>
          <w:lang w:val="en-US" w:eastAsia="zh-CN"/>
        </w:rPr>
        <w:t>日至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0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日，布加勒斯特）在批准了</w:t>
      </w:r>
      <w:r w:rsidRPr="00883F73">
        <w:rPr>
          <w:rFonts w:hint="eastAsia"/>
          <w:lang w:val="en-US" w:eastAsia="zh-CN"/>
        </w:rPr>
        <w:t>关于定期审</w:t>
      </w:r>
      <w:r>
        <w:rPr>
          <w:rFonts w:hint="eastAsia"/>
          <w:lang w:val="en-US" w:eastAsia="zh-CN"/>
        </w:rPr>
        <w:t>议《</w:t>
      </w:r>
      <w:r w:rsidRPr="00883F73">
        <w:rPr>
          <w:rFonts w:hint="eastAsia"/>
          <w:lang w:val="en-US" w:eastAsia="zh-CN"/>
        </w:rPr>
        <w:t>国际电信规则</w:t>
      </w:r>
      <w:r>
        <w:rPr>
          <w:rFonts w:hint="eastAsia"/>
          <w:lang w:val="en-US" w:eastAsia="zh-CN"/>
        </w:rPr>
        <w:t>》</w:t>
      </w:r>
      <w:r w:rsidRPr="00883F73">
        <w:rPr>
          <w:rFonts w:hint="eastAsia"/>
          <w:lang w:val="en-US" w:eastAsia="zh-CN"/>
        </w:rPr>
        <w:t>的第</w:t>
      </w:r>
      <w:r w:rsidRPr="00883F73">
        <w:rPr>
          <w:rFonts w:hint="eastAsia"/>
          <w:lang w:val="en-US" w:eastAsia="zh-CN"/>
        </w:rPr>
        <w:t>146</w:t>
      </w:r>
      <w:r w:rsidRPr="00883F73">
        <w:rPr>
          <w:rFonts w:hint="eastAsia"/>
          <w:lang w:val="en-US" w:eastAsia="zh-CN"/>
        </w:rPr>
        <w:t>号决议</w:t>
      </w:r>
      <w:r>
        <w:rPr>
          <w:rFonts w:hint="eastAsia"/>
          <w:lang w:val="en-US" w:eastAsia="zh-CN"/>
        </w:rPr>
        <w:t>（</w:t>
      </w:r>
      <w:r w:rsidRPr="00883F73">
        <w:rPr>
          <w:rFonts w:hint="eastAsia"/>
          <w:lang w:val="en-US" w:eastAsia="zh-CN"/>
        </w:rPr>
        <w:t>2022</w:t>
      </w:r>
      <w:r w:rsidRPr="00883F73">
        <w:rPr>
          <w:rFonts w:hint="eastAsia"/>
          <w:lang w:val="en-US" w:eastAsia="zh-CN"/>
        </w:rPr>
        <w:t>年，布加勒斯特</w:t>
      </w:r>
      <w:r>
        <w:rPr>
          <w:rFonts w:hint="eastAsia"/>
          <w:lang w:val="en-US" w:eastAsia="zh-CN"/>
        </w:rPr>
        <w:t>，</w:t>
      </w:r>
      <w:r w:rsidRPr="00883F73">
        <w:rPr>
          <w:rFonts w:hint="eastAsia"/>
          <w:lang w:val="en-US" w:eastAsia="zh-CN"/>
        </w:rPr>
        <w:t>修订版</w:t>
      </w:r>
      <w:r>
        <w:rPr>
          <w:rFonts w:hint="eastAsia"/>
          <w:lang w:val="en-US" w:eastAsia="zh-CN"/>
        </w:rPr>
        <w:t>）后授权</w:t>
      </w:r>
      <w:r>
        <w:rPr>
          <w:rFonts w:hint="eastAsia"/>
          <w:lang w:eastAsia="zh-CN"/>
        </w:rPr>
        <w:t>该组开展工作。</w:t>
      </w:r>
      <w:r w:rsidRPr="008C1826">
        <w:rPr>
          <w:rFonts w:hint="eastAsia"/>
          <w:lang w:val="en-US" w:eastAsia="zh-CN"/>
        </w:rPr>
        <w:t>本报告重点介绍分别于</w:t>
      </w:r>
      <w:r w:rsidRPr="008C1826">
        <w:rPr>
          <w:rFonts w:hint="eastAsia"/>
          <w:lang w:val="en-US" w:eastAsia="zh-CN"/>
        </w:rPr>
        <w:t>2023</w:t>
      </w:r>
      <w:r w:rsidRPr="008C1826">
        <w:rPr>
          <w:rFonts w:hint="eastAsia"/>
          <w:lang w:val="en-US" w:eastAsia="zh-CN"/>
        </w:rPr>
        <w:t>年</w:t>
      </w:r>
      <w:r w:rsidRPr="008C1826">
        <w:rPr>
          <w:rFonts w:hint="eastAsia"/>
          <w:lang w:val="en-US" w:eastAsia="zh-CN"/>
        </w:rPr>
        <w:t>10</w:t>
      </w:r>
      <w:r w:rsidRPr="008C1826">
        <w:rPr>
          <w:rFonts w:hint="eastAsia"/>
          <w:lang w:val="en-US" w:eastAsia="zh-CN"/>
        </w:rPr>
        <w:t>月</w:t>
      </w:r>
      <w:r w:rsidRPr="008C1826">
        <w:rPr>
          <w:rFonts w:hint="eastAsia"/>
          <w:lang w:val="en-US" w:eastAsia="zh-CN"/>
        </w:rPr>
        <w:t>16</w:t>
      </w:r>
      <w:r w:rsidRPr="008C1826">
        <w:rPr>
          <w:rFonts w:hint="eastAsia"/>
          <w:lang w:val="en-US" w:eastAsia="zh-CN"/>
        </w:rPr>
        <w:t>日和</w:t>
      </w:r>
      <w:r w:rsidRPr="008C1826">
        <w:rPr>
          <w:rFonts w:hint="eastAsia"/>
          <w:lang w:val="en-US" w:eastAsia="zh-CN"/>
        </w:rPr>
        <w:t>2024</w:t>
      </w:r>
      <w:r w:rsidRPr="008C1826">
        <w:rPr>
          <w:rFonts w:hint="eastAsia"/>
          <w:lang w:val="en-US" w:eastAsia="zh-CN"/>
        </w:rPr>
        <w:t>年</w:t>
      </w:r>
      <w:r w:rsidRPr="008C1826">
        <w:rPr>
          <w:rFonts w:hint="eastAsia"/>
          <w:lang w:val="en-US" w:eastAsia="zh-CN"/>
        </w:rPr>
        <w:t>1</w:t>
      </w:r>
      <w:r w:rsidRPr="008C1826">
        <w:rPr>
          <w:rFonts w:hint="eastAsia"/>
          <w:lang w:val="en-US" w:eastAsia="zh-CN"/>
        </w:rPr>
        <w:t>月</w:t>
      </w:r>
      <w:r w:rsidRPr="008C1826">
        <w:rPr>
          <w:rFonts w:hint="eastAsia"/>
          <w:lang w:val="en-US" w:eastAsia="zh-CN"/>
        </w:rPr>
        <w:t>29-30</w:t>
      </w:r>
      <w:r w:rsidRPr="008C1826">
        <w:rPr>
          <w:rFonts w:hint="eastAsia"/>
          <w:lang w:val="en-US" w:eastAsia="zh-CN"/>
        </w:rPr>
        <w:t>日举行的</w:t>
      </w:r>
      <w:r w:rsidRPr="008C1826">
        <w:rPr>
          <w:rFonts w:hint="eastAsia"/>
          <w:lang w:val="en-US" w:eastAsia="zh-CN"/>
        </w:rPr>
        <w:t>EG-ITRs</w:t>
      </w:r>
      <w:r w:rsidRPr="008C1826">
        <w:rPr>
          <w:rFonts w:hint="eastAsia"/>
          <w:lang w:val="en-US" w:eastAsia="zh-CN"/>
        </w:rPr>
        <w:t>第一次和第二次会议的主要结果。</w:t>
      </w:r>
    </w:p>
    <w:p w14:paraId="665E1729" w14:textId="77777777" w:rsidR="00475E46" w:rsidRPr="00F20923" w:rsidRDefault="00475E46" w:rsidP="00475E46">
      <w:pPr>
        <w:pStyle w:val="Heading1"/>
        <w:rPr>
          <w:sz w:val="24"/>
          <w:szCs w:val="24"/>
          <w:lang w:eastAsia="zh-CN"/>
        </w:rPr>
      </w:pPr>
      <w:r w:rsidRPr="00F20923">
        <w:rPr>
          <w:rFonts w:hint="eastAsia"/>
          <w:sz w:val="24"/>
          <w:szCs w:val="24"/>
          <w:lang w:eastAsia="zh-CN"/>
        </w:rPr>
        <w:t>2</w:t>
      </w:r>
      <w:r w:rsidRPr="00F20923">
        <w:rPr>
          <w:rFonts w:hint="eastAsia"/>
          <w:sz w:val="24"/>
          <w:szCs w:val="24"/>
          <w:lang w:eastAsia="zh-CN"/>
        </w:rPr>
        <w:tab/>
      </w:r>
      <w:r w:rsidRPr="00F20923">
        <w:rPr>
          <w:rFonts w:hint="eastAsia"/>
          <w:sz w:val="24"/>
          <w:szCs w:val="24"/>
          <w:lang w:eastAsia="zh-CN"/>
        </w:rPr>
        <w:t>《国际电信规则》的定期审议</w:t>
      </w:r>
    </w:p>
    <w:p w14:paraId="42AB61FA" w14:textId="77777777" w:rsidR="00475E46" w:rsidRPr="008D5713" w:rsidRDefault="00475E46" w:rsidP="00475E46">
      <w:pPr>
        <w:snapToGrid w:val="0"/>
        <w:ind w:firstLineChars="200" w:firstLine="480"/>
        <w:rPr>
          <w:lang w:val="en-US" w:eastAsia="zh-CN"/>
        </w:rPr>
      </w:pPr>
      <w:r w:rsidRPr="00E07CB9">
        <w:rPr>
          <w:rFonts w:hint="eastAsia"/>
          <w:lang w:eastAsia="zh-CN"/>
        </w:rPr>
        <w:t>第</w:t>
      </w:r>
      <w:r w:rsidRPr="00E07CB9">
        <w:rPr>
          <w:rFonts w:hint="eastAsia"/>
          <w:lang w:eastAsia="zh-CN"/>
        </w:rPr>
        <w:t>146</w:t>
      </w:r>
      <w:r w:rsidRPr="00E07CB9">
        <w:rPr>
          <w:rFonts w:hint="eastAsia"/>
          <w:lang w:eastAsia="zh-CN"/>
        </w:rPr>
        <w:t>号决议</w:t>
      </w:r>
      <w:r>
        <w:rPr>
          <w:rFonts w:hint="eastAsia"/>
          <w:lang w:val="en-US" w:eastAsia="zh-CN"/>
        </w:rPr>
        <w:t>（</w:t>
      </w:r>
      <w:r w:rsidRPr="00883F73">
        <w:rPr>
          <w:rFonts w:hint="eastAsia"/>
          <w:lang w:val="en-US" w:eastAsia="zh-CN"/>
        </w:rPr>
        <w:t>2022</w:t>
      </w:r>
      <w:r w:rsidRPr="00883F73">
        <w:rPr>
          <w:rFonts w:hint="eastAsia"/>
          <w:lang w:val="en-US" w:eastAsia="zh-CN"/>
        </w:rPr>
        <w:t>年，布加勒斯特</w:t>
      </w:r>
      <w:r>
        <w:rPr>
          <w:rFonts w:hint="eastAsia"/>
          <w:lang w:val="en-US" w:eastAsia="zh-CN"/>
        </w:rPr>
        <w:t>，</w:t>
      </w:r>
      <w:r w:rsidRPr="00883F73">
        <w:rPr>
          <w:rFonts w:hint="eastAsia"/>
          <w:lang w:val="en-US" w:eastAsia="zh-CN"/>
        </w:rPr>
        <w:t>修订版</w:t>
      </w:r>
      <w:r>
        <w:rPr>
          <w:rFonts w:hint="eastAsia"/>
          <w:lang w:val="en-US" w:eastAsia="zh-CN"/>
        </w:rPr>
        <w:t>）</w:t>
      </w:r>
      <w:r w:rsidRPr="00E07CB9">
        <w:rPr>
          <w:rFonts w:hint="eastAsia"/>
          <w:lang w:eastAsia="zh-CN"/>
        </w:rPr>
        <w:t>责成秘书长重新成立向国际电联成员国和部门成员开放的《国际电信规则》专家组（</w:t>
      </w:r>
      <w:r w:rsidRPr="00E07CB9">
        <w:rPr>
          <w:rFonts w:hint="eastAsia"/>
          <w:lang w:eastAsia="zh-CN"/>
        </w:rPr>
        <w:t>EG-ITRs</w:t>
      </w:r>
      <w:r w:rsidRPr="00E07CB9">
        <w:rPr>
          <w:rFonts w:hint="eastAsia"/>
          <w:lang w:eastAsia="zh-CN"/>
        </w:rPr>
        <w:t>）负责根据国际电联理事会确定的职责范围和工作方法</w:t>
      </w:r>
      <w:r w:rsidRPr="00E07CB9">
        <w:rPr>
          <w:rFonts w:hint="eastAsia"/>
          <w:lang w:val="en-US" w:eastAsia="zh-CN"/>
        </w:rPr>
        <w:t>，</w:t>
      </w:r>
      <w:r w:rsidRPr="00E07CB9">
        <w:rPr>
          <w:rFonts w:hint="eastAsia"/>
          <w:lang w:eastAsia="zh-CN"/>
        </w:rPr>
        <w:t>将</w:t>
      </w:r>
      <w:r w:rsidRPr="00E07CB9">
        <w:rPr>
          <w:rFonts w:hint="eastAsia"/>
          <w:lang w:eastAsia="zh-CN"/>
        </w:rPr>
        <w:t>EG-ITRs</w:t>
      </w:r>
      <w:r w:rsidRPr="00E07CB9">
        <w:rPr>
          <w:rFonts w:hint="eastAsia"/>
          <w:lang w:eastAsia="zh-CN"/>
        </w:rPr>
        <w:t>有关审议成果的报告提交理事会审议、公布并随后提交</w:t>
      </w:r>
      <w:r w:rsidRPr="00E07CB9">
        <w:rPr>
          <w:rFonts w:hint="eastAsia"/>
          <w:lang w:eastAsia="zh-CN"/>
        </w:rPr>
        <w:t>202</w:t>
      </w:r>
      <w:r w:rsidRPr="00E07CB9">
        <w:rPr>
          <w:lang w:eastAsia="zh-CN"/>
        </w:rPr>
        <w:t>6</w:t>
      </w:r>
      <w:r w:rsidRPr="00E07CB9">
        <w:rPr>
          <w:rFonts w:hint="eastAsia"/>
          <w:lang w:eastAsia="zh-CN"/>
        </w:rPr>
        <w:t>年全权代表大会。</w:t>
      </w:r>
    </w:p>
    <w:p w14:paraId="43DA84BE" w14:textId="77777777" w:rsidR="00475E46" w:rsidRDefault="00475E46" w:rsidP="00475E4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重要的是要突出此项决议“</w:t>
      </w:r>
      <w:r w:rsidRPr="00005CB9">
        <w:rPr>
          <w:rFonts w:ascii="Calibri" w:eastAsia="STKaiti" w:hAnsi="Calibri" w:hint="eastAsia"/>
          <w:szCs w:val="24"/>
          <w:lang w:eastAsia="zh-CN"/>
        </w:rPr>
        <w:t>责成各局主任</w:t>
      </w:r>
      <w:r w:rsidRPr="00005CB9">
        <w:rPr>
          <w:rFonts w:ascii="Calibri" w:eastAsia="STKaiti" w:hAnsi="Calibri" w:hint="eastAsia"/>
          <w:szCs w:val="24"/>
          <w:lang w:eastAsia="zh-CN"/>
        </w:rPr>
        <w:t>1</w:t>
      </w:r>
      <w:r>
        <w:rPr>
          <w:rFonts w:ascii="Calibri" w:eastAsia="STKaiti" w:hAnsi="Calibri" w:hint="eastAsia"/>
          <w:szCs w:val="24"/>
          <w:lang w:eastAsia="zh-CN"/>
        </w:rPr>
        <w:t xml:space="preserve">) </w:t>
      </w:r>
      <w:r w:rsidRPr="00005CB9">
        <w:rPr>
          <w:rFonts w:ascii="Calibri" w:eastAsia="STKaiti" w:hAnsi="Calibri" w:hint="eastAsia"/>
          <w:szCs w:val="24"/>
          <w:lang w:eastAsia="zh-CN"/>
        </w:rPr>
        <w:t>在各自权能范围内并征求相关顾问组的建议，为</w:t>
      </w:r>
      <w:r w:rsidRPr="00005CB9">
        <w:rPr>
          <w:rFonts w:ascii="Calibri" w:eastAsia="STKaiti" w:hAnsi="Calibri" w:hint="eastAsia"/>
          <w:szCs w:val="24"/>
          <w:lang w:eastAsia="zh-CN"/>
        </w:rPr>
        <w:t>EG-ITRs</w:t>
      </w:r>
      <w:r w:rsidRPr="00005CB9">
        <w:rPr>
          <w:rFonts w:ascii="Calibri" w:eastAsia="STKaiti" w:hAnsi="Calibri" w:hint="eastAsia"/>
          <w:szCs w:val="24"/>
          <w:lang w:eastAsia="zh-CN"/>
        </w:rPr>
        <w:t>的活动做出贡献，同时认识到国际电联电信标准化部门（</w:t>
      </w:r>
      <w:r w:rsidRPr="00005CB9">
        <w:rPr>
          <w:rFonts w:ascii="Calibri" w:eastAsia="STKaiti" w:hAnsi="Calibri" w:hint="eastAsia"/>
          <w:szCs w:val="24"/>
          <w:lang w:eastAsia="zh-CN"/>
        </w:rPr>
        <w:t>ITU-T</w:t>
      </w:r>
      <w:r w:rsidRPr="00005CB9">
        <w:rPr>
          <w:rFonts w:ascii="Calibri" w:eastAsia="STKaiti" w:hAnsi="Calibri" w:hint="eastAsia"/>
          <w:szCs w:val="24"/>
          <w:lang w:eastAsia="zh-CN"/>
        </w:rPr>
        <w:t>）开展的多数工作与《国际电信规则》相关；</w:t>
      </w:r>
      <w:r w:rsidRPr="00005CB9">
        <w:rPr>
          <w:rFonts w:ascii="Calibri" w:eastAsia="STKaiti" w:hAnsi="Calibri" w:hint="eastAsia"/>
          <w:szCs w:val="24"/>
          <w:lang w:eastAsia="zh-CN"/>
        </w:rPr>
        <w:t>2</w:t>
      </w:r>
      <w:r>
        <w:rPr>
          <w:rFonts w:ascii="Calibri" w:eastAsia="STKaiti" w:hAnsi="Calibri"/>
          <w:szCs w:val="24"/>
          <w:lang w:eastAsia="zh-CN"/>
        </w:rPr>
        <w:t xml:space="preserve">) </w:t>
      </w:r>
      <w:r w:rsidRPr="00005CB9">
        <w:rPr>
          <w:rFonts w:ascii="Calibri" w:eastAsia="STKaiti" w:hAnsi="Calibri" w:hint="eastAsia"/>
          <w:szCs w:val="24"/>
          <w:lang w:eastAsia="zh-CN"/>
        </w:rPr>
        <w:t>将其工作结果提交</w:t>
      </w:r>
      <w:r w:rsidRPr="00005CB9">
        <w:rPr>
          <w:rFonts w:ascii="Calibri" w:eastAsia="STKaiti" w:hAnsi="Calibri" w:hint="eastAsia"/>
          <w:szCs w:val="24"/>
          <w:lang w:eastAsia="zh-CN"/>
        </w:rPr>
        <w:t>EG-ITRs</w:t>
      </w:r>
      <w:r w:rsidRPr="00005CB9">
        <w:rPr>
          <w:rFonts w:ascii="Calibri" w:eastAsia="STKaiti" w:hAnsi="Calibri" w:hint="eastAsia"/>
          <w:szCs w:val="24"/>
          <w:lang w:eastAsia="zh-CN"/>
        </w:rPr>
        <w:t>；</w:t>
      </w:r>
      <w:r w:rsidRPr="00005CB9">
        <w:rPr>
          <w:rFonts w:ascii="Calibri" w:eastAsia="STKaiti" w:hAnsi="Calibri" w:hint="eastAsia"/>
          <w:szCs w:val="24"/>
          <w:lang w:eastAsia="zh-CN"/>
        </w:rPr>
        <w:t>3</w:t>
      </w:r>
      <w:r>
        <w:rPr>
          <w:rFonts w:ascii="Calibri" w:eastAsia="STKaiti" w:hAnsi="Calibri" w:hint="eastAsia"/>
          <w:szCs w:val="24"/>
          <w:lang w:eastAsia="zh-CN"/>
        </w:rPr>
        <w:t>)</w:t>
      </w:r>
      <w:r>
        <w:rPr>
          <w:rFonts w:ascii="Calibri" w:eastAsia="STKaiti" w:hAnsi="Calibri"/>
          <w:szCs w:val="24"/>
          <w:lang w:eastAsia="zh-CN"/>
        </w:rPr>
        <w:t xml:space="preserve"> </w:t>
      </w:r>
      <w:r w:rsidRPr="00005CB9">
        <w:rPr>
          <w:rFonts w:ascii="Calibri" w:eastAsia="STKaiti" w:hAnsi="Calibri" w:hint="eastAsia"/>
          <w:szCs w:val="24"/>
          <w:lang w:eastAsia="zh-CN"/>
        </w:rPr>
        <w:t>考虑在资源可提供的前提下，根据联合国确定的发展中国家</w:t>
      </w:r>
      <w:r w:rsidRPr="00E06480">
        <w:rPr>
          <w:rStyle w:val="FootnoteReference"/>
          <w:rFonts w:ascii="Calibri" w:eastAsia="STKaiti" w:hAnsi="Calibri"/>
          <w:lang w:val="en-US"/>
        </w:rPr>
        <w:footnoteReference w:id="2"/>
      </w:r>
      <w:r w:rsidRPr="00005CB9">
        <w:rPr>
          <w:rFonts w:ascii="Calibri" w:eastAsia="STKaiti" w:hAnsi="Calibri" w:hint="eastAsia"/>
          <w:szCs w:val="24"/>
          <w:lang w:eastAsia="zh-CN"/>
        </w:rPr>
        <w:t>或最不发达国家名单提供与会补贴，以扩大此类国家对专家组工作的参与”</w:t>
      </w:r>
      <w:r w:rsidRPr="00765014">
        <w:rPr>
          <w:rFonts w:asciiTheme="majorEastAsia" w:eastAsiaTheme="majorEastAsia" w:hAnsiTheme="majorEastAsia" w:hint="eastAsia"/>
          <w:szCs w:val="24"/>
          <w:lang w:eastAsia="zh-CN"/>
        </w:rPr>
        <w:t>。</w:t>
      </w:r>
    </w:p>
    <w:p w14:paraId="31234D75" w14:textId="48E7C08F" w:rsidR="00475E46" w:rsidRPr="00B23389" w:rsidRDefault="00475E46" w:rsidP="00475E46">
      <w:pPr>
        <w:pStyle w:val="Normalaftertitle"/>
        <w:spacing w:before="120" w:after="120"/>
        <w:ind w:firstLineChars="200" w:firstLine="480"/>
        <w:rPr>
          <w:rFonts w:cstheme="minorHAnsi"/>
          <w:szCs w:val="24"/>
          <w:lang w:eastAsia="zh-CN"/>
        </w:rPr>
      </w:pPr>
      <w:bookmarkStart w:id="7" w:name="lt_pId032"/>
      <w:r w:rsidRPr="008C1826">
        <w:rPr>
          <w:rFonts w:cstheme="minorHAnsi" w:hint="eastAsia"/>
          <w:szCs w:val="24"/>
          <w:lang w:eastAsia="zh-CN"/>
        </w:rPr>
        <w:t>理事会第</w:t>
      </w:r>
      <w:r w:rsidRPr="008C1826">
        <w:rPr>
          <w:rFonts w:cstheme="minorHAnsi" w:hint="eastAsia"/>
          <w:szCs w:val="24"/>
          <w:lang w:eastAsia="zh-CN"/>
        </w:rPr>
        <w:t>1379</w:t>
      </w:r>
      <w:r w:rsidRPr="008C1826">
        <w:rPr>
          <w:rFonts w:cstheme="minorHAnsi" w:hint="eastAsia"/>
          <w:szCs w:val="24"/>
          <w:lang w:eastAsia="zh-CN"/>
        </w:rPr>
        <w:t>号决议（</w:t>
      </w:r>
      <w:r w:rsidRPr="008C1826">
        <w:rPr>
          <w:rFonts w:cstheme="minorHAnsi" w:hint="eastAsia"/>
          <w:szCs w:val="24"/>
          <w:lang w:eastAsia="zh-CN"/>
        </w:rPr>
        <w:t>2023</w:t>
      </w:r>
      <w:r w:rsidRPr="008C1826">
        <w:rPr>
          <w:rFonts w:cstheme="minorHAnsi" w:hint="eastAsia"/>
          <w:szCs w:val="24"/>
          <w:lang w:eastAsia="zh-CN"/>
        </w:rPr>
        <w:t>年</w:t>
      </w:r>
      <w:r>
        <w:rPr>
          <w:rFonts w:cstheme="minorHAnsi" w:hint="eastAsia"/>
          <w:szCs w:val="24"/>
          <w:lang w:eastAsia="zh-CN"/>
        </w:rPr>
        <w:t>，</w:t>
      </w:r>
      <w:r w:rsidRPr="008C1826">
        <w:rPr>
          <w:rFonts w:cstheme="minorHAnsi" w:hint="eastAsia"/>
          <w:szCs w:val="24"/>
          <w:lang w:eastAsia="zh-CN"/>
        </w:rPr>
        <w:t>修订版）规定</w:t>
      </w:r>
      <w:r w:rsidRPr="008C1826">
        <w:rPr>
          <w:rFonts w:cstheme="minorHAnsi" w:hint="eastAsia"/>
          <w:szCs w:val="24"/>
          <w:lang w:eastAsia="zh-CN"/>
        </w:rPr>
        <w:t>EG-</w:t>
      </w:r>
      <w:r w:rsidRPr="00B23389">
        <w:rPr>
          <w:rFonts w:cstheme="minorHAnsi"/>
          <w:szCs w:val="24"/>
          <w:lang w:eastAsia="zh-CN"/>
        </w:rPr>
        <w:t>ITRs</w:t>
      </w:r>
      <w:r w:rsidRPr="008C1826">
        <w:rPr>
          <w:rFonts w:cstheme="minorHAnsi" w:hint="eastAsia"/>
          <w:szCs w:val="24"/>
          <w:lang w:eastAsia="zh-CN"/>
        </w:rPr>
        <w:t>的职责范围是继续审议</w:t>
      </w:r>
      <w:r w:rsidRPr="008C1826">
        <w:rPr>
          <w:rFonts w:cstheme="minorHAnsi" w:hint="eastAsia"/>
          <w:szCs w:val="24"/>
          <w:lang w:eastAsia="zh-CN"/>
        </w:rPr>
        <w:t>ITR</w:t>
      </w:r>
      <w:r>
        <w:rPr>
          <w:rFonts w:cstheme="minorHAnsi" w:hint="eastAsia"/>
          <w:szCs w:val="24"/>
          <w:lang w:eastAsia="zh-CN"/>
        </w:rPr>
        <w:t>。</w:t>
      </w:r>
      <w:bookmarkEnd w:id="7"/>
      <w:r w:rsidRPr="00825419">
        <w:rPr>
          <w:rFonts w:cstheme="minorHAnsi" w:hint="eastAsia"/>
          <w:szCs w:val="24"/>
          <w:lang w:eastAsia="zh-CN"/>
        </w:rPr>
        <w:t>考虑到前两个专家组的工作，除其他内容外，审议可考虑：</w:t>
      </w:r>
    </w:p>
    <w:p w14:paraId="325F5294" w14:textId="77777777" w:rsidR="00475E46" w:rsidRPr="00917A53" w:rsidRDefault="00475E46" w:rsidP="00475E46">
      <w:pPr>
        <w:pStyle w:val="enumlev1"/>
        <w:rPr>
          <w:lang w:eastAsia="zh-CN"/>
        </w:rPr>
      </w:pPr>
      <w:r w:rsidRPr="009E453E">
        <w:rPr>
          <w:lang w:val="ru-RU" w:eastAsia="zh-CN"/>
        </w:rPr>
        <w:t>‒</w:t>
      </w:r>
      <w:r w:rsidRPr="009E453E">
        <w:rPr>
          <w:lang w:val="ru-RU" w:eastAsia="zh-CN"/>
        </w:rPr>
        <w:tab/>
      </w:r>
      <w:r w:rsidRPr="00917A53">
        <w:rPr>
          <w:rFonts w:hint="eastAsia"/>
          <w:lang w:eastAsia="zh-CN"/>
        </w:rPr>
        <w:t>新趋势和国际电信</w:t>
      </w:r>
      <w:r w:rsidRPr="00917A53">
        <w:rPr>
          <w:rFonts w:hint="eastAsia"/>
          <w:lang w:eastAsia="zh-CN"/>
        </w:rPr>
        <w:t>/ICT</w:t>
      </w:r>
      <w:r w:rsidRPr="00917A53">
        <w:rPr>
          <w:rFonts w:hint="eastAsia"/>
          <w:lang w:eastAsia="zh-CN"/>
        </w:rPr>
        <w:t>环境中正在出现并可能影响《国际电信规则》的问题</w:t>
      </w:r>
      <w:r>
        <w:rPr>
          <w:rFonts w:hint="eastAsia"/>
          <w:lang w:eastAsia="zh-CN"/>
        </w:rPr>
        <w:t>，</w:t>
      </w:r>
    </w:p>
    <w:p w14:paraId="0DEFBFC6" w14:textId="77777777" w:rsidR="00475E46" w:rsidRPr="00917A53" w:rsidRDefault="00475E46" w:rsidP="00475E46">
      <w:pPr>
        <w:pStyle w:val="enumlev1"/>
        <w:rPr>
          <w:lang w:eastAsia="zh-CN"/>
        </w:rPr>
      </w:pPr>
      <w:bookmarkStart w:id="8" w:name="lt_pId035"/>
      <w:r w:rsidRPr="009E453E">
        <w:rPr>
          <w:lang w:val="ru-RU" w:eastAsia="zh-CN"/>
        </w:rPr>
        <w:t>‒</w:t>
      </w:r>
      <w:r w:rsidRPr="009E453E">
        <w:rPr>
          <w:lang w:val="ru-RU" w:eastAsia="zh-CN"/>
        </w:rPr>
        <w:tab/>
      </w:r>
      <w:bookmarkEnd w:id="8"/>
      <w:r w:rsidRPr="00917A53">
        <w:rPr>
          <w:rFonts w:hint="eastAsia"/>
          <w:lang w:eastAsia="zh-CN"/>
        </w:rPr>
        <w:t>有关运营机构和</w:t>
      </w:r>
      <w:r w:rsidRPr="00917A53">
        <w:rPr>
          <w:rFonts w:hint="eastAsia"/>
          <w:lang w:eastAsia="zh-CN"/>
        </w:rPr>
        <w:t>/</w:t>
      </w:r>
      <w:r w:rsidRPr="00917A53">
        <w:rPr>
          <w:rFonts w:hint="eastAsia"/>
          <w:lang w:eastAsia="zh-CN"/>
        </w:rPr>
        <w:t>或主管部门当前使用《国际电信规则》的实证数据和当前依赖《国际电信规则》的全球电信业务所占比例，以及</w:t>
      </w:r>
    </w:p>
    <w:p w14:paraId="419CD7C3" w14:textId="77777777" w:rsidR="00475E46" w:rsidRPr="00B23389" w:rsidRDefault="00475E46" w:rsidP="00475E46">
      <w:pPr>
        <w:pStyle w:val="enumlev1"/>
        <w:rPr>
          <w:rFonts w:cstheme="minorHAnsi"/>
          <w:lang w:eastAsia="zh-CN"/>
        </w:rPr>
      </w:pPr>
      <w:bookmarkStart w:id="9" w:name="lt_pId036"/>
      <w:r w:rsidRPr="009E453E">
        <w:rPr>
          <w:lang w:val="ru-RU" w:eastAsia="zh-CN"/>
        </w:rPr>
        <w:t>‒</w:t>
      </w:r>
      <w:r w:rsidRPr="009E453E">
        <w:rPr>
          <w:lang w:val="ru-RU" w:eastAsia="zh-CN"/>
        </w:rPr>
        <w:tab/>
      </w:r>
      <w:bookmarkEnd w:id="9"/>
      <w:r w:rsidRPr="00917A53">
        <w:rPr>
          <w:rFonts w:hint="eastAsia"/>
          <w:lang w:eastAsia="zh-CN"/>
        </w:rPr>
        <w:t>由“</w:t>
      </w:r>
      <w:proofErr w:type="gramStart"/>
      <w:r w:rsidRPr="00917A53">
        <w:rPr>
          <w:rFonts w:hint="eastAsia"/>
          <w:lang w:eastAsia="zh-CN"/>
        </w:rPr>
        <w:t>高层面指导原则”构成的</w:t>
      </w:r>
      <w:proofErr w:type="gramEnd"/>
      <w:r w:rsidRPr="00917A53">
        <w:rPr>
          <w:rFonts w:hint="eastAsia"/>
          <w:lang w:eastAsia="zh-CN"/>
        </w:rPr>
        <w:t>《国际电信规则》在当前电信</w:t>
      </w:r>
      <w:r w:rsidRPr="00917A53">
        <w:rPr>
          <w:rFonts w:hint="eastAsia"/>
          <w:lang w:eastAsia="zh-CN"/>
        </w:rPr>
        <w:t>/ICT</w:t>
      </w:r>
      <w:r w:rsidRPr="00917A53">
        <w:rPr>
          <w:rFonts w:hint="eastAsia"/>
          <w:lang w:eastAsia="zh-CN"/>
        </w:rPr>
        <w:t>环境中的相关性。</w:t>
      </w:r>
    </w:p>
    <w:p w14:paraId="390E1C99" w14:textId="77777777" w:rsidR="00475E46" w:rsidRPr="00B23389" w:rsidRDefault="00475E46" w:rsidP="00475E46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firstLineChars="200" w:firstLine="480"/>
        <w:rPr>
          <w:rFonts w:asciiTheme="minorHAnsi" w:hAnsiTheme="minorHAnsi" w:cstheme="minorHAnsi"/>
        </w:rPr>
      </w:pPr>
      <w:r w:rsidRPr="007E3992">
        <w:rPr>
          <w:rFonts w:eastAsia="SimSun" w:hint="eastAsia"/>
        </w:rPr>
        <w:t>EG-ITRs</w:t>
      </w:r>
      <w:r w:rsidRPr="007E3992">
        <w:rPr>
          <w:rFonts w:eastAsia="SimSun" w:hint="eastAsia"/>
        </w:rPr>
        <w:t>分别于</w:t>
      </w:r>
      <w:r w:rsidRPr="009C273A">
        <w:rPr>
          <w:rFonts w:eastAsia="SimSun" w:hint="eastAsia"/>
        </w:rPr>
        <w:t>2023</w:t>
      </w:r>
      <w:r w:rsidRPr="009C273A">
        <w:rPr>
          <w:rFonts w:eastAsia="SimSun" w:hint="eastAsia"/>
        </w:rPr>
        <w:t>年</w:t>
      </w:r>
      <w:r w:rsidRPr="009C273A">
        <w:rPr>
          <w:rFonts w:eastAsia="SimSun" w:hint="eastAsia"/>
        </w:rPr>
        <w:t>10</w:t>
      </w:r>
      <w:r w:rsidRPr="009C273A">
        <w:rPr>
          <w:rFonts w:eastAsia="SimSun" w:hint="eastAsia"/>
        </w:rPr>
        <w:t>月</w:t>
      </w:r>
      <w:r w:rsidRPr="009C273A">
        <w:rPr>
          <w:rFonts w:eastAsia="SimSun" w:hint="eastAsia"/>
        </w:rPr>
        <w:t>16</w:t>
      </w:r>
      <w:r w:rsidRPr="009C273A">
        <w:rPr>
          <w:rFonts w:eastAsia="SimSun" w:hint="eastAsia"/>
        </w:rPr>
        <w:t>日和</w:t>
      </w:r>
      <w:r w:rsidRPr="009C273A">
        <w:rPr>
          <w:rFonts w:eastAsia="SimSun" w:hint="eastAsia"/>
        </w:rPr>
        <w:t>2024</w:t>
      </w:r>
      <w:r w:rsidRPr="009C273A">
        <w:rPr>
          <w:rFonts w:eastAsia="SimSun" w:hint="eastAsia"/>
        </w:rPr>
        <w:t>年</w:t>
      </w:r>
      <w:r w:rsidRPr="009C273A">
        <w:rPr>
          <w:rFonts w:eastAsia="SimSun" w:hint="eastAsia"/>
        </w:rPr>
        <w:t>1</w:t>
      </w:r>
      <w:r w:rsidRPr="009C273A">
        <w:rPr>
          <w:rFonts w:eastAsia="SimSun" w:hint="eastAsia"/>
        </w:rPr>
        <w:t>月</w:t>
      </w:r>
      <w:r w:rsidRPr="009C273A">
        <w:rPr>
          <w:rFonts w:eastAsia="SimSun" w:hint="eastAsia"/>
        </w:rPr>
        <w:t>29-30</w:t>
      </w:r>
      <w:r w:rsidRPr="009C273A">
        <w:rPr>
          <w:rFonts w:eastAsia="SimSun" w:hint="eastAsia"/>
        </w:rPr>
        <w:t>日</w:t>
      </w:r>
      <w:r w:rsidRPr="007E3992">
        <w:rPr>
          <w:rFonts w:eastAsia="SimSun" w:hint="eastAsia"/>
        </w:rPr>
        <w:t>在瑞士日内瓦国际电联总部举行了第一次和第二次会议。</w:t>
      </w:r>
      <w:r w:rsidRPr="007E3992">
        <w:rPr>
          <w:rFonts w:eastAsia="SimSun" w:hint="eastAsia"/>
          <w:color w:val="auto"/>
        </w:rPr>
        <w:t>该组已批准</w:t>
      </w:r>
      <w:r w:rsidRPr="007E3992">
        <w:rPr>
          <w:rFonts w:eastAsia="SimSun" w:hint="eastAsia"/>
          <w:color w:val="auto"/>
        </w:rPr>
        <w:t>EG-ITRs</w:t>
      </w:r>
      <w:hyperlink r:id="rId12" w:history="1">
        <w:r w:rsidRPr="00E828B1">
          <w:rPr>
            <w:rStyle w:val="Hyperlink"/>
            <w:rFonts w:eastAsia="SimSun" w:hint="eastAsia"/>
            <w:color w:val="0000FF"/>
            <w:u w:color="0000FF"/>
          </w:rPr>
          <w:t>第一次</w:t>
        </w:r>
      </w:hyperlink>
      <w:r w:rsidRPr="007E3992">
        <w:rPr>
          <w:rFonts w:eastAsia="SimSun" w:hint="eastAsia"/>
          <w:color w:val="auto"/>
        </w:rPr>
        <w:t>和</w:t>
      </w:r>
      <w:hyperlink r:id="rId13" w:history="1">
        <w:r w:rsidRPr="00E828B1">
          <w:rPr>
            <w:rStyle w:val="Hyperlink"/>
            <w:rFonts w:eastAsia="SimSun" w:hint="eastAsia"/>
            <w:u w:color="0000FF"/>
          </w:rPr>
          <w:t>第二次</w:t>
        </w:r>
      </w:hyperlink>
      <w:r w:rsidRPr="007E3992">
        <w:rPr>
          <w:rFonts w:eastAsia="SimSun" w:hint="eastAsia"/>
          <w:color w:val="auto"/>
        </w:rPr>
        <w:t>会议的报告。</w:t>
      </w:r>
    </w:p>
    <w:p w14:paraId="6D6BDB5E" w14:textId="77777777" w:rsidR="00475E46" w:rsidRPr="00B23389" w:rsidRDefault="00475E46" w:rsidP="00475E46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firstLineChars="200" w:firstLine="480"/>
        <w:rPr>
          <w:rFonts w:asciiTheme="minorHAnsi" w:hAnsiTheme="minorHAnsi" w:cstheme="minorHAnsi"/>
        </w:rPr>
      </w:pPr>
      <w:bookmarkStart w:id="10" w:name="_Hlk38891878"/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在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EG-ITRs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的第一次会议上，</w:t>
      </w:r>
      <w:r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专家组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审议了所收到的文稿，</w:t>
      </w:r>
      <w:r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重点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讨论</w:t>
      </w:r>
      <w:r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了关于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工作计划</w:t>
      </w:r>
      <w:r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的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提案。会议未就工作计划达成一致。</w:t>
      </w:r>
    </w:p>
    <w:bookmarkEnd w:id="10"/>
    <w:p w14:paraId="5DCB916B" w14:textId="77777777" w:rsidR="00475E46" w:rsidRPr="008C1826" w:rsidRDefault="00475E46" w:rsidP="00475E46">
      <w:pPr>
        <w:pStyle w:val="BodyAA"/>
        <w:spacing w:after="120"/>
        <w:ind w:firstLineChars="200" w:firstLine="480"/>
        <w:rPr>
          <w:rFonts w:asciiTheme="minorHAnsi" w:eastAsiaTheme="minorEastAsia" w:hAnsiTheme="minorHAnsi" w:cstheme="minorHAnsi"/>
          <w:bCs/>
          <w:color w:val="auto"/>
          <w:bdr w:val="none" w:sz="0" w:space="0" w:color="auto"/>
          <w:lang w:val="en-GB"/>
        </w:rPr>
      </w:pPr>
      <w:r w:rsidRPr="008C1826">
        <w:rPr>
          <w:rFonts w:asciiTheme="minorHAnsi" w:hAnsiTheme="minorHAnsi" w:cstheme="minorHAnsi" w:hint="eastAsia"/>
          <w:lang w:val="en-GB"/>
        </w:rPr>
        <w:t>EG-ITRs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在第二次会议上批准了一项工作计划（见附件），同时认识到该计划为</w:t>
      </w:r>
      <w:r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专家组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的工作提供指导，</w:t>
      </w:r>
      <w:r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但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不限制任何成员根据第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146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号决议（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2022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年，布加勒斯特，修订版）和理事会第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1379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号决议（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2023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年，修订版）提交文稿。俄罗斯联邦就此提交的声明见第二次会议报告的附件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2</w:t>
      </w:r>
      <w:r w:rsidRPr="008C1826">
        <w:rPr>
          <w:rFonts w:asciiTheme="minorHAnsi" w:eastAsiaTheme="minorEastAsia" w:hAnsiTheme="minorHAnsi" w:cstheme="minorHAnsi" w:hint="eastAsia"/>
          <w:bCs/>
          <w:color w:val="auto"/>
          <w:bdr w:val="none" w:sz="0" w:space="0" w:color="auto"/>
          <w:lang w:val="en-GB"/>
        </w:rPr>
        <w:t>。</w:t>
      </w:r>
    </w:p>
    <w:p w14:paraId="6596A1D7" w14:textId="3372C3E0" w:rsidR="00475E46" w:rsidRPr="00B23389" w:rsidRDefault="00475E46" w:rsidP="00475E46">
      <w:pPr>
        <w:tabs>
          <w:tab w:val="left" w:pos="720"/>
        </w:tabs>
        <w:spacing w:after="120"/>
        <w:ind w:firstLineChars="200" w:firstLine="480"/>
        <w:rPr>
          <w:rFonts w:cstheme="minorHAnsi"/>
          <w:bCs/>
          <w:szCs w:val="24"/>
          <w:lang w:eastAsia="zh-CN"/>
        </w:rPr>
      </w:pPr>
      <w:r w:rsidRPr="008C1826">
        <w:rPr>
          <w:rFonts w:cstheme="minorHAnsi" w:hint="eastAsia"/>
          <w:bCs/>
          <w:szCs w:val="24"/>
          <w:lang w:eastAsia="zh-CN"/>
        </w:rPr>
        <w:t>关于有关运营机构和</w:t>
      </w:r>
      <w:r w:rsidRPr="008C1826">
        <w:rPr>
          <w:rFonts w:cstheme="minorHAnsi" w:hint="eastAsia"/>
          <w:bCs/>
          <w:szCs w:val="24"/>
          <w:lang w:eastAsia="zh-CN"/>
        </w:rPr>
        <w:t>/</w:t>
      </w:r>
      <w:r w:rsidRPr="008C1826">
        <w:rPr>
          <w:rFonts w:cstheme="minorHAnsi" w:hint="eastAsia"/>
          <w:bCs/>
          <w:szCs w:val="24"/>
          <w:lang w:eastAsia="zh-CN"/>
        </w:rPr>
        <w:t>或主管部门目前使用《国际电信规则》的经验数据以及现在依赖《国际电信规则》的全球电信业务比例，《国际电信规则》专家组在上次会议上决定不开展旨在收集经验数据的调查，成员国可自行开展调查，并将研究结果提交</w:t>
      </w:r>
      <w:r>
        <w:rPr>
          <w:rFonts w:cstheme="minorHAnsi" w:hint="eastAsia"/>
          <w:bCs/>
          <w:szCs w:val="24"/>
          <w:lang w:eastAsia="zh-CN"/>
        </w:rPr>
        <w:t>专家</w:t>
      </w:r>
      <w:r w:rsidRPr="008C1826">
        <w:rPr>
          <w:rFonts w:cstheme="minorHAnsi" w:hint="eastAsia"/>
          <w:bCs/>
          <w:szCs w:val="24"/>
          <w:lang w:eastAsia="zh-CN"/>
        </w:rPr>
        <w:t>组未来会议。</w:t>
      </w:r>
    </w:p>
    <w:p w14:paraId="5ECBAB7E" w14:textId="77777777" w:rsidR="00475E46" w:rsidRPr="00B23389" w:rsidRDefault="00475E46" w:rsidP="00475E46">
      <w:pPr>
        <w:spacing w:after="120"/>
        <w:ind w:firstLineChars="200" w:firstLine="480"/>
        <w:rPr>
          <w:rFonts w:cstheme="minorHAnsi"/>
          <w:b/>
          <w:bCs/>
          <w:szCs w:val="24"/>
          <w:lang w:eastAsia="zh-CN"/>
        </w:rPr>
      </w:pPr>
      <w:r w:rsidRPr="008C1826">
        <w:rPr>
          <w:rFonts w:cstheme="minorHAnsi" w:hint="eastAsia"/>
          <w:szCs w:val="24"/>
          <w:lang w:eastAsia="zh-CN"/>
        </w:rPr>
        <w:t>考虑到这些</w:t>
      </w:r>
      <w:r w:rsidRPr="008C1826">
        <w:rPr>
          <w:rFonts w:cstheme="minorHAnsi" w:hint="eastAsia"/>
          <w:szCs w:val="24"/>
          <w:lang w:eastAsia="zh-CN"/>
        </w:rPr>
        <w:t>EG-ITRs</w:t>
      </w:r>
      <w:r w:rsidRPr="008C1826">
        <w:rPr>
          <w:rFonts w:cstheme="minorHAnsi" w:hint="eastAsia"/>
          <w:szCs w:val="24"/>
          <w:lang w:eastAsia="zh-CN"/>
        </w:rPr>
        <w:t>会议的工作议程和收到的文稿，没有出现需要电信发展局介入的具体问题。</w:t>
      </w:r>
    </w:p>
    <w:p w14:paraId="467EDA50" w14:textId="77777777" w:rsidR="00475E46" w:rsidRPr="00B23389" w:rsidRDefault="00475E46" w:rsidP="00475E46">
      <w:pPr>
        <w:spacing w:after="120"/>
        <w:rPr>
          <w:rFonts w:cstheme="minorHAnsi"/>
          <w:b/>
          <w:bCs/>
          <w:szCs w:val="24"/>
          <w:lang w:eastAsia="zh-CN"/>
        </w:rPr>
      </w:pPr>
      <w:r w:rsidRPr="00825419">
        <w:rPr>
          <w:rFonts w:cstheme="minorHAnsi" w:hint="eastAsia"/>
          <w:b/>
          <w:bCs/>
          <w:szCs w:val="24"/>
          <w:lang w:eastAsia="zh-CN"/>
        </w:rPr>
        <w:lastRenderedPageBreak/>
        <w:t>后续工作</w:t>
      </w:r>
      <w:r>
        <w:rPr>
          <w:rFonts w:cstheme="minorHAnsi" w:hint="eastAsia"/>
          <w:b/>
          <w:bCs/>
          <w:szCs w:val="24"/>
          <w:lang w:eastAsia="zh-CN"/>
        </w:rPr>
        <w:t>：</w:t>
      </w:r>
    </w:p>
    <w:p w14:paraId="0B8A0B3A" w14:textId="04E10E21" w:rsidR="00475E46" w:rsidRPr="00B23389" w:rsidRDefault="00475E46" w:rsidP="00475E46">
      <w:pPr>
        <w:pStyle w:val="enumlev1"/>
        <w:rPr>
          <w:lang w:eastAsia="zh-CN"/>
        </w:rPr>
      </w:pPr>
      <w:bookmarkStart w:id="11" w:name="lt_pId046"/>
      <w:r w:rsidRPr="009E453E">
        <w:rPr>
          <w:lang w:val="ru-RU" w:eastAsia="zh-CN"/>
        </w:rPr>
        <w:t>‒</w:t>
      </w:r>
      <w:r w:rsidRPr="009E453E">
        <w:rPr>
          <w:lang w:val="ru-RU" w:eastAsia="zh-CN"/>
        </w:rPr>
        <w:tab/>
      </w:r>
      <w:bookmarkEnd w:id="11"/>
      <w:r>
        <w:rPr>
          <w:rFonts w:hint="eastAsia"/>
          <w:lang w:val="ru-RU" w:eastAsia="zh-CN"/>
        </w:rPr>
        <w:t>该组</w:t>
      </w:r>
      <w:r w:rsidRPr="008C1826">
        <w:rPr>
          <w:rFonts w:hint="eastAsia"/>
          <w:lang w:eastAsia="zh-CN"/>
        </w:rPr>
        <w:t>下次会议将在</w:t>
      </w:r>
      <w:r>
        <w:rPr>
          <w:rFonts w:hint="eastAsia"/>
          <w:lang w:eastAsia="zh-CN"/>
        </w:rPr>
        <w:t>下一次</w:t>
      </w:r>
      <w:r w:rsidRPr="008C1826">
        <w:rPr>
          <w:rFonts w:hint="eastAsia"/>
          <w:lang w:eastAsia="zh-CN"/>
        </w:rPr>
        <w:t>理事会工作组会议期间举行。</w:t>
      </w:r>
    </w:p>
    <w:p w14:paraId="49DD7395" w14:textId="77777777" w:rsidR="00475E46" w:rsidRPr="00B23389" w:rsidRDefault="00475E46" w:rsidP="00475E46">
      <w:pPr>
        <w:pStyle w:val="enumlev1"/>
        <w:rPr>
          <w:lang w:eastAsia="zh-CN"/>
        </w:rPr>
      </w:pPr>
      <w:bookmarkStart w:id="12" w:name="lt_pId047"/>
      <w:r w:rsidRPr="009E453E">
        <w:rPr>
          <w:lang w:val="ru-RU" w:eastAsia="zh-CN"/>
        </w:rPr>
        <w:t>‒</w:t>
      </w:r>
      <w:r w:rsidRPr="009E453E">
        <w:rPr>
          <w:lang w:val="ru-RU" w:eastAsia="zh-CN"/>
        </w:rPr>
        <w:tab/>
      </w:r>
      <w:bookmarkEnd w:id="12"/>
      <w:r w:rsidRPr="008C1826">
        <w:rPr>
          <w:rFonts w:hint="eastAsia"/>
          <w:lang w:eastAsia="zh-CN"/>
        </w:rPr>
        <w:t>按照以往惯例，会议同意由主席以一份简短文件对</w:t>
      </w:r>
      <w:r>
        <w:rPr>
          <w:rFonts w:hint="eastAsia"/>
          <w:lang w:eastAsia="zh-CN"/>
        </w:rPr>
        <w:t>专家</w:t>
      </w:r>
      <w:r w:rsidRPr="008C1826">
        <w:rPr>
          <w:rFonts w:hint="eastAsia"/>
          <w:lang w:eastAsia="zh-CN"/>
        </w:rPr>
        <w:t>组第一和第二次会议报告进行介绍</w:t>
      </w:r>
      <w:r>
        <w:rPr>
          <w:rFonts w:hint="eastAsia"/>
          <w:lang w:eastAsia="zh-CN"/>
        </w:rPr>
        <w:t>并提供</w:t>
      </w:r>
      <w:r w:rsidRPr="008C1826">
        <w:rPr>
          <w:rFonts w:hint="eastAsia"/>
          <w:lang w:eastAsia="zh-CN"/>
        </w:rPr>
        <w:t>超级链接，并作为进度报告提交理事会</w:t>
      </w:r>
      <w:r w:rsidRPr="008C1826">
        <w:rPr>
          <w:rFonts w:hint="eastAsia"/>
          <w:lang w:eastAsia="zh-CN"/>
        </w:rPr>
        <w:t>2024</w:t>
      </w:r>
      <w:r w:rsidRPr="008C1826">
        <w:rPr>
          <w:rFonts w:hint="eastAsia"/>
          <w:lang w:eastAsia="zh-CN"/>
        </w:rPr>
        <w:t>年会议。</w:t>
      </w:r>
    </w:p>
    <w:p w14:paraId="4FA7E7DB" w14:textId="77777777" w:rsidR="00475E46" w:rsidRDefault="00475E46" w:rsidP="00475E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77769665" w14:textId="77777777" w:rsidR="00475E46" w:rsidRPr="00D40B15" w:rsidRDefault="00475E46" w:rsidP="000C54E1">
      <w:pPr>
        <w:pStyle w:val="AnnexNo"/>
        <w:rPr>
          <w:sz w:val="24"/>
          <w:szCs w:val="24"/>
          <w:lang w:val="en-US"/>
        </w:rPr>
      </w:pPr>
      <w:bookmarkStart w:id="13" w:name="lt_pId048"/>
      <w:r w:rsidRPr="00D40B15">
        <w:rPr>
          <w:rFonts w:hint="eastAsia"/>
          <w:sz w:val="24"/>
          <w:szCs w:val="24"/>
          <w:lang w:val="en-US" w:eastAsia="zh-CN"/>
        </w:rPr>
        <w:lastRenderedPageBreak/>
        <w:t>附件</w:t>
      </w:r>
      <w:r w:rsidRPr="00D40B15">
        <w:rPr>
          <w:sz w:val="24"/>
          <w:szCs w:val="24"/>
          <w:lang w:val="en-US"/>
        </w:rPr>
        <w:t>1</w:t>
      </w:r>
      <w:bookmarkEnd w:id="13"/>
    </w:p>
    <w:p w14:paraId="1B7498BB" w14:textId="77777777" w:rsidR="00475E46" w:rsidRPr="00825419" w:rsidRDefault="00475E46" w:rsidP="00475E46">
      <w:pPr>
        <w:pStyle w:val="Annextitle"/>
        <w:spacing w:before="120" w:after="120"/>
        <w:rPr>
          <w:sz w:val="24"/>
          <w:szCs w:val="24"/>
          <w:lang w:val="en-US"/>
        </w:rPr>
      </w:pPr>
      <w:bookmarkStart w:id="14" w:name="lt_pId049"/>
      <w:r>
        <w:rPr>
          <w:rFonts w:hint="eastAsia"/>
          <w:sz w:val="24"/>
          <w:szCs w:val="24"/>
          <w:lang w:val="en-US" w:eastAsia="zh-CN"/>
        </w:rPr>
        <w:t>工作计划</w:t>
      </w:r>
      <w:bookmarkEnd w:id="14"/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678"/>
        <w:gridCol w:w="2551"/>
        <w:gridCol w:w="1560"/>
      </w:tblGrid>
      <w:tr w:rsidR="00475E46" w14:paraId="28DA46F2" w14:textId="77777777" w:rsidTr="00396D2A">
        <w:trPr>
          <w:trHeight w:val="303"/>
          <w:tblHeader/>
          <w:jc w:val="center"/>
        </w:trPr>
        <w:tc>
          <w:tcPr>
            <w:tcW w:w="1271" w:type="dxa"/>
            <w:vAlign w:val="center"/>
          </w:tcPr>
          <w:p w14:paraId="6313F11C" w14:textId="77777777" w:rsidR="00475E46" w:rsidRPr="00825419" w:rsidRDefault="00475E46" w:rsidP="000C54E1">
            <w:pPr>
              <w:pStyle w:val="Tablehead"/>
            </w:pPr>
            <w:proofErr w:type="spellStart"/>
            <w:r w:rsidRPr="008C1826">
              <w:rPr>
                <w:rFonts w:hint="eastAsia"/>
              </w:rPr>
              <w:t>会议</w:t>
            </w:r>
            <w:proofErr w:type="spellEnd"/>
          </w:p>
        </w:tc>
        <w:tc>
          <w:tcPr>
            <w:tcW w:w="4678" w:type="dxa"/>
            <w:vAlign w:val="center"/>
          </w:tcPr>
          <w:p w14:paraId="0F159B56" w14:textId="77777777" w:rsidR="00475E46" w:rsidRPr="00825419" w:rsidRDefault="00475E46" w:rsidP="000C54E1">
            <w:pPr>
              <w:pStyle w:val="Tablehead"/>
            </w:pPr>
            <w:proofErr w:type="spellStart"/>
            <w:r w:rsidRPr="008C1826">
              <w:rPr>
                <w:rFonts w:hint="eastAsia"/>
              </w:rPr>
              <w:t>目标</w:t>
            </w:r>
            <w:proofErr w:type="spellEnd"/>
          </w:p>
        </w:tc>
        <w:tc>
          <w:tcPr>
            <w:tcW w:w="2551" w:type="dxa"/>
            <w:vAlign w:val="center"/>
          </w:tcPr>
          <w:p w14:paraId="4AF4F5C1" w14:textId="77777777" w:rsidR="00475E46" w:rsidRPr="00825419" w:rsidRDefault="00475E46" w:rsidP="000C54E1">
            <w:pPr>
              <w:pStyle w:val="Tablehead"/>
            </w:pPr>
            <w:proofErr w:type="spellStart"/>
            <w:r w:rsidRPr="008C1826">
              <w:rPr>
                <w:rFonts w:hint="eastAsia"/>
              </w:rPr>
              <w:t>可能开展的活动</w:t>
            </w:r>
            <w:proofErr w:type="spellEnd"/>
          </w:p>
        </w:tc>
        <w:tc>
          <w:tcPr>
            <w:tcW w:w="1560" w:type="dxa"/>
            <w:vAlign w:val="center"/>
          </w:tcPr>
          <w:p w14:paraId="3284B9D7" w14:textId="77777777" w:rsidR="00475E46" w:rsidRPr="002A4D72" w:rsidRDefault="00475E46" w:rsidP="000C54E1">
            <w:pPr>
              <w:pStyle w:val="Tablehead"/>
            </w:pPr>
            <w:proofErr w:type="spellStart"/>
            <w:r w:rsidRPr="008C1826">
              <w:rPr>
                <w:rFonts w:hint="eastAsia"/>
              </w:rPr>
              <w:t>所需结果</w:t>
            </w:r>
            <w:proofErr w:type="spellEnd"/>
          </w:p>
        </w:tc>
      </w:tr>
      <w:tr w:rsidR="00475E46" w14:paraId="65598035" w14:textId="77777777" w:rsidTr="00396D2A">
        <w:trPr>
          <w:trHeight w:val="1429"/>
          <w:jc w:val="center"/>
        </w:trPr>
        <w:tc>
          <w:tcPr>
            <w:tcW w:w="1271" w:type="dxa"/>
          </w:tcPr>
          <w:p w14:paraId="58E08396" w14:textId="77777777" w:rsidR="00475E46" w:rsidRPr="002A4D72" w:rsidRDefault="00475E46" w:rsidP="000C54E1">
            <w:pPr>
              <w:pStyle w:val="Tabletext"/>
            </w:pPr>
            <w:bookmarkStart w:id="15" w:name="lt_pId054"/>
            <w:r w:rsidRPr="00825419">
              <w:t>EG-ITRs</w:t>
            </w:r>
            <w:bookmarkEnd w:id="15"/>
            <w:r w:rsidRPr="008C1826">
              <w:rPr>
                <w:rFonts w:hint="eastAsia"/>
                <w:lang w:eastAsia="zh-CN"/>
              </w:rPr>
              <w:t>第</w:t>
            </w:r>
            <w:r w:rsidRPr="008C1826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、第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和第</w:t>
            </w:r>
            <w:r>
              <w:rPr>
                <w:rFonts w:hint="eastAsia"/>
                <w:lang w:eastAsia="zh-CN"/>
              </w:rPr>
              <w:t>5</w:t>
            </w:r>
            <w:r w:rsidRPr="008C1826">
              <w:rPr>
                <w:rFonts w:hint="eastAsia"/>
                <w:lang w:eastAsia="zh-CN"/>
              </w:rPr>
              <w:t>次会议</w:t>
            </w:r>
          </w:p>
        </w:tc>
        <w:tc>
          <w:tcPr>
            <w:tcW w:w="4678" w:type="dxa"/>
          </w:tcPr>
          <w:p w14:paraId="3824EAE2" w14:textId="77777777" w:rsidR="00475E46" w:rsidRPr="002A4D72" w:rsidRDefault="00475E46" w:rsidP="000C54E1">
            <w:pPr>
              <w:pStyle w:val="Tabletext"/>
              <w:rPr>
                <w:lang w:eastAsia="zh-CN"/>
              </w:rPr>
            </w:pPr>
            <w:r w:rsidRPr="008C1826">
              <w:rPr>
                <w:rFonts w:hint="eastAsia"/>
                <w:lang w:eastAsia="zh-CN"/>
              </w:rPr>
              <w:t>各节会议的议程是继续按照理事会第</w:t>
            </w:r>
            <w:r w:rsidRPr="008C1826">
              <w:rPr>
                <w:rFonts w:hint="eastAsia"/>
                <w:lang w:eastAsia="zh-CN"/>
              </w:rPr>
              <w:t>1379</w:t>
            </w:r>
            <w:r w:rsidRPr="008C1826">
              <w:rPr>
                <w:rFonts w:hint="eastAsia"/>
                <w:lang w:eastAsia="zh-CN"/>
              </w:rPr>
              <w:t>号决议（</w:t>
            </w:r>
            <w:r w:rsidRPr="008C1826">
              <w:rPr>
                <w:rFonts w:hint="eastAsia"/>
                <w:lang w:eastAsia="zh-CN"/>
              </w:rPr>
              <w:t>2023</w:t>
            </w:r>
            <w:r w:rsidRPr="008C1826">
              <w:rPr>
                <w:rFonts w:hint="eastAsia"/>
                <w:lang w:eastAsia="zh-CN"/>
              </w:rPr>
              <w:t>年，修订版）规定的职责范围审议《国际电信规则》，同时考虑到前两个专家组开展的工作，</w:t>
            </w:r>
            <w:r>
              <w:rPr>
                <w:rFonts w:hint="eastAsia"/>
                <w:lang w:eastAsia="zh-CN"/>
              </w:rPr>
              <w:t>这些工作包括</w:t>
            </w:r>
            <w:r w:rsidRPr="008C1826">
              <w:rPr>
                <w:rFonts w:hint="eastAsia"/>
                <w:lang w:eastAsia="zh-CN"/>
              </w:rPr>
              <w:t>如下</w:t>
            </w:r>
            <w:r>
              <w:rPr>
                <w:rFonts w:hint="eastAsia"/>
                <w:lang w:eastAsia="zh-CN"/>
              </w:rPr>
              <w:t>内容</w:t>
            </w:r>
            <w:r w:rsidRPr="008C1826">
              <w:rPr>
                <w:rFonts w:hint="eastAsia"/>
                <w:lang w:eastAsia="zh-CN"/>
              </w:rPr>
              <w:t>：</w:t>
            </w:r>
          </w:p>
          <w:p w14:paraId="4E62BE8A" w14:textId="77777777" w:rsidR="00221B96" w:rsidRDefault="00475E46" w:rsidP="00221B96">
            <w:pPr>
              <w:pStyle w:val="Tabletext"/>
              <w:spacing w:before="60"/>
              <w:rPr>
                <w:lang w:eastAsia="zh-CN"/>
              </w:rPr>
            </w:pPr>
            <w:r>
              <w:rPr>
                <w:lang w:val="en-US" w:eastAsia="zh-CN"/>
              </w:rPr>
              <w:t>a)</w:t>
            </w:r>
            <w:r>
              <w:rPr>
                <w:lang w:val="en-US" w:eastAsia="zh-CN"/>
              </w:rPr>
              <w:tab/>
            </w:r>
            <w:r>
              <w:rPr>
                <w:rFonts w:hint="eastAsia"/>
                <w:lang w:eastAsia="zh-CN"/>
              </w:rPr>
              <w:t>电信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ICT</w:t>
            </w:r>
            <w:r>
              <w:rPr>
                <w:rFonts w:hint="eastAsia"/>
                <w:lang w:eastAsia="zh-CN"/>
              </w:rPr>
              <w:t>发展</w:t>
            </w:r>
            <w:r>
              <w:rPr>
                <w:lang w:eastAsia="zh-CN"/>
              </w:rPr>
              <w:t>新趋势</w:t>
            </w:r>
            <w:r>
              <w:rPr>
                <w:rFonts w:hint="eastAsia"/>
                <w:lang w:eastAsia="zh-CN"/>
              </w:rPr>
              <w:t>和国际电信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ICT</w:t>
            </w:r>
            <w:r>
              <w:rPr>
                <w:rFonts w:hint="eastAsia"/>
                <w:lang w:eastAsia="zh-CN"/>
              </w:rPr>
              <w:t>环境中</w:t>
            </w:r>
            <w:r>
              <w:rPr>
                <w:lang w:eastAsia="zh-CN"/>
              </w:rPr>
              <w:t>正在出现</w:t>
            </w:r>
            <w:r>
              <w:rPr>
                <w:rFonts w:hint="eastAsia"/>
                <w:lang w:eastAsia="zh-CN"/>
              </w:rPr>
              <w:t>并可能影响《国际电信规则》</w:t>
            </w:r>
            <w:proofErr w:type="gramStart"/>
            <w:r>
              <w:rPr>
                <w:lang w:eastAsia="zh-CN"/>
              </w:rPr>
              <w:t>的问题</w:t>
            </w:r>
            <w:r>
              <w:rPr>
                <w:rFonts w:hint="eastAsia"/>
                <w:lang w:eastAsia="zh-CN"/>
              </w:rPr>
              <w:t>；</w:t>
            </w:r>
            <w:proofErr w:type="gramEnd"/>
          </w:p>
          <w:p w14:paraId="04AEC321" w14:textId="77777777" w:rsidR="00221B96" w:rsidRDefault="00475E46" w:rsidP="00221B96">
            <w:pPr>
              <w:pStyle w:val="Tabletext"/>
              <w:spacing w:before="60"/>
              <w:rPr>
                <w:lang w:eastAsia="zh-CN"/>
              </w:rPr>
            </w:pPr>
            <w:r>
              <w:rPr>
                <w:lang w:val="en-US" w:eastAsia="zh-CN"/>
              </w:rPr>
              <w:t>b</w:t>
            </w:r>
            <w:r w:rsidRPr="00DA4F70">
              <w:rPr>
                <w:lang w:val="ru-RU" w:eastAsia="zh-CN"/>
              </w:rPr>
              <w:t>)</w:t>
            </w:r>
            <w:r w:rsidRPr="00DA4F70">
              <w:rPr>
                <w:lang w:val="ru-RU" w:eastAsia="zh-CN"/>
              </w:rPr>
              <w:tab/>
            </w:r>
            <w:r>
              <w:rPr>
                <w:rFonts w:hint="eastAsia"/>
                <w:lang w:eastAsia="zh-CN"/>
              </w:rPr>
              <w:t>有关</w:t>
            </w:r>
            <w:r w:rsidRPr="00DF4405">
              <w:rPr>
                <w:rFonts w:hint="eastAsia"/>
                <w:lang w:eastAsia="zh-CN"/>
              </w:rPr>
              <w:t>运营</w:t>
            </w:r>
            <w:r>
              <w:rPr>
                <w:rFonts w:hint="eastAsia"/>
                <w:lang w:eastAsia="zh-CN"/>
              </w:rPr>
              <w:t>机构和</w:t>
            </w:r>
            <w:r w:rsidRPr="00DF4405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或主管</w:t>
            </w:r>
            <w:r w:rsidRPr="00DF4405">
              <w:rPr>
                <w:rFonts w:hint="eastAsia"/>
                <w:lang w:eastAsia="zh-CN"/>
              </w:rPr>
              <w:t>部门当前使用</w:t>
            </w:r>
            <w:r>
              <w:rPr>
                <w:rFonts w:hint="eastAsia"/>
                <w:lang w:eastAsia="zh-CN"/>
              </w:rPr>
              <w:t>《国际电信规则》</w:t>
            </w:r>
            <w:r w:rsidRPr="00DF4405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经验</w:t>
            </w:r>
            <w:r w:rsidRPr="00DF4405">
              <w:rPr>
                <w:rFonts w:hint="eastAsia"/>
                <w:lang w:eastAsia="zh-CN"/>
              </w:rPr>
              <w:t>数据</w:t>
            </w:r>
            <w:r>
              <w:rPr>
                <w:rFonts w:hint="eastAsia"/>
                <w:lang w:eastAsia="zh-CN"/>
              </w:rPr>
              <w:t>和当前依赖《国际电信规则》的全球电信业务所占比例，以及</w:t>
            </w:r>
            <w:bookmarkStart w:id="16" w:name="lt_pId059"/>
          </w:p>
          <w:p w14:paraId="7B53AE53" w14:textId="2351657A" w:rsidR="00475E46" w:rsidRPr="002A4D72" w:rsidRDefault="00475E46" w:rsidP="00221B96">
            <w:pPr>
              <w:pStyle w:val="Tabletext"/>
              <w:spacing w:before="60"/>
              <w:rPr>
                <w:lang w:eastAsia="zh-CN"/>
              </w:rPr>
            </w:pPr>
            <w:r w:rsidRPr="00042F9C">
              <w:rPr>
                <w:lang w:eastAsia="zh-CN"/>
              </w:rPr>
              <w:t>c)</w:t>
            </w:r>
            <w:bookmarkEnd w:id="16"/>
            <w:r w:rsidR="00042F9C"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由“</w:t>
            </w:r>
            <w:proofErr w:type="gramEnd"/>
            <w:r>
              <w:rPr>
                <w:rFonts w:hint="eastAsia"/>
                <w:lang w:eastAsia="zh-CN"/>
              </w:rPr>
              <w:t>高层面指导原则”构成的</w:t>
            </w:r>
            <w:r w:rsidRPr="00FB50CB">
              <w:rPr>
                <w:rFonts w:cstheme="minorHAnsi" w:hint="eastAsia"/>
                <w:lang w:eastAsia="zh-CN"/>
              </w:rPr>
              <w:t>《国际电信规则》在当前电信</w:t>
            </w:r>
            <w:r w:rsidRPr="00FB50CB">
              <w:rPr>
                <w:rFonts w:cstheme="minorHAnsi" w:hint="eastAsia"/>
                <w:lang w:eastAsia="zh-CN"/>
              </w:rPr>
              <w:t>/ICT</w:t>
            </w:r>
            <w:r w:rsidRPr="00FB50CB">
              <w:rPr>
                <w:rFonts w:cstheme="minorHAnsi" w:hint="eastAsia"/>
                <w:lang w:eastAsia="zh-CN"/>
              </w:rPr>
              <w:t>环境中的相关性</w:t>
            </w:r>
            <w:r>
              <w:rPr>
                <w:rFonts w:cstheme="minorHAnsi" w:hint="eastAsia"/>
                <w:lang w:eastAsia="zh-CN"/>
              </w:rPr>
              <w:t>。</w:t>
            </w:r>
          </w:p>
        </w:tc>
        <w:tc>
          <w:tcPr>
            <w:tcW w:w="2551" w:type="dxa"/>
          </w:tcPr>
          <w:p w14:paraId="54539844" w14:textId="59002BDA" w:rsidR="00475E46" w:rsidRPr="002A4D72" w:rsidRDefault="0085670C" w:rsidP="000C54E1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•</w:t>
            </w:r>
            <w:r>
              <w:rPr>
                <w:lang w:eastAsia="zh-CN"/>
              </w:rPr>
              <w:tab/>
            </w:r>
            <w:r w:rsidR="00475E46" w:rsidRPr="008C1826">
              <w:rPr>
                <w:rFonts w:hint="eastAsia"/>
                <w:lang w:eastAsia="zh-CN"/>
              </w:rPr>
              <w:t>讨论收到的文稿</w:t>
            </w:r>
          </w:p>
          <w:p w14:paraId="26055B1F" w14:textId="563590E6" w:rsidR="00475E46" w:rsidRPr="00B23389" w:rsidRDefault="0085670C" w:rsidP="000C54E1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•</w:t>
            </w:r>
            <w:r>
              <w:rPr>
                <w:lang w:eastAsia="zh-CN"/>
              </w:rPr>
              <w:tab/>
            </w:r>
            <w:r w:rsidR="00475E46" w:rsidRPr="008C1826">
              <w:rPr>
                <w:rFonts w:hint="eastAsia"/>
                <w:lang w:eastAsia="zh-CN"/>
              </w:rPr>
              <w:t>审议会议报告</w:t>
            </w:r>
          </w:p>
        </w:tc>
        <w:tc>
          <w:tcPr>
            <w:tcW w:w="1560" w:type="dxa"/>
          </w:tcPr>
          <w:p w14:paraId="368575C0" w14:textId="245BBA20" w:rsidR="00475E46" w:rsidRPr="000C54E1" w:rsidRDefault="00475E46" w:rsidP="000C54E1">
            <w:pPr>
              <w:pStyle w:val="Tabletext"/>
              <w:rPr>
                <w:rFonts w:cstheme="minorHAnsi"/>
                <w:lang w:eastAsia="zh-CN"/>
              </w:rPr>
            </w:pPr>
            <w:r w:rsidRPr="000C54E1">
              <w:rPr>
                <w:rFonts w:cstheme="minorHAnsi"/>
                <w:lang w:eastAsia="zh-CN"/>
              </w:rPr>
              <w:t>第</w:t>
            </w:r>
            <w:r w:rsidRPr="000C54E1">
              <w:rPr>
                <w:rFonts w:cstheme="minorHAnsi"/>
                <w:lang w:eastAsia="zh-CN"/>
              </w:rPr>
              <w:t>3</w:t>
            </w:r>
            <w:r w:rsidRPr="000C54E1">
              <w:rPr>
                <w:rFonts w:cstheme="minorHAnsi"/>
                <w:lang w:eastAsia="zh-CN"/>
              </w:rPr>
              <w:t>次会议</w:t>
            </w:r>
            <w:r w:rsidRPr="000C54E1">
              <w:rPr>
                <w:rFonts w:cstheme="minorHAnsi"/>
                <w:lang w:eastAsia="zh-CN"/>
              </w:rPr>
              <w:t xml:space="preserve"> </w:t>
            </w:r>
            <w:r w:rsidR="000C54E1" w:rsidRPr="000C54E1">
              <w:rPr>
                <w:rFonts w:cstheme="minorHAnsi"/>
                <w:lang w:eastAsia="zh-CN"/>
              </w:rPr>
              <w:t>–</w:t>
            </w:r>
            <w:r w:rsidRPr="000C54E1">
              <w:rPr>
                <w:rFonts w:cstheme="minorHAnsi"/>
                <w:lang w:eastAsia="zh-CN"/>
              </w:rPr>
              <w:t xml:space="preserve"> </w:t>
            </w:r>
            <w:r w:rsidRPr="000C54E1">
              <w:rPr>
                <w:rFonts w:cstheme="minorHAnsi"/>
                <w:lang w:eastAsia="zh-CN"/>
              </w:rPr>
              <w:t>会议报告</w:t>
            </w:r>
          </w:p>
          <w:p w14:paraId="39031726" w14:textId="77777777" w:rsidR="00475E46" w:rsidRPr="000C54E1" w:rsidRDefault="00475E46" w:rsidP="0085670C">
            <w:pPr>
              <w:pStyle w:val="Tabletext"/>
              <w:spacing w:before="120"/>
              <w:rPr>
                <w:rFonts w:cstheme="minorHAnsi"/>
                <w:lang w:eastAsia="zh-CN"/>
              </w:rPr>
            </w:pPr>
            <w:r w:rsidRPr="000C54E1">
              <w:rPr>
                <w:rFonts w:cstheme="minorHAnsi"/>
                <w:lang w:eastAsia="zh-CN"/>
              </w:rPr>
              <w:t>第</w:t>
            </w:r>
            <w:r w:rsidRPr="000C54E1">
              <w:rPr>
                <w:rFonts w:cstheme="minorHAnsi"/>
                <w:lang w:eastAsia="zh-CN"/>
              </w:rPr>
              <w:t>4</w:t>
            </w:r>
            <w:r w:rsidRPr="000C54E1">
              <w:rPr>
                <w:rFonts w:cstheme="minorHAnsi"/>
                <w:lang w:eastAsia="zh-CN"/>
              </w:rPr>
              <w:t>次会议</w:t>
            </w:r>
            <w:r w:rsidRPr="000C54E1">
              <w:rPr>
                <w:rFonts w:cstheme="minorHAnsi"/>
                <w:lang w:eastAsia="zh-CN"/>
              </w:rPr>
              <w:t xml:space="preserve"> – </w:t>
            </w:r>
            <w:r w:rsidRPr="000C54E1">
              <w:rPr>
                <w:rFonts w:cstheme="minorHAnsi"/>
                <w:lang w:eastAsia="zh-CN"/>
              </w:rPr>
              <w:t>会议报告</w:t>
            </w:r>
          </w:p>
          <w:p w14:paraId="469BE2D3" w14:textId="77777777" w:rsidR="00475E46" w:rsidRPr="002A4D72" w:rsidRDefault="00475E46" w:rsidP="0085670C">
            <w:pPr>
              <w:pStyle w:val="Tabletext"/>
              <w:spacing w:before="120"/>
              <w:rPr>
                <w:lang w:eastAsia="zh-CN"/>
              </w:rPr>
            </w:pPr>
            <w:r w:rsidRPr="000C54E1">
              <w:rPr>
                <w:rFonts w:cstheme="minorHAnsi"/>
                <w:lang w:eastAsia="zh-CN"/>
              </w:rPr>
              <w:t>第</w:t>
            </w:r>
            <w:r w:rsidRPr="000C54E1">
              <w:rPr>
                <w:rFonts w:cstheme="minorHAnsi"/>
                <w:lang w:eastAsia="zh-CN"/>
              </w:rPr>
              <w:t>5</w:t>
            </w:r>
            <w:r w:rsidRPr="000C54E1">
              <w:rPr>
                <w:rFonts w:cstheme="minorHAnsi"/>
                <w:lang w:eastAsia="zh-CN"/>
              </w:rPr>
              <w:t>次会议</w:t>
            </w:r>
            <w:r w:rsidRPr="000C54E1">
              <w:rPr>
                <w:rFonts w:cstheme="minorHAnsi"/>
                <w:lang w:eastAsia="zh-CN"/>
              </w:rPr>
              <w:t xml:space="preserve"> – </w:t>
            </w:r>
            <w:r w:rsidRPr="000C54E1">
              <w:rPr>
                <w:rFonts w:cstheme="minorHAnsi"/>
                <w:lang w:eastAsia="zh-CN"/>
              </w:rPr>
              <w:t>会议报告并开始起草最后报告</w:t>
            </w:r>
          </w:p>
        </w:tc>
      </w:tr>
      <w:tr w:rsidR="00475E46" w14:paraId="0C479104" w14:textId="77777777" w:rsidTr="00396D2A">
        <w:trPr>
          <w:trHeight w:val="1429"/>
          <w:jc w:val="center"/>
        </w:trPr>
        <w:tc>
          <w:tcPr>
            <w:tcW w:w="1271" w:type="dxa"/>
          </w:tcPr>
          <w:p w14:paraId="35985D00" w14:textId="289A02EE" w:rsidR="00475E46" w:rsidRPr="00825419" w:rsidRDefault="00475E46" w:rsidP="000C54E1">
            <w:pPr>
              <w:pStyle w:val="Tabletext"/>
            </w:pPr>
            <w:bookmarkStart w:id="17" w:name="lt_pId065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 w:rsidRPr="008C1826">
              <w:rPr>
                <w:rFonts w:hint="eastAsia"/>
                <w:lang w:eastAsia="zh-CN"/>
              </w:rPr>
              <w:t>次会议</w:t>
            </w:r>
            <w:bookmarkEnd w:id="17"/>
          </w:p>
        </w:tc>
        <w:tc>
          <w:tcPr>
            <w:tcW w:w="4678" w:type="dxa"/>
          </w:tcPr>
          <w:p w14:paraId="3134AA7C" w14:textId="77777777" w:rsidR="00475E46" w:rsidRPr="00825419" w:rsidRDefault="00475E46" w:rsidP="000C54E1">
            <w:pPr>
              <w:pStyle w:val="Tabletext"/>
              <w:rPr>
                <w:lang w:eastAsia="zh-CN"/>
              </w:rPr>
            </w:pPr>
            <w:bookmarkStart w:id="18" w:name="lt_pId066"/>
            <w:r>
              <w:rPr>
                <w:rFonts w:hint="eastAsia"/>
                <w:lang w:eastAsia="zh-CN"/>
              </w:rPr>
              <w:t>讨论</w:t>
            </w:r>
            <w:r w:rsidRPr="008C1826">
              <w:rPr>
                <w:rFonts w:hint="eastAsia"/>
                <w:lang w:eastAsia="zh-CN"/>
              </w:rPr>
              <w:t>提交理事会</w:t>
            </w:r>
            <w:r w:rsidRPr="008C1826">
              <w:rPr>
                <w:rFonts w:hint="eastAsia"/>
                <w:lang w:eastAsia="zh-CN"/>
              </w:rPr>
              <w:t>2026</w:t>
            </w:r>
            <w:r w:rsidRPr="008C1826">
              <w:rPr>
                <w:rFonts w:hint="eastAsia"/>
                <w:lang w:eastAsia="zh-CN"/>
              </w:rPr>
              <w:t>年会议的最终报告</w:t>
            </w:r>
            <w:r>
              <w:rPr>
                <w:rFonts w:hint="eastAsia"/>
                <w:lang w:eastAsia="zh-CN"/>
              </w:rPr>
              <w:t>草案</w:t>
            </w:r>
            <w:bookmarkEnd w:id="18"/>
          </w:p>
        </w:tc>
        <w:tc>
          <w:tcPr>
            <w:tcW w:w="2551" w:type="dxa"/>
          </w:tcPr>
          <w:p w14:paraId="4C7D1696" w14:textId="31003FB4" w:rsidR="00475E46" w:rsidRPr="00825419" w:rsidRDefault="0085670C" w:rsidP="000C54E1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•</w:t>
            </w:r>
            <w:r>
              <w:rPr>
                <w:lang w:eastAsia="zh-CN"/>
              </w:rPr>
              <w:tab/>
            </w:r>
            <w:r w:rsidR="00475E46" w:rsidRPr="008C1826">
              <w:rPr>
                <w:rFonts w:hint="eastAsia"/>
                <w:lang w:eastAsia="zh-CN"/>
              </w:rPr>
              <w:t>讨论收到的文稿</w:t>
            </w:r>
          </w:p>
          <w:p w14:paraId="75D85387" w14:textId="09129870" w:rsidR="00475E46" w:rsidRPr="00825419" w:rsidRDefault="0085670C" w:rsidP="00221B96">
            <w:pPr>
              <w:pStyle w:val="Tabletext"/>
              <w:tabs>
                <w:tab w:val="clear" w:pos="284"/>
                <w:tab w:val="left" w:pos="314"/>
              </w:tabs>
              <w:ind w:left="314" w:hanging="314"/>
              <w:rPr>
                <w:lang w:eastAsia="zh-CN"/>
              </w:rPr>
            </w:pPr>
            <w:r>
              <w:rPr>
                <w:lang w:eastAsia="zh-CN"/>
              </w:rPr>
              <w:t>•</w:t>
            </w:r>
            <w:r>
              <w:rPr>
                <w:lang w:eastAsia="zh-CN"/>
              </w:rPr>
              <w:tab/>
            </w:r>
            <w:r w:rsidR="00475E46" w:rsidRPr="008C1826">
              <w:rPr>
                <w:rFonts w:hint="eastAsia"/>
                <w:lang w:eastAsia="zh-CN"/>
              </w:rPr>
              <w:t>完成提交理事会的最后报告的工作</w:t>
            </w:r>
          </w:p>
        </w:tc>
        <w:tc>
          <w:tcPr>
            <w:tcW w:w="1560" w:type="dxa"/>
          </w:tcPr>
          <w:p w14:paraId="0709567C" w14:textId="77777777" w:rsidR="00475E46" w:rsidRPr="00825419" w:rsidRDefault="00475E46" w:rsidP="000C54E1">
            <w:pPr>
              <w:pStyle w:val="Tabletext"/>
              <w:rPr>
                <w:lang w:eastAsia="zh-CN"/>
              </w:rPr>
            </w:pPr>
            <w:r w:rsidRPr="008C1826">
              <w:rPr>
                <w:rFonts w:hint="eastAsia"/>
                <w:lang w:eastAsia="zh-CN"/>
              </w:rPr>
              <w:t>提交理事会</w:t>
            </w:r>
            <w:r w:rsidRPr="008C1826">
              <w:rPr>
                <w:rFonts w:hint="eastAsia"/>
                <w:lang w:eastAsia="zh-CN"/>
              </w:rPr>
              <w:t>2026</w:t>
            </w:r>
            <w:r w:rsidRPr="008C1826">
              <w:rPr>
                <w:rFonts w:hint="eastAsia"/>
                <w:lang w:eastAsia="zh-CN"/>
              </w:rPr>
              <w:t>年会议的最终报告</w:t>
            </w:r>
          </w:p>
        </w:tc>
      </w:tr>
    </w:tbl>
    <w:p w14:paraId="59319468" w14:textId="77777777" w:rsidR="00EC6FED" w:rsidRDefault="00EC6FED" w:rsidP="00935FF0"/>
    <w:p w14:paraId="5E1736D7" w14:textId="77777777" w:rsidR="00821996" w:rsidRDefault="003C58BF" w:rsidP="00DF240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9" w:name="Proposal"/>
      <w:bookmarkEnd w:id="19"/>
      <w:r>
        <w:t>_____________</w:t>
      </w:r>
      <w:r w:rsidR="004122C5">
        <w:t>_</w:t>
      </w:r>
      <w:r w:rsidR="00922EC1">
        <w:t>_</w:t>
      </w:r>
    </w:p>
    <w:sectPr w:rsidR="00821996" w:rsidSect="00475E46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D418" w14:textId="77777777" w:rsidR="00475E46" w:rsidRDefault="00475E46">
      <w:r>
        <w:separator/>
      </w:r>
    </w:p>
  </w:endnote>
  <w:endnote w:type="continuationSeparator" w:id="0">
    <w:p w14:paraId="5A44179E" w14:textId="77777777" w:rsidR="00475E46" w:rsidRDefault="0047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66BA6" w:rsidRPr="004D495C" w14:paraId="00623BBB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FB88F09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807DE1">
            <w:rPr>
              <w:rFonts w:hint="eastAsia"/>
              <w:sz w:val="18"/>
              <w:szCs w:val="18"/>
              <w:lang w:val="en-US"/>
            </w:rPr>
            <w:t>联系人</w:t>
          </w:r>
          <w:proofErr w:type="spellEnd"/>
          <w:r w:rsidRPr="00807DE1">
            <w:rPr>
              <w:rFonts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653FBBD" w14:textId="77777777" w:rsidR="00966BA6" w:rsidRPr="004D495C" w:rsidRDefault="00966BA6" w:rsidP="00966BA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组织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实体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姓名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EED4AFA" w14:textId="78687ADB" w:rsidR="00966BA6" w:rsidRPr="00AF7A97" w:rsidRDefault="00475E4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bookmarkStart w:id="20" w:name="lt_pId004"/>
          <w:r>
            <w:rPr>
              <w:rFonts w:hint="eastAsia"/>
              <w:sz w:val="18"/>
              <w:szCs w:val="18"/>
              <w:lang w:val="en-US" w:eastAsia="zh-CN"/>
            </w:rPr>
            <w:t>电信发展</w:t>
          </w:r>
          <w:proofErr w:type="gramStart"/>
          <w:r>
            <w:rPr>
              <w:rFonts w:hint="eastAsia"/>
              <w:sz w:val="18"/>
              <w:szCs w:val="18"/>
              <w:lang w:val="en-US" w:eastAsia="zh-CN"/>
            </w:rPr>
            <w:t>局数字</w:t>
          </w:r>
          <w:proofErr w:type="gramEnd"/>
          <w:r>
            <w:rPr>
              <w:rFonts w:hint="eastAsia"/>
              <w:sz w:val="18"/>
              <w:szCs w:val="18"/>
              <w:lang w:val="en-US" w:eastAsia="zh-CN"/>
            </w:rPr>
            <w:t>知识中心部代理负责人</w:t>
          </w:r>
          <w:r w:rsidRPr="002860A9">
            <w:rPr>
              <w:sz w:val="18"/>
              <w:szCs w:val="18"/>
              <w:lang w:val="en-US" w:eastAsia="zh-CN"/>
            </w:rPr>
            <w:t>Sofie Maddens</w:t>
          </w:r>
          <w:r>
            <w:rPr>
              <w:rFonts w:hint="eastAsia"/>
              <w:sz w:val="18"/>
              <w:szCs w:val="18"/>
              <w:lang w:val="en-US" w:eastAsia="zh-CN"/>
            </w:rPr>
            <w:t>女士</w:t>
          </w:r>
          <w:bookmarkEnd w:id="20"/>
        </w:p>
      </w:tc>
      <w:bookmarkStart w:id="21" w:name="OrgName"/>
      <w:bookmarkEnd w:id="21"/>
    </w:tr>
    <w:tr w:rsidR="00966BA6" w:rsidRPr="004D495C" w14:paraId="18AF5C7E" w14:textId="77777777" w:rsidTr="004E3CF5">
      <w:tc>
        <w:tcPr>
          <w:tcW w:w="1526" w:type="dxa"/>
          <w:shd w:val="clear" w:color="auto" w:fill="auto"/>
        </w:tcPr>
        <w:p w14:paraId="539A1F6B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5AB42556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电话号码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4C0937D2" w14:textId="34FCACFA" w:rsidR="00966BA6" w:rsidRPr="00AF7A97" w:rsidRDefault="00475E4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4B90">
            <w:rPr>
              <w:sz w:val="18"/>
              <w:szCs w:val="18"/>
              <w:lang w:val="en-US"/>
            </w:rPr>
            <w:t>+41 22 730 6256</w:t>
          </w:r>
        </w:p>
      </w:tc>
      <w:bookmarkStart w:id="22" w:name="PhoneNo"/>
      <w:bookmarkEnd w:id="22"/>
    </w:tr>
    <w:tr w:rsidR="00966BA6" w:rsidRPr="004D495C" w14:paraId="6AE70448" w14:textId="77777777" w:rsidTr="004E3CF5">
      <w:tc>
        <w:tcPr>
          <w:tcW w:w="1526" w:type="dxa"/>
          <w:shd w:val="clear" w:color="auto" w:fill="auto"/>
        </w:tcPr>
        <w:p w14:paraId="1A7C0227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26B445F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电子邮件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082ABED1" w14:textId="24B40DBF" w:rsidR="00966BA6" w:rsidRPr="00AF7A97" w:rsidRDefault="00475E4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bookmarkStart w:id="23" w:name="lt_pId008"/>
            <w:r w:rsidRPr="00154B90">
              <w:rPr>
                <w:rStyle w:val="Hyperlink"/>
                <w:sz w:val="18"/>
                <w:szCs w:val="18"/>
                <w:lang w:val="en-US"/>
              </w:rPr>
              <w:t>sofie.maddens@itu.int</w:t>
            </w:r>
            <w:bookmarkEnd w:id="23"/>
          </w:hyperlink>
        </w:p>
      </w:tc>
      <w:bookmarkStart w:id="24" w:name="Email"/>
      <w:bookmarkEnd w:id="24"/>
    </w:tr>
  </w:tbl>
  <w:p w14:paraId="3B9C2C60" w14:textId="77777777" w:rsidR="00721657" w:rsidRPr="0059420B" w:rsidRDefault="00D40B15" w:rsidP="00B80157">
    <w:pPr>
      <w:pStyle w:val="Footer"/>
      <w:jc w:val="center"/>
      <w:rPr>
        <w:lang w:val="en-GB"/>
      </w:rPr>
    </w:pPr>
    <w:hyperlink r:id="rId2" w:history="1"/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9974" w14:textId="77777777" w:rsidR="00475E46" w:rsidRDefault="00475E46">
      <w:r>
        <w:t>____________________</w:t>
      </w:r>
    </w:p>
  </w:footnote>
  <w:footnote w:type="continuationSeparator" w:id="0">
    <w:p w14:paraId="5665F34E" w14:textId="77777777" w:rsidR="00475E46" w:rsidRDefault="00475E46">
      <w:r>
        <w:continuationSeparator/>
      </w:r>
    </w:p>
  </w:footnote>
  <w:footnote w:id="1">
    <w:p w14:paraId="6AD9689A" w14:textId="4E1DC55A" w:rsidR="00475E46" w:rsidRPr="00D47DC6" w:rsidRDefault="00475E46" w:rsidP="00475E46">
      <w:pPr>
        <w:pStyle w:val="FootnoteText"/>
        <w:rPr>
          <w:sz w:val="20"/>
        </w:rPr>
      </w:pPr>
      <w:r w:rsidRPr="00D47DC6">
        <w:rPr>
          <w:rStyle w:val="FootnoteReference"/>
          <w:sz w:val="20"/>
        </w:rPr>
        <w:footnoteRef/>
      </w:r>
      <w:r w:rsidRPr="00D47DC6">
        <w:rPr>
          <w:sz w:val="20"/>
        </w:rPr>
        <w:t xml:space="preserve"> </w:t>
      </w:r>
      <w:hyperlink r:id="rId1" w:history="1">
        <w:bookmarkStart w:id="6" w:name="lt_pId071"/>
        <w:r w:rsidRPr="00D47DC6">
          <w:rPr>
            <w:rStyle w:val="Hyperlink"/>
            <w:sz w:val="20"/>
          </w:rPr>
          <w:t>https://www.itu.int/en/council/Pages/eg-itrs.aspx</w:t>
        </w:r>
        <w:bookmarkEnd w:id="6"/>
      </w:hyperlink>
    </w:p>
  </w:footnote>
  <w:footnote w:id="2">
    <w:p w14:paraId="318ED3C2" w14:textId="4008FA2F" w:rsidR="00475E46" w:rsidRPr="00515F01" w:rsidRDefault="00475E46" w:rsidP="00475E46">
      <w:pPr>
        <w:pStyle w:val="FootnoteText"/>
        <w:spacing w:before="0"/>
        <w:ind w:left="0" w:firstLine="0"/>
        <w:rPr>
          <w:sz w:val="20"/>
          <w:lang w:val="en-US" w:eastAsia="zh-CN"/>
        </w:rPr>
      </w:pPr>
      <w:r w:rsidRPr="00515F01">
        <w:rPr>
          <w:rStyle w:val="FootnoteReference"/>
          <w:sz w:val="20"/>
        </w:rPr>
        <w:footnoteRef/>
      </w:r>
      <w:r w:rsidR="00834A1F">
        <w:rPr>
          <w:sz w:val="20"/>
          <w:lang w:eastAsia="zh-CN"/>
        </w:rPr>
        <w:t xml:space="preserve"> </w:t>
      </w:r>
      <w:r w:rsidRPr="007039EE">
        <w:rPr>
          <w:rFonts w:hint="eastAsia"/>
          <w:sz w:val="20"/>
          <w:lang w:eastAsia="zh-CN"/>
        </w:rPr>
        <w:t>这些国家包括最不发达国家、小岛屿发展中国家、内陆发展中国家和经济转型国家。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83FE" w14:textId="5F572865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222A1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475E46">
      <w:rPr>
        <w:sz w:val="22"/>
        <w:szCs w:val="22"/>
        <w:lang w:val="de-CH"/>
      </w:rPr>
      <w:t>3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2585A"/>
    <w:multiLevelType w:val="hybridMultilevel"/>
    <w:tmpl w:val="9A6809EE"/>
    <w:lvl w:ilvl="0" w:tplc="B75E0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3EB0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BBE0A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34D0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CCAA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4AB2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7EAB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0E95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8DE68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2077314889">
    <w:abstractNumId w:val="1"/>
  </w:num>
  <w:num w:numId="2" w16cid:durableId="20900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2F9C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54E1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1B96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1F56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5E46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B2067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34A1F"/>
    <w:rsid w:val="008419B1"/>
    <w:rsid w:val="00844A56"/>
    <w:rsid w:val="00845B11"/>
    <w:rsid w:val="00852081"/>
    <w:rsid w:val="0085670C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1D54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0B15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28B1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092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2634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475E46"/>
    <w:rPr>
      <w:rFonts w:asciiTheme="minorHAnsi" w:hAnsiTheme="minorHAnsi"/>
      <w:sz w:val="24"/>
      <w:lang w:val="en-GB" w:eastAsia="en-US"/>
    </w:rPr>
  </w:style>
  <w:style w:type="paragraph" w:customStyle="1" w:styleId="BodyAA">
    <w:name w:val="Body A A"/>
    <w:rsid w:val="00475E4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4-EGITRS2-C-0021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4-EGITRS2-C-0020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-2023/RES-146-C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ofie.maddens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0294E-952C-4657-92D1-5AB61E8B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1818</Words>
  <Characters>676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Kong, Hongli</dc:creator>
  <cp:lastModifiedBy>Kong, Hongli</cp:lastModifiedBy>
  <cp:revision>12</cp:revision>
  <cp:lastPrinted>2014-11-04T09:22:00Z</cp:lastPrinted>
  <dcterms:created xsi:type="dcterms:W3CDTF">2024-03-22T09:32:00Z</dcterms:created>
  <dcterms:modified xsi:type="dcterms:W3CDTF">2024-03-22T10:50:00Z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