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987CA28"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41C25">
              <w:rPr>
                <w:b/>
                <w:bCs/>
                <w:lang w:val="en-US"/>
              </w:rPr>
              <w:t>INF/3</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4A21C0E" w:rsidR="00683C32" w:rsidRPr="007F1CC7" w:rsidRDefault="00A41C25" w:rsidP="00B648C7">
            <w:pPr>
              <w:spacing w:before="0"/>
              <w:rPr>
                <w:b/>
                <w:szCs w:val="24"/>
              </w:rPr>
            </w:pPr>
            <w:bookmarkStart w:id="2" w:name="CreationDate"/>
            <w:bookmarkEnd w:id="2"/>
            <w:r>
              <w:rPr>
                <w:b/>
                <w:bCs/>
                <w:szCs w:val="28"/>
              </w:rPr>
              <w:t>31</w:t>
            </w:r>
            <w:r w:rsidR="00F8710B">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6A9F9FE" w:rsidR="00514D2F" w:rsidRPr="007F1CC7" w:rsidRDefault="00AD4677" w:rsidP="00400CCF">
            <w:pPr>
              <w:spacing w:before="0"/>
              <w:rPr>
                <w:szCs w:val="24"/>
              </w:rPr>
            </w:pPr>
            <w:r>
              <w:rPr>
                <w:b/>
              </w:rPr>
              <w:t>English</w:t>
            </w:r>
            <w:r w:rsidR="00A41C25">
              <w:rPr>
                <w:b/>
              </w:rPr>
              <w:t xml:space="preserve"> only</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3" w:name="Source"/>
            <w:bookmarkEnd w:id="3"/>
            <w:r>
              <w:t>Director, Telecommunication Development Bureau</w:t>
            </w:r>
          </w:p>
        </w:tc>
      </w:tr>
      <w:tr w:rsidR="00D3552C" w:rsidRPr="00282B46" w14:paraId="5D9DB09D" w14:textId="77777777" w:rsidTr="000131A0">
        <w:trPr>
          <w:cantSplit/>
        </w:trPr>
        <w:tc>
          <w:tcPr>
            <w:tcW w:w="9888" w:type="dxa"/>
            <w:gridSpan w:val="2"/>
          </w:tcPr>
          <w:p w14:paraId="17A9869B" w14:textId="347E706F" w:rsidR="00D3552C" w:rsidRPr="00282B46" w:rsidRDefault="00C6120D" w:rsidP="00D3552C">
            <w:pPr>
              <w:pStyle w:val="Title1"/>
              <w:rPr>
                <w:b/>
                <w:bCs/>
                <w:szCs w:val="22"/>
              </w:rPr>
            </w:pPr>
            <w:bookmarkStart w:id="4" w:name="Title"/>
            <w:bookmarkEnd w:id="4"/>
            <w:r>
              <w:t>Update on the Review of the Regional Presence</w:t>
            </w:r>
          </w:p>
        </w:tc>
      </w:tr>
      <w:tr w:rsidR="00D3552C" w:rsidRPr="00282B46" w14:paraId="1B05404C" w14:textId="77777777" w:rsidTr="000131A0">
        <w:trPr>
          <w:cantSplit/>
        </w:trPr>
        <w:tc>
          <w:tcPr>
            <w:tcW w:w="9888" w:type="dxa"/>
            <w:gridSpan w:val="2"/>
            <w:tcBorders>
              <w:bottom w:val="single" w:sz="4" w:space="0" w:color="auto"/>
            </w:tcBorders>
          </w:tcPr>
          <w:p w14:paraId="058D5BBE" w14:textId="77777777" w:rsidR="00D3552C" w:rsidRPr="00282B46" w:rsidRDefault="00D3552C" w:rsidP="00D3552C"/>
        </w:tc>
      </w:tr>
      <w:tr w:rsidR="00D3552C" w:rsidRPr="00282B46" w14:paraId="1D42A2FD" w14:textId="77777777" w:rsidTr="000131A0">
        <w:trPr>
          <w:cantSplit/>
        </w:trPr>
        <w:tc>
          <w:tcPr>
            <w:tcW w:w="9888" w:type="dxa"/>
            <w:gridSpan w:val="2"/>
            <w:tcBorders>
              <w:top w:val="single" w:sz="4" w:space="0" w:color="auto"/>
              <w:left w:val="single" w:sz="4" w:space="0" w:color="auto"/>
              <w:bottom w:val="single" w:sz="4" w:space="0" w:color="auto"/>
              <w:right w:val="single" w:sz="4" w:space="0" w:color="auto"/>
            </w:tcBorders>
          </w:tcPr>
          <w:p w14:paraId="338066E5" w14:textId="77777777" w:rsidR="00D3552C" w:rsidRPr="00282B46" w:rsidRDefault="00D3552C" w:rsidP="00F8710B">
            <w:pPr>
              <w:spacing w:after="120"/>
              <w:rPr>
                <w:b/>
                <w:bCs/>
              </w:rPr>
            </w:pPr>
            <w:r w:rsidRPr="00282B46">
              <w:rPr>
                <w:b/>
                <w:bCs/>
              </w:rPr>
              <w:t>Summary:</w:t>
            </w:r>
          </w:p>
          <w:p w14:paraId="51A01F76" w14:textId="246AE744" w:rsidR="008376E3" w:rsidRDefault="008376E3" w:rsidP="003C75AF">
            <w:pPr>
              <w:snapToGrid w:val="0"/>
              <w:spacing w:after="120"/>
              <w:rPr>
                <w:rFonts w:cs="Calibri"/>
                <w:szCs w:val="24"/>
              </w:rPr>
            </w:pPr>
            <w:r>
              <w:rPr>
                <w:lang w:val="en-US"/>
              </w:rPr>
              <w:t xml:space="preserve">In </w:t>
            </w:r>
            <w:r w:rsidR="005F18FC">
              <w:rPr>
                <w:lang w:val="en-US"/>
              </w:rPr>
              <w:t xml:space="preserve">Decision </w:t>
            </w:r>
            <w:r>
              <w:rPr>
                <w:lang w:val="en-US"/>
              </w:rPr>
              <w:t xml:space="preserve">616, adopted at Council 2019, the Council instructed the </w:t>
            </w:r>
            <w:r w:rsidR="00045522">
              <w:rPr>
                <w:lang w:val="en-US"/>
              </w:rPr>
              <w:t>Secretary-</w:t>
            </w:r>
            <w:r>
              <w:rPr>
                <w:lang w:val="en-US"/>
              </w:rPr>
              <w:t xml:space="preserve">General </w:t>
            </w:r>
            <w:r w:rsidRPr="00D52ED9">
              <w:rPr>
                <w:rFonts w:cs="Calibri"/>
                <w:szCs w:val="24"/>
              </w:rPr>
              <w:t>to recruit and hire an independent external management consultancy to perform a comprehensive programmatic, strategic and financial assessment and review of ITU’s Regional Presence</w:t>
            </w:r>
            <w:r>
              <w:rPr>
                <w:rFonts w:cs="Calibri"/>
                <w:szCs w:val="24"/>
              </w:rPr>
              <w:t xml:space="preserve">. </w:t>
            </w:r>
          </w:p>
          <w:p w14:paraId="6FD65BB7" w14:textId="4B912CBC" w:rsidR="008376E3" w:rsidRDefault="008376E3" w:rsidP="003C75AF">
            <w:pPr>
              <w:spacing w:after="120"/>
              <w:rPr>
                <w:rFonts w:cstheme="minorHAnsi"/>
                <w:color w:val="000000"/>
              </w:rPr>
            </w:pPr>
            <w:r w:rsidRPr="003476A5">
              <w:rPr>
                <w:lang w:eastAsia="fr-CH"/>
              </w:rPr>
              <w:t xml:space="preserve">PwC was selected to perform this </w:t>
            </w:r>
            <w:r w:rsidRPr="00DC4B17">
              <w:rPr>
                <w:rFonts w:cstheme="minorHAnsi"/>
                <w:lang w:eastAsia="fr-CH"/>
              </w:rPr>
              <w:t xml:space="preserve">independent study, contractual arrangements were made, and PwC began its work </w:t>
            </w:r>
            <w:r>
              <w:rPr>
                <w:rFonts w:cstheme="minorHAnsi"/>
                <w:lang w:eastAsia="fr-CH"/>
              </w:rPr>
              <w:t>in</w:t>
            </w:r>
            <w:r w:rsidRPr="00DC4B17">
              <w:rPr>
                <w:rFonts w:cstheme="minorHAnsi"/>
                <w:lang w:eastAsia="fr-CH"/>
              </w:rPr>
              <w:t xml:space="preserve"> November 2019. PwC’s review </w:t>
            </w:r>
            <w:r>
              <w:rPr>
                <w:rFonts w:cstheme="minorHAnsi"/>
                <w:lang w:eastAsia="fr-CH"/>
              </w:rPr>
              <w:t xml:space="preserve">included </w:t>
            </w:r>
            <w:r w:rsidRPr="00DC4B17">
              <w:rPr>
                <w:rFonts w:cstheme="minorHAnsi"/>
                <w:color w:val="000000"/>
              </w:rPr>
              <w:t xml:space="preserve">qualitative and quantitative data collection, stakeholder consultation </w:t>
            </w:r>
            <w:r>
              <w:rPr>
                <w:rFonts w:cstheme="minorHAnsi"/>
                <w:color w:val="000000"/>
              </w:rPr>
              <w:t xml:space="preserve">(over 100 internal and external stakeholder interviews) </w:t>
            </w:r>
            <w:r w:rsidRPr="00DC4B17">
              <w:rPr>
                <w:rFonts w:cstheme="minorHAnsi"/>
                <w:color w:val="000000"/>
              </w:rPr>
              <w:t xml:space="preserve">and </w:t>
            </w:r>
            <w:r>
              <w:rPr>
                <w:rFonts w:cstheme="minorHAnsi"/>
                <w:color w:val="000000"/>
              </w:rPr>
              <w:t xml:space="preserve">a combination of </w:t>
            </w:r>
            <w:r w:rsidRPr="00DC4B17">
              <w:rPr>
                <w:rFonts w:cstheme="minorHAnsi"/>
                <w:color w:val="000000"/>
              </w:rPr>
              <w:t>analytical methods</w:t>
            </w:r>
            <w:r>
              <w:rPr>
                <w:rFonts w:cstheme="minorHAnsi"/>
                <w:color w:val="000000"/>
              </w:rPr>
              <w:t xml:space="preserve">. PwC’s Report was submitted in July 2020, including detailed recommendations for improvement of ITU’s Regional Presence, and an Action Plan for implementation of the recommendations. </w:t>
            </w:r>
          </w:p>
          <w:p w14:paraId="6F020F14" w14:textId="77777777" w:rsidR="00E57609" w:rsidRPr="00210A18" w:rsidRDefault="00E57609" w:rsidP="003C75AF">
            <w:pPr>
              <w:spacing w:after="120"/>
              <w:rPr>
                <w:rFonts w:cstheme="minorHAnsi"/>
                <w:b/>
                <w:bCs/>
                <w:szCs w:val="24"/>
                <w:lang w:val="en-US"/>
              </w:rPr>
            </w:pPr>
            <w:r w:rsidRPr="00210A18">
              <w:rPr>
                <w:rFonts w:cstheme="minorHAnsi"/>
                <w:szCs w:val="24"/>
                <w:lang w:val="en-US"/>
              </w:rPr>
              <w:t xml:space="preserve">In its report on ITU’s Regional Presence, </w:t>
            </w:r>
            <w:r w:rsidRPr="00210A18">
              <w:rPr>
                <w:rFonts w:cstheme="minorHAnsi"/>
                <w:color w:val="000000"/>
                <w:szCs w:val="24"/>
                <w:lang w:eastAsia="fr-CH"/>
              </w:rPr>
              <w:t>PwC recommended an action plan for the strengthening of ITU’s Regional Presence with four implementation streams, broken down into fifteen recommendations and 50 supporting actions.</w:t>
            </w:r>
            <w:r w:rsidRPr="00210A18">
              <w:rPr>
                <w:rFonts w:cstheme="minorHAnsi"/>
                <w:b/>
                <w:bCs/>
                <w:szCs w:val="24"/>
                <w:lang w:val="en-US"/>
              </w:rPr>
              <w:t xml:space="preserve"> </w:t>
            </w:r>
          </w:p>
          <w:p w14:paraId="3D096A73" w14:textId="54E699BE" w:rsidR="00E57609" w:rsidRDefault="00E57609" w:rsidP="003C75AF">
            <w:pPr>
              <w:spacing w:after="120"/>
              <w:rPr>
                <w:rFonts w:cstheme="minorHAnsi"/>
                <w:szCs w:val="24"/>
                <w:lang w:val="en-US"/>
              </w:rPr>
            </w:pPr>
            <w:r w:rsidRPr="00210A18">
              <w:rPr>
                <w:rFonts w:cstheme="minorHAnsi"/>
                <w:szCs w:val="24"/>
                <w:lang w:val="en-US"/>
              </w:rPr>
              <w:t xml:space="preserve">The </w:t>
            </w:r>
            <w:r w:rsidRPr="00F86854">
              <w:rPr>
                <w:rFonts w:cstheme="minorHAnsi"/>
                <w:szCs w:val="24"/>
                <w:lang w:val="en-US"/>
              </w:rPr>
              <w:t>Secretariat has created a workplan for full implementation of the sections of the PWC report which are within the Secretariat’s ability to implement</w:t>
            </w:r>
            <w:r w:rsidR="008376E3">
              <w:rPr>
                <w:rFonts w:cstheme="minorHAnsi"/>
                <w:szCs w:val="24"/>
                <w:lang w:val="en-US"/>
              </w:rPr>
              <w:t xml:space="preserve">, which was accepted by the Council Working Group on Finance and Human Resources (CWG-FHR) and Council in 2021. The </w:t>
            </w:r>
            <w:r w:rsidR="0051454C">
              <w:rPr>
                <w:rFonts w:cstheme="minorHAnsi"/>
                <w:szCs w:val="24"/>
                <w:lang w:val="en-US"/>
              </w:rPr>
              <w:t>workplan envisaged implementation of the recommendations</w:t>
            </w:r>
            <w:r w:rsidRPr="00F86854">
              <w:rPr>
                <w:rFonts w:cstheme="minorHAnsi"/>
                <w:szCs w:val="24"/>
                <w:lang w:val="en-US"/>
              </w:rPr>
              <w:t xml:space="preserve"> by the end of 2023. </w:t>
            </w:r>
          </w:p>
          <w:p w14:paraId="2DA4DFEC" w14:textId="3D0630EB" w:rsidR="0051454C" w:rsidRPr="00F86854" w:rsidRDefault="007D63C5" w:rsidP="003C75AF">
            <w:pPr>
              <w:spacing w:after="120"/>
              <w:rPr>
                <w:rFonts w:cstheme="minorHAnsi"/>
                <w:szCs w:val="24"/>
                <w:lang w:val="en-US"/>
              </w:rPr>
            </w:pPr>
            <w:r>
              <w:rPr>
                <w:rFonts w:cstheme="minorHAnsi"/>
                <w:szCs w:val="24"/>
                <w:lang w:val="en-US"/>
              </w:rPr>
              <w:t xml:space="preserve">Full reporting on the implementation of the Regional Presence Review will be submitted to Council. </w:t>
            </w:r>
            <w:r w:rsidR="0051454C">
              <w:rPr>
                <w:rFonts w:cstheme="minorHAnsi"/>
                <w:szCs w:val="24"/>
                <w:lang w:val="en-US"/>
              </w:rPr>
              <w:t xml:space="preserve">The purpose of this report is to update TDAG on the </w:t>
            </w:r>
            <w:r w:rsidR="001D45BF">
              <w:rPr>
                <w:rFonts w:cstheme="minorHAnsi"/>
                <w:szCs w:val="24"/>
                <w:lang w:val="en-US"/>
              </w:rPr>
              <w:t>progress made and work done in implementation of the outcomes of the PWC review.</w:t>
            </w:r>
          </w:p>
          <w:p w14:paraId="22C039D1" w14:textId="77777777" w:rsidR="00D3552C" w:rsidRPr="00282B46" w:rsidRDefault="00D3552C" w:rsidP="00F8710B">
            <w:pPr>
              <w:spacing w:after="120"/>
              <w:rPr>
                <w:b/>
                <w:bCs/>
              </w:rPr>
            </w:pPr>
            <w:r w:rsidRPr="00282B46">
              <w:rPr>
                <w:b/>
                <w:bCs/>
              </w:rPr>
              <w:t>Action required:</w:t>
            </w:r>
          </w:p>
          <w:p w14:paraId="1A096490" w14:textId="0DF3A660" w:rsidR="006F57D2" w:rsidRPr="00282B46" w:rsidRDefault="007D63C5" w:rsidP="00F8710B">
            <w:pPr>
              <w:spacing w:after="120"/>
            </w:pPr>
            <w:r>
              <w:t>T</w:t>
            </w:r>
            <w:r w:rsidR="0051454C">
              <w:t xml:space="preserve">his </w:t>
            </w:r>
            <w:r>
              <w:t>update is provided for the information of TDAG</w:t>
            </w:r>
            <w:r w:rsidR="0051454C">
              <w:t>.</w:t>
            </w:r>
          </w:p>
          <w:p w14:paraId="3E5DE1A2" w14:textId="77777777" w:rsidR="00D3552C" w:rsidRPr="00282B46" w:rsidRDefault="00D3552C" w:rsidP="00F8710B">
            <w:pPr>
              <w:pStyle w:val="Title1"/>
              <w:jc w:val="left"/>
              <w:rPr>
                <w:rFonts w:cstheme="minorHAnsi"/>
                <w:b/>
                <w:bCs/>
                <w:caps/>
                <w:sz w:val="24"/>
              </w:rPr>
            </w:pPr>
            <w:r w:rsidRPr="00282B46">
              <w:rPr>
                <w:rFonts w:cstheme="minorHAnsi"/>
                <w:b/>
                <w:bCs/>
                <w:sz w:val="24"/>
              </w:rPr>
              <w:t>References:</w:t>
            </w:r>
          </w:p>
          <w:p w14:paraId="32A5C9FC" w14:textId="149D900D" w:rsidR="006F57D2" w:rsidRPr="00282B46" w:rsidRDefault="00D61B8A" w:rsidP="00F8710B">
            <w:pPr>
              <w:spacing w:after="120"/>
            </w:pPr>
            <w:r>
              <w:t>Report</w:t>
            </w:r>
            <w:r w:rsidR="00950F43">
              <w:t xml:space="preserve"> of PWC on ITU’s Regional Presence</w:t>
            </w:r>
            <w:r w:rsidR="0002057A">
              <w:t xml:space="preserve">, </w:t>
            </w:r>
            <w:r>
              <w:t>Council Decision 616</w:t>
            </w:r>
            <w:r w:rsidR="006F57D2">
              <w:t xml:space="preserve"> </w:t>
            </w:r>
          </w:p>
        </w:tc>
      </w:tr>
    </w:tbl>
    <w:p w14:paraId="309FD8D2" w14:textId="0E1F8144" w:rsidR="00B51BA3" w:rsidRDefault="00B51BA3" w:rsidP="007C1CF2">
      <w:pPr>
        <w:spacing w:before="240" w:after="120"/>
        <w:jc w:val="both"/>
        <w:rPr>
          <w:rFonts w:cstheme="minorHAnsi"/>
          <w:szCs w:val="24"/>
        </w:rPr>
      </w:pPr>
    </w:p>
    <w:p w14:paraId="6D809775" w14:textId="77777777" w:rsidR="00F8710B" w:rsidRDefault="00F8710B">
      <w:pPr>
        <w:tabs>
          <w:tab w:val="clear" w:pos="794"/>
          <w:tab w:val="clear" w:pos="1191"/>
          <w:tab w:val="clear" w:pos="1588"/>
          <w:tab w:val="clear" w:pos="1985"/>
        </w:tabs>
        <w:overflowPunct/>
        <w:autoSpaceDE/>
        <w:autoSpaceDN/>
        <w:adjustRightInd/>
        <w:spacing w:before="0"/>
        <w:textAlignment w:val="auto"/>
        <w:rPr>
          <w:rStyle w:val="Hyperlink"/>
          <w:b/>
          <w:bCs/>
          <w:color w:val="auto"/>
          <w:szCs w:val="24"/>
          <w:u w:val="none"/>
          <w:lang w:val="en-US"/>
        </w:rPr>
      </w:pPr>
      <w:r>
        <w:rPr>
          <w:rStyle w:val="Hyperlink"/>
          <w:b/>
          <w:bCs/>
          <w:color w:val="auto"/>
          <w:szCs w:val="24"/>
          <w:u w:val="none"/>
          <w:lang w:val="en-US"/>
        </w:rPr>
        <w:br w:type="page"/>
      </w:r>
    </w:p>
    <w:p w14:paraId="3A9BAEAC" w14:textId="45F545B9" w:rsidR="006D0ACE" w:rsidRPr="006D0ACE" w:rsidRDefault="00775C2A" w:rsidP="00F8710B">
      <w:pPr>
        <w:spacing w:after="120"/>
        <w:ind w:left="567" w:hanging="567"/>
        <w:rPr>
          <w:rStyle w:val="Hyperlink"/>
          <w:b/>
          <w:bCs/>
          <w:color w:val="auto"/>
          <w:szCs w:val="24"/>
          <w:u w:val="none"/>
          <w:lang w:val="en-US"/>
        </w:rPr>
      </w:pPr>
      <w:r>
        <w:rPr>
          <w:rStyle w:val="Hyperlink"/>
          <w:b/>
          <w:bCs/>
          <w:color w:val="auto"/>
          <w:szCs w:val="24"/>
          <w:u w:val="none"/>
          <w:lang w:val="en-US"/>
        </w:rPr>
        <w:lastRenderedPageBreak/>
        <w:t>1.</w:t>
      </w:r>
      <w:r>
        <w:rPr>
          <w:rStyle w:val="Hyperlink"/>
          <w:b/>
          <w:bCs/>
          <w:color w:val="auto"/>
          <w:szCs w:val="24"/>
          <w:u w:val="none"/>
          <w:lang w:val="en-US"/>
        </w:rPr>
        <w:tab/>
      </w:r>
      <w:r w:rsidR="006D0ACE" w:rsidRPr="006D0ACE">
        <w:rPr>
          <w:rStyle w:val="Hyperlink"/>
          <w:b/>
          <w:bCs/>
          <w:color w:val="auto"/>
          <w:szCs w:val="24"/>
          <w:u w:val="none"/>
          <w:lang w:val="en-US"/>
        </w:rPr>
        <w:t>Introduction</w:t>
      </w:r>
    </w:p>
    <w:p w14:paraId="6F4A1DFC" w14:textId="7080A1C3" w:rsidR="00B51BA3" w:rsidRPr="00B51BA3" w:rsidRDefault="00B51BA3" w:rsidP="00F8710B">
      <w:pPr>
        <w:spacing w:after="120"/>
        <w:ind w:left="567" w:hanging="567"/>
        <w:rPr>
          <w:rFonts w:cstheme="minorHAnsi"/>
        </w:rPr>
      </w:pPr>
      <w:r w:rsidRPr="00B51BA3">
        <w:rPr>
          <w:rStyle w:val="Hyperlink"/>
          <w:color w:val="auto"/>
          <w:szCs w:val="24"/>
          <w:u w:val="none"/>
          <w:lang w:val="en-US"/>
        </w:rPr>
        <w:t>1.</w:t>
      </w:r>
      <w:r w:rsidR="00775C2A">
        <w:rPr>
          <w:rStyle w:val="Hyperlink"/>
          <w:color w:val="auto"/>
          <w:szCs w:val="24"/>
          <w:u w:val="none"/>
          <w:lang w:val="en-US"/>
        </w:rPr>
        <w:t>1</w:t>
      </w:r>
      <w:r w:rsidRPr="00B51BA3">
        <w:rPr>
          <w:rStyle w:val="Hyperlink"/>
          <w:color w:val="auto"/>
          <w:szCs w:val="24"/>
          <w:u w:val="none"/>
          <w:lang w:val="en-US"/>
        </w:rPr>
        <w:tab/>
        <w:t xml:space="preserve">Resolution 25 (Rev. Dubai, 2018) </w:t>
      </w:r>
      <w:r w:rsidR="00F92992">
        <w:rPr>
          <w:rStyle w:val="Hyperlink"/>
          <w:color w:val="auto"/>
          <w:szCs w:val="24"/>
          <w:u w:val="none"/>
          <w:lang w:val="en-US"/>
        </w:rPr>
        <w:t xml:space="preserve">of the Plenipotentiary Conference </w:t>
      </w:r>
      <w:r w:rsidRPr="00B51BA3">
        <w:rPr>
          <w:rStyle w:val="Hyperlink"/>
          <w:color w:val="auto"/>
          <w:szCs w:val="24"/>
          <w:u w:val="none"/>
          <w:lang w:val="en-US"/>
        </w:rPr>
        <w:t xml:space="preserve">instructed the Secretary-General to conduct an overall review on ITU regional presence. The elements that were to be covered by the review, among others, were contained in Annex to Resolution 25. </w:t>
      </w:r>
      <w:r w:rsidRPr="00B51BA3">
        <w:rPr>
          <w:szCs w:val="24"/>
          <w:lang w:val="en-US"/>
        </w:rPr>
        <w:t>During its 2019 session, the Council approved Decision 616, which mandated the Secretary-General to conduct a review of the regional presence in a bid to improve its efficiency and effectiveness. P</w:t>
      </w:r>
      <w:proofErr w:type="spellStart"/>
      <w:r w:rsidRPr="00B51BA3">
        <w:t>wC</w:t>
      </w:r>
      <w:proofErr w:type="spellEnd"/>
      <w:r w:rsidRPr="00B51BA3">
        <w:t xml:space="preserve"> was selected and their report was submitted in July 2020 outlining recommendations for improv</w:t>
      </w:r>
      <w:bookmarkStart w:id="5" w:name="_GoBack"/>
      <w:bookmarkEnd w:id="5"/>
      <w:r w:rsidRPr="00B51BA3">
        <w:t xml:space="preserve">ement of ITU’s Regional Presence </w:t>
      </w:r>
      <w:r w:rsidRPr="00B51BA3">
        <w:rPr>
          <w:rFonts w:cstheme="minorHAnsi"/>
        </w:rPr>
        <w:t>and an Action Plan. The PwC report was presented to Council in 2020 (</w:t>
      </w:r>
      <w:hyperlink r:id="rId12" w:history="1">
        <w:r w:rsidRPr="00B51BA3">
          <w:rPr>
            <w:rStyle w:val="Hyperlink"/>
            <w:rFonts w:cstheme="minorHAnsi"/>
            <w:color w:val="auto"/>
            <w:u w:val="none"/>
          </w:rPr>
          <w:t>C20/74</w:t>
        </w:r>
      </w:hyperlink>
      <w:r w:rsidRPr="00B51BA3">
        <w:rPr>
          <w:rStyle w:val="Hyperlink"/>
          <w:rFonts w:cstheme="minorHAnsi"/>
          <w:color w:val="auto"/>
          <w:u w:val="none"/>
        </w:rPr>
        <w:t>)</w:t>
      </w:r>
      <w:r w:rsidRPr="00B51BA3">
        <w:rPr>
          <w:rFonts w:cstheme="minorHAnsi"/>
        </w:rPr>
        <w:t xml:space="preserve"> and was referred to the Council Working Group on Financial and Human Resources (CWG-FHR) to provide guidance on the way forward for the implementation of the recommendations.</w:t>
      </w:r>
      <w:r w:rsidRPr="00B51BA3">
        <w:rPr>
          <w:rFonts w:cstheme="minorHAnsi"/>
          <w:szCs w:val="24"/>
        </w:rPr>
        <w:t xml:space="preserve"> </w:t>
      </w:r>
      <w:r w:rsidRPr="00B51BA3">
        <w:rPr>
          <w:rFonts w:cstheme="minorHAnsi"/>
        </w:rPr>
        <w:t>CWG-FHR set up an ad-hoc group to assess and report back to CWG-FHR before the next session of Council.</w:t>
      </w:r>
    </w:p>
    <w:p w14:paraId="096D44F6" w14:textId="56F8F1EE" w:rsidR="00B51BA3" w:rsidRPr="00B51BA3" w:rsidRDefault="00775C2A" w:rsidP="00F8710B">
      <w:pPr>
        <w:pStyle w:val="NormalWeb"/>
        <w:tabs>
          <w:tab w:val="clear" w:pos="567"/>
          <w:tab w:val="clear" w:pos="1134"/>
          <w:tab w:val="clear" w:pos="1701"/>
          <w:tab w:val="clear" w:pos="2268"/>
          <w:tab w:val="clear" w:pos="2835"/>
        </w:tabs>
        <w:spacing w:after="120"/>
        <w:ind w:left="567" w:hanging="567"/>
        <w:rPr>
          <w:rFonts w:asciiTheme="minorHAnsi" w:hAnsiTheme="minorHAnsi" w:cstheme="minorHAnsi"/>
        </w:rPr>
      </w:pPr>
      <w:r>
        <w:rPr>
          <w:rFonts w:asciiTheme="minorHAnsi" w:eastAsia="Arial Unicode MS" w:hAnsiTheme="minorHAnsi" w:cstheme="minorHAnsi"/>
          <w:lang w:val="en-US"/>
        </w:rPr>
        <w:t>1.2</w:t>
      </w:r>
      <w:r w:rsidR="00B51BA3" w:rsidRPr="00B51BA3">
        <w:rPr>
          <w:rFonts w:asciiTheme="minorHAnsi" w:eastAsia="Arial Unicode MS" w:hAnsiTheme="minorHAnsi" w:cstheme="minorHAnsi"/>
          <w:lang w:val="en-US"/>
        </w:rPr>
        <w:tab/>
      </w:r>
      <w:r w:rsidR="00B51BA3" w:rsidRPr="00B51BA3">
        <w:rPr>
          <w:rFonts w:asciiTheme="minorHAnsi" w:hAnsiTheme="minorHAnsi" w:cstheme="minorHAnsi"/>
          <w:lang w:eastAsia="ko-KR"/>
        </w:rPr>
        <w:t xml:space="preserve">The </w:t>
      </w:r>
      <w:r w:rsidR="00DC6DA7" w:rsidRPr="00B51BA3">
        <w:rPr>
          <w:rFonts w:asciiTheme="minorHAnsi" w:hAnsiTheme="minorHAnsi" w:cstheme="minorHAnsi"/>
          <w:lang w:eastAsia="ko-KR"/>
        </w:rPr>
        <w:t>Ad</w:t>
      </w:r>
      <w:r w:rsidR="00DC6DA7">
        <w:rPr>
          <w:rFonts w:asciiTheme="minorHAnsi" w:hAnsiTheme="minorHAnsi" w:cstheme="minorHAnsi"/>
          <w:lang w:eastAsia="ko-KR"/>
        </w:rPr>
        <w:t>-h</w:t>
      </w:r>
      <w:r w:rsidR="00B51BA3" w:rsidRPr="00B51BA3">
        <w:rPr>
          <w:rFonts w:asciiTheme="minorHAnsi" w:hAnsiTheme="minorHAnsi" w:cstheme="minorHAnsi"/>
          <w:lang w:eastAsia="ko-KR"/>
        </w:rPr>
        <w:t xml:space="preserve">oc Group </w:t>
      </w:r>
      <w:r w:rsidR="006D0ACE">
        <w:rPr>
          <w:rFonts w:asciiTheme="minorHAnsi" w:hAnsiTheme="minorHAnsi" w:cstheme="minorHAnsi"/>
          <w:lang w:eastAsia="ko-KR"/>
        </w:rPr>
        <w:t xml:space="preserve">deliberated on the PWC report during early 2021 and </w:t>
      </w:r>
      <w:r w:rsidR="00B51BA3" w:rsidRPr="00B51BA3">
        <w:rPr>
          <w:rFonts w:asciiTheme="minorHAnsi" w:hAnsiTheme="minorHAnsi" w:cstheme="minorHAnsi"/>
          <w:lang w:eastAsia="ko-KR"/>
        </w:rPr>
        <w:t>presented its findings to CWG-FHR</w:t>
      </w:r>
      <w:r w:rsidR="006D0ACE">
        <w:rPr>
          <w:rFonts w:asciiTheme="minorHAnsi" w:hAnsiTheme="minorHAnsi" w:cstheme="minorHAnsi"/>
          <w:lang w:eastAsia="ko-KR"/>
        </w:rPr>
        <w:t>. On</w:t>
      </w:r>
      <w:r w:rsidR="00B51BA3" w:rsidRPr="00B51BA3">
        <w:rPr>
          <w:rFonts w:asciiTheme="minorHAnsi" w:hAnsiTheme="minorHAnsi" w:cstheme="minorHAnsi"/>
          <w:lang w:eastAsia="ko-KR"/>
        </w:rPr>
        <w:t xml:space="preserve"> 3 June 2021, </w:t>
      </w:r>
      <w:r w:rsidR="00B51BA3" w:rsidRPr="00B51BA3">
        <w:rPr>
          <w:rFonts w:asciiTheme="minorHAnsi" w:hAnsiTheme="minorHAnsi" w:cstheme="minorHAnsi"/>
        </w:rPr>
        <w:t>CWG-FHR endorsed the findings of the Ad-</w:t>
      </w:r>
      <w:r w:rsidR="00DC6DA7">
        <w:rPr>
          <w:rFonts w:asciiTheme="minorHAnsi" w:hAnsiTheme="minorHAnsi" w:cstheme="minorHAnsi"/>
        </w:rPr>
        <w:t>h</w:t>
      </w:r>
      <w:r w:rsidR="00DC6DA7" w:rsidRPr="00B51BA3">
        <w:rPr>
          <w:rFonts w:asciiTheme="minorHAnsi" w:hAnsiTheme="minorHAnsi" w:cstheme="minorHAnsi"/>
        </w:rPr>
        <w:t xml:space="preserve">oc </w:t>
      </w:r>
      <w:r w:rsidR="00B51BA3" w:rsidRPr="00B51BA3">
        <w:rPr>
          <w:rFonts w:asciiTheme="minorHAnsi" w:hAnsiTheme="minorHAnsi" w:cstheme="minorHAnsi"/>
        </w:rPr>
        <w:t>Group, and the secretariat was directed to implement the report in accordance with those findings.</w:t>
      </w:r>
      <w:r w:rsidR="006D0ACE">
        <w:rPr>
          <w:rFonts w:asciiTheme="minorHAnsi" w:hAnsiTheme="minorHAnsi" w:cstheme="minorHAnsi"/>
        </w:rPr>
        <w:t xml:space="preserve"> The decisions of CWG-FHR were endorsed by Council at its session in June 2021.</w:t>
      </w:r>
    </w:p>
    <w:p w14:paraId="7C246312" w14:textId="06DA10EB" w:rsidR="006D0ACE" w:rsidRPr="006D0ACE" w:rsidRDefault="00775C2A" w:rsidP="00F8710B">
      <w:pPr>
        <w:spacing w:after="120"/>
        <w:ind w:left="567" w:hanging="567"/>
        <w:rPr>
          <w:rFonts w:eastAsia="Arial Unicode MS" w:cstheme="minorHAnsi"/>
          <w:b/>
          <w:bCs/>
          <w:lang w:val="en-US"/>
        </w:rPr>
      </w:pPr>
      <w:r>
        <w:rPr>
          <w:rFonts w:eastAsia="Arial Unicode MS" w:cstheme="minorHAnsi"/>
          <w:lang w:val="en-US"/>
        </w:rPr>
        <w:t>2</w:t>
      </w:r>
      <w:r w:rsidRPr="00775C2A">
        <w:rPr>
          <w:rFonts w:eastAsia="Arial Unicode MS" w:cstheme="minorHAnsi"/>
          <w:lang w:val="en-US"/>
        </w:rPr>
        <w:t>.</w:t>
      </w:r>
      <w:r>
        <w:rPr>
          <w:rFonts w:eastAsia="Arial Unicode MS" w:cstheme="minorHAnsi"/>
          <w:b/>
          <w:bCs/>
          <w:lang w:val="en-US"/>
        </w:rPr>
        <w:tab/>
      </w:r>
      <w:r w:rsidR="006D0ACE" w:rsidRPr="006D0ACE">
        <w:rPr>
          <w:rFonts w:eastAsia="Arial Unicode MS" w:cstheme="minorHAnsi"/>
          <w:b/>
          <w:bCs/>
          <w:lang w:val="en-US"/>
        </w:rPr>
        <w:t>PWC Recommendations</w:t>
      </w:r>
      <w:r w:rsidR="006D0ACE">
        <w:rPr>
          <w:rFonts w:eastAsia="Arial Unicode MS" w:cstheme="minorHAnsi"/>
          <w:b/>
          <w:bCs/>
          <w:lang w:val="en-US"/>
        </w:rPr>
        <w:t xml:space="preserve"> and ITU Workplan</w:t>
      </w:r>
    </w:p>
    <w:p w14:paraId="4C06B182" w14:textId="67F32185" w:rsidR="006D0ACE" w:rsidRDefault="00775C2A" w:rsidP="00F8710B">
      <w:pPr>
        <w:spacing w:after="120"/>
        <w:ind w:left="567" w:hanging="567"/>
        <w:rPr>
          <w:rFonts w:eastAsia="Calibri" w:cstheme="minorHAnsi"/>
          <w:b/>
          <w:bCs/>
          <w:szCs w:val="24"/>
          <w:lang w:val="en-US"/>
        </w:rPr>
      </w:pPr>
      <w:r>
        <w:rPr>
          <w:rFonts w:eastAsia="Arial Unicode MS" w:cstheme="minorHAnsi"/>
          <w:lang w:val="en-US"/>
        </w:rPr>
        <w:t>2</w:t>
      </w:r>
      <w:r w:rsidR="00B51BA3">
        <w:rPr>
          <w:rFonts w:eastAsia="Arial Unicode MS" w:cstheme="minorHAnsi"/>
          <w:lang w:val="en-US"/>
        </w:rPr>
        <w:t>.</w:t>
      </w:r>
      <w:r>
        <w:rPr>
          <w:rFonts w:eastAsia="Arial Unicode MS" w:cstheme="minorHAnsi"/>
          <w:lang w:val="en-US"/>
        </w:rPr>
        <w:t>1</w:t>
      </w:r>
      <w:r w:rsidR="00B51BA3" w:rsidRPr="00B51BA3">
        <w:rPr>
          <w:rFonts w:cstheme="minorHAnsi"/>
        </w:rPr>
        <w:tab/>
      </w:r>
      <w:r w:rsidR="00B51BA3" w:rsidRPr="00B51BA3">
        <w:rPr>
          <w:rFonts w:eastAsia="Calibri" w:cstheme="minorHAnsi"/>
          <w:szCs w:val="24"/>
          <w:lang w:val="en-US"/>
        </w:rPr>
        <w:t>In its report on ITU’s Regional Presence, PwC recommended an action plan for the strengthening of ITU’s Regional Presence with four implementation streams, broken down into fifteen recommendations and 50 supporting actions.</w:t>
      </w:r>
      <w:r w:rsidR="00B51BA3" w:rsidRPr="00B51BA3">
        <w:rPr>
          <w:rFonts w:eastAsia="Calibri" w:cstheme="minorHAnsi"/>
          <w:b/>
          <w:bCs/>
          <w:szCs w:val="24"/>
          <w:lang w:val="en-US"/>
        </w:rPr>
        <w:t xml:space="preserve"> </w:t>
      </w:r>
    </w:p>
    <w:p w14:paraId="3FFB40F2" w14:textId="27662BD4" w:rsidR="00B51BA3" w:rsidRPr="00B51BA3" w:rsidRDefault="00775C2A" w:rsidP="00F8710B">
      <w:pPr>
        <w:spacing w:after="120"/>
        <w:ind w:left="567" w:hanging="567"/>
        <w:rPr>
          <w:rFonts w:eastAsia="Calibri" w:cs="Calibri"/>
          <w:szCs w:val="24"/>
          <w:lang w:val="en-US"/>
        </w:rPr>
      </w:pPr>
      <w:r>
        <w:rPr>
          <w:rFonts w:eastAsia="Calibri" w:cstheme="minorHAnsi"/>
          <w:szCs w:val="24"/>
          <w:lang w:val="en-US"/>
        </w:rPr>
        <w:t>2</w:t>
      </w:r>
      <w:r w:rsidR="006D0ACE" w:rsidRPr="006D0ACE">
        <w:rPr>
          <w:rFonts w:eastAsia="Calibri" w:cstheme="minorHAnsi"/>
          <w:szCs w:val="24"/>
          <w:lang w:val="en-US"/>
        </w:rPr>
        <w:t>.</w:t>
      </w:r>
      <w:r>
        <w:rPr>
          <w:rFonts w:eastAsia="Calibri" w:cstheme="minorHAnsi"/>
          <w:szCs w:val="24"/>
          <w:lang w:val="en-US"/>
        </w:rPr>
        <w:t>2</w:t>
      </w:r>
      <w:r w:rsidR="006D0ACE" w:rsidRPr="006D0ACE">
        <w:rPr>
          <w:rFonts w:eastAsia="Calibri" w:cstheme="minorHAnsi"/>
          <w:szCs w:val="24"/>
          <w:lang w:val="en-US"/>
        </w:rPr>
        <w:t xml:space="preserve"> </w:t>
      </w:r>
      <w:r w:rsidR="006D0ACE" w:rsidRPr="006D0ACE">
        <w:rPr>
          <w:rFonts w:eastAsia="Calibri" w:cstheme="minorHAnsi"/>
          <w:szCs w:val="24"/>
          <w:lang w:val="en-US"/>
        </w:rPr>
        <w:tab/>
      </w:r>
      <w:r w:rsidR="00B51BA3" w:rsidRPr="00B51BA3">
        <w:rPr>
          <w:rFonts w:eastAsia="Calibri" w:cstheme="minorHAnsi"/>
          <w:szCs w:val="24"/>
          <w:lang w:val="en-US"/>
        </w:rPr>
        <w:t>The Secretariat created a workplan for full implementation of</w:t>
      </w:r>
      <w:r w:rsidR="00B51BA3" w:rsidRPr="00B51BA3">
        <w:rPr>
          <w:rFonts w:eastAsia="Calibri" w:cs="Calibri"/>
          <w:szCs w:val="24"/>
          <w:lang w:val="en-US"/>
        </w:rPr>
        <w:t xml:space="preserve"> the sections of the PWC report which </w:t>
      </w:r>
      <w:r w:rsidR="006D0ACE">
        <w:rPr>
          <w:rFonts w:eastAsia="Calibri" w:cs="Calibri"/>
          <w:szCs w:val="24"/>
          <w:lang w:val="en-US"/>
        </w:rPr>
        <w:t>were</w:t>
      </w:r>
      <w:r w:rsidR="00B51BA3" w:rsidRPr="00B51BA3">
        <w:rPr>
          <w:rFonts w:eastAsia="Calibri" w:cs="Calibri"/>
          <w:szCs w:val="24"/>
          <w:lang w:val="en-US"/>
        </w:rPr>
        <w:t xml:space="preserve"> within the Secretariat’s ability to implement </w:t>
      </w:r>
      <w:r w:rsidR="006D0ACE" w:rsidRPr="00B51BA3">
        <w:rPr>
          <w:rFonts w:eastAsia="Calibri" w:cs="Calibri"/>
          <w:szCs w:val="24"/>
          <w:lang w:val="en-US"/>
        </w:rPr>
        <w:t xml:space="preserve">by the end of 2023 </w:t>
      </w:r>
      <w:r w:rsidR="00B51BA3" w:rsidRPr="00B51BA3">
        <w:rPr>
          <w:rFonts w:eastAsia="Calibri" w:cs="Calibri"/>
          <w:szCs w:val="24"/>
          <w:lang w:val="en-US"/>
        </w:rPr>
        <w:t xml:space="preserve">(based on the decisions made by the </w:t>
      </w:r>
      <w:r w:rsidR="00197CA2">
        <w:rPr>
          <w:rFonts w:eastAsia="Calibri" w:cs="Calibri"/>
          <w:szCs w:val="24"/>
          <w:lang w:val="en-US"/>
        </w:rPr>
        <w:t>Ad-hoc</w:t>
      </w:r>
      <w:r w:rsidR="00B51BA3" w:rsidRPr="00B51BA3">
        <w:rPr>
          <w:rFonts w:eastAsia="Calibri" w:cs="Calibri"/>
          <w:szCs w:val="24"/>
          <w:lang w:val="en-US"/>
        </w:rPr>
        <w:t xml:space="preserve"> Group). The proposed workplan is divided into three charts, separating 60 actions derived from the PWC report into the following categories:</w:t>
      </w:r>
    </w:p>
    <w:p w14:paraId="24F76ADE" w14:textId="30FB1C99" w:rsidR="00B51BA3" w:rsidRPr="00B51BA3" w:rsidRDefault="00B51BA3" w:rsidP="00F8710B">
      <w:pPr>
        <w:pStyle w:val="ListParagraph"/>
        <w:numPr>
          <w:ilvl w:val="0"/>
          <w:numId w:val="17"/>
        </w:numPr>
        <w:tabs>
          <w:tab w:val="clear" w:pos="1134"/>
          <w:tab w:val="clear" w:pos="1871"/>
          <w:tab w:val="clear" w:pos="2268"/>
        </w:tabs>
        <w:overflowPunct/>
        <w:autoSpaceDE/>
        <w:adjustRightInd/>
        <w:spacing w:before="60" w:after="60"/>
        <w:ind w:left="1434" w:hanging="357"/>
        <w:contextualSpacing w:val="0"/>
        <w:textAlignment w:val="auto"/>
        <w:rPr>
          <w:szCs w:val="24"/>
        </w:rPr>
      </w:pPr>
      <w:r w:rsidRPr="00B51BA3">
        <w:rPr>
          <w:rFonts w:ascii="Calibri" w:eastAsia="Calibri" w:hAnsi="Calibri" w:cs="Calibri"/>
          <w:szCs w:val="24"/>
          <w:lang w:val="en-US"/>
        </w:rPr>
        <w:t>Actions in progress</w:t>
      </w:r>
      <w:r w:rsidR="00C51673">
        <w:rPr>
          <w:rFonts w:ascii="Calibri" w:eastAsia="Calibri" w:hAnsi="Calibri" w:cs="Calibri"/>
          <w:szCs w:val="24"/>
          <w:lang w:val="en-US"/>
        </w:rPr>
        <w:t>;</w:t>
      </w:r>
    </w:p>
    <w:p w14:paraId="42CB9027" w14:textId="77777777" w:rsidR="00B51BA3" w:rsidRPr="00B51BA3" w:rsidRDefault="00B51BA3" w:rsidP="00F8710B">
      <w:pPr>
        <w:pStyle w:val="ListParagraph"/>
        <w:numPr>
          <w:ilvl w:val="0"/>
          <w:numId w:val="17"/>
        </w:numPr>
        <w:tabs>
          <w:tab w:val="clear" w:pos="1134"/>
          <w:tab w:val="clear" w:pos="1871"/>
          <w:tab w:val="clear" w:pos="2268"/>
        </w:tabs>
        <w:overflowPunct/>
        <w:autoSpaceDE/>
        <w:adjustRightInd/>
        <w:spacing w:before="60" w:after="60"/>
        <w:ind w:left="1434" w:hanging="357"/>
        <w:contextualSpacing w:val="0"/>
        <w:textAlignment w:val="auto"/>
        <w:rPr>
          <w:szCs w:val="24"/>
        </w:rPr>
      </w:pPr>
      <w:r w:rsidRPr="00B51BA3">
        <w:rPr>
          <w:rFonts w:ascii="Calibri" w:eastAsia="Calibri" w:hAnsi="Calibri" w:cs="Calibri"/>
          <w:szCs w:val="24"/>
          <w:lang w:val="en-US"/>
        </w:rPr>
        <w:t>Completed recommendations; and</w:t>
      </w:r>
    </w:p>
    <w:p w14:paraId="16660947" w14:textId="77777777" w:rsidR="00B51BA3" w:rsidRPr="00B51BA3" w:rsidRDefault="00B51BA3" w:rsidP="00F8710B">
      <w:pPr>
        <w:pStyle w:val="ListParagraph"/>
        <w:numPr>
          <w:ilvl w:val="0"/>
          <w:numId w:val="17"/>
        </w:numPr>
        <w:tabs>
          <w:tab w:val="clear" w:pos="1134"/>
          <w:tab w:val="clear" w:pos="1871"/>
          <w:tab w:val="clear" w:pos="2268"/>
        </w:tabs>
        <w:overflowPunct/>
        <w:autoSpaceDE/>
        <w:adjustRightInd/>
        <w:spacing w:before="60" w:after="60"/>
        <w:ind w:left="1434" w:hanging="357"/>
        <w:contextualSpacing w:val="0"/>
        <w:textAlignment w:val="auto"/>
        <w:rPr>
          <w:szCs w:val="24"/>
        </w:rPr>
      </w:pPr>
      <w:r w:rsidRPr="00B51BA3">
        <w:rPr>
          <w:rFonts w:ascii="Calibri" w:eastAsia="Calibri" w:hAnsi="Calibri" w:cs="Calibri"/>
          <w:szCs w:val="24"/>
          <w:lang w:val="en-US"/>
        </w:rPr>
        <w:t>Recommendations requiring council decisions.</w:t>
      </w:r>
    </w:p>
    <w:p w14:paraId="0D93B9D8" w14:textId="5F23E911" w:rsidR="00B51BA3" w:rsidRPr="00B51BA3" w:rsidRDefault="00775C2A" w:rsidP="00F8710B">
      <w:pPr>
        <w:spacing w:after="120"/>
        <w:ind w:left="567" w:hanging="567"/>
        <w:rPr>
          <w:rStyle w:val="Hyperlink"/>
          <w:rFonts w:eastAsia="Calibri" w:cs="Calibri"/>
          <w:color w:val="auto"/>
          <w:szCs w:val="24"/>
          <w:u w:val="none"/>
          <w:lang w:val="en-US"/>
        </w:rPr>
      </w:pPr>
      <w:r>
        <w:rPr>
          <w:rFonts w:eastAsia="Calibri" w:cs="Calibri"/>
          <w:szCs w:val="24"/>
          <w:lang w:val="en-US"/>
        </w:rPr>
        <w:t>2.3</w:t>
      </w:r>
      <w:r>
        <w:rPr>
          <w:rFonts w:eastAsia="Calibri" w:cs="Calibri"/>
          <w:szCs w:val="24"/>
          <w:lang w:val="en-US"/>
        </w:rPr>
        <w:tab/>
      </w:r>
      <w:r w:rsidR="00B51BA3" w:rsidRPr="00B51BA3">
        <w:rPr>
          <w:rFonts w:eastAsia="Calibri" w:cs="Calibri"/>
          <w:szCs w:val="24"/>
          <w:lang w:val="en-US"/>
        </w:rPr>
        <w:t>The Secretariat produce</w:t>
      </w:r>
      <w:r w:rsidR="006D0ACE">
        <w:rPr>
          <w:rFonts w:eastAsia="Calibri" w:cs="Calibri"/>
          <w:szCs w:val="24"/>
          <w:lang w:val="en-US"/>
        </w:rPr>
        <w:t>d</w:t>
      </w:r>
      <w:r w:rsidR="00B51BA3" w:rsidRPr="00B51BA3">
        <w:rPr>
          <w:rFonts w:eastAsia="Calibri" w:cs="Calibri"/>
          <w:szCs w:val="24"/>
          <w:lang w:val="en-US"/>
        </w:rPr>
        <w:t xml:space="preserve"> and publish</w:t>
      </w:r>
      <w:r w:rsidR="00D3317F">
        <w:rPr>
          <w:rFonts w:eastAsia="Calibri" w:cs="Calibri"/>
          <w:szCs w:val="24"/>
          <w:lang w:val="en-US"/>
        </w:rPr>
        <w:t>ed</w:t>
      </w:r>
      <w:r w:rsidR="00B51BA3" w:rsidRPr="00B51BA3">
        <w:rPr>
          <w:rFonts w:eastAsia="Calibri" w:cs="Calibri"/>
          <w:szCs w:val="24"/>
          <w:lang w:val="en-US"/>
        </w:rPr>
        <w:t xml:space="preserve"> on </w:t>
      </w:r>
      <w:r w:rsidR="00D3317F">
        <w:rPr>
          <w:rFonts w:eastAsia="Calibri" w:cs="Calibri"/>
          <w:szCs w:val="24"/>
          <w:lang w:val="en-US"/>
        </w:rPr>
        <w:t>ITU’s</w:t>
      </w:r>
      <w:r w:rsidR="00B51BA3" w:rsidRPr="00B51BA3">
        <w:rPr>
          <w:rFonts w:eastAsia="Calibri" w:cs="Calibri"/>
          <w:szCs w:val="24"/>
          <w:lang w:val="en-US"/>
        </w:rPr>
        <w:t xml:space="preserve"> website a Dashboard on which membership can access the status of the workplan. </w:t>
      </w:r>
      <w:r w:rsidR="00B51BA3" w:rsidRPr="00B51BA3">
        <w:rPr>
          <w:szCs w:val="24"/>
          <w:lang w:val="en-US"/>
        </w:rPr>
        <w:t xml:space="preserve">The dashboard is available through the regional presence page of the Council section of the ITU website: </w:t>
      </w:r>
      <w:hyperlink r:id="rId13" w:history="1">
        <w:r w:rsidR="00B51BA3" w:rsidRPr="006D0ACE">
          <w:rPr>
            <w:rStyle w:val="Hyperlink"/>
            <w:rFonts w:eastAsia="Calibri" w:cs="Calibri"/>
            <w:color w:val="4F81BD" w:themeColor="accent1"/>
            <w:szCs w:val="24"/>
            <w:lang w:val="en-US"/>
          </w:rPr>
          <w:t>https://www.itu.int/en/council/ties/Pages/regional-presence-dashboard.aspx</w:t>
        </w:r>
      </w:hyperlink>
      <w:r w:rsidR="00B51BA3" w:rsidRPr="006D0ACE">
        <w:rPr>
          <w:rStyle w:val="Hyperlink"/>
          <w:rFonts w:eastAsia="Calibri" w:cs="Calibri"/>
          <w:color w:val="4F81BD" w:themeColor="accent1"/>
          <w:szCs w:val="24"/>
          <w:lang w:val="en-US"/>
        </w:rPr>
        <w:t>.</w:t>
      </w:r>
    </w:p>
    <w:p w14:paraId="78E78D92" w14:textId="6656F84E" w:rsidR="009154DB" w:rsidRDefault="00775C2A" w:rsidP="00F8710B">
      <w:pPr>
        <w:spacing w:after="120"/>
        <w:ind w:left="567" w:hanging="567"/>
        <w:rPr>
          <w:rStyle w:val="Hyperlink"/>
          <w:rFonts w:eastAsia="Calibri" w:cs="Calibri"/>
          <w:color w:val="auto"/>
          <w:szCs w:val="24"/>
          <w:u w:val="none"/>
          <w:lang w:val="en-US"/>
        </w:rPr>
      </w:pPr>
      <w:r>
        <w:rPr>
          <w:rStyle w:val="Hyperlink"/>
          <w:rFonts w:eastAsia="Calibri" w:cs="Calibri"/>
          <w:color w:val="auto"/>
          <w:szCs w:val="24"/>
          <w:u w:val="none"/>
          <w:lang w:val="en-US"/>
        </w:rPr>
        <w:t>2.4</w:t>
      </w:r>
      <w:r w:rsidR="00B51BA3">
        <w:rPr>
          <w:rStyle w:val="Hyperlink"/>
          <w:rFonts w:eastAsia="Calibri" w:cs="Calibri"/>
          <w:color w:val="auto"/>
          <w:szCs w:val="24"/>
          <w:u w:val="none"/>
          <w:lang w:val="en-US"/>
        </w:rPr>
        <w:t>.</w:t>
      </w:r>
      <w:r w:rsidR="00B51BA3" w:rsidRPr="00B51BA3">
        <w:rPr>
          <w:rStyle w:val="Hyperlink"/>
          <w:rFonts w:eastAsia="Calibri" w:cs="Calibri"/>
          <w:color w:val="auto"/>
          <w:szCs w:val="24"/>
          <w:u w:val="none"/>
          <w:lang w:val="en-US"/>
        </w:rPr>
        <w:tab/>
        <w:t>The implementation of recommendations of the PWC report continues and is anticipated to be completed on schedule by the end of 2023. The current activities being focused upon are the finalization of the Delegations of Authority for regional staff, and completion and endorsement of Regional Strategies.</w:t>
      </w:r>
      <w:r w:rsidR="006D0ACE">
        <w:rPr>
          <w:rStyle w:val="Hyperlink"/>
          <w:rFonts w:eastAsia="Calibri" w:cs="Calibri"/>
          <w:color w:val="auto"/>
          <w:szCs w:val="24"/>
          <w:u w:val="none"/>
          <w:lang w:val="en-US"/>
        </w:rPr>
        <w:t xml:space="preserve"> </w:t>
      </w:r>
    </w:p>
    <w:p w14:paraId="57110227" w14:textId="585A5748" w:rsidR="006D0ACE" w:rsidRPr="009154DB" w:rsidRDefault="00775C2A" w:rsidP="00F8710B">
      <w:pPr>
        <w:spacing w:after="120"/>
        <w:ind w:left="567" w:hanging="567"/>
        <w:rPr>
          <w:rStyle w:val="Hyperlink"/>
          <w:rFonts w:eastAsia="Calibri" w:cs="Calibri"/>
          <w:color w:val="auto"/>
          <w:szCs w:val="24"/>
          <w:u w:val="none"/>
          <w:lang w:val="en-US"/>
        </w:rPr>
      </w:pPr>
      <w:r>
        <w:rPr>
          <w:rStyle w:val="Hyperlink"/>
          <w:rFonts w:eastAsia="Calibri" w:cs="Calibri"/>
          <w:color w:val="auto"/>
          <w:szCs w:val="24"/>
          <w:u w:val="none"/>
          <w:lang w:val="en-US"/>
        </w:rPr>
        <w:t>3.</w:t>
      </w:r>
      <w:r w:rsidR="009154DB">
        <w:rPr>
          <w:rStyle w:val="Hyperlink"/>
          <w:rFonts w:eastAsia="Calibri" w:cs="Calibri"/>
          <w:color w:val="auto"/>
          <w:szCs w:val="24"/>
          <w:u w:val="none"/>
          <w:lang w:val="en-US"/>
        </w:rPr>
        <w:tab/>
      </w:r>
      <w:r w:rsidR="006D0ACE" w:rsidRPr="006D0ACE">
        <w:rPr>
          <w:rStyle w:val="Hyperlink"/>
          <w:rFonts w:eastAsia="Calibri" w:cs="Calibri"/>
          <w:b/>
          <w:bCs/>
          <w:color w:val="auto"/>
          <w:szCs w:val="24"/>
          <w:u w:val="none"/>
          <w:lang w:val="en-US"/>
        </w:rPr>
        <w:t>Delegation</w:t>
      </w:r>
      <w:r w:rsidR="004635C7">
        <w:rPr>
          <w:rStyle w:val="Hyperlink"/>
          <w:rFonts w:eastAsia="Calibri" w:cs="Calibri"/>
          <w:b/>
          <w:bCs/>
          <w:color w:val="auto"/>
          <w:szCs w:val="24"/>
          <w:u w:val="none"/>
          <w:lang w:val="en-US"/>
        </w:rPr>
        <w:t>s</w:t>
      </w:r>
      <w:r w:rsidR="006D0ACE" w:rsidRPr="006D0ACE">
        <w:rPr>
          <w:rStyle w:val="Hyperlink"/>
          <w:rFonts w:eastAsia="Calibri" w:cs="Calibri"/>
          <w:b/>
          <w:bCs/>
          <w:color w:val="auto"/>
          <w:szCs w:val="24"/>
          <w:u w:val="none"/>
          <w:lang w:val="en-US"/>
        </w:rPr>
        <w:t xml:space="preserve"> of Authority</w:t>
      </w:r>
    </w:p>
    <w:p w14:paraId="23082347" w14:textId="77777777" w:rsidR="00775C2A" w:rsidRDefault="00775C2A" w:rsidP="00F8710B">
      <w:pPr>
        <w:pStyle w:val="ListBullet"/>
        <w:numPr>
          <w:ilvl w:val="0"/>
          <w:numId w:val="0"/>
        </w:numPr>
        <w:overflowPunct w:val="0"/>
        <w:autoSpaceDE w:val="0"/>
        <w:autoSpaceDN w:val="0"/>
        <w:adjustRightInd w:val="0"/>
        <w:spacing w:before="120" w:after="120" w:line="240" w:lineRule="auto"/>
        <w:ind w:left="567" w:hanging="567"/>
        <w:textAlignment w:val="baseline"/>
        <w:rPr>
          <w:sz w:val="24"/>
          <w:szCs w:val="24"/>
        </w:rPr>
      </w:pPr>
      <w:r>
        <w:rPr>
          <w:bCs/>
          <w:sz w:val="24"/>
          <w:szCs w:val="24"/>
        </w:rPr>
        <w:t>3.1</w:t>
      </w:r>
      <w:r>
        <w:rPr>
          <w:bCs/>
          <w:sz w:val="24"/>
          <w:szCs w:val="24"/>
        </w:rPr>
        <w:tab/>
      </w:r>
      <w:r w:rsidR="00FA1680">
        <w:rPr>
          <w:bCs/>
          <w:sz w:val="24"/>
          <w:szCs w:val="24"/>
        </w:rPr>
        <w:t>PWC recommended the implementation of a</w:t>
      </w:r>
      <w:r w:rsidR="004A328D" w:rsidRPr="00B64C15">
        <w:rPr>
          <w:bCs/>
          <w:sz w:val="24"/>
          <w:szCs w:val="24"/>
        </w:rPr>
        <w:t xml:space="preserve"> formal register listing all delegations of authority and defining personal accountabilities</w:t>
      </w:r>
      <w:r w:rsidR="00FA1680">
        <w:rPr>
          <w:bCs/>
          <w:sz w:val="24"/>
          <w:szCs w:val="24"/>
        </w:rPr>
        <w:t>, within the context of the Regional Presence</w:t>
      </w:r>
      <w:r w:rsidR="004A328D" w:rsidRPr="00B64C15">
        <w:rPr>
          <w:bCs/>
          <w:sz w:val="24"/>
          <w:szCs w:val="24"/>
        </w:rPr>
        <w:t xml:space="preserve">. </w:t>
      </w:r>
      <w:r w:rsidR="00FA1680">
        <w:rPr>
          <w:bCs/>
          <w:sz w:val="24"/>
          <w:szCs w:val="24"/>
        </w:rPr>
        <w:t xml:space="preserve">PWC </w:t>
      </w:r>
      <w:r w:rsidR="004A328D" w:rsidRPr="00B64C15">
        <w:rPr>
          <w:bCs/>
          <w:sz w:val="24"/>
          <w:szCs w:val="24"/>
        </w:rPr>
        <w:t>recommend</w:t>
      </w:r>
      <w:r w:rsidR="00FA1680">
        <w:rPr>
          <w:bCs/>
          <w:sz w:val="24"/>
          <w:szCs w:val="24"/>
        </w:rPr>
        <w:t>ed</w:t>
      </w:r>
      <w:r w:rsidR="004A328D" w:rsidRPr="00B64C15">
        <w:rPr>
          <w:bCs/>
          <w:sz w:val="24"/>
          <w:szCs w:val="24"/>
        </w:rPr>
        <w:t xml:space="preserve"> a phased approach in this regard, considering the recent fraud case and the fact that the devolution of authority is currently low. </w:t>
      </w:r>
      <w:r w:rsidR="00FA1680">
        <w:rPr>
          <w:bCs/>
          <w:sz w:val="24"/>
          <w:szCs w:val="24"/>
        </w:rPr>
        <w:t>PWC noted that a</w:t>
      </w:r>
      <w:r w:rsidR="004A328D" w:rsidRPr="00B64C15">
        <w:rPr>
          <w:bCs/>
          <w:sz w:val="24"/>
          <w:szCs w:val="24"/>
        </w:rPr>
        <w:t xml:space="preserve"> cultural shift </w:t>
      </w:r>
      <w:r w:rsidR="00FA1680">
        <w:rPr>
          <w:bCs/>
          <w:sz w:val="24"/>
          <w:szCs w:val="24"/>
        </w:rPr>
        <w:t>will be</w:t>
      </w:r>
      <w:r w:rsidR="004A328D" w:rsidRPr="00B64C15">
        <w:rPr>
          <w:bCs/>
          <w:sz w:val="24"/>
          <w:szCs w:val="24"/>
        </w:rPr>
        <w:t xml:space="preserve"> required to balance empowerment of the local presence with the strict application of the segregation of duties and the fulfilment of</w:t>
      </w:r>
      <w:r w:rsidR="004A328D" w:rsidRPr="00B64C15">
        <w:rPr>
          <w:sz w:val="24"/>
          <w:szCs w:val="24"/>
        </w:rPr>
        <w:t xml:space="preserve"> the required conditions, e.g. training of relevant staff. Role 'maps' should make clear that the individuals will be held </w:t>
      </w:r>
      <w:r w:rsidR="004A328D" w:rsidRPr="00B64C15">
        <w:rPr>
          <w:sz w:val="24"/>
          <w:szCs w:val="24"/>
        </w:rPr>
        <w:lastRenderedPageBreak/>
        <w:t>personally accountable for any mismanagement of funds within the ceilings under their responsibility.</w:t>
      </w:r>
    </w:p>
    <w:p w14:paraId="4A200306" w14:textId="487FC68B" w:rsidR="00FA1680" w:rsidRPr="00B64C15" w:rsidRDefault="00775C2A" w:rsidP="00F8710B">
      <w:pPr>
        <w:pStyle w:val="ListBullet"/>
        <w:numPr>
          <w:ilvl w:val="0"/>
          <w:numId w:val="0"/>
        </w:numPr>
        <w:overflowPunct w:val="0"/>
        <w:autoSpaceDE w:val="0"/>
        <w:autoSpaceDN w:val="0"/>
        <w:adjustRightInd w:val="0"/>
        <w:spacing w:before="120" w:after="120" w:line="240" w:lineRule="auto"/>
        <w:ind w:left="567" w:hanging="567"/>
        <w:textAlignment w:val="baseline"/>
        <w:rPr>
          <w:sz w:val="24"/>
          <w:szCs w:val="24"/>
        </w:rPr>
      </w:pPr>
      <w:r>
        <w:rPr>
          <w:sz w:val="24"/>
          <w:szCs w:val="24"/>
        </w:rPr>
        <w:t>3.2</w:t>
      </w:r>
      <w:r>
        <w:rPr>
          <w:sz w:val="24"/>
          <w:szCs w:val="24"/>
        </w:rPr>
        <w:tab/>
      </w:r>
      <w:r w:rsidR="00FA1680">
        <w:rPr>
          <w:sz w:val="24"/>
          <w:szCs w:val="24"/>
        </w:rPr>
        <w:t xml:space="preserve">Work has been completed on the development of an appropriate matrix for the first phase of implementation of this recommendation, and this matrix has been co-created and agreed by the regional management. The proposed matrix must now be agreed by ITU </w:t>
      </w:r>
      <w:r w:rsidR="006A0A22">
        <w:rPr>
          <w:sz w:val="24"/>
          <w:szCs w:val="24"/>
        </w:rPr>
        <w:t xml:space="preserve">central </w:t>
      </w:r>
      <w:r w:rsidR="00FA1680">
        <w:rPr>
          <w:sz w:val="24"/>
          <w:szCs w:val="24"/>
        </w:rPr>
        <w:t>management</w:t>
      </w:r>
      <w:r w:rsidR="006A0A22">
        <w:rPr>
          <w:sz w:val="24"/>
          <w:szCs w:val="24"/>
        </w:rPr>
        <w:t xml:space="preserve"> for the key areas of delegation, appropriate training needs to be designed and implemented, and formal delegation needs to be </w:t>
      </w:r>
      <w:r w:rsidR="009154DB">
        <w:rPr>
          <w:sz w:val="24"/>
          <w:szCs w:val="24"/>
        </w:rPr>
        <w:t>approved. This work is expected to be completed in the second half of 2023.</w:t>
      </w:r>
    </w:p>
    <w:p w14:paraId="4804AC1A" w14:textId="4F597901" w:rsidR="00E026F9" w:rsidRDefault="007E3D44" w:rsidP="00F8710B">
      <w:pPr>
        <w:spacing w:after="120"/>
        <w:ind w:left="567" w:hanging="567"/>
        <w:rPr>
          <w:rFonts w:eastAsia="Calibri" w:cs="Calibri"/>
          <w:b/>
          <w:bCs/>
          <w:szCs w:val="24"/>
          <w:lang w:val="en-US"/>
        </w:rPr>
      </w:pPr>
      <w:r>
        <w:rPr>
          <w:rStyle w:val="Hyperlink"/>
          <w:rFonts w:eastAsia="Calibri" w:cs="Calibri"/>
          <w:b/>
          <w:bCs/>
          <w:color w:val="auto"/>
          <w:szCs w:val="24"/>
          <w:u w:val="none"/>
          <w:lang w:val="en-US"/>
        </w:rPr>
        <w:t>4.</w:t>
      </w:r>
      <w:r w:rsidR="00E026F9">
        <w:rPr>
          <w:rStyle w:val="Hyperlink"/>
          <w:rFonts w:eastAsia="Calibri" w:cs="Calibri"/>
          <w:b/>
          <w:bCs/>
          <w:color w:val="auto"/>
          <w:szCs w:val="24"/>
          <w:u w:val="none"/>
          <w:lang w:val="en-US"/>
        </w:rPr>
        <w:tab/>
      </w:r>
      <w:r w:rsidR="004635C7">
        <w:rPr>
          <w:rStyle w:val="Hyperlink"/>
          <w:rFonts w:eastAsia="Calibri" w:cs="Calibri"/>
          <w:b/>
          <w:bCs/>
          <w:color w:val="auto"/>
          <w:szCs w:val="24"/>
          <w:u w:val="none"/>
          <w:lang w:val="en-US"/>
        </w:rPr>
        <w:t>Regional Strategies</w:t>
      </w:r>
    </w:p>
    <w:p w14:paraId="7790EEA1" w14:textId="7A2D3D45" w:rsidR="007C1CF2" w:rsidRDefault="007E3D44" w:rsidP="00F8710B">
      <w:pPr>
        <w:spacing w:after="120"/>
        <w:ind w:left="567" w:hanging="567"/>
      </w:pPr>
      <w:r w:rsidRPr="007E3D44">
        <w:rPr>
          <w:rFonts w:eastAsia="Calibri" w:cs="Calibri"/>
          <w:szCs w:val="24"/>
          <w:lang w:val="en-US"/>
        </w:rPr>
        <w:t>4.1</w:t>
      </w:r>
      <w:r w:rsidRPr="007E3D44">
        <w:rPr>
          <w:rFonts w:eastAsia="Calibri" w:cs="Calibri"/>
          <w:szCs w:val="24"/>
          <w:lang w:val="en-US"/>
        </w:rPr>
        <w:tab/>
      </w:r>
      <w:r w:rsidR="00E026F9">
        <w:rPr>
          <w:rFonts w:eastAsia="Calibri" w:cs="Calibri"/>
          <w:szCs w:val="24"/>
          <w:lang w:val="en-US"/>
        </w:rPr>
        <w:t xml:space="preserve">PWC noted that the ITU Strategic and Operational Plan needed to be better </w:t>
      </w:r>
      <w:r w:rsidR="00774CB8">
        <w:rPr>
          <w:rFonts w:eastAsia="Calibri" w:cs="Calibri"/>
          <w:szCs w:val="24"/>
          <w:lang w:val="en-US"/>
        </w:rPr>
        <w:t xml:space="preserve">cascaded to the regional and area offices. Specifically, PWC noted that </w:t>
      </w:r>
      <w:r w:rsidR="00B64C15" w:rsidRPr="003476A5">
        <w:t>the Operational Plan should integrate the programmatic objectives defined at regional and global levels in a common results framework, detail the expected contribution of the regional presence and the support role required of HQ, and specify the common mechanisms required for consistent implementation and coordination</w:t>
      </w:r>
      <w:r w:rsidR="00B64C15">
        <w:t>.</w:t>
      </w:r>
      <w:r w:rsidR="00774CB8">
        <w:t xml:space="preserve"> To date, regional strategies have been completed in draft form, and these are currently being reviewed and </w:t>
      </w:r>
      <w:r w:rsidR="00775C2A">
        <w:t xml:space="preserve">aligned for coherence with the ITU Strategic Plan and the Kigali Action Plan, and across regions. </w:t>
      </w:r>
    </w:p>
    <w:p w14:paraId="447B8EAC" w14:textId="7ECB5E50" w:rsidR="00BC5FBA" w:rsidRPr="00BC5FBA" w:rsidRDefault="007E3D44" w:rsidP="00F8710B">
      <w:pPr>
        <w:spacing w:after="120"/>
        <w:ind w:left="567" w:hanging="567"/>
        <w:rPr>
          <w:rFonts w:eastAsia="Calibri" w:cs="Calibri"/>
          <w:szCs w:val="24"/>
          <w:lang w:val="en-US"/>
        </w:rPr>
      </w:pPr>
      <w:r>
        <w:rPr>
          <w:rFonts w:eastAsia="Calibri" w:cs="Calibri"/>
          <w:szCs w:val="24"/>
          <w:lang w:val="en-US"/>
        </w:rPr>
        <w:t>4.2</w:t>
      </w:r>
      <w:r>
        <w:rPr>
          <w:rFonts w:eastAsia="Calibri" w:cs="Calibri"/>
          <w:szCs w:val="24"/>
          <w:lang w:val="en-US"/>
        </w:rPr>
        <w:tab/>
      </w:r>
      <w:r w:rsidR="00BC5FBA">
        <w:rPr>
          <w:rFonts w:eastAsia="Calibri" w:cs="Calibri"/>
          <w:szCs w:val="24"/>
          <w:lang w:val="en-US"/>
        </w:rPr>
        <w:t>Once the Strategies for each region have been completed</w:t>
      </w:r>
      <w:r w:rsidR="00894FD5">
        <w:rPr>
          <w:rFonts w:eastAsia="Calibri" w:cs="Calibri"/>
          <w:szCs w:val="24"/>
          <w:lang w:val="en-US"/>
        </w:rPr>
        <w:t>, high level summaries</w:t>
      </w:r>
      <w:r w:rsidR="00BC5FBA">
        <w:rPr>
          <w:rFonts w:eastAsia="Calibri" w:cs="Calibri"/>
          <w:szCs w:val="24"/>
          <w:lang w:val="en-US"/>
        </w:rPr>
        <w:t xml:space="preserve"> will be made available as Information Documents for consideration by membership. </w:t>
      </w:r>
      <w:r w:rsidR="00894FD5">
        <w:rPr>
          <w:rFonts w:eastAsia="Calibri" w:cs="Calibri"/>
          <w:szCs w:val="24"/>
          <w:lang w:val="en-US"/>
        </w:rPr>
        <w:t xml:space="preserve">It is proposed that during the next Strategic Planning cycle, the Regional Strategies will be incorporated into that process so that the Strategic Plan </w:t>
      </w:r>
      <w:r w:rsidR="002A054B">
        <w:rPr>
          <w:rFonts w:eastAsia="Calibri" w:cs="Calibri"/>
          <w:szCs w:val="24"/>
          <w:lang w:val="en-US"/>
        </w:rPr>
        <w:t>and Operational Plan will fully integrate the regional perspectives.</w:t>
      </w:r>
    </w:p>
    <w:p w14:paraId="23FD2F3F" w14:textId="7BE2E3FF" w:rsidR="00775C2A" w:rsidRPr="00775C2A" w:rsidRDefault="007E3D44" w:rsidP="00F8710B">
      <w:pPr>
        <w:spacing w:after="120"/>
        <w:ind w:left="567" w:hanging="567"/>
        <w:rPr>
          <w:rFonts w:eastAsia="Calibri" w:cs="Calibri"/>
          <w:b/>
          <w:bCs/>
          <w:szCs w:val="24"/>
          <w:lang w:val="en-US"/>
        </w:rPr>
      </w:pPr>
      <w:r>
        <w:rPr>
          <w:rFonts w:eastAsia="Calibri" w:cs="Calibri"/>
          <w:b/>
          <w:bCs/>
          <w:szCs w:val="24"/>
          <w:lang w:val="en-US"/>
        </w:rPr>
        <w:t>5</w:t>
      </w:r>
      <w:r w:rsidR="00775C2A" w:rsidRPr="00775C2A">
        <w:rPr>
          <w:rFonts w:eastAsia="Calibri" w:cs="Calibri"/>
          <w:b/>
          <w:bCs/>
          <w:szCs w:val="24"/>
          <w:lang w:val="en-US"/>
        </w:rPr>
        <w:t>.</w:t>
      </w:r>
      <w:r w:rsidR="00775C2A" w:rsidRPr="00775C2A">
        <w:rPr>
          <w:rFonts w:eastAsia="Calibri" w:cs="Calibri"/>
          <w:b/>
          <w:bCs/>
          <w:szCs w:val="24"/>
          <w:lang w:val="en-US"/>
        </w:rPr>
        <w:tab/>
        <w:t>C</w:t>
      </w:r>
      <w:r w:rsidR="00775C2A">
        <w:rPr>
          <w:rFonts w:eastAsia="Calibri" w:cs="Calibri"/>
          <w:b/>
          <w:bCs/>
          <w:szCs w:val="24"/>
          <w:lang w:val="en-US"/>
        </w:rPr>
        <w:t>o</w:t>
      </w:r>
      <w:r w:rsidR="00775C2A" w:rsidRPr="00775C2A">
        <w:rPr>
          <w:rFonts w:eastAsia="Calibri" w:cs="Calibri"/>
          <w:b/>
          <w:bCs/>
          <w:szCs w:val="24"/>
          <w:lang w:val="en-US"/>
        </w:rPr>
        <w:t>nclusion</w:t>
      </w:r>
    </w:p>
    <w:p w14:paraId="19D59F93" w14:textId="76A5157B" w:rsidR="00775C2A" w:rsidRDefault="007D63C5" w:rsidP="00F8710B">
      <w:pPr>
        <w:spacing w:after="120"/>
        <w:ind w:left="567"/>
        <w:rPr>
          <w:rFonts w:eastAsia="Calibri" w:cs="Calibri"/>
          <w:szCs w:val="24"/>
          <w:lang w:val="en-US"/>
        </w:rPr>
      </w:pPr>
      <w:r>
        <w:rPr>
          <w:rFonts w:eastAsia="Calibri" w:cs="Calibri"/>
          <w:szCs w:val="24"/>
          <w:lang w:val="en-US"/>
        </w:rPr>
        <w:t>T</w:t>
      </w:r>
      <w:r w:rsidR="00775C2A">
        <w:rPr>
          <w:rFonts w:eastAsia="Calibri" w:cs="Calibri"/>
          <w:szCs w:val="24"/>
          <w:lang w:val="en-US"/>
        </w:rPr>
        <w:t xml:space="preserve">he contents of this report </w:t>
      </w:r>
      <w:r>
        <w:rPr>
          <w:rFonts w:eastAsia="Calibri" w:cs="Calibri"/>
          <w:szCs w:val="24"/>
          <w:lang w:val="en-US"/>
        </w:rPr>
        <w:t>are shared with TDAG for information. Full reporting on</w:t>
      </w:r>
      <w:r w:rsidR="00775C2A">
        <w:rPr>
          <w:rFonts w:eastAsia="Calibri" w:cs="Calibri"/>
          <w:szCs w:val="24"/>
          <w:lang w:val="en-US"/>
        </w:rPr>
        <w:t xml:space="preserve"> the progress made with implementation of the regional presence review recommendations, </w:t>
      </w:r>
      <w:r>
        <w:rPr>
          <w:rFonts w:eastAsia="Calibri" w:cs="Calibri"/>
          <w:szCs w:val="24"/>
          <w:lang w:val="en-US"/>
        </w:rPr>
        <w:t xml:space="preserve">will be submitted to Council in accordance with Council’s decision. </w:t>
      </w:r>
    </w:p>
    <w:p w14:paraId="2BEDE2DF" w14:textId="6A179976" w:rsidR="00D56F26" w:rsidRPr="00AB068F" w:rsidRDefault="00D56F26" w:rsidP="00AB068F">
      <w:pPr>
        <w:spacing w:before="240" w:after="120"/>
        <w:jc w:val="center"/>
        <w:rPr>
          <w:rFonts w:eastAsia="Calibri" w:cs="Calibri"/>
          <w:szCs w:val="24"/>
          <w:lang w:val="en-US"/>
        </w:rPr>
      </w:pPr>
      <w:r>
        <w:rPr>
          <w:rFonts w:eastAsia="Calibri" w:cs="Calibri"/>
          <w:szCs w:val="24"/>
          <w:lang w:val="en-US"/>
        </w:rPr>
        <w:t>______________</w:t>
      </w:r>
    </w:p>
    <w:sectPr w:rsidR="00D56F26" w:rsidRPr="00AB068F"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9DE9" w14:textId="77777777" w:rsidR="00F96BF0" w:rsidRDefault="00F96BF0">
      <w:r>
        <w:separator/>
      </w:r>
    </w:p>
  </w:endnote>
  <w:endnote w:type="continuationSeparator" w:id="0">
    <w:p w14:paraId="1DB1497A" w14:textId="77777777" w:rsidR="00F96BF0" w:rsidRDefault="00F9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02057A" w:rsidRPr="004D495C" w14:paraId="14FDC80C" w14:textId="77777777" w:rsidTr="00EF7574">
      <w:tc>
        <w:tcPr>
          <w:tcW w:w="1432" w:type="dxa"/>
          <w:tcBorders>
            <w:top w:val="single" w:sz="4" w:space="0" w:color="000000"/>
          </w:tcBorders>
          <w:shd w:val="clear" w:color="auto" w:fill="auto"/>
        </w:tcPr>
        <w:p w14:paraId="6F046D65" w14:textId="77777777" w:rsidR="0002057A" w:rsidRPr="004D495C" w:rsidRDefault="0002057A" w:rsidP="0002057A">
          <w:pPr>
            <w:pStyle w:val="FirstFooter"/>
            <w:tabs>
              <w:tab w:val="left" w:pos="1559"/>
              <w:tab w:val="left" w:pos="3828"/>
            </w:tabs>
            <w:spacing w:before="0"/>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17E5B980" w14:textId="77777777" w:rsidR="0002057A" w:rsidRPr="004D495C" w:rsidRDefault="0002057A" w:rsidP="0002057A">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630A1613" w14:textId="77777777" w:rsidR="0002057A" w:rsidRPr="003F4270" w:rsidRDefault="0002057A" w:rsidP="0002057A">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bookmarkStart w:id="6" w:name="OrgName"/>
      <w:bookmarkEnd w:id="6"/>
    </w:tr>
    <w:tr w:rsidR="0002057A" w:rsidRPr="004D495C" w14:paraId="29B3AF93" w14:textId="77777777" w:rsidTr="00EF7574">
      <w:tc>
        <w:tcPr>
          <w:tcW w:w="1432" w:type="dxa"/>
          <w:shd w:val="clear" w:color="auto" w:fill="auto"/>
        </w:tcPr>
        <w:p w14:paraId="66F03279" w14:textId="77777777" w:rsidR="0002057A" w:rsidRPr="003F4270" w:rsidRDefault="0002057A" w:rsidP="0002057A">
          <w:pPr>
            <w:pStyle w:val="FirstFooter"/>
            <w:tabs>
              <w:tab w:val="left" w:pos="1559"/>
              <w:tab w:val="left" w:pos="3828"/>
            </w:tabs>
            <w:spacing w:before="0"/>
            <w:rPr>
              <w:sz w:val="20"/>
              <w:lang w:val="en-GB"/>
            </w:rPr>
          </w:pPr>
        </w:p>
      </w:tc>
      <w:tc>
        <w:tcPr>
          <w:tcW w:w="2250" w:type="dxa"/>
          <w:shd w:val="clear" w:color="auto" w:fill="auto"/>
        </w:tcPr>
        <w:p w14:paraId="27CD3C0D" w14:textId="77777777" w:rsidR="0002057A" w:rsidRPr="004D495C" w:rsidRDefault="0002057A" w:rsidP="0002057A">
          <w:pPr>
            <w:pStyle w:val="FirstFooter"/>
            <w:tabs>
              <w:tab w:val="left" w:pos="2302"/>
            </w:tabs>
            <w:spacing w:before="0"/>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07858E60" w14:textId="77777777" w:rsidR="0002057A" w:rsidRPr="004D495C" w:rsidRDefault="0002057A" w:rsidP="0002057A">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7" w:name="PhoneNo"/>
      <w:bookmarkEnd w:id="7"/>
    </w:tr>
    <w:tr w:rsidR="0002057A" w:rsidRPr="004D495C" w14:paraId="3BA0670B" w14:textId="77777777" w:rsidTr="00EF7574">
      <w:tc>
        <w:tcPr>
          <w:tcW w:w="1432" w:type="dxa"/>
          <w:shd w:val="clear" w:color="auto" w:fill="auto"/>
        </w:tcPr>
        <w:p w14:paraId="6D6364CE" w14:textId="77777777" w:rsidR="0002057A" w:rsidRPr="004D495C" w:rsidRDefault="0002057A" w:rsidP="0002057A">
          <w:pPr>
            <w:pStyle w:val="FirstFooter"/>
            <w:tabs>
              <w:tab w:val="left" w:pos="1559"/>
              <w:tab w:val="left" w:pos="3828"/>
            </w:tabs>
            <w:spacing w:before="0"/>
            <w:rPr>
              <w:sz w:val="20"/>
            </w:rPr>
          </w:pPr>
        </w:p>
      </w:tc>
      <w:tc>
        <w:tcPr>
          <w:tcW w:w="2250" w:type="dxa"/>
          <w:shd w:val="clear" w:color="auto" w:fill="auto"/>
        </w:tcPr>
        <w:p w14:paraId="191F1AD7" w14:textId="77777777" w:rsidR="0002057A" w:rsidRPr="004D495C" w:rsidRDefault="0002057A" w:rsidP="0002057A">
          <w:pPr>
            <w:pStyle w:val="FirstFooter"/>
            <w:tabs>
              <w:tab w:val="left" w:pos="2302"/>
            </w:tabs>
            <w:spacing w:before="0"/>
            <w:rPr>
              <w:sz w:val="18"/>
              <w:szCs w:val="18"/>
            </w:rPr>
          </w:pPr>
          <w:proofErr w:type="gramStart"/>
          <w:r w:rsidRPr="004D495C">
            <w:rPr>
              <w:sz w:val="18"/>
              <w:szCs w:val="18"/>
            </w:rPr>
            <w:t>E-mail:</w:t>
          </w:r>
          <w:proofErr w:type="gramEnd"/>
        </w:p>
      </w:tc>
      <w:tc>
        <w:tcPr>
          <w:tcW w:w="5958" w:type="dxa"/>
        </w:tcPr>
        <w:p w14:paraId="59556213" w14:textId="77777777" w:rsidR="0002057A" w:rsidRPr="004D495C" w:rsidRDefault="00A41C25" w:rsidP="0002057A">
          <w:pPr>
            <w:pStyle w:val="FirstFooter"/>
            <w:tabs>
              <w:tab w:val="left" w:pos="2302"/>
            </w:tabs>
            <w:spacing w:before="0"/>
            <w:rPr>
              <w:sz w:val="18"/>
              <w:szCs w:val="18"/>
              <w:highlight w:val="yellow"/>
            </w:rPr>
          </w:pPr>
          <w:hyperlink r:id="rId1" w:history="1">
            <w:r w:rsidR="0002057A" w:rsidRPr="00D934D7">
              <w:rPr>
                <w:rStyle w:val="Hyperlink"/>
                <w:sz w:val="18"/>
                <w:szCs w:val="22"/>
              </w:rPr>
              <w:t>stephen.bereaux@itu.int</w:t>
            </w:r>
          </w:hyperlink>
          <w:r w:rsidR="0002057A" w:rsidRPr="00D934D7">
            <w:rPr>
              <w:sz w:val="18"/>
              <w:szCs w:val="22"/>
            </w:rPr>
            <w:t xml:space="preserve"> </w:t>
          </w:r>
        </w:p>
      </w:tc>
      <w:bookmarkStart w:id="8" w:name="Email"/>
      <w:bookmarkEnd w:id="8"/>
    </w:tr>
  </w:tbl>
  <w:p w14:paraId="139DD94E" w14:textId="77777777" w:rsidR="0002057A" w:rsidRDefault="0002057A" w:rsidP="0002057A">
    <w:pPr>
      <w:pStyle w:val="Footer"/>
      <w:jc w:val="center"/>
      <w:rPr>
        <w:lang w:val="en-GB"/>
      </w:rPr>
    </w:pPr>
  </w:p>
  <w:p w14:paraId="40A321D0" w14:textId="22326BFE" w:rsidR="00721657" w:rsidRPr="00D3552C" w:rsidRDefault="00A41C25" w:rsidP="00AB068F">
    <w:pPr>
      <w:pStyle w:val="Footer"/>
      <w:jc w:val="center"/>
    </w:pPr>
    <w:hyperlink r:id="rId2" w:history="1">
      <w:r w:rsidR="0002057A">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0F73" w14:textId="77777777" w:rsidR="00F96BF0" w:rsidRDefault="00F96BF0">
      <w:r>
        <w:t>____________________</w:t>
      </w:r>
    </w:p>
  </w:footnote>
  <w:footnote w:type="continuationSeparator" w:id="0">
    <w:p w14:paraId="14D90B49" w14:textId="77777777" w:rsidR="00F96BF0" w:rsidRDefault="00F9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BECDB36"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A41C25">
      <w:rPr>
        <w:sz w:val="22"/>
        <w:szCs w:val="22"/>
        <w:lang w:val="de-CH"/>
      </w:rPr>
      <w:t>INF/3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5D3AFC"/>
    <w:multiLevelType w:val="hybridMultilevel"/>
    <w:tmpl w:val="316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B750A"/>
    <w:multiLevelType w:val="hybridMultilevel"/>
    <w:tmpl w:val="B678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5" w15:restartNumberingAfterBreak="0">
    <w:nsid w:val="265D0398"/>
    <w:multiLevelType w:val="hybridMultilevel"/>
    <w:tmpl w:val="0FD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05418F"/>
    <w:multiLevelType w:val="hybridMultilevel"/>
    <w:tmpl w:val="7D72FA48"/>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402A0"/>
    <w:multiLevelType w:val="hybridMultilevel"/>
    <w:tmpl w:val="89D8B1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5A9675E3"/>
    <w:multiLevelType w:val="hybridMultilevel"/>
    <w:tmpl w:val="A546F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555DB"/>
    <w:multiLevelType w:val="hybridMultilevel"/>
    <w:tmpl w:val="EFE2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381AE6"/>
    <w:multiLevelType w:val="hybridMultilevel"/>
    <w:tmpl w:val="2F1498DC"/>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C51B5"/>
    <w:multiLevelType w:val="hybridMultilevel"/>
    <w:tmpl w:val="F0D60926"/>
    <w:lvl w:ilvl="0" w:tplc="FCB8C304">
      <w:numFmt w:val="bullet"/>
      <w:lvlText w:val="-"/>
      <w:lvlJc w:val="left"/>
      <w:pPr>
        <w:ind w:left="720" w:hanging="360"/>
      </w:pPr>
      <w:rPr>
        <w:rFonts w:ascii="Calibri" w:eastAsia="Times New Roman" w:hAnsi="Calibri" w:cs="Calibri" w:hint="default"/>
        <w:b/>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abstractNum w:abstractNumId="17"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9"/>
  </w:num>
  <w:num w:numId="6">
    <w:abstractNumId w:val="0"/>
  </w:num>
  <w:num w:numId="7">
    <w:abstractNumId w:val="13"/>
  </w:num>
  <w:num w:numId="8">
    <w:abstractNumId w:val="10"/>
  </w:num>
  <w:num w:numId="9">
    <w:abstractNumId w:val="11"/>
  </w:num>
  <w:num w:numId="10">
    <w:abstractNumId w:val="3"/>
  </w:num>
  <w:num w:numId="11">
    <w:abstractNumId w:val="5"/>
  </w:num>
  <w:num w:numId="12">
    <w:abstractNumId w:val="2"/>
  </w:num>
  <w:num w:numId="13">
    <w:abstractNumId w:val="7"/>
  </w:num>
  <w:num w:numId="14">
    <w:abstractNumId w:val="14"/>
  </w:num>
  <w:num w:numId="15">
    <w:abstractNumId w:val="8"/>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057A"/>
    <w:rsid w:val="0002520B"/>
    <w:rsid w:val="00037A9E"/>
    <w:rsid w:val="00037F91"/>
    <w:rsid w:val="00045522"/>
    <w:rsid w:val="0005330E"/>
    <w:rsid w:val="000539F1"/>
    <w:rsid w:val="00054747"/>
    <w:rsid w:val="00055A2A"/>
    <w:rsid w:val="000615C1"/>
    <w:rsid w:val="00061675"/>
    <w:rsid w:val="00062BC4"/>
    <w:rsid w:val="00063A13"/>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376D"/>
    <w:rsid w:val="00141699"/>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7CA2"/>
    <w:rsid w:val="001A163D"/>
    <w:rsid w:val="001A441E"/>
    <w:rsid w:val="001A6733"/>
    <w:rsid w:val="001B357F"/>
    <w:rsid w:val="001C3444"/>
    <w:rsid w:val="001C3702"/>
    <w:rsid w:val="001C4656"/>
    <w:rsid w:val="001C46BC"/>
    <w:rsid w:val="001D1E06"/>
    <w:rsid w:val="001D45BF"/>
    <w:rsid w:val="001F23E6"/>
    <w:rsid w:val="001F4238"/>
    <w:rsid w:val="001F7C90"/>
    <w:rsid w:val="00200A38"/>
    <w:rsid w:val="00200A46"/>
    <w:rsid w:val="002059A3"/>
    <w:rsid w:val="00211B6F"/>
    <w:rsid w:val="00217CC3"/>
    <w:rsid w:val="00220AB6"/>
    <w:rsid w:val="0022120F"/>
    <w:rsid w:val="0022754A"/>
    <w:rsid w:val="0023068B"/>
    <w:rsid w:val="00230C23"/>
    <w:rsid w:val="00236560"/>
    <w:rsid w:val="0023662E"/>
    <w:rsid w:val="00245D0F"/>
    <w:rsid w:val="00250C1A"/>
    <w:rsid w:val="002548C3"/>
    <w:rsid w:val="00257ACD"/>
    <w:rsid w:val="00262908"/>
    <w:rsid w:val="002650F4"/>
    <w:rsid w:val="002715FD"/>
    <w:rsid w:val="002770B1"/>
    <w:rsid w:val="00285B33"/>
    <w:rsid w:val="00287A3C"/>
    <w:rsid w:val="002A054B"/>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581E"/>
    <w:rsid w:val="00327247"/>
    <w:rsid w:val="00327A9D"/>
    <w:rsid w:val="0033130E"/>
    <w:rsid w:val="0033269C"/>
    <w:rsid w:val="003468FE"/>
    <w:rsid w:val="00351C79"/>
    <w:rsid w:val="0035516C"/>
    <w:rsid w:val="00355A4C"/>
    <w:rsid w:val="003604FB"/>
    <w:rsid w:val="00360B73"/>
    <w:rsid w:val="00380B71"/>
    <w:rsid w:val="0038365A"/>
    <w:rsid w:val="00386A89"/>
    <w:rsid w:val="0039648E"/>
    <w:rsid w:val="003A5AFE"/>
    <w:rsid w:val="003A5D5F"/>
    <w:rsid w:val="003A7FFE"/>
    <w:rsid w:val="003B0A63"/>
    <w:rsid w:val="003B1F1A"/>
    <w:rsid w:val="003B50E1"/>
    <w:rsid w:val="003C1746"/>
    <w:rsid w:val="003C2AA9"/>
    <w:rsid w:val="003C58BF"/>
    <w:rsid w:val="003C75AF"/>
    <w:rsid w:val="003D110A"/>
    <w:rsid w:val="003D451D"/>
    <w:rsid w:val="003E0CF5"/>
    <w:rsid w:val="003F2DD8"/>
    <w:rsid w:val="003F3F2D"/>
    <w:rsid w:val="003F50B2"/>
    <w:rsid w:val="003F558D"/>
    <w:rsid w:val="00400CCF"/>
    <w:rsid w:val="00401BFF"/>
    <w:rsid w:val="00404424"/>
    <w:rsid w:val="00406BC5"/>
    <w:rsid w:val="0041156B"/>
    <w:rsid w:val="004122C5"/>
    <w:rsid w:val="00413B78"/>
    <w:rsid w:val="00413CBC"/>
    <w:rsid w:val="00416DDE"/>
    <w:rsid w:val="00423602"/>
    <w:rsid w:val="0044411E"/>
    <w:rsid w:val="00444CF1"/>
    <w:rsid w:val="00453435"/>
    <w:rsid w:val="00460089"/>
    <w:rsid w:val="004635C7"/>
    <w:rsid w:val="00466398"/>
    <w:rsid w:val="0047306D"/>
    <w:rsid w:val="00473791"/>
    <w:rsid w:val="00476E48"/>
    <w:rsid w:val="00481DE9"/>
    <w:rsid w:val="0049128B"/>
    <w:rsid w:val="00493B49"/>
    <w:rsid w:val="00495501"/>
    <w:rsid w:val="004A070A"/>
    <w:rsid w:val="004A320E"/>
    <w:rsid w:val="004A328D"/>
    <w:rsid w:val="004A4E9C"/>
    <w:rsid w:val="004B1A3C"/>
    <w:rsid w:val="004B76B5"/>
    <w:rsid w:val="004D2CC3"/>
    <w:rsid w:val="004D35CB"/>
    <w:rsid w:val="004D6518"/>
    <w:rsid w:val="004D7DAB"/>
    <w:rsid w:val="004E20E5"/>
    <w:rsid w:val="004E64EA"/>
    <w:rsid w:val="004E7828"/>
    <w:rsid w:val="004F46AA"/>
    <w:rsid w:val="004F6A70"/>
    <w:rsid w:val="00500AD7"/>
    <w:rsid w:val="00502ABF"/>
    <w:rsid w:val="00504DB0"/>
    <w:rsid w:val="00507C35"/>
    <w:rsid w:val="00510735"/>
    <w:rsid w:val="0051454C"/>
    <w:rsid w:val="00514D2F"/>
    <w:rsid w:val="005412E6"/>
    <w:rsid w:val="0054420E"/>
    <w:rsid w:val="00544627"/>
    <w:rsid w:val="00544CAA"/>
    <w:rsid w:val="00544D1B"/>
    <w:rsid w:val="00545DC0"/>
    <w:rsid w:val="00545F6C"/>
    <w:rsid w:val="005477D9"/>
    <w:rsid w:val="0055720C"/>
    <w:rsid w:val="00561796"/>
    <w:rsid w:val="005632DD"/>
    <w:rsid w:val="005638DE"/>
    <w:rsid w:val="0056423B"/>
    <w:rsid w:val="00573424"/>
    <w:rsid w:val="0057402F"/>
    <w:rsid w:val="00581653"/>
    <w:rsid w:val="005849D6"/>
    <w:rsid w:val="00585367"/>
    <w:rsid w:val="005871A1"/>
    <w:rsid w:val="0058737E"/>
    <w:rsid w:val="00592518"/>
    <w:rsid w:val="00592E87"/>
    <w:rsid w:val="0059420B"/>
    <w:rsid w:val="00594C4D"/>
    <w:rsid w:val="005A0CE9"/>
    <w:rsid w:val="005A33B0"/>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441B"/>
    <w:rsid w:val="0065521B"/>
    <w:rsid w:val="006609C2"/>
    <w:rsid w:val="00671EF6"/>
    <w:rsid w:val="0067205B"/>
    <w:rsid w:val="00672398"/>
    <w:rsid w:val="006739DC"/>
    <w:rsid w:val="006748F8"/>
    <w:rsid w:val="00680489"/>
    <w:rsid w:val="00683C32"/>
    <w:rsid w:val="00690BB2"/>
    <w:rsid w:val="00693D09"/>
    <w:rsid w:val="0069579D"/>
    <w:rsid w:val="006A0A22"/>
    <w:rsid w:val="006A14CB"/>
    <w:rsid w:val="006A3AAD"/>
    <w:rsid w:val="006A6549"/>
    <w:rsid w:val="006A7710"/>
    <w:rsid w:val="006A7A61"/>
    <w:rsid w:val="006B108D"/>
    <w:rsid w:val="006B1E59"/>
    <w:rsid w:val="006B2FFB"/>
    <w:rsid w:val="006C0B84"/>
    <w:rsid w:val="006C10A2"/>
    <w:rsid w:val="006C1F18"/>
    <w:rsid w:val="006D0ACE"/>
    <w:rsid w:val="006D40D5"/>
    <w:rsid w:val="006E4354"/>
    <w:rsid w:val="006F009A"/>
    <w:rsid w:val="006F39AC"/>
    <w:rsid w:val="006F3D93"/>
    <w:rsid w:val="006F57D2"/>
    <w:rsid w:val="007019B1"/>
    <w:rsid w:val="00721657"/>
    <w:rsid w:val="007279A8"/>
    <w:rsid w:val="00727B1A"/>
    <w:rsid w:val="00741337"/>
    <w:rsid w:val="00752258"/>
    <w:rsid w:val="007529E1"/>
    <w:rsid w:val="00762880"/>
    <w:rsid w:val="00762AD6"/>
    <w:rsid w:val="00762E02"/>
    <w:rsid w:val="00772290"/>
    <w:rsid w:val="00772CDB"/>
    <w:rsid w:val="00774CB8"/>
    <w:rsid w:val="00775C2A"/>
    <w:rsid w:val="00777265"/>
    <w:rsid w:val="007805E7"/>
    <w:rsid w:val="0078222A"/>
    <w:rsid w:val="00787D48"/>
    <w:rsid w:val="00795294"/>
    <w:rsid w:val="007A4E50"/>
    <w:rsid w:val="007B18A7"/>
    <w:rsid w:val="007B250E"/>
    <w:rsid w:val="007C1CF2"/>
    <w:rsid w:val="007C27FC"/>
    <w:rsid w:val="007C2E50"/>
    <w:rsid w:val="007C51FF"/>
    <w:rsid w:val="007D50E4"/>
    <w:rsid w:val="007D63C5"/>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7BC6"/>
    <w:rsid w:val="008300AD"/>
    <w:rsid w:val="00833024"/>
    <w:rsid w:val="008376E3"/>
    <w:rsid w:val="008419B1"/>
    <w:rsid w:val="00844A56"/>
    <w:rsid w:val="00845B11"/>
    <w:rsid w:val="00852081"/>
    <w:rsid w:val="00852B9B"/>
    <w:rsid w:val="00854625"/>
    <w:rsid w:val="00872B6E"/>
    <w:rsid w:val="00872EF4"/>
    <w:rsid w:val="00874DFD"/>
    <w:rsid w:val="008802F9"/>
    <w:rsid w:val="00883086"/>
    <w:rsid w:val="008879FD"/>
    <w:rsid w:val="00891436"/>
    <w:rsid w:val="00894C37"/>
    <w:rsid w:val="00894FD5"/>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154DB"/>
    <w:rsid w:val="00922EC1"/>
    <w:rsid w:val="00923CF1"/>
    <w:rsid w:val="009266FB"/>
    <w:rsid w:val="009301F1"/>
    <w:rsid w:val="009307DF"/>
    <w:rsid w:val="009359B8"/>
    <w:rsid w:val="00935FF0"/>
    <w:rsid w:val="00937CB3"/>
    <w:rsid w:val="009431F8"/>
    <w:rsid w:val="00946990"/>
    <w:rsid w:val="00947A35"/>
    <w:rsid w:val="00950F43"/>
    <w:rsid w:val="0096201B"/>
    <w:rsid w:val="00962081"/>
    <w:rsid w:val="00966CB5"/>
    <w:rsid w:val="0097003D"/>
    <w:rsid w:val="00975786"/>
    <w:rsid w:val="00981CB7"/>
    <w:rsid w:val="00983E1F"/>
    <w:rsid w:val="00987CFC"/>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F6D"/>
    <w:rsid w:val="00A41C25"/>
    <w:rsid w:val="00A433F4"/>
    <w:rsid w:val="00A50CA0"/>
    <w:rsid w:val="00A525CC"/>
    <w:rsid w:val="00A53E7C"/>
    <w:rsid w:val="00A60087"/>
    <w:rsid w:val="00A60EC6"/>
    <w:rsid w:val="00A65E43"/>
    <w:rsid w:val="00A705E8"/>
    <w:rsid w:val="00A721F4"/>
    <w:rsid w:val="00A9392C"/>
    <w:rsid w:val="00A9462B"/>
    <w:rsid w:val="00A97D59"/>
    <w:rsid w:val="00AA3E09"/>
    <w:rsid w:val="00AA4BEF"/>
    <w:rsid w:val="00AA523D"/>
    <w:rsid w:val="00AA58DC"/>
    <w:rsid w:val="00AA5ED1"/>
    <w:rsid w:val="00AB068F"/>
    <w:rsid w:val="00AB1659"/>
    <w:rsid w:val="00AB4962"/>
    <w:rsid w:val="00AB734E"/>
    <w:rsid w:val="00AB740F"/>
    <w:rsid w:val="00AC6F14"/>
    <w:rsid w:val="00AC7221"/>
    <w:rsid w:val="00AD4677"/>
    <w:rsid w:val="00AD6EB1"/>
    <w:rsid w:val="00AE5961"/>
    <w:rsid w:val="00AF0745"/>
    <w:rsid w:val="00AF2133"/>
    <w:rsid w:val="00AF4971"/>
    <w:rsid w:val="00AF5276"/>
    <w:rsid w:val="00AF7C86"/>
    <w:rsid w:val="00B01046"/>
    <w:rsid w:val="00B164AA"/>
    <w:rsid w:val="00B310F9"/>
    <w:rsid w:val="00B37866"/>
    <w:rsid w:val="00B412FB"/>
    <w:rsid w:val="00B45588"/>
    <w:rsid w:val="00B4576B"/>
    <w:rsid w:val="00B46350"/>
    <w:rsid w:val="00B46DF3"/>
    <w:rsid w:val="00B51BA3"/>
    <w:rsid w:val="00B648C7"/>
    <w:rsid w:val="00B64C15"/>
    <w:rsid w:val="00B664A1"/>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5FBA"/>
    <w:rsid w:val="00BC7BA2"/>
    <w:rsid w:val="00BD426B"/>
    <w:rsid w:val="00BD79F0"/>
    <w:rsid w:val="00BE2B4D"/>
    <w:rsid w:val="00C015F8"/>
    <w:rsid w:val="00C02C2A"/>
    <w:rsid w:val="00C07B47"/>
    <w:rsid w:val="00C07E26"/>
    <w:rsid w:val="00C1011C"/>
    <w:rsid w:val="00C12F94"/>
    <w:rsid w:val="00C177C5"/>
    <w:rsid w:val="00C33676"/>
    <w:rsid w:val="00C34EC3"/>
    <w:rsid w:val="00C4038C"/>
    <w:rsid w:val="00C42BA2"/>
    <w:rsid w:val="00C43184"/>
    <w:rsid w:val="00C44066"/>
    <w:rsid w:val="00C44E13"/>
    <w:rsid w:val="00C51673"/>
    <w:rsid w:val="00C60A41"/>
    <w:rsid w:val="00C6120D"/>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1D70"/>
    <w:rsid w:val="00CE45E6"/>
    <w:rsid w:val="00CE5E4D"/>
    <w:rsid w:val="00CF02C4"/>
    <w:rsid w:val="00CF167F"/>
    <w:rsid w:val="00CF72E5"/>
    <w:rsid w:val="00CF7AB8"/>
    <w:rsid w:val="00D013EE"/>
    <w:rsid w:val="00D01800"/>
    <w:rsid w:val="00D01F54"/>
    <w:rsid w:val="00D040F7"/>
    <w:rsid w:val="00D04A76"/>
    <w:rsid w:val="00D10FC7"/>
    <w:rsid w:val="00D1519F"/>
    <w:rsid w:val="00D20E99"/>
    <w:rsid w:val="00D21C83"/>
    <w:rsid w:val="00D32E9F"/>
    <w:rsid w:val="00D3317F"/>
    <w:rsid w:val="00D3552C"/>
    <w:rsid w:val="00D35BDD"/>
    <w:rsid w:val="00D51F9F"/>
    <w:rsid w:val="00D56F26"/>
    <w:rsid w:val="00D607DB"/>
    <w:rsid w:val="00D61B8A"/>
    <w:rsid w:val="00D63006"/>
    <w:rsid w:val="00D72301"/>
    <w:rsid w:val="00D911DE"/>
    <w:rsid w:val="00D91B97"/>
    <w:rsid w:val="00D93ACC"/>
    <w:rsid w:val="00D93C08"/>
    <w:rsid w:val="00D95DAC"/>
    <w:rsid w:val="00DA0B53"/>
    <w:rsid w:val="00DA42DF"/>
    <w:rsid w:val="00DB1171"/>
    <w:rsid w:val="00DB1519"/>
    <w:rsid w:val="00DB2840"/>
    <w:rsid w:val="00DC1496"/>
    <w:rsid w:val="00DC1BD3"/>
    <w:rsid w:val="00DC2C1A"/>
    <w:rsid w:val="00DC6DA7"/>
    <w:rsid w:val="00DD66B4"/>
    <w:rsid w:val="00DE1972"/>
    <w:rsid w:val="00DE27AB"/>
    <w:rsid w:val="00DE6B73"/>
    <w:rsid w:val="00DF2AB3"/>
    <w:rsid w:val="00DF5C61"/>
    <w:rsid w:val="00DF7250"/>
    <w:rsid w:val="00E00CAA"/>
    <w:rsid w:val="00E026F9"/>
    <w:rsid w:val="00E03EBF"/>
    <w:rsid w:val="00E05209"/>
    <w:rsid w:val="00E05AC1"/>
    <w:rsid w:val="00E078B2"/>
    <w:rsid w:val="00E11BCF"/>
    <w:rsid w:val="00E2258E"/>
    <w:rsid w:val="00E260C2"/>
    <w:rsid w:val="00E32596"/>
    <w:rsid w:val="00E368F7"/>
    <w:rsid w:val="00E36EB8"/>
    <w:rsid w:val="00E37FB8"/>
    <w:rsid w:val="00E40B07"/>
    <w:rsid w:val="00E42326"/>
    <w:rsid w:val="00E43544"/>
    <w:rsid w:val="00E44D89"/>
    <w:rsid w:val="00E477EA"/>
    <w:rsid w:val="00E55807"/>
    <w:rsid w:val="00E57609"/>
    <w:rsid w:val="00E62278"/>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2E03"/>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710B"/>
    <w:rsid w:val="00F9211C"/>
    <w:rsid w:val="00F92992"/>
    <w:rsid w:val="00F96BF0"/>
    <w:rsid w:val="00FA095D"/>
    <w:rsid w:val="00FA1680"/>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E778E"/>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ties/Pages/regional-presence-dashboard.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ties/itu-s/md/20/cl/c/S20-CL-C-0074!!PDF-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2.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BD46EA-6D1C-4925-A910-2AAE651E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3</cp:revision>
  <cp:lastPrinted>2023-05-03T14:02:00Z</cp:lastPrinted>
  <dcterms:created xsi:type="dcterms:W3CDTF">2023-05-31T12:06:00Z</dcterms:created>
  <dcterms:modified xsi:type="dcterms:W3CDTF">2023-05-31T12:15:00Z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