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horzAnchor="margin" w:tblpY="-492"/>
        <w:tblW w:w="9888" w:type="dxa"/>
        <w:tblLayout w:type="fixed"/>
        <w:tblCellMar>
          <w:left w:w="107" w:type="dxa"/>
          <w:right w:w="107" w:type="dxa"/>
        </w:tblCellMar>
        <w:tblLook w:val="0000" w:firstRow="0" w:lastRow="0" w:firstColumn="0" w:lastColumn="0" w:noHBand="0" w:noVBand="0"/>
        <w:tblCaption w:val="Document metadata (Study Group, meeting, Question, source, title)"/>
        <w:tblDescription w:val="Document metadata (Study Group, meeting, document number, Question, source, title)"/>
      </w:tblPr>
      <w:tblGrid>
        <w:gridCol w:w="6379"/>
        <w:gridCol w:w="3509"/>
      </w:tblGrid>
      <w:tr w:rsidR="00307769" w14:paraId="3F0E9EC4" w14:textId="77777777" w:rsidTr="00952667">
        <w:trPr>
          <w:cantSplit/>
          <w:trHeight w:val="1134"/>
        </w:trPr>
        <w:tc>
          <w:tcPr>
            <w:tcW w:w="6379" w:type="dxa"/>
          </w:tcPr>
          <w:p w14:paraId="68FE8375" w14:textId="77777777" w:rsidR="00307769" w:rsidRDefault="00307769" w:rsidP="00307769">
            <w:pPr>
              <w:tabs>
                <w:tab w:val="clear" w:pos="1191"/>
                <w:tab w:val="clear" w:pos="1588"/>
                <w:tab w:val="clear" w:pos="1985"/>
              </w:tabs>
              <w:ind w:left="34"/>
              <w:rPr>
                <w:b/>
                <w:bCs/>
                <w:sz w:val="32"/>
                <w:szCs w:val="32"/>
              </w:rPr>
            </w:pPr>
            <w:r w:rsidRPr="006F3D93">
              <w:rPr>
                <w:b/>
                <w:bCs/>
                <w:sz w:val="32"/>
                <w:szCs w:val="32"/>
              </w:rPr>
              <w:t>Telecommunication</w:t>
            </w:r>
            <w:r>
              <w:rPr>
                <w:b/>
                <w:bCs/>
                <w:sz w:val="32"/>
                <w:szCs w:val="32"/>
              </w:rPr>
              <w:t xml:space="preserve"> Development</w:t>
            </w:r>
            <w:r>
              <w:rPr>
                <w:b/>
                <w:bCs/>
                <w:sz w:val="32"/>
                <w:szCs w:val="32"/>
              </w:rPr>
              <w:br/>
              <w:t>Advisory Group (TDAG)</w:t>
            </w:r>
          </w:p>
          <w:p w14:paraId="5F5F590A" w14:textId="37D83956" w:rsidR="00307769" w:rsidRPr="00844A56" w:rsidRDefault="00307769" w:rsidP="00307769">
            <w:pPr>
              <w:tabs>
                <w:tab w:val="clear" w:pos="1191"/>
                <w:tab w:val="clear" w:pos="1588"/>
                <w:tab w:val="clear" w:pos="1985"/>
              </w:tabs>
              <w:spacing w:after="120"/>
              <w:ind w:left="34"/>
              <w:rPr>
                <w:rFonts w:ascii="Verdana" w:hAnsi="Verdana"/>
                <w:sz w:val="28"/>
                <w:szCs w:val="28"/>
              </w:rPr>
            </w:pPr>
            <w:r>
              <w:rPr>
                <w:b/>
                <w:bCs/>
                <w:sz w:val="26"/>
                <w:szCs w:val="26"/>
              </w:rPr>
              <w:t xml:space="preserve">30th Meeting, Geneva, Switzerland, </w:t>
            </w:r>
            <w:r w:rsidRPr="00307769">
              <w:rPr>
                <w:b/>
                <w:bCs/>
                <w:sz w:val="26"/>
                <w:szCs w:val="26"/>
              </w:rPr>
              <w:t>19-23 June 2023</w:t>
            </w:r>
          </w:p>
        </w:tc>
        <w:tc>
          <w:tcPr>
            <w:tcW w:w="3509" w:type="dxa"/>
          </w:tcPr>
          <w:p w14:paraId="67E7B4C4" w14:textId="0F52E4CC" w:rsidR="00307769" w:rsidRPr="00683C32" w:rsidRDefault="00307769" w:rsidP="00952667">
            <w:pPr>
              <w:spacing w:after="120"/>
              <w:ind w:right="142"/>
              <w:jc w:val="right"/>
            </w:pPr>
            <w:r>
              <w:rPr>
                <w:noProof/>
                <w:lang w:val="fr-FR" w:eastAsia="fr-FR"/>
              </w:rPr>
              <w:drawing>
                <wp:inline distT="0" distB="0" distL="0" distR="0" wp14:anchorId="7A20172F" wp14:editId="3C26654E">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r>
      <w:tr w:rsidR="00683C32" w:rsidRPr="00997358" w14:paraId="3C13197B" w14:textId="77777777" w:rsidTr="0009076F">
        <w:trPr>
          <w:cantSplit/>
        </w:trPr>
        <w:tc>
          <w:tcPr>
            <w:tcW w:w="6379" w:type="dxa"/>
            <w:tcBorders>
              <w:top w:val="single" w:sz="12" w:space="0" w:color="auto"/>
            </w:tcBorders>
          </w:tcPr>
          <w:p w14:paraId="2EED9DB2" w14:textId="77777777" w:rsidR="00683C32" w:rsidRPr="00997358" w:rsidRDefault="00683C32" w:rsidP="00107E85">
            <w:pPr>
              <w:spacing w:before="0"/>
              <w:rPr>
                <w:rFonts w:cs="Arial"/>
                <w:b/>
                <w:bCs/>
                <w:sz w:val="20"/>
              </w:rPr>
            </w:pPr>
          </w:p>
        </w:tc>
        <w:tc>
          <w:tcPr>
            <w:tcW w:w="3509" w:type="dxa"/>
            <w:tcBorders>
              <w:top w:val="single" w:sz="12" w:space="0" w:color="auto"/>
            </w:tcBorders>
          </w:tcPr>
          <w:p w14:paraId="6CC77CFE" w14:textId="77777777" w:rsidR="00683C32" w:rsidRPr="00997358" w:rsidRDefault="00683C32" w:rsidP="00107E85">
            <w:pPr>
              <w:spacing w:before="0"/>
              <w:rPr>
                <w:b/>
                <w:bCs/>
                <w:sz w:val="20"/>
              </w:rPr>
            </w:pPr>
          </w:p>
        </w:tc>
      </w:tr>
      <w:tr w:rsidR="00683C32" w:rsidRPr="00002716" w14:paraId="0BB3FBC4" w14:textId="77777777" w:rsidTr="0009076F">
        <w:trPr>
          <w:cantSplit/>
        </w:trPr>
        <w:tc>
          <w:tcPr>
            <w:tcW w:w="6379" w:type="dxa"/>
          </w:tcPr>
          <w:p w14:paraId="43C54B3D" w14:textId="77777777" w:rsidR="00683C32" w:rsidRPr="007F1CC7" w:rsidRDefault="00683C32" w:rsidP="00400CCF">
            <w:pPr>
              <w:pStyle w:val="Committee"/>
              <w:spacing w:before="0"/>
              <w:rPr>
                <w:b w:val="0"/>
                <w:szCs w:val="24"/>
              </w:rPr>
            </w:pPr>
          </w:p>
        </w:tc>
        <w:tc>
          <w:tcPr>
            <w:tcW w:w="3509" w:type="dxa"/>
          </w:tcPr>
          <w:p w14:paraId="02E44EE9" w14:textId="7DA72013" w:rsidR="00683C32" w:rsidRPr="007F1CC7" w:rsidRDefault="0096201B" w:rsidP="00B648C7">
            <w:pPr>
              <w:spacing w:before="0"/>
              <w:jc w:val="both"/>
              <w:rPr>
                <w:bCs/>
                <w:szCs w:val="24"/>
                <w:lang w:val="en-US"/>
              </w:rPr>
            </w:pPr>
            <w:r w:rsidRPr="00002716">
              <w:rPr>
                <w:b/>
                <w:bCs/>
                <w:lang w:val="en-US"/>
              </w:rPr>
              <w:t>Document</w:t>
            </w:r>
            <w:r w:rsidRPr="00A54E72">
              <w:rPr>
                <w:b/>
                <w:bCs/>
                <w:lang w:val="en-US"/>
              </w:rPr>
              <w:t xml:space="preserve"> </w:t>
            </w:r>
            <w:bookmarkStart w:id="0" w:name="DocRef1"/>
            <w:bookmarkEnd w:id="0"/>
            <w:r>
              <w:rPr>
                <w:b/>
                <w:bCs/>
                <w:lang w:val="en-US"/>
              </w:rPr>
              <w:t>TDAG</w:t>
            </w:r>
            <w:r w:rsidR="003242AB">
              <w:rPr>
                <w:b/>
                <w:bCs/>
                <w:lang w:val="en-US"/>
              </w:rPr>
              <w:t>-</w:t>
            </w:r>
            <w:r w:rsidR="00B648C7">
              <w:rPr>
                <w:b/>
                <w:bCs/>
                <w:lang w:val="en-US"/>
              </w:rPr>
              <w:t>2</w:t>
            </w:r>
            <w:bookmarkStart w:id="1" w:name="DocNo1"/>
            <w:bookmarkEnd w:id="1"/>
            <w:r w:rsidR="00307769">
              <w:rPr>
                <w:b/>
                <w:bCs/>
                <w:lang w:val="en-US"/>
              </w:rPr>
              <w:t>3</w:t>
            </w:r>
            <w:r w:rsidR="0009076F">
              <w:rPr>
                <w:b/>
                <w:bCs/>
                <w:lang w:val="en-US"/>
              </w:rPr>
              <w:t>/</w:t>
            </w:r>
            <w:r w:rsidR="00FC5D00">
              <w:rPr>
                <w:b/>
                <w:bCs/>
                <w:lang w:val="en-US"/>
              </w:rPr>
              <w:t>45</w:t>
            </w:r>
            <w:r>
              <w:rPr>
                <w:b/>
                <w:bCs/>
                <w:lang w:val="en-US"/>
              </w:rPr>
              <w:t>-E</w:t>
            </w:r>
          </w:p>
        </w:tc>
      </w:tr>
      <w:tr w:rsidR="00683C32" w14:paraId="24D04936" w14:textId="77777777" w:rsidTr="0009076F">
        <w:trPr>
          <w:cantSplit/>
        </w:trPr>
        <w:tc>
          <w:tcPr>
            <w:tcW w:w="6379" w:type="dxa"/>
          </w:tcPr>
          <w:p w14:paraId="12CE4DBF" w14:textId="77777777" w:rsidR="00683C32" w:rsidRPr="007F1CC7" w:rsidRDefault="00683C32" w:rsidP="00400CCF">
            <w:pPr>
              <w:spacing w:before="0"/>
              <w:rPr>
                <w:b/>
                <w:bCs/>
                <w:smallCaps/>
                <w:szCs w:val="24"/>
                <w:lang w:val="en-US"/>
              </w:rPr>
            </w:pPr>
          </w:p>
        </w:tc>
        <w:tc>
          <w:tcPr>
            <w:tcW w:w="3509" w:type="dxa"/>
          </w:tcPr>
          <w:p w14:paraId="0F89640F" w14:textId="357C9D5F" w:rsidR="00683C32" w:rsidRPr="007F1CC7" w:rsidRDefault="00FC5D00" w:rsidP="00B648C7">
            <w:pPr>
              <w:spacing w:before="0"/>
              <w:rPr>
                <w:b/>
                <w:szCs w:val="24"/>
              </w:rPr>
            </w:pPr>
            <w:bookmarkStart w:id="2" w:name="CreationDate"/>
            <w:bookmarkEnd w:id="2"/>
            <w:r>
              <w:rPr>
                <w:b/>
                <w:bCs/>
                <w:szCs w:val="28"/>
              </w:rPr>
              <w:t>7</w:t>
            </w:r>
            <w:r w:rsidR="00441D1A">
              <w:rPr>
                <w:b/>
                <w:bCs/>
                <w:szCs w:val="28"/>
              </w:rPr>
              <w:t xml:space="preserve"> </w:t>
            </w:r>
            <w:r w:rsidR="00D81F65">
              <w:rPr>
                <w:b/>
                <w:bCs/>
                <w:szCs w:val="28"/>
              </w:rPr>
              <w:t>June</w:t>
            </w:r>
            <w:r w:rsidR="00441D1A">
              <w:rPr>
                <w:b/>
                <w:bCs/>
                <w:szCs w:val="28"/>
              </w:rPr>
              <w:t xml:space="preserve"> 2023</w:t>
            </w:r>
          </w:p>
        </w:tc>
      </w:tr>
      <w:tr w:rsidR="00683C32" w14:paraId="7B96545F" w14:textId="77777777" w:rsidTr="0009076F">
        <w:trPr>
          <w:cantSplit/>
        </w:trPr>
        <w:tc>
          <w:tcPr>
            <w:tcW w:w="6379" w:type="dxa"/>
          </w:tcPr>
          <w:p w14:paraId="65956FD3" w14:textId="77777777" w:rsidR="00683C32" w:rsidRPr="007F1CC7" w:rsidRDefault="00683C32" w:rsidP="00400CCF">
            <w:pPr>
              <w:spacing w:before="0"/>
              <w:rPr>
                <w:b/>
                <w:bCs/>
                <w:smallCaps/>
                <w:szCs w:val="24"/>
              </w:rPr>
            </w:pPr>
          </w:p>
        </w:tc>
        <w:tc>
          <w:tcPr>
            <w:tcW w:w="3509" w:type="dxa"/>
          </w:tcPr>
          <w:p w14:paraId="30EFD39F" w14:textId="60961B3B" w:rsidR="00514D2F" w:rsidRPr="007F1CC7" w:rsidRDefault="0096201B" w:rsidP="00400CCF">
            <w:pPr>
              <w:spacing w:before="0"/>
              <w:rPr>
                <w:szCs w:val="24"/>
              </w:rPr>
            </w:pPr>
            <w:r>
              <w:rPr>
                <w:b/>
              </w:rPr>
              <w:t>Original:</w:t>
            </w:r>
            <w:bookmarkStart w:id="3" w:name="Original"/>
            <w:bookmarkEnd w:id="3"/>
            <w:r w:rsidR="00CE0422">
              <w:rPr>
                <w:b/>
              </w:rPr>
              <w:t xml:space="preserve"> </w:t>
            </w:r>
            <w:r w:rsidR="00CA23BC">
              <w:rPr>
                <w:b/>
              </w:rPr>
              <w:t>English</w:t>
            </w:r>
          </w:p>
        </w:tc>
      </w:tr>
      <w:tr w:rsidR="00A13162" w14:paraId="31656E31" w14:textId="77777777" w:rsidTr="00107E85">
        <w:trPr>
          <w:cantSplit/>
          <w:trHeight w:val="852"/>
        </w:trPr>
        <w:tc>
          <w:tcPr>
            <w:tcW w:w="9888" w:type="dxa"/>
            <w:gridSpan w:val="2"/>
          </w:tcPr>
          <w:p w14:paraId="512FCA01" w14:textId="75CFDBBA" w:rsidR="00A13162" w:rsidRPr="0030353C" w:rsidRDefault="00B05372" w:rsidP="0030353C">
            <w:pPr>
              <w:pStyle w:val="Source"/>
            </w:pPr>
            <w:bookmarkStart w:id="4" w:name="Source"/>
            <w:bookmarkEnd w:id="4"/>
            <w:r>
              <w:t>Timor Leste</w:t>
            </w:r>
          </w:p>
        </w:tc>
      </w:tr>
      <w:tr w:rsidR="00AC6F14" w:rsidRPr="002E6963" w14:paraId="2CBD3A36" w14:textId="77777777" w:rsidTr="00107E85">
        <w:trPr>
          <w:cantSplit/>
        </w:trPr>
        <w:tc>
          <w:tcPr>
            <w:tcW w:w="9888" w:type="dxa"/>
            <w:gridSpan w:val="2"/>
          </w:tcPr>
          <w:p w14:paraId="1B4121DF" w14:textId="183F4F97" w:rsidR="00AC6F14" w:rsidRPr="0030353C" w:rsidRDefault="00FC5D00" w:rsidP="0030353C">
            <w:pPr>
              <w:pStyle w:val="Title1"/>
            </w:pPr>
            <w:bookmarkStart w:id="5" w:name="Title"/>
            <w:bookmarkEnd w:id="5"/>
            <w:r w:rsidRPr="00FC5D00">
              <w:t xml:space="preserve">Connecting Timor-Leste's Schools: </w:t>
            </w:r>
            <w:r>
              <w:br/>
            </w:r>
            <w:r w:rsidRPr="00FC5D00">
              <w:t>Seeking ITU Support for Building a National School Network</w:t>
            </w:r>
          </w:p>
        </w:tc>
      </w:tr>
      <w:tr w:rsidR="00A721F4" w:rsidRPr="002E6963" w14:paraId="23A30231" w14:textId="77777777" w:rsidTr="00A721F4">
        <w:trPr>
          <w:cantSplit/>
        </w:trPr>
        <w:tc>
          <w:tcPr>
            <w:tcW w:w="9888" w:type="dxa"/>
            <w:gridSpan w:val="2"/>
            <w:tcBorders>
              <w:bottom w:val="single" w:sz="4" w:space="0" w:color="auto"/>
            </w:tcBorders>
          </w:tcPr>
          <w:p w14:paraId="726EE70E" w14:textId="77777777" w:rsidR="00A721F4" w:rsidRPr="00A721F4" w:rsidRDefault="00A721F4" w:rsidP="0030353C"/>
        </w:tc>
      </w:tr>
      <w:tr w:rsidR="00A721F4" w:rsidRPr="002E6963" w14:paraId="590033C8" w14:textId="77777777" w:rsidTr="00A721F4">
        <w:trPr>
          <w:cantSplit/>
        </w:trPr>
        <w:tc>
          <w:tcPr>
            <w:tcW w:w="9888" w:type="dxa"/>
            <w:gridSpan w:val="2"/>
            <w:tcBorders>
              <w:top w:val="single" w:sz="4" w:space="0" w:color="auto"/>
              <w:left w:val="single" w:sz="4" w:space="0" w:color="auto"/>
              <w:bottom w:val="single" w:sz="4" w:space="0" w:color="auto"/>
              <w:right w:val="single" w:sz="4" w:space="0" w:color="auto"/>
            </w:tcBorders>
          </w:tcPr>
          <w:p w14:paraId="3F97E040" w14:textId="77777777" w:rsidR="00A721F4" w:rsidRPr="00D9621A" w:rsidRDefault="00A721F4" w:rsidP="00FC5D00">
            <w:pPr>
              <w:spacing w:after="120"/>
              <w:rPr>
                <w:b/>
                <w:bCs/>
                <w:szCs w:val="24"/>
              </w:rPr>
            </w:pPr>
            <w:r w:rsidRPr="00D9621A">
              <w:rPr>
                <w:b/>
                <w:bCs/>
                <w:szCs w:val="24"/>
              </w:rPr>
              <w:t>Summary:</w:t>
            </w:r>
          </w:p>
          <w:p w14:paraId="66074D68" w14:textId="77777777" w:rsidR="00FC5D00" w:rsidRDefault="00FC5D00" w:rsidP="00FC5D00">
            <w:pPr>
              <w:spacing w:after="120"/>
            </w:pPr>
            <w:r w:rsidRPr="00FC5D00">
              <w:t xml:space="preserve">Timor-Leste warmly invites ITU to consider supporting measures that would facilitate the successful planning and construction of a national school network in Timor-Leste, ensuring a safe and secure online environment for all students across the country. </w:t>
            </w:r>
          </w:p>
          <w:p w14:paraId="76A1C541" w14:textId="200E7766" w:rsidR="00A721F4" w:rsidRPr="00D9621A" w:rsidRDefault="00A721F4" w:rsidP="00FC5D00">
            <w:pPr>
              <w:spacing w:after="120"/>
              <w:rPr>
                <w:b/>
                <w:bCs/>
                <w:szCs w:val="24"/>
              </w:rPr>
            </w:pPr>
            <w:r w:rsidRPr="005E090D">
              <w:rPr>
                <w:b/>
                <w:bCs/>
              </w:rPr>
              <w:t>Action required:</w:t>
            </w:r>
          </w:p>
          <w:p w14:paraId="41F8ADA7" w14:textId="79ECFF9C" w:rsidR="00B05372" w:rsidRDefault="00FC5D00" w:rsidP="00FC5D00">
            <w:pPr>
              <w:spacing w:after="120"/>
            </w:pPr>
            <w:r w:rsidRPr="00FC5D00">
              <w:t>TDAG is invited to consider this document and provide guidance as deemed appropriate.</w:t>
            </w:r>
          </w:p>
          <w:p w14:paraId="622ACB80" w14:textId="21E3F9F3" w:rsidR="00A721F4" w:rsidRPr="00D9621A" w:rsidRDefault="00A721F4" w:rsidP="00FC5D00">
            <w:pPr>
              <w:spacing w:after="120"/>
              <w:rPr>
                <w:b/>
                <w:bCs/>
                <w:szCs w:val="24"/>
              </w:rPr>
            </w:pPr>
            <w:r w:rsidRPr="00D9621A">
              <w:rPr>
                <w:b/>
                <w:bCs/>
                <w:szCs w:val="24"/>
              </w:rPr>
              <w:t>References:</w:t>
            </w:r>
          </w:p>
          <w:p w14:paraId="063F1C7B" w14:textId="5A1D2DB5" w:rsidR="00FC5D00" w:rsidRDefault="00FC5D00" w:rsidP="00FC5D00">
            <w:pPr>
              <w:spacing w:after="120"/>
              <w:rPr>
                <w:szCs w:val="24"/>
              </w:rPr>
            </w:pPr>
            <w:r>
              <w:rPr>
                <w:szCs w:val="24"/>
              </w:rPr>
              <w:t>WTDC Resolution 87 (Kigali, 2022) – Connecting every school to the Internet and every young person to information and communication technology services. This Resolution aims to ensure that every school is connected to the Internet through the joint ITU UNICEF Giga initiative.</w:t>
            </w:r>
          </w:p>
          <w:p w14:paraId="3E34483E" w14:textId="72AA9595" w:rsidR="00FC5D00" w:rsidRDefault="00FC5D00" w:rsidP="00FC5D00">
            <w:pPr>
              <w:spacing w:after="120"/>
              <w:rPr>
                <w:szCs w:val="24"/>
              </w:rPr>
            </w:pPr>
            <w:r>
              <w:rPr>
                <w:szCs w:val="24"/>
              </w:rPr>
              <w:t>WTDC Resolution 67 (Rev. Kigali, 2022) – The role of the ITU Telecommunication Development Sector in child online protection</w:t>
            </w:r>
          </w:p>
          <w:p w14:paraId="76C436C8" w14:textId="15395C15" w:rsidR="00FC5D00" w:rsidRDefault="00FC5D00" w:rsidP="00FC5D00">
            <w:pPr>
              <w:spacing w:after="120"/>
              <w:rPr>
                <w:szCs w:val="24"/>
              </w:rPr>
            </w:pPr>
            <w:r>
              <w:rPr>
                <w:szCs w:val="24"/>
              </w:rPr>
              <w:t>WTDC Resolution 58 (Rev. Geneva, 2022) – Encouraging the creation of national computer incident response teams (CIRTs), particularly for developing countries</w:t>
            </w:r>
          </w:p>
          <w:p w14:paraId="1ECDD20E" w14:textId="108D3F31" w:rsidR="00A721F4" w:rsidRPr="00FC5D00" w:rsidRDefault="00FC5D00" w:rsidP="00FC5D00">
            <w:pPr>
              <w:spacing w:after="120"/>
              <w:rPr>
                <w:szCs w:val="24"/>
              </w:rPr>
            </w:pPr>
            <w:r>
              <w:rPr>
                <w:szCs w:val="24"/>
              </w:rPr>
              <w:t>ITU-D Study Group 2 Question 3/2 – Securing information and communication networks: Best practices for developing a culture of cybersecurity.</w:t>
            </w:r>
          </w:p>
        </w:tc>
      </w:tr>
    </w:tbl>
    <w:p w14:paraId="199DC03F" w14:textId="742AE85D" w:rsidR="00B50574" w:rsidRDefault="00B50574" w:rsidP="00BA2A30">
      <w:pPr>
        <w:tabs>
          <w:tab w:val="clear" w:pos="794"/>
          <w:tab w:val="clear" w:pos="1191"/>
          <w:tab w:val="clear" w:pos="1588"/>
          <w:tab w:val="clear" w:pos="1985"/>
        </w:tabs>
        <w:spacing w:after="120"/>
        <w:jc w:val="center"/>
        <w:rPr>
          <w:b/>
          <w:szCs w:val="24"/>
        </w:rPr>
      </w:pPr>
      <w:bookmarkStart w:id="6" w:name="Proposal"/>
      <w:bookmarkEnd w:id="6"/>
    </w:p>
    <w:p w14:paraId="2D214062" w14:textId="77777777" w:rsidR="00B50574" w:rsidRDefault="00B50574">
      <w:pPr>
        <w:tabs>
          <w:tab w:val="clear" w:pos="794"/>
          <w:tab w:val="clear" w:pos="1191"/>
          <w:tab w:val="clear" w:pos="1588"/>
          <w:tab w:val="clear" w:pos="1985"/>
        </w:tabs>
        <w:overflowPunct/>
        <w:autoSpaceDE/>
        <w:autoSpaceDN/>
        <w:adjustRightInd/>
        <w:spacing w:before="0"/>
        <w:textAlignment w:val="auto"/>
        <w:rPr>
          <w:b/>
          <w:szCs w:val="24"/>
        </w:rPr>
      </w:pPr>
      <w:r>
        <w:rPr>
          <w:b/>
          <w:szCs w:val="24"/>
        </w:rPr>
        <w:br w:type="page"/>
      </w:r>
    </w:p>
    <w:p w14:paraId="3D0E7A96" w14:textId="77777777" w:rsidR="00FC5D00" w:rsidRPr="00FC5D00" w:rsidRDefault="00FC5D00" w:rsidP="00FC5D00">
      <w:pPr>
        <w:numPr>
          <w:ilvl w:val="0"/>
          <w:numId w:val="15"/>
        </w:numPr>
        <w:pBdr>
          <w:top w:val="nil"/>
          <w:left w:val="nil"/>
          <w:bottom w:val="nil"/>
          <w:right w:val="nil"/>
          <w:between w:val="nil"/>
        </w:pBdr>
        <w:tabs>
          <w:tab w:val="clear" w:pos="794"/>
          <w:tab w:val="clear" w:pos="1191"/>
          <w:tab w:val="clear" w:pos="1588"/>
          <w:tab w:val="clear" w:pos="1985"/>
        </w:tabs>
        <w:overflowPunct/>
        <w:autoSpaceDE/>
        <w:autoSpaceDN/>
        <w:adjustRightInd/>
        <w:spacing w:after="120"/>
        <w:ind w:left="357" w:hanging="357"/>
        <w:textAlignment w:val="auto"/>
        <w:rPr>
          <w:rFonts w:cstheme="minorHAnsi"/>
          <w:b/>
          <w:color w:val="000000"/>
          <w:szCs w:val="24"/>
        </w:rPr>
      </w:pPr>
      <w:r w:rsidRPr="00FC5D00">
        <w:rPr>
          <w:rFonts w:cstheme="minorHAnsi"/>
          <w:b/>
          <w:color w:val="000000"/>
          <w:szCs w:val="24"/>
        </w:rPr>
        <w:lastRenderedPageBreak/>
        <w:t>Introduction</w:t>
      </w:r>
    </w:p>
    <w:p w14:paraId="6F819FBC" w14:textId="0AD08E8A" w:rsidR="00FC5D00" w:rsidRPr="00FC5D00" w:rsidRDefault="00FC5D00" w:rsidP="00FC5D00">
      <w:pPr>
        <w:pBdr>
          <w:top w:val="nil"/>
          <w:left w:val="nil"/>
          <w:bottom w:val="nil"/>
          <w:right w:val="nil"/>
          <w:between w:val="nil"/>
        </w:pBdr>
        <w:spacing w:after="120"/>
        <w:rPr>
          <w:rFonts w:cstheme="minorHAnsi"/>
          <w:szCs w:val="24"/>
        </w:rPr>
      </w:pPr>
      <w:r w:rsidRPr="00FC5D00">
        <w:rPr>
          <w:rFonts w:cstheme="minorHAnsi"/>
          <w:szCs w:val="24"/>
        </w:rPr>
        <w:t>R</w:t>
      </w:r>
      <w:r>
        <w:rPr>
          <w:rFonts w:cstheme="minorHAnsi"/>
          <w:szCs w:val="24"/>
        </w:rPr>
        <w:t>esolution 8</w:t>
      </w:r>
      <w:r w:rsidRPr="00FC5D00">
        <w:rPr>
          <w:rFonts w:cstheme="minorHAnsi"/>
          <w:szCs w:val="24"/>
        </w:rPr>
        <w:t>7 (Kigali, 2022): “Connecting every school to the Internet and every young person to information and communication technology services” aims to ensure that every school is connected to the Internet through the joint ITU UNICEF GIGA initiative.</w:t>
      </w:r>
    </w:p>
    <w:p w14:paraId="5AD9E7EE" w14:textId="77777777" w:rsidR="00FC5D00" w:rsidRPr="00FC5D00" w:rsidRDefault="00FC5D00" w:rsidP="00FC5D00">
      <w:pPr>
        <w:pBdr>
          <w:top w:val="nil"/>
          <w:left w:val="nil"/>
          <w:bottom w:val="nil"/>
          <w:right w:val="nil"/>
          <w:between w:val="nil"/>
        </w:pBdr>
        <w:spacing w:after="120"/>
        <w:rPr>
          <w:rFonts w:cstheme="minorHAnsi"/>
          <w:szCs w:val="24"/>
        </w:rPr>
      </w:pPr>
      <w:r w:rsidRPr="00FC5D00">
        <w:rPr>
          <w:rFonts w:cstheme="minorHAnsi"/>
          <w:szCs w:val="24"/>
        </w:rPr>
        <w:t>The GIGA initiative aimed at connecting every school and its surrounding communities to the internet. It seeks to facilitate the deployment of digital infrastructure, improve access to affordable and reliable internet services, and promote digital literacy and digital skills development. By connecting schools and communities, GIGA aims to enhance learning opportunities, empower teachers, and bridge the digital divide, particularly in low- and middle-income countries.</w:t>
      </w:r>
    </w:p>
    <w:p w14:paraId="74A38061" w14:textId="77777777" w:rsidR="00FC5D00" w:rsidRPr="00FC5D00" w:rsidRDefault="00FC5D00" w:rsidP="00FC5D00">
      <w:pPr>
        <w:pBdr>
          <w:top w:val="nil"/>
          <w:left w:val="nil"/>
          <w:bottom w:val="nil"/>
          <w:right w:val="nil"/>
          <w:between w:val="nil"/>
        </w:pBdr>
        <w:spacing w:after="120"/>
        <w:rPr>
          <w:rFonts w:cstheme="minorHAnsi"/>
          <w:szCs w:val="24"/>
        </w:rPr>
      </w:pPr>
      <w:r w:rsidRPr="00FC5D00">
        <w:rPr>
          <w:rFonts w:cstheme="minorHAnsi"/>
          <w:szCs w:val="24"/>
        </w:rPr>
        <w:t>GIGA operates in close collaboration with governments, international organizations, private sector entities, and civil society to achieve its objectives. By leveraging the expertise and resources of various stakeholders, GIGA aims to create sustainable and scalable solutions to ensure every child's right to education and digital connectivity.</w:t>
      </w:r>
    </w:p>
    <w:p w14:paraId="557C188D" w14:textId="77777777" w:rsidR="00FC5D00" w:rsidRPr="00FC5D00" w:rsidRDefault="00FC5D00" w:rsidP="00FC5D00">
      <w:pPr>
        <w:pBdr>
          <w:top w:val="nil"/>
          <w:left w:val="nil"/>
          <w:bottom w:val="nil"/>
          <w:right w:val="nil"/>
          <w:between w:val="nil"/>
        </w:pBdr>
        <w:spacing w:after="120"/>
        <w:rPr>
          <w:rFonts w:cstheme="minorHAnsi"/>
          <w:szCs w:val="24"/>
        </w:rPr>
      </w:pPr>
      <w:r w:rsidRPr="00FC5D00">
        <w:rPr>
          <w:rFonts w:cstheme="minorHAnsi"/>
          <w:szCs w:val="24"/>
        </w:rPr>
        <w:t>Timor-Leste is undertaking a significant initiative to embark on a comprehensive digital transformation journey, as outlined in the Strategic Development Plan (SDP) 2011-2030 and more recently, the Timor Digital 2032. The latter is a roadmap for the Eighth Constitutional Government to embrace digital technologies as a catalyst for national development. The emphasis is on leveraging digital solutions in vital areas that have the greatest potential to enhance human well-being and economic growth. This includes the efficient delivery of government services, fostering an inclusive economy, and improving services in crucial sectors such as healthcare, agriculture and most importantly education.</w:t>
      </w:r>
    </w:p>
    <w:p w14:paraId="14C6BE14" w14:textId="77777777" w:rsidR="00FC5D00" w:rsidRPr="00FC5D00" w:rsidRDefault="00FC5D00" w:rsidP="00FC5D00">
      <w:pPr>
        <w:pBdr>
          <w:top w:val="nil"/>
          <w:left w:val="nil"/>
          <w:bottom w:val="nil"/>
          <w:right w:val="nil"/>
          <w:between w:val="nil"/>
        </w:pBdr>
        <w:spacing w:after="120"/>
        <w:rPr>
          <w:rFonts w:cstheme="minorHAnsi"/>
          <w:szCs w:val="24"/>
        </w:rPr>
      </w:pPr>
      <w:r w:rsidRPr="00FC5D00">
        <w:rPr>
          <w:rFonts w:cstheme="minorHAnsi"/>
          <w:szCs w:val="24"/>
        </w:rPr>
        <w:t>To realize the visions set out in its Strategic Development Plan, Timor-Leste Government has adopted as a priority strategy in its National Program</w:t>
      </w:r>
      <w:r w:rsidRPr="00FC5D00">
        <w:rPr>
          <w:rStyle w:val="FootnoteReference"/>
          <w:rFonts w:cstheme="minorHAnsi"/>
          <w:szCs w:val="18"/>
        </w:rPr>
        <w:footnoteReference w:id="1"/>
      </w:r>
      <w:r w:rsidRPr="00FC5D00">
        <w:rPr>
          <w:rFonts w:cstheme="minorHAnsi"/>
          <w:szCs w:val="24"/>
        </w:rPr>
        <w:t xml:space="preserve"> measures to removing barriers to access to education by ensuring that all children and young people have access to quality education, regardless of their social and economic status and where they live in by promoting the use of Information and Communication Technologies (ICT) and connecting all schools in the country. </w:t>
      </w:r>
    </w:p>
    <w:p w14:paraId="2776CB7A" w14:textId="142EE17A" w:rsidR="00FC5D00" w:rsidRPr="00FC5D00" w:rsidRDefault="00FC5D00" w:rsidP="00FC5D00">
      <w:pPr>
        <w:pBdr>
          <w:top w:val="nil"/>
          <w:left w:val="nil"/>
          <w:bottom w:val="nil"/>
          <w:right w:val="nil"/>
          <w:between w:val="nil"/>
        </w:pBdr>
        <w:spacing w:after="120"/>
        <w:rPr>
          <w:rFonts w:cstheme="minorHAnsi"/>
          <w:szCs w:val="24"/>
        </w:rPr>
      </w:pPr>
      <w:r w:rsidRPr="00FC5D00">
        <w:rPr>
          <w:rFonts w:cstheme="minorHAnsi"/>
          <w:szCs w:val="24"/>
        </w:rPr>
        <w:t xml:space="preserve">To ensure that the country will have the bandwidth required for its digital transformation, the Government has made a public investment in the construction of an International submarine cable system. The Timor-Leste South Submarine Cable (TLSSC) is being built by Alcatel Submarine Networks which is expected to be ready for service by the end of 2024. </w:t>
      </w:r>
    </w:p>
    <w:p w14:paraId="1368C25E" w14:textId="77777777" w:rsidR="00FC5D00" w:rsidRPr="00FC5D00" w:rsidRDefault="00FC5D00" w:rsidP="00FC5D00">
      <w:pPr>
        <w:pBdr>
          <w:top w:val="nil"/>
          <w:left w:val="nil"/>
          <w:bottom w:val="nil"/>
          <w:right w:val="nil"/>
          <w:between w:val="nil"/>
        </w:pBdr>
        <w:spacing w:after="120"/>
        <w:rPr>
          <w:rFonts w:cstheme="minorHAnsi"/>
          <w:szCs w:val="24"/>
        </w:rPr>
      </w:pPr>
      <w:r w:rsidRPr="00FC5D00">
        <w:rPr>
          <w:rFonts w:cstheme="minorHAnsi"/>
          <w:szCs w:val="24"/>
        </w:rPr>
        <w:t xml:space="preserve">Meanwhile to accelerate capacity building in the higher education sector, the National Program has committed to strengthening the </w:t>
      </w:r>
      <w:r w:rsidRPr="00FC5D00">
        <w:rPr>
          <w:rFonts w:cstheme="minorHAnsi"/>
          <w:b/>
          <w:szCs w:val="24"/>
        </w:rPr>
        <w:t>Timor-Leste Research and Education Network</w:t>
      </w:r>
      <w:r w:rsidRPr="00FC5D00">
        <w:rPr>
          <w:rFonts w:cstheme="minorHAnsi"/>
          <w:szCs w:val="24"/>
        </w:rPr>
        <w:t xml:space="preserve"> </w:t>
      </w:r>
      <w:r w:rsidRPr="00FC5D00">
        <w:rPr>
          <w:rFonts w:cstheme="minorHAnsi"/>
          <w:b/>
          <w:szCs w:val="24"/>
        </w:rPr>
        <w:t>(TLREN)</w:t>
      </w:r>
      <w:r w:rsidRPr="00FC5D00">
        <w:rPr>
          <w:rFonts w:cstheme="minorHAnsi"/>
          <w:szCs w:val="24"/>
        </w:rPr>
        <w:t>, including a commitment to allocate dedicated Internet bandwidth on the public funded submarine cable system to support higher education institutions in the country.</w:t>
      </w:r>
    </w:p>
    <w:p w14:paraId="34F548B8" w14:textId="77777777" w:rsidR="00FC5D00" w:rsidRPr="00FC5D00" w:rsidRDefault="00FC5D00" w:rsidP="00FC5D00">
      <w:pPr>
        <w:pBdr>
          <w:top w:val="nil"/>
          <w:left w:val="nil"/>
          <w:bottom w:val="nil"/>
          <w:right w:val="nil"/>
          <w:between w:val="nil"/>
        </w:pBdr>
        <w:spacing w:after="120"/>
        <w:rPr>
          <w:rFonts w:cstheme="minorHAnsi"/>
          <w:szCs w:val="24"/>
        </w:rPr>
      </w:pPr>
      <w:r w:rsidRPr="00FC5D00">
        <w:rPr>
          <w:rFonts w:cstheme="minorHAnsi"/>
          <w:szCs w:val="24"/>
        </w:rPr>
        <w:t>More recently, at WDTC 2022 in Kigali and the ITU PP-22 in Bucharest, the Government has pledged to commit:</w:t>
      </w:r>
    </w:p>
    <w:p w14:paraId="40F39A01" w14:textId="77777777" w:rsidR="00FC5D00" w:rsidRPr="00FC5D00" w:rsidRDefault="00FC5D00" w:rsidP="00FC5D00">
      <w:pPr>
        <w:pStyle w:val="ListParagraph"/>
        <w:numPr>
          <w:ilvl w:val="0"/>
          <w:numId w:val="16"/>
        </w:numPr>
        <w:pBdr>
          <w:top w:val="nil"/>
          <w:left w:val="nil"/>
          <w:bottom w:val="nil"/>
          <w:right w:val="nil"/>
          <w:between w:val="nil"/>
        </w:pBdr>
        <w:tabs>
          <w:tab w:val="clear" w:pos="1134"/>
          <w:tab w:val="clear" w:pos="1871"/>
          <w:tab w:val="clear" w:pos="2268"/>
        </w:tabs>
        <w:overflowPunct/>
        <w:autoSpaceDE/>
        <w:autoSpaceDN/>
        <w:adjustRightInd/>
        <w:spacing w:before="60" w:after="60"/>
        <w:ind w:left="357" w:hanging="357"/>
        <w:contextualSpacing w:val="0"/>
        <w:textAlignment w:val="auto"/>
        <w:rPr>
          <w:rFonts w:cstheme="minorHAnsi"/>
          <w:szCs w:val="24"/>
        </w:rPr>
      </w:pPr>
      <w:r w:rsidRPr="00FC5D00">
        <w:rPr>
          <w:rFonts w:cstheme="minorHAnsi"/>
          <w:szCs w:val="24"/>
        </w:rPr>
        <w:t>to allocate dedicated Internet bandwidth of 20Gbps to the Timor-Leste Research and Education Network (TLREN) from the TLSSC cable system from 2024;</w:t>
      </w:r>
    </w:p>
    <w:p w14:paraId="5C67E610" w14:textId="77777777" w:rsidR="00FC5D00" w:rsidRPr="00FC5D00" w:rsidRDefault="00FC5D00" w:rsidP="00FC5D00">
      <w:pPr>
        <w:pStyle w:val="ListParagraph"/>
        <w:numPr>
          <w:ilvl w:val="0"/>
          <w:numId w:val="16"/>
        </w:numPr>
        <w:pBdr>
          <w:top w:val="nil"/>
          <w:left w:val="nil"/>
          <w:bottom w:val="nil"/>
          <w:right w:val="nil"/>
          <w:between w:val="nil"/>
        </w:pBdr>
        <w:tabs>
          <w:tab w:val="clear" w:pos="1134"/>
          <w:tab w:val="clear" w:pos="1871"/>
          <w:tab w:val="clear" w:pos="2268"/>
        </w:tabs>
        <w:overflowPunct/>
        <w:autoSpaceDE/>
        <w:autoSpaceDN/>
        <w:adjustRightInd/>
        <w:spacing w:before="60" w:after="60"/>
        <w:ind w:left="357" w:hanging="357"/>
        <w:contextualSpacing w:val="0"/>
        <w:textAlignment w:val="auto"/>
        <w:rPr>
          <w:rFonts w:cstheme="minorHAnsi"/>
          <w:szCs w:val="24"/>
        </w:rPr>
      </w:pPr>
      <w:r w:rsidRPr="00FC5D00">
        <w:rPr>
          <w:rFonts w:cstheme="minorHAnsi"/>
          <w:szCs w:val="24"/>
        </w:rPr>
        <w:t>to connect all schools by 2030;</w:t>
      </w:r>
    </w:p>
    <w:p w14:paraId="18F1DB84" w14:textId="77777777" w:rsidR="00FC5D00" w:rsidRPr="00FC5D00" w:rsidRDefault="00FC5D00" w:rsidP="00FC5D00">
      <w:pPr>
        <w:pStyle w:val="ListParagraph"/>
        <w:numPr>
          <w:ilvl w:val="0"/>
          <w:numId w:val="16"/>
        </w:numPr>
        <w:pBdr>
          <w:top w:val="nil"/>
          <w:left w:val="nil"/>
          <w:bottom w:val="nil"/>
          <w:right w:val="nil"/>
          <w:between w:val="nil"/>
        </w:pBdr>
        <w:tabs>
          <w:tab w:val="clear" w:pos="1134"/>
          <w:tab w:val="clear" w:pos="1871"/>
          <w:tab w:val="clear" w:pos="2268"/>
        </w:tabs>
        <w:overflowPunct/>
        <w:autoSpaceDE/>
        <w:autoSpaceDN/>
        <w:adjustRightInd/>
        <w:spacing w:before="60" w:after="60"/>
        <w:ind w:left="357" w:hanging="357"/>
        <w:contextualSpacing w:val="0"/>
        <w:textAlignment w:val="auto"/>
        <w:rPr>
          <w:rFonts w:cstheme="minorHAnsi"/>
          <w:szCs w:val="24"/>
        </w:rPr>
      </w:pPr>
      <w:r w:rsidRPr="00FC5D00">
        <w:rPr>
          <w:rFonts w:cstheme="minorHAnsi"/>
          <w:szCs w:val="24"/>
        </w:rPr>
        <w:t>to connect all health clinics by 2030.</w:t>
      </w:r>
    </w:p>
    <w:p w14:paraId="53FED5C4" w14:textId="77777777" w:rsidR="00FC5D00" w:rsidRPr="00FC5D00" w:rsidRDefault="00FC5D00" w:rsidP="00FC5D00">
      <w:pPr>
        <w:pBdr>
          <w:top w:val="nil"/>
          <w:left w:val="nil"/>
          <w:bottom w:val="nil"/>
          <w:right w:val="nil"/>
          <w:between w:val="nil"/>
        </w:pBdr>
        <w:spacing w:after="120"/>
        <w:rPr>
          <w:rFonts w:cstheme="minorHAnsi"/>
          <w:szCs w:val="24"/>
        </w:rPr>
      </w:pPr>
      <w:r w:rsidRPr="00FC5D00">
        <w:rPr>
          <w:rFonts w:cstheme="minorHAnsi"/>
          <w:szCs w:val="24"/>
        </w:rPr>
        <w:lastRenderedPageBreak/>
        <w:t xml:space="preserve">The pledge signifies the Timor-Leste Government's commitment to drawing from the experiences of other Least Developed Country (LDC) governments. Recognizing the profound benefits of connecting schools to the Internet, the government aims to empower school communities with the following advantages: </w:t>
      </w:r>
    </w:p>
    <w:p w14:paraId="725BAD5F" w14:textId="77777777" w:rsidR="00FC5D00" w:rsidRPr="00FC5D00" w:rsidRDefault="00FC5D00" w:rsidP="00FC5D00">
      <w:pPr>
        <w:pStyle w:val="ListParagraph"/>
        <w:numPr>
          <w:ilvl w:val="0"/>
          <w:numId w:val="18"/>
        </w:numPr>
        <w:pBdr>
          <w:top w:val="nil"/>
          <w:left w:val="nil"/>
          <w:bottom w:val="nil"/>
          <w:right w:val="nil"/>
          <w:between w:val="nil"/>
        </w:pBdr>
        <w:tabs>
          <w:tab w:val="clear" w:pos="1134"/>
          <w:tab w:val="clear" w:pos="1871"/>
          <w:tab w:val="clear" w:pos="2268"/>
        </w:tabs>
        <w:overflowPunct/>
        <w:autoSpaceDE/>
        <w:autoSpaceDN/>
        <w:adjustRightInd/>
        <w:spacing w:before="60" w:after="60"/>
        <w:ind w:left="357" w:hanging="357"/>
        <w:contextualSpacing w:val="0"/>
        <w:textAlignment w:val="auto"/>
        <w:rPr>
          <w:rFonts w:cstheme="minorHAnsi"/>
          <w:szCs w:val="24"/>
        </w:rPr>
      </w:pPr>
      <w:r w:rsidRPr="00FC5D00">
        <w:rPr>
          <w:rFonts w:cstheme="minorHAnsi"/>
          <w:szCs w:val="24"/>
        </w:rPr>
        <w:t>Access to Quality Education: LDCs often face challenges in providing quality education due to limited resources and infrastructure. Connecting schools online can bridge this gap by providing access to educational resources, e-learning platforms, and digital content. Students in LDCs can benefit from up-to-date and relevant educational materials, ensuring a higher quality of education.</w:t>
      </w:r>
    </w:p>
    <w:p w14:paraId="4217084D" w14:textId="77777777" w:rsidR="00FC5D00" w:rsidRPr="00FC5D00" w:rsidRDefault="00FC5D00" w:rsidP="00FC5D00">
      <w:pPr>
        <w:pStyle w:val="ListParagraph"/>
        <w:numPr>
          <w:ilvl w:val="0"/>
          <w:numId w:val="18"/>
        </w:numPr>
        <w:pBdr>
          <w:top w:val="nil"/>
          <w:left w:val="nil"/>
          <w:bottom w:val="nil"/>
          <w:right w:val="nil"/>
          <w:between w:val="nil"/>
        </w:pBdr>
        <w:tabs>
          <w:tab w:val="clear" w:pos="1134"/>
          <w:tab w:val="clear" w:pos="1871"/>
          <w:tab w:val="clear" w:pos="2268"/>
        </w:tabs>
        <w:overflowPunct/>
        <w:autoSpaceDE/>
        <w:autoSpaceDN/>
        <w:adjustRightInd/>
        <w:spacing w:before="60" w:after="60"/>
        <w:ind w:left="357" w:hanging="357"/>
        <w:contextualSpacing w:val="0"/>
        <w:textAlignment w:val="auto"/>
        <w:rPr>
          <w:rFonts w:cstheme="minorHAnsi"/>
          <w:szCs w:val="24"/>
        </w:rPr>
      </w:pPr>
      <w:r w:rsidRPr="00FC5D00">
        <w:rPr>
          <w:rFonts w:cstheme="minorHAnsi"/>
          <w:szCs w:val="24"/>
        </w:rPr>
        <w:t>Teacher Professional Development: Online connectivity enables teachers in LDCs to access professional development opportunities more easily. They can participate in online training programs, attend webinars, collaborate with educators globally, and stay updated with the latest teaching methodologies and resources. Enhanced teacher professional development ultimately improves the quality of education provided in LDCs.</w:t>
      </w:r>
    </w:p>
    <w:p w14:paraId="08A6564E" w14:textId="77777777" w:rsidR="00FC5D00" w:rsidRPr="00FC5D00" w:rsidRDefault="00FC5D00" w:rsidP="00FC5D00">
      <w:pPr>
        <w:pStyle w:val="ListParagraph"/>
        <w:numPr>
          <w:ilvl w:val="0"/>
          <w:numId w:val="18"/>
        </w:numPr>
        <w:pBdr>
          <w:top w:val="nil"/>
          <w:left w:val="nil"/>
          <w:bottom w:val="nil"/>
          <w:right w:val="nil"/>
          <w:between w:val="nil"/>
        </w:pBdr>
        <w:tabs>
          <w:tab w:val="clear" w:pos="1134"/>
          <w:tab w:val="clear" w:pos="1871"/>
          <w:tab w:val="clear" w:pos="2268"/>
        </w:tabs>
        <w:overflowPunct/>
        <w:autoSpaceDE/>
        <w:autoSpaceDN/>
        <w:adjustRightInd/>
        <w:spacing w:before="60" w:after="60"/>
        <w:ind w:left="357" w:hanging="357"/>
        <w:contextualSpacing w:val="0"/>
        <w:textAlignment w:val="auto"/>
        <w:rPr>
          <w:rFonts w:cstheme="minorHAnsi"/>
          <w:szCs w:val="24"/>
        </w:rPr>
      </w:pPr>
      <w:r w:rsidRPr="00FC5D00">
        <w:rPr>
          <w:rFonts w:cstheme="minorHAnsi"/>
          <w:szCs w:val="24"/>
        </w:rPr>
        <w:t>Cost Savings: Online education can be more cost-effective than traditional classroom-based education. It reduces the need for physical infrastructure, such as school buildings and classrooms, which can be expensive to build and maintain. Additionally, online resources and digital textbooks can be more affordable and accessible than traditional printed materials.</w:t>
      </w:r>
    </w:p>
    <w:p w14:paraId="7049AA20" w14:textId="77777777" w:rsidR="00FC5D00" w:rsidRPr="00FC5D00" w:rsidRDefault="00FC5D00" w:rsidP="00FC5D00">
      <w:pPr>
        <w:pStyle w:val="ListParagraph"/>
        <w:numPr>
          <w:ilvl w:val="0"/>
          <w:numId w:val="18"/>
        </w:numPr>
        <w:pBdr>
          <w:top w:val="nil"/>
          <w:left w:val="nil"/>
          <w:bottom w:val="nil"/>
          <w:right w:val="nil"/>
          <w:between w:val="nil"/>
        </w:pBdr>
        <w:tabs>
          <w:tab w:val="clear" w:pos="1134"/>
          <w:tab w:val="clear" w:pos="1871"/>
          <w:tab w:val="clear" w:pos="2268"/>
        </w:tabs>
        <w:overflowPunct/>
        <w:autoSpaceDE/>
        <w:autoSpaceDN/>
        <w:adjustRightInd/>
        <w:spacing w:before="60" w:after="60"/>
        <w:ind w:left="357" w:hanging="357"/>
        <w:contextualSpacing w:val="0"/>
        <w:textAlignment w:val="auto"/>
        <w:rPr>
          <w:rFonts w:cstheme="minorHAnsi"/>
          <w:szCs w:val="24"/>
        </w:rPr>
      </w:pPr>
      <w:r w:rsidRPr="00FC5D00">
        <w:rPr>
          <w:rFonts w:cstheme="minorHAnsi"/>
          <w:szCs w:val="24"/>
        </w:rPr>
        <w:t>Expanded Curriculum Offerings: Connecting schools online in LDCs can expand the curriculum offerings beyond what is available locally. Students can access courses and subjects that may not be available in their physical schools. This diversity of educational programs allows students to explore a broader range of subjects and pursue their interests and career aspirations.</w:t>
      </w:r>
    </w:p>
    <w:p w14:paraId="55108BE1" w14:textId="77777777" w:rsidR="00FC5D00" w:rsidRPr="00FC5D00" w:rsidRDefault="00FC5D00" w:rsidP="00FC5D00">
      <w:pPr>
        <w:pStyle w:val="ListParagraph"/>
        <w:numPr>
          <w:ilvl w:val="0"/>
          <w:numId w:val="18"/>
        </w:numPr>
        <w:pBdr>
          <w:top w:val="nil"/>
          <w:left w:val="nil"/>
          <w:bottom w:val="nil"/>
          <w:right w:val="nil"/>
          <w:between w:val="nil"/>
        </w:pBdr>
        <w:tabs>
          <w:tab w:val="clear" w:pos="1134"/>
          <w:tab w:val="clear" w:pos="1871"/>
          <w:tab w:val="clear" w:pos="2268"/>
        </w:tabs>
        <w:overflowPunct/>
        <w:autoSpaceDE/>
        <w:autoSpaceDN/>
        <w:adjustRightInd/>
        <w:spacing w:before="60" w:after="60"/>
        <w:ind w:left="357" w:hanging="357"/>
        <w:contextualSpacing w:val="0"/>
        <w:textAlignment w:val="auto"/>
        <w:rPr>
          <w:rFonts w:cstheme="minorHAnsi"/>
          <w:szCs w:val="24"/>
        </w:rPr>
      </w:pPr>
      <w:r w:rsidRPr="00FC5D00">
        <w:rPr>
          <w:rFonts w:cstheme="minorHAnsi"/>
          <w:szCs w:val="24"/>
        </w:rPr>
        <w:t>Skills Development: Online connectivity helps students in LDCs develop digital literacy and 21st-century skills. They gain proficiency in using digital tools, collaborating online, and accessing and evaluating information from the internet. These skills are crucial in a globalized and digital world and can enhance their employability and participation in the digital economy.</w:t>
      </w:r>
    </w:p>
    <w:p w14:paraId="1A918B0B" w14:textId="77777777" w:rsidR="00FC5D00" w:rsidRPr="00FC5D00" w:rsidRDefault="00FC5D00" w:rsidP="00FC5D00">
      <w:pPr>
        <w:pBdr>
          <w:top w:val="nil"/>
          <w:left w:val="nil"/>
          <w:bottom w:val="nil"/>
          <w:right w:val="nil"/>
          <w:between w:val="nil"/>
        </w:pBdr>
        <w:spacing w:after="120"/>
        <w:rPr>
          <w:rFonts w:cstheme="minorHAnsi"/>
          <w:szCs w:val="24"/>
        </w:rPr>
      </w:pPr>
      <w:r w:rsidRPr="00FC5D00">
        <w:rPr>
          <w:rFonts w:cstheme="minorHAnsi"/>
          <w:szCs w:val="24"/>
        </w:rPr>
        <w:t>Hence, by connecting schools, the Timor-Leste Government strives to ensure access to quality education for all students. Connected schools allow education as a catalyst for inclusive development, aims to bridge socioeconomic disparities and foster equitable growth across the country.</w:t>
      </w:r>
    </w:p>
    <w:p w14:paraId="175ED563" w14:textId="77777777" w:rsidR="00FC5D00" w:rsidRPr="00FC5D00" w:rsidRDefault="00FC5D00" w:rsidP="00FC5D00">
      <w:pPr>
        <w:numPr>
          <w:ilvl w:val="0"/>
          <w:numId w:val="15"/>
        </w:numPr>
        <w:pBdr>
          <w:top w:val="nil"/>
          <w:left w:val="nil"/>
          <w:bottom w:val="nil"/>
          <w:right w:val="nil"/>
          <w:between w:val="nil"/>
        </w:pBdr>
        <w:tabs>
          <w:tab w:val="clear" w:pos="794"/>
          <w:tab w:val="clear" w:pos="1191"/>
          <w:tab w:val="clear" w:pos="1588"/>
          <w:tab w:val="clear" w:pos="1985"/>
        </w:tabs>
        <w:overflowPunct/>
        <w:autoSpaceDE/>
        <w:autoSpaceDN/>
        <w:adjustRightInd/>
        <w:spacing w:after="120"/>
        <w:textAlignment w:val="auto"/>
        <w:rPr>
          <w:rFonts w:cstheme="minorHAnsi"/>
          <w:b/>
          <w:color w:val="000000"/>
          <w:szCs w:val="24"/>
        </w:rPr>
      </w:pPr>
      <w:r w:rsidRPr="00FC5D00">
        <w:rPr>
          <w:rFonts w:cstheme="minorHAnsi"/>
          <w:b/>
          <w:szCs w:val="24"/>
        </w:rPr>
        <w:t>Challenges associated with creating a safe and secure online environment</w:t>
      </w:r>
    </w:p>
    <w:p w14:paraId="2C2CFE13" w14:textId="1696CBEC" w:rsidR="00FC5D00" w:rsidRPr="00FC5D00" w:rsidRDefault="00FC5D00" w:rsidP="00FC5D00">
      <w:pPr>
        <w:spacing w:after="120"/>
        <w:rPr>
          <w:rFonts w:cstheme="minorHAnsi"/>
          <w:szCs w:val="24"/>
        </w:rPr>
      </w:pPr>
      <w:r w:rsidRPr="00FC5D00">
        <w:rPr>
          <w:rFonts w:cstheme="minorHAnsi"/>
          <w:szCs w:val="24"/>
        </w:rPr>
        <w:t>R</w:t>
      </w:r>
      <w:r>
        <w:rPr>
          <w:rFonts w:cstheme="minorHAnsi"/>
          <w:szCs w:val="24"/>
        </w:rPr>
        <w:t>esolution</w:t>
      </w:r>
      <w:r w:rsidRPr="00FC5D00">
        <w:rPr>
          <w:rFonts w:cstheme="minorHAnsi"/>
          <w:szCs w:val="24"/>
        </w:rPr>
        <w:t xml:space="preserve"> 67 (Rev. Kigali, 2022) “The role of the ITU Telecommunication Development Sector in Child Online Protection” recognizes the needs for protecting children in an online environment. </w:t>
      </w:r>
    </w:p>
    <w:p w14:paraId="298D6BF4" w14:textId="77777777" w:rsidR="00FC5D00" w:rsidRPr="00FC5D00" w:rsidRDefault="00FC5D00" w:rsidP="00FC5D00">
      <w:pPr>
        <w:spacing w:after="120"/>
        <w:rPr>
          <w:rFonts w:cstheme="minorHAnsi"/>
          <w:szCs w:val="24"/>
        </w:rPr>
      </w:pPr>
      <w:r w:rsidRPr="00FC5D00">
        <w:rPr>
          <w:rFonts w:cstheme="minorHAnsi"/>
          <w:szCs w:val="24"/>
        </w:rPr>
        <w:t>As schools embrace internet connectivity, the implementation of child online protection measures becomes paramount to establish a secure and safe digital environment for students. Here are key reasons underscoring the importance of these measures:</w:t>
      </w:r>
    </w:p>
    <w:p w14:paraId="31732CEF" w14:textId="77777777" w:rsidR="00FC5D00" w:rsidRPr="00FC5D00" w:rsidRDefault="00FC5D00" w:rsidP="00FC5D00">
      <w:pPr>
        <w:pStyle w:val="ListParagraph"/>
        <w:numPr>
          <w:ilvl w:val="0"/>
          <w:numId w:val="21"/>
        </w:numPr>
        <w:tabs>
          <w:tab w:val="clear" w:pos="1134"/>
          <w:tab w:val="clear" w:pos="1871"/>
          <w:tab w:val="clear" w:pos="2268"/>
        </w:tabs>
        <w:overflowPunct/>
        <w:autoSpaceDE/>
        <w:autoSpaceDN/>
        <w:adjustRightInd/>
        <w:spacing w:before="60" w:after="60"/>
        <w:ind w:left="357" w:hanging="357"/>
        <w:contextualSpacing w:val="0"/>
        <w:textAlignment w:val="auto"/>
        <w:rPr>
          <w:rFonts w:cstheme="minorHAnsi"/>
          <w:szCs w:val="24"/>
        </w:rPr>
      </w:pPr>
      <w:r w:rsidRPr="00FC5D00">
        <w:rPr>
          <w:rFonts w:cstheme="minorHAnsi"/>
          <w:szCs w:val="24"/>
        </w:rPr>
        <w:t>Inappropriate Content: The internet provides access to a vast amount of information, including explicit or harmful content that may not be suitable for children. Child online protection measures involve implementing content filtering systems, parental controls, and educational programs to safeguard students from accessing inappropriate content.</w:t>
      </w:r>
    </w:p>
    <w:p w14:paraId="2A8F96A1" w14:textId="77777777" w:rsidR="00FC5D00" w:rsidRPr="00FC5D00" w:rsidRDefault="00FC5D00" w:rsidP="00FC5D00">
      <w:pPr>
        <w:pStyle w:val="ListParagraph"/>
        <w:numPr>
          <w:ilvl w:val="0"/>
          <w:numId w:val="21"/>
        </w:numPr>
        <w:tabs>
          <w:tab w:val="clear" w:pos="1134"/>
          <w:tab w:val="clear" w:pos="1871"/>
          <w:tab w:val="clear" w:pos="2268"/>
        </w:tabs>
        <w:overflowPunct/>
        <w:autoSpaceDE/>
        <w:autoSpaceDN/>
        <w:adjustRightInd/>
        <w:spacing w:before="60" w:after="60"/>
        <w:ind w:left="357" w:hanging="357"/>
        <w:contextualSpacing w:val="0"/>
        <w:textAlignment w:val="auto"/>
        <w:rPr>
          <w:rFonts w:cstheme="minorHAnsi"/>
          <w:szCs w:val="24"/>
        </w:rPr>
      </w:pPr>
      <w:r w:rsidRPr="00FC5D00">
        <w:rPr>
          <w:rFonts w:cstheme="minorHAnsi"/>
          <w:szCs w:val="24"/>
        </w:rPr>
        <w:t>Online Predators and Grooming: Online connectivity can expose children to potential risks posed by online predators who engage in grooming and exploitation. Child protection measures focus on educating students about online safety, raising awareness about potential risks, and promoting responsible online behaviour to prevent such incidents.</w:t>
      </w:r>
    </w:p>
    <w:p w14:paraId="6192751B" w14:textId="77777777" w:rsidR="00FC5D00" w:rsidRPr="00FC5D00" w:rsidRDefault="00FC5D00" w:rsidP="00FC5D00">
      <w:pPr>
        <w:pStyle w:val="ListParagraph"/>
        <w:numPr>
          <w:ilvl w:val="0"/>
          <w:numId w:val="21"/>
        </w:numPr>
        <w:tabs>
          <w:tab w:val="clear" w:pos="1134"/>
          <w:tab w:val="clear" w:pos="1871"/>
          <w:tab w:val="clear" w:pos="2268"/>
        </w:tabs>
        <w:overflowPunct/>
        <w:autoSpaceDE/>
        <w:autoSpaceDN/>
        <w:adjustRightInd/>
        <w:spacing w:before="60" w:after="60"/>
        <w:ind w:left="357" w:hanging="357"/>
        <w:contextualSpacing w:val="0"/>
        <w:textAlignment w:val="auto"/>
        <w:rPr>
          <w:rFonts w:cstheme="minorHAnsi"/>
          <w:szCs w:val="24"/>
        </w:rPr>
      </w:pPr>
      <w:r w:rsidRPr="00FC5D00">
        <w:rPr>
          <w:rFonts w:cstheme="minorHAnsi"/>
          <w:szCs w:val="24"/>
        </w:rPr>
        <w:t>Online Scams and Fraud: As students engage in online activities, they may encounter scams or fraudulent schemes. Child protection measures involve educating students about online scams, phishing attacks, and ways to protect themselves from potential threats.</w:t>
      </w:r>
    </w:p>
    <w:p w14:paraId="4AA365C0" w14:textId="77777777" w:rsidR="00FC5D00" w:rsidRPr="00FC5D00" w:rsidRDefault="00FC5D00" w:rsidP="00FC5D00">
      <w:pPr>
        <w:pStyle w:val="ListParagraph"/>
        <w:numPr>
          <w:ilvl w:val="0"/>
          <w:numId w:val="21"/>
        </w:numPr>
        <w:tabs>
          <w:tab w:val="clear" w:pos="1134"/>
          <w:tab w:val="clear" w:pos="1871"/>
          <w:tab w:val="clear" w:pos="2268"/>
        </w:tabs>
        <w:overflowPunct/>
        <w:autoSpaceDE/>
        <w:autoSpaceDN/>
        <w:adjustRightInd/>
        <w:spacing w:before="60" w:after="60"/>
        <w:ind w:left="357" w:hanging="357"/>
        <w:contextualSpacing w:val="0"/>
        <w:textAlignment w:val="auto"/>
        <w:rPr>
          <w:rFonts w:cstheme="minorHAnsi"/>
          <w:szCs w:val="24"/>
        </w:rPr>
      </w:pPr>
      <w:r w:rsidRPr="00FC5D00">
        <w:rPr>
          <w:rFonts w:cstheme="minorHAnsi"/>
          <w:szCs w:val="24"/>
        </w:rPr>
        <w:t>Privacy and Data Security: Online connectivity involves the collection and storage of students' personal information and data. Child online protection measures aim to ensure that schools adhere to privacy laws, implement robust data security practices, and educate students about protecting their personal information online.</w:t>
      </w:r>
    </w:p>
    <w:p w14:paraId="79834186" w14:textId="77777777" w:rsidR="00FC5D00" w:rsidRPr="00FC5D00" w:rsidRDefault="00FC5D00" w:rsidP="00FC5D00">
      <w:pPr>
        <w:pStyle w:val="ListParagraph"/>
        <w:numPr>
          <w:ilvl w:val="0"/>
          <w:numId w:val="21"/>
        </w:numPr>
        <w:tabs>
          <w:tab w:val="clear" w:pos="1134"/>
          <w:tab w:val="clear" w:pos="1871"/>
          <w:tab w:val="clear" w:pos="2268"/>
        </w:tabs>
        <w:overflowPunct/>
        <w:autoSpaceDE/>
        <w:autoSpaceDN/>
        <w:adjustRightInd/>
        <w:spacing w:before="60" w:after="60"/>
        <w:ind w:left="357" w:hanging="357"/>
        <w:contextualSpacing w:val="0"/>
        <w:textAlignment w:val="auto"/>
        <w:rPr>
          <w:rFonts w:cstheme="minorHAnsi"/>
          <w:szCs w:val="24"/>
        </w:rPr>
      </w:pPr>
      <w:r w:rsidRPr="00FC5D00">
        <w:rPr>
          <w:rFonts w:cstheme="minorHAnsi"/>
          <w:szCs w:val="24"/>
        </w:rPr>
        <w:t>Digital Citizenship and Ethical Behaviour: Child protection measures encompass promoting digital citizenship and ethical behaviour among students. This includes educating them about responsible internet use, respecting others' privacy and rights, and fostering a positive and inclusive online environment.</w:t>
      </w:r>
    </w:p>
    <w:p w14:paraId="3B75BC86" w14:textId="77777777" w:rsidR="00FC5D00" w:rsidRPr="00FC5D00" w:rsidRDefault="00FC5D00" w:rsidP="00FC5D00">
      <w:pPr>
        <w:pStyle w:val="ListParagraph"/>
        <w:numPr>
          <w:ilvl w:val="0"/>
          <w:numId w:val="21"/>
        </w:numPr>
        <w:tabs>
          <w:tab w:val="clear" w:pos="1134"/>
          <w:tab w:val="clear" w:pos="1871"/>
          <w:tab w:val="clear" w:pos="2268"/>
        </w:tabs>
        <w:overflowPunct/>
        <w:autoSpaceDE/>
        <w:autoSpaceDN/>
        <w:adjustRightInd/>
        <w:spacing w:before="60" w:after="60"/>
        <w:ind w:left="357" w:hanging="357"/>
        <w:contextualSpacing w:val="0"/>
        <w:textAlignment w:val="auto"/>
        <w:rPr>
          <w:rFonts w:cstheme="minorHAnsi"/>
          <w:szCs w:val="24"/>
        </w:rPr>
      </w:pPr>
      <w:r w:rsidRPr="00FC5D00">
        <w:rPr>
          <w:rFonts w:cstheme="minorHAnsi"/>
          <w:szCs w:val="24"/>
        </w:rPr>
        <w:t>Cyber-bullying and Online Harassment: With internet connectivity, there is a potential risk of cyber-bullying and online harassment among students. Child online protection measures help in raising awareness, implementing policies, and providing resources to prevent and address these issues effectively.</w:t>
      </w:r>
    </w:p>
    <w:p w14:paraId="2ECE2A7C" w14:textId="77777777" w:rsidR="00FC5D00" w:rsidRPr="00FC5D00" w:rsidRDefault="00FC5D00" w:rsidP="00FC5D00">
      <w:pPr>
        <w:pStyle w:val="ListParagraph"/>
        <w:numPr>
          <w:ilvl w:val="0"/>
          <w:numId w:val="21"/>
        </w:numPr>
        <w:tabs>
          <w:tab w:val="clear" w:pos="1134"/>
          <w:tab w:val="clear" w:pos="1871"/>
          <w:tab w:val="clear" w:pos="2268"/>
        </w:tabs>
        <w:overflowPunct/>
        <w:autoSpaceDE/>
        <w:autoSpaceDN/>
        <w:adjustRightInd/>
        <w:spacing w:before="60" w:after="60"/>
        <w:ind w:left="357" w:hanging="357"/>
        <w:contextualSpacing w:val="0"/>
        <w:textAlignment w:val="auto"/>
        <w:rPr>
          <w:rFonts w:cstheme="minorHAnsi"/>
          <w:szCs w:val="24"/>
        </w:rPr>
      </w:pPr>
      <w:r w:rsidRPr="00FC5D00">
        <w:rPr>
          <w:rFonts w:cstheme="minorHAnsi"/>
          <w:szCs w:val="24"/>
        </w:rPr>
        <w:t>Mental Health and Well-being: Excessive internet use or exposure to negative online experiences can impact students' mental health and well-being. Child protection measures include promoting digital well-being, providing support resources, and fostering a healthy balance between online and offline activities.</w:t>
      </w:r>
    </w:p>
    <w:p w14:paraId="6A532BB2" w14:textId="77777777" w:rsidR="00FC5D00" w:rsidRPr="00FC5D00" w:rsidRDefault="00FC5D00" w:rsidP="00FC5D00">
      <w:pPr>
        <w:spacing w:after="120"/>
        <w:rPr>
          <w:rFonts w:cstheme="minorHAnsi"/>
          <w:szCs w:val="24"/>
        </w:rPr>
      </w:pPr>
      <w:r w:rsidRPr="00FC5D00">
        <w:rPr>
          <w:rFonts w:cstheme="minorHAnsi"/>
          <w:szCs w:val="24"/>
        </w:rPr>
        <w:t>In order to effectively implement comprehensive child online protection measures, schools must prioritize the establishment of a secure online environment for students, foster responsible digital citizenship, and proactively address potential risks associated with internet connectivity. Specifically, to create a safe and secure school network, Timor-Leste needs to address the following requirements:</w:t>
      </w:r>
    </w:p>
    <w:p w14:paraId="13C03CCF" w14:textId="77777777" w:rsidR="00FC5D00" w:rsidRPr="00FC5D00" w:rsidRDefault="00FC5D00" w:rsidP="00FC5D00">
      <w:pPr>
        <w:pStyle w:val="ListParagraph"/>
        <w:numPr>
          <w:ilvl w:val="0"/>
          <w:numId w:val="17"/>
        </w:numPr>
        <w:tabs>
          <w:tab w:val="clear" w:pos="1134"/>
          <w:tab w:val="clear" w:pos="1871"/>
          <w:tab w:val="clear" w:pos="2268"/>
        </w:tabs>
        <w:overflowPunct/>
        <w:autoSpaceDE/>
        <w:autoSpaceDN/>
        <w:adjustRightInd/>
        <w:spacing w:before="60" w:after="60"/>
        <w:ind w:left="357" w:hanging="357"/>
        <w:contextualSpacing w:val="0"/>
        <w:textAlignment w:val="auto"/>
        <w:rPr>
          <w:rFonts w:cstheme="minorHAnsi"/>
          <w:szCs w:val="24"/>
        </w:rPr>
      </w:pPr>
      <w:r w:rsidRPr="00FC5D00">
        <w:rPr>
          <w:rFonts w:cstheme="minorHAnsi"/>
          <w:szCs w:val="24"/>
        </w:rPr>
        <w:t>Policies and Guidelines: to establish clear and comprehensive policies and guidelines that outline acceptable use of the internet, online behaviour expectations, and consequences for violations. These policies should explicitly address child protection measures, online safety, and appropriate content access.</w:t>
      </w:r>
    </w:p>
    <w:p w14:paraId="50E98F50" w14:textId="77777777" w:rsidR="00FC5D00" w:rsidRPr="00FC5D00" w:rsidRDefault="00FC5D00" w:rsidP="00FC5D00">
      <w:pPr>
        <w:pStyle w:val="ListParagraph"/>
        <w:numPr>
          <w:ilvl w:val="0"/>
          <w:numId w:val="17"/>
        </w:numPr>
        <w:tabs>
          <w:tab w:val="clear" w:pos="1134"/>
          <w:tab w:val="clear" w:pos="1871"/>
          <w:tab w:val="clear" w:pos="2268"/>
        </w:tabs>
        <w:overflowPunct/>
        <w:autoSpaceDE/>
        <w:autoSpaceDN/>
        <w:adjustRightInd/>
        <w:spacing w:before="60" w:after="60"/>
        <w:ind w:left="357" w:hanging="357"/>
        <w:contextualSpacing w:val="0"/>
        <w:textAlignment w:val="auto"/>
        <w:rPr>
          <w:rFonts w:cstheme="minorHAnsi"/>
          <w:szCs w:val="24"/>
        </w:rPr>
      </w:pPr>
      <w:r w:rsidRPr="00FC5D00">
        <w:rPr>
          <w:rFonts w:cstheme="minorHAnsi"/>
          <w:szCs w:val="24"/>
        </w:rPr>
        <w:t>Internet Filtering and Monitoring: to implement robust internet filtering systems that restrict access to inappropriate content based on predefined categories. This helps prevent students from accessing harmful or explicit material. Additionally, monitoring tools can be used to track online activities and identify any potential risks or violations.</w:t>
      </w:r>
    </w:p>
    <w:p w14:paraId="2B2BE028" w14:textId="77777777" w:rsidR="00FC5D00" w:rsidRPr="00FC5D00" w:rsidRDefault="00FC5D00" w:rsidP="00FC5D00">
      <w:pPr>
        <w:pStyle w:val="ListParagraph"/>
        <w:numPr>
          <w:ilvl w:val="0"/>
          <w:numId w:val="17"/>
        </w:numPr>
        <w:tabs>
          <w:tab w:val="clear" w:pos="1134"/>
          <w:tab w:val="clear" w:pos="1871"/>
          <w:tab w:val="clear" w:pos="2268"/>
        </w:tabs>
        <w:overflowPunct/>
        <w:autoSpaceDE/>
        <w:autoSpaceDN/>
        <w:adjustRightInd/>
        <w:spacing w:before="60" w:after="60"/>
        <w:ind w:left="357" w:hanging="357"/>
        <w:contextualSpacing w:val="0"/>
        <w:textAlignment w:val="auto"/>
        <w:rPr>
          <w:rFonts w:cstheme="minorHAnsi"/>
          <w:szCs w:val="24"/>
        </w:rPr>
      </w:pPr>
      <w:r w:rsidRPr="00FC5D00">
        <w:rPr>
          <w:rFonts w:cstheme="minorHAnsi"/>
          <w:szCs w:val="24"/>
        </w:rPr>
        <w:t>User Authentication and Access Controls: to require user authentication for accessing the school network and online resources. This ensures that only authorized individuals, such as students, teachers, and staff, have access to the network. Implement access controls to restrict certain websites or platforms that pose risks to child safety.</w:t>
      </w:r>
    </w:p>
    <w:p w14:paraId="4D432E2E" w14:textId="77777777" w:rsidR="00FC5D00" w:rsidRPr="00FC5D00" w:rsidRDefault="00FC5D00" w:rsidP="00FC5D00">
      <w:pPr>
        <w:pStyle w:val="ListParagraph"/>
        <w:numPr>
          <w:ilvl w:val="0"/>
          <w:numId w:val="17"/>
        </w:numPr>
        <w:tabs>
          <w:tab w:val="clear" w:pos="1134"/>
          <w:tab w:val="clear" w:pos="1871"/>
          <w:tab w:val="clear" w:pos="2268"/>
        </w:tabs>
        <w:overflowPunct/>
        <w:autoSpaceDE/>
        <w:autoSpaceDN/>
        <w:adjustRightInd/>
        <w:spacing w:before="60" w:after="60"/>
        <w:ind w:left="357" w:hanging="357"/>
        <w:contextualSpacing w:val="0"/>
        <w:textAlignment w:val="auto"/>
        <w:rPr>
          <w:rFonts w:cstheme="minorHAnsi"/>
          <w:szCs w:val="24"/>
        </w:rPr>
      </w:pPr>
      <w:r w:rsidRPr="00FC5D00">
        <w:rPr>
          <w:rFonts w:cstheme="minorHAnsi"/>
          <w:szCs w:val="24"/>
        </w:rPr>
        <w:t>Digital Citizenship Education: to provide comprehensive education and awareness programs on digital citizenship, online safety, and responsible internet use. Teach students about online risks, cyber-bullying, privacy protection, and ethical behaviour online. Engage students, teachers, and parents in discussions and workshops to foster a culture of responsible digital citizenship.</w:t>
      </w:r>
    </w:p>
    <w:p w14:paraId="254F77C6" w14:textId="77777777" w:rsidR="00FC5D00" w:rsidRPr="00FC5D00" w:rsidRDefault="00FC5D00" w:rsidP="00FC5D00">
      <w:pPr>
        <w:pStyle w:val="ListParagraph"/>
        <w:numPr>
          <w:ilvl w:val="0"/>
          <w:numId w:val="17"/>
        </w:numPr>
        <w:tabs>
          <w:tab w:val="clear" w:pos="1134"/>
          <w:tab w:val="clear" w:pos="1871"/>
          <w:tab w:val="clear" w:pos="2268"/>
        </w:tabs>
        <w:overflowPunct/>
        <w:autoSpaceDE/>
        <w:autoSpaceDN/>
        <w:adjustRightInd/>
        <w:spacing w:before="60" w:after="60"/>
        <w:ind w:left="357" w:hanging="357"/>
        <w:contextualSpacing w:val="0"/>
        <w:textAlignment w:val="auto"/>
        <w:rPr>
          <w:rFonts w:cstheme="minorHAnsi"/>
          <w:szCs w:val="24"/>
        </w:rPr>
      </w:pPr>
      <w:r w:rsidRPr="00FC5D00">
        <w:rPr>
          <w:rFonts w:cstheme="minorHAnsi"/>
          <w:szCs w:val="24"/>
        </w:rPr>
        <w:t>Professional Development and Training: to offer regular professional development and training sessions for teachers and staff on online child protection. This includes awareness of potential risks, identifying signs of online abuse or bullying, and understanding legal obligations and reporting mechanisms.</w:t>
      </w:r>
    </w:p>
    <w:p w14:paraId="74B2B155" w14:textId="77777777" w:rsidR="00FC5D00" w:rsidRPr="00FC5D00" w:rsidRDefault="00FC5D00" w:rsidP="00FC5D00">
      <w:pPr>
        <w:pStyle w:val="ListParagraph"/>
        <w:numPr>
          <w:ilvl w:val="0"/>
          <w:numId w:val="17"/>
        </w:numPr>
        <w:tabs>
          <w:tab w:val="clear" w:pos="1134"/>
          <w:tab w:val="clear" w:pos="1871"/>
          <w:tab w:val="clear" w:pos="2268"/>
        </w:tabs>
        <w:overflowPunct/>
        <w:autoSpaceDE/>
        <w:autoSpaceDN/>
        <w:adjustRightInd/>
        <w:spacing w:before="60" w:after="60"/>
        <w:ind w:left="357" w:hanging="357"/>
        <w:contextualSpacing w:val="0"/>
        <w:textAlignment w:val="auto"/>
        <w:rPr>
          <w:rFonts w:cstheme="minorHAnsi"/>
          <w:szCs w:val="24"/>
        </w:rPr>
      </w:pPr>
      <w:r w:rsidRPr="00FC5D00">
        <w:rPr>
          <w:rFonts w:cstheme="minorHAnsi"/>
          <w:szCs w:val="24"/>
        </w:rPr>
        <w:t>Reporting Mechanisms: to establish clear procedures and channels for reporting and addressing online safety concerns. Develop an anonymous reporting system where students, teachers, or parents can report incidents of online abuse, harassment, or inappropriate content. Ensure that reports are taken seriously and addressed promptly.</w:t>
      </w:r>
    </w:p>
    <w:p w14:paraId="0649F1E2" w14:textId="77777777" w:rsidR="00FC5D00" w:rsidRPr="00FC5D00" w:rsidRDefault="00FC5D00" w:rsidP="00FC5D00">
      <w:pPr>
        <w:pStyle w:val="ListParagraph"/>
        <w:numPr>
          <w:ilvl w:val="0"/>
          <w:numId w:val="17"/>
        </w:numPr>
        <w:tabs>
          <w:tab w:val="clear" w:pos="1134"/>
          <w:tab w:val="clear" w:pos="1871"/>
          <w:tab w:val="clear" w:pos="2268"/>
        </w:tabs>
        <w:overflowPunct/>
        <w:autoSpaceDE/>
        <w:autoSpaceDN/>
        <w:adjustRightInd/>
        <w:spacing w:before="60" w:after="60"/>
        <w:ind w:left="357" w:hanging="357"/>
        <w:contextualSpacing w:val="0"/>
        <w:textAlignment w:val="auto"/>
        <w:rPr>
          <w:rFonts w:cstheme="minorHAnsi"/>
          <w:szCs w:val="24"/>
        </w:rPr>
      </w:pPr>
      <w:r w:rsidRPr="00FC5D00">
        <w:rPr>
          <w:rFonts w:cstheme="minorHAnsi"/>
          <w:szCs w:val="24"/>
        </w:rPr>
        <w:t>Collaboration with Parents and Guardians: to involve parents and guardians in the implementation of online child protection measures. Provide them with resources, guidance, and information on how to support their children's online safety at home. Foster open communication channels between the school and parents to address concerns and share best practices.</w:t>
      </w:r>
    </w:p>
    <w:p w14:paraId="5DD12312" w14:textId="77777777" w:rsidR="00FC5D00" w:rsidRPr="00FC5D00" w:rsidRDefault="00FC5D00" w:rsidP="00FC5D00">
      <w:pPr>
        <w:pStyle w:val="ListParagraph"/>
        <w:numPr>
          <w:ilvl w:val="0"/>
          <w:numId w:val="17"/>
        </w:numPr>
        <w:tabs>
          <w:tab w:val="clear" w:pos="1134"/>
          <w:tab w:val="clear" w:pos="1871"/>
          <w:tab w:val="clear" w:pos="2268"/>
        </w:tabs>
        <w:overflowPunct/>
        <w:autoSpaceDE/>
        <w:autoSpaceDN/>
        <w:adjustRightInd/>
        <w:spacing w:before="60" w:after="60"/>
        <w:ind w:left="357" w:hanging="357"/>
        <w:contextualSpacing w:val="0"/>
        <w:textAlignment w:val="auto"/>
        <w:rPr>
          <w:rFonts w:cstheme="minorHAnsi"/>
          <w:szCs w:val="24"/>
        </w:rPr>
      </w:pPr>
      <w:r w:rsidRPr="00FC5D00">
        <w:rPr>
          <w:rFonts w:cstheme="minorHAnsi"/>
          <w:szCs w:val="24"/>
        </w:rPr>
        <w:t>Regular Audits and Reviews: to conduct regular audits and reviews of the online child protection measures in place. Assess the effectiveness of policies, filters, monitoring systems, and training programs. Identify areas for improvement and make necessary adjustments based on emerging risks and technologies.</w:t>
      </w:r>
    </w:p>
    <w:p w14:paraId="3B3B5DAE" w14:textId="77777777" w:rsidR="00FC5D00" w:rsidRPr="00FC5D00" w:rsidRDefault="00FC5D00" w:rsidP="00FC5D00">
      <w:pPr>
        <w:pStyle w:val="ListParagraph"/>
        <w:numPr>
          <w:ilvl w:val="0"/>
          <w:numId w:val="17"/>
        </w:numPr>
        <w:tabs>
          <w:tab w:val="clear" w:pos="1134"/>
          <w:tab w:val="clear" w:pos="1871"/>
          <w:tab w:val="clear" w:pos="2268"/>
        </w:tabs>
        <w:overflowPunct/>
        <w:autoSpaceDE/>
        <w:autoSpaceDN/>
        <w:adjustRightInd/>
        <w:spacing w:before="60" w:after="60"/>
        <w:ind w:left="357" w:hanging="357"/>
        <w:contextualSpacing w:val="0"/>
        <w:textAlignment w:val="auto"/>
        <w:rPr>
          <w:rFonts w:cstheme="minorHAnsi"/>
          <w:szCs w:val="24"/>
        </w:rPr>
      </w:pPr>
      <w:r w:rsidRPr="00FC5D00">
        <w:rPr>
          <w:rFonts w:cstheme="minorHAnsi"/>
          <w:szCs w:val="24"/>
        </w:rPr>
        <w:t>Partnerships and Stakeholder Engagement: to collaborate with external organizations, child protection agencies, and internet service providers to stay informed about emerging threats and best practices. Engage relevant stakeholders, such as law enforcement agencies and mental health professionals, to ensure a coordinated approach to online child protection.</w:t>
      </w:r>
    </w:p>
    <w:p w14:paraId="6F85A484" w14:textId="77777777" w:rsidR="00FC5D00" w:rsidRPr="00FC5D00" w:rsidRDefault="00FC5D00" w:rsidP="00FC5D00">
      <w:pPr>
        <w:pStyle w:val="ListParagraph"/>
        <w:numPr>
          <w:ilvl w:val="0"/>
          <w:numId w:val="17"/>
        </w:numPr>
        <w:tabs>
          <w:tab w:val="clear" w:pos="1134"/>
          <w:tab w:val="clear" w:pos="1871"/>
          <w:tab w:val="clear" w:pos="2268"/>
        </w:tabs>
        <w:overflowPunct/>
        <w:autoSpaceDE/>
        <w:autoSpaceDN/>
        <w:adjustRightInd/>
        <w:spacing w:before="60" w:after="60"/>
        <w:ind w:left="357" w:hanging="357"/>
        <w:contextualSpacing w:val="0"/>
        <w:textAlignment w:val="auto"/>
        <w:rPr>
          <w:rFonts w:cstheme="minorHAnsi"/>
          <w:szCs w:val="24"/>
        </w:rPr>
      </w:pPr>
      <w:r w:rsidRPr="00FC5D00">
        <w:rPr>
          <w:rFonts w:cstheme="minorHAnsi"/>
          <w:szCs w:val="24"/>
        </w:rPr>
        <w:t>Monitoring and Evaluation: Continuously monitor and evaluate the effectiveness of online child protection measures. Collect feedback from students, parents, and staff to assess the impact of the implemented strategies. Regularly review policies and guidelines to ensure they remain up to date with evolving technologies and online risks.</w:t>
      </w:r>
    </w:p>
    <w:p w14:paraId="658E4BAA" w14:textId="77777777" w:rsidR="00FC5D00" w:rsidRPr="00FC5D00" w:rsidRDefault="00FC5D00" w:rsidP="00FC5D00">
      <w:pPr>
        <w:numPr>
          <w:ilvl w:val="0"/>
          <w:numId w:val="15"/>
        </w:numPr>
        <w:pBdr>
          <w:top w:val="nil"/>
          <w:left w:val="nil"/>
          <w:bottom w:val="nil"/>
          <w:right w:val="nil"/>
          <w:between w:val="nil"/>
        </w:pBdr>
        <w:tabs>
          <w:tab w:val="clear" w:pos="794"/>
          <w:tab w:val="clear" w:pos="1191"/>
          <w:tab w:val="clear" w:pos="1588"/>
          <w:tab w:val="clear" w:pos="1985"/>
        </w:tabs>
        <w:overflowPunct/>
        <w:autoSpaceDE/>
        <w:autoSpaceDN/>
        <w:adjustRightInd/>
        <w:spacing w:after="120"/>
        <w:textAlignment w:val="auto"/>
        <w:rPr>
          <w:rFonts w:cstheme="minorHAnsi"/>
          <w:b/>
          <w:color w:val="000000"/>
          <w:szCs w:val="24"/>
        </w:rPr>
      </w:pPr>
      <w:r w:rsidRPr="00FC5D00">
        <w:rPr>
          <w:rFonts w:cstheme="minorHAnsi"/>
          <w:b/>
          <w:szCs w:val="24"/>
        </w:rPr>
        <w:t>Challenges associated with the construction of a national school network</w:t>
      </w:r>
    </w:p>
    <w:p w14:paraId="1EF9A27C" w14:textId="77777777" w:rsidR="00FC5D00" w:rsidRPr="00FC5D00" w:rsidRDefault="00FC5D00" w:rsidP="00FC5D00">
      <w:pPr>
        <w:spacing w:after="120"/>
        <w:rPr>
          <w:rFonts w:cstheme="minorHAnsi"/>
          <w:szCs w:val="24"/>
        </w:rPr>
      </w:pPr>
      <w:r w:rsidRPr="00FC5D00">
        <w:rPr>
          <w:rFonts w:cstheme="minorHAnsi"/>
          <w:szCs w:val="24"/>
        </w:rPr>
        <w:t xml:space="preserve">Apart from the imperative of creating a safe and secure online environment for students, constructing a national school network itself presents certain challenges. To address these challenges effectively, a robust technical plan tailored for a national school network should encompass the following key elements: </w:t>
      </w:r>
    </w:p>
    <w:p w14:paraId="69DB2DD6" w14:textId="77777777" w:rsidR="00FC5D00" w:rsidRPr="00FC5D00" w:rsidRDefault="00FC5D00" w:rsidP="00FC5D00">
      <w:pPr>
        <w:pStyle w:val="ListParagraph"/>
        <w:numPr>
          <w:ilvl w:val="0"/>
          <w:numId w:val="19"/>
        </w:numPr>
        <w:tabs>
          <w:tab w:val="clear" w:pos="1134"/>
          <w:tab w:val="clear" w:pos="1871"/>
          <w:tab w:val="clear" w:pos="2268"/>
        </w:tabs>
        <w:overflowPunct/>
        <w:autoSpaceDE/>
        <w:autoSpaceDN/>
        <w:adjustRightInd/>
        <w:spacing w:before="60" w:after="60"/>
        <w:ind w:left="357" w:hanging="357"/>
        <w:contextualSpacing w:val="0"/>
        <w:textAlignment w:val="auto"/>
        <w:rPr>
          <w:rFonts w:cstheme="minorHAnsi"/>
          <w:szCs w:val="24"/>
        </w:rPr>
      </w:pPr>
      <w:r w:rsidRPr="00FC5D00">
        <w:rPr>
          <w:rFonts w:cstheme="minorHAnsi"/>
          <w:szCs w:val="24"/>
        </w:rPr>
        <w:t>Infrastructure: The network requires robust infrastructure, including wired and wireless connectivity, to connect schools across the country. This involves deploying network cables, routers, switches, and wireless access points to ensure reliable and high-speed connectivity.</w:t>
      </w:r>
    </w:p>
    <w:p w14:paraId="187A4CD3" w14:textId="77777777" w:rsidR="00FC5D00" w:rsidRPr="00FC5D00" w:rsidRDefault="00FC5D00" w:rsidP="00FC5D00">
      <w:pPr>
        <w:pStyle w:val="ListParagraph"/>
        <w:numPr>
          <w:ilvl w:val="0"/>
          <w:numId w:val="19"/>
        </w:numPr>
        <w:tabs>
          <w:tab w:val="clear" w:pos="1134"/>
          <w:tab w:val="clear" w:pos="1871"/>
          <w:tab w:val="clear" w:pos="2268"/>
        </w:tabs>
        <w:overflowPunct/>
        <w:autoSpaceDE/>
        <w:autoSpaceDN/>
        <w:adjustRightInd/>
        <w:spacing w:before="60" w:after="60"/>
        <w:ind w:left="357" w:hanging="357"/>
        <w:contextualSpacing w:val="0"/>
        <w:textAlignment w:val="auto"/>
        <w:rPr>
          <w:rFonts w:cstheme="minorHAnsi"/>
          <w:szCs w:val="24"/>
        </w:rPr>
      </w:pPr>
      <w:r w:rsidRPr="00FC5D00">
        <w:rPr>
          <w:rFonts w:cstheme="minorHAnsi"/>
          <w:szCs w:val="24"/>
        </w:rPr>
        <w:t>Computing nodes: Centralized servers and/or cloud architecture can be used to host various services like email, file sharing, learning management systems, and student information systems. Adequate server infrastructure, including storage, backup systems, and virtualization technologies, is required to support these services.</w:t>
      </w:r>
    </w:p>
    <w:p w14:paraId="26E20B94" w14:textId="77777777" w:rsidR="00FC5D00" w:rsidRPr="00FC5D00" w:rsidRDefault="00FC5D00" w:rsidP="00FC5D00">
      <w:pPr>
        <w:pStyle w:val="ListParagraph"/>
        <w:numPr>
          <w:ilvl w:val="0"/>
          <w:numId w:val="19"/>
        </w:numPr>
        <w:tabs>
          <w:tab w:val="clear" w:pos="1134"/>
          <w:tab w:val="clear" w:pos="1871"/>
          <w:tab w:val="clear" w:pos="2268"/>
        </w:tabs>
        <w:overflowPunct/>
        <w:autoSpaceDE/>
        <w:autoSpaceDN/>
        <w:adjustRightInd/>
        <w:spacing w:before="60" w:after="60"/>
        <w:ind w:left="357" w:hanging="357"/>
        <w:contextualSpacing w:val="0"/>
        <w:textAlignment w:val="auto"/>
        <w:rPr>
          <w:rFonts w:cstheme="minorHAnsi"/>
          <w:szCs w:val="24"/>
        </w:rPr>
      </w:pPr>
      <w:r w:rsidRPr="00FC5D00">
        <w:rPr>
          <w:rFonts w:cstheme="minorHAnsi"/>
          <w:szCs w:val="24"/>
        </w:rPr>
        <w:t>Wide Area Network (WAN): A wide area network connects geographically dispersed schools to a central network. This involves establishing dedicated connections, such as leased lines or fiber-optic links, or utilizing existing infrastructure like internet service providers (ISPs) or satellite connections.</w:t>
      </w:r>
    </w:p>
    <w:p w14:paraId="48E2E6D6" w14:textId="77777777" w:rsidR="00FC5D00" w:rsidRPr="00FC5D00" w:rsidRDefault="00FC5D00" w:rsidP="00FC5D00">
      <w:pPr>
        <w:pStyle w:val="ListParagraph"/>
        <w:numPr>
          <w:ilvl w:val="0"/>
          <w:numId w:val="19"/>
        </w:numPr>
        <w:tabs>
          <w:tab w:val="clear" w:pos="1134"/>
          <w:tab w:val="clear" w:pos="1871"/>
          <w:tab w:val="clear" w:pos="2268"/>
        </w:tabs>
        <w:overflowPunct/>
        <w:autoSpaceDE/>
        <w:autoSpaceDN/>
        <w:adjustRightInd/>
        <w:spacing w:before="60" w:after="60"/>
        <w:ind w:left="357" w:hanging="357"/>
        <w:contextualSpacing w:val="0"/>
        <w:textAlignment w:val="auto"/>
        <w:rPr>
          <w:rFonts w:cstheme="minorHAnsi"/>
          <w:szCs w:val="24"/>
        </w:rPr>
      </w:pPr>
      <w:r w:rsidRPr="00FC5D00">
        <w:rPr>
          <w:rFonts w:cstheme="minorHAnsi"/>
          <w:szCs w:val="24"/>
        </w:rPr>
        <w:t>Local Area Network (LAN): Each school needs a local area network to connect devices within the premises. This includes deploying switches, access points, and structured cabling to connect computers, printers, servers, and other network devices.</w:t>
      </w:r>
    </w:p>
    <w:p w14:paraId="43BE70D1" w14:textId="77777777" w:rsidR="00FC5D00" w:rsidRPr="00FC5D00" w:rsidRDefault="00FC5D00" w:rsidP="00FC5D00">
      <w:pPr>
        <w:pStyle w:val="ListParagraph"/>
        <w:numPr>
          <w:ilvl w:val="0"/>
          <w:numId w:val="19"/>
        </w:numPr>
        <w:tabs>
          <w:tab w:val="clear" w:pos="1134"/>
          <w:tab w:val="clear" w:pos="1871"/>
          <w:tab w:val="clear" w:pos="2268"/>
        </w:tabs>
        <w:overflowPunct/>
        <w:autoSpaceDE/>
        <w:autoSpaceDN/>
        <w:adjustRightInd/>
        <w:spacing w:before="60" w:after="60"/>
        <w:ind w:left="357" w:hanging="357"/>
        <w:contextualSpacing w:val="0"/>
        <w:textAlignment w:val="auto"/>
        <w:rPr>
          <w:rFonts w:cstheme="minorHAnsi"/>
          <w:szCs w:val="24"/>
        </w:rPr>
      </w:pPr>
      <w:r w:rsidRPr="00FC5D00">
        <w:rPr>
          <w:rFonts w:cstheme="minorHAnsi"/>
          <w:szCs w:val="24"/>
        </w:rPr>
        <w:t>Internet Connectivity: Internet access is crucial for accessing online educational resources, communication, and collaboration. Provisioning high-speed internet connections for schools can involve working with ISPs, deploying broadband connections, or leveraging satellite or wireless technologies in remote areas.</w:t>
      </w:r>
    </w:p>
    <w:p w14:paraId="7BFAC9EE" w14:textId="77777777" w:rsidR="00FC5D00" w:rsidRPr="00FC5D00" w:rsidRDefault="00FC5D00" w:rsidP="00FC5D00">
      <w:pPr>
        <w:pStyle w:val="ListParagraph"/>
        <w:numPr>
          <w:ilvl w:val="0"/>
          <w:numId w:val="19"/>
        </w:numPr>
        <w:tabs>
          <w:tab w:val="clear" w:pos="1134"/>
          <w:tab w:val="clear" w:pos="1871"/>
          <w:tab w:val="clear" w:pos="2268"/>
        </w:tabs>
        <w:overflowPunct/>
        <w:autoSpaceDE/>
        <w:autoSpaceDN/>
        <w:adjustRightInd/>
        <w:spacing w:before="60" w:after="60"/>
        <w:ind w:left="357" w:hanging="357"/>
        <w:contextualSpacing w:val="0"/>
        <w:textAlignment w:val="auto"/>
        <w:rPr>
          <w:rFonts w:cstheme="minorHAnsi"/>
          <w:szCs w:val="24"/>
        </w:rPr>
      </w:pPr>
      <w:r w:rsidRPr="00FC5D00">
        <w:rPr>
          <w:rFonts w:cstheme="minorHAnsi"/>
          <w:szCs w:val="24"/>
        </w:rPr>
        <w:t>Network Security: Ensuring network security is vital to protect sensitive data and prevent unauthorized access. Implementing firewalls, intrusion detection systems, and virtual private networks (VPNs) helps safeguard the network from external threats. Access controls, authentication mechanisms, and regular security audits are also essential.</w:t>
      </w:r>
    </w:p>
    <w:p w14:paraId="5F219EA7" w14:textId="77777777" w:rsidR="00FC5D00" w:rsidRPr="00FC5D00" w:rsidRDefault="00FC5D00" w:rsidP="00FC5D00">
      <w:pPr>
        <w:pStyle w:val="ListParagraph"/>
        <w:numPr>
          <w:ilvl w:val="0"/>
          <w:numId w:val="19"/>
        </w:numPr>
        <w:tabs>
          <w:tab w:val="clear" w:pos="1134"/>
          <w:tab w:val="clear" w:pos="1871"/>
          <w:tab w:val="clear" w:pos="2268"/>
        </w:tabs>
        <w:overflowPunct/>
        <w:autoSpaceDE/>
        <w:autoSpaceDN/>
        <w:adjustRightInd/>
        <w:spacing w:before="60" w:after="60"/>
        <w:ind w:left="357" w:hanging="357"/>
        <w:contextualSpacing w:val="0"/>
        <w:textAlignment w:val="auto"/>
        <w:rPr>
          <w:rFonts w:cstheme="minorHAnsi"/>
          <w:szCs w:val="24"/>
        </w:rPr>
      </w:pPr>
      <w:r w:rsidRPr="00FC5D00">
        <w:rPr>
          <w:rFonts w:cstheme="minorHAnsi"/>
          <w:szCs w:val="24"/>
        </w:rPr>
        <w:t>Network Management: Efficient network management is crucial for monitoring network health, ensuring uptime, and troubleshooting issues. Network management tools, including network monitoring systems and configuration management tools, help administrators keep the network running smoothly.</w:t>
      </w:r>
    </w:p>
    <w:p w14:paraId="7F5E162B" w14:textId="77777777" w:rsidR="00FC5D00" w:rsidRPr="00FC5D00" w:rsidRDefault="00FC5D00" w:rsidP="00FC5D00">
      <w:pPr>
        <w:spacing w:after="120"/>
        <w:rPr>
          <w:rFonts w:cstheme="minorHAnsi"/>
          <w:szCs w:val="24"/>
        </w:rPr>
      </w:pPr>
      <w:r w:rsidRPr="00FC5D00">
        <w:rPr>
          <w:rFonts w:cstheme="minorHAnsi"/>
          <w:szCs w:val="24"/>
        </w:rPr>
        <w:t xml:space="preserve">A national school network should also be designed with scalability in mind to accommodate future growth. Redundancy measures, such as backup connections, redundant hardware, and failover mechanisms, can ensure network resilience and minimize downtime. </w:t>
      </w:r>
    </w:p>
    <w:p w14:paraId="322325CD" w14:textId="07E91748" w:rsidR="00FC5D00" w:rsidRPr="00FC5D00" w:rsidRDefault="00FC5D00" w:rsidP="00FC5D00">
      <w:pPr>
        <w:numPr>
          <w:ilvl w:val="0"/>
          <w:numId w:val="15"/>
        </w:numPr>
        <w:pBdr>
          <w:top w:val="nil"/>
          <w:left w:val="nil"/>
          <w:bottom w:val="nil"/>
          <w:right w:val="nil"/>
          <w:between w:val="nil"/>
        </w:pBdr>
        <w:tabs>
          <w:tab w:val="clear" w:pos="794"/>
          <w:tab w:val="clear" w:pos="1191"/>
          <w:tab w:val="clear" w:pos="1588"/>
          <w:tab w:val="clear" w:pos="1985"/>
        </w:tabs>
        <w:overflowPunct/>
        <w:autoSpaceDE/>
        <w:autoSpaceDN/>
        <w:adjustRightInd/>
        <w:spacing w:after="120"/>
        <w:textAlignment w:val="auto"/>
        <w:rPr>
          <w:rFonts w:cstheme="minorHAnsi"/>
          <w:b/>
          <w:color w:val="000000"/>
          <w:szCs w:val="24"/>
        </w:rPr>
      </w:pPr>
      <w:r w:rsidRPr="00FC5D00">
        <w:rPr>
          <w:rFonts w:cstheme="minorHAnsi"/>
          <w:b/>
          <w:color w:val="000000"/>
          <w:szCs w:val="24"/>
        </w:rPr>
        <w:t>ITU support and related programs</w:t>
      </w:r>
    </w:p>
    <w:p w14:paraId="096DF980" w14:textId="77777777" w:rsidR="00FC5D00" w:rsidRPr="00FC5D00" w:rsidRDefault="00FC5D00" w:rsidP="00FC5D00">
      <w:pPr>
        <w:spacing w:after="120"/>
        <w:rPr>
          <w:rFonts w:cstheme="minorHAnsi"/>
          <w:szCs w:val="24"/>
        </w:rPr>
      </w:pPr>
      <w:r w:rsidRPr="00FC5D00">
        <w:rPr>
          <w:rFonts w:cstheme="minorHAnsi"/>
          <w:szCs w:val="24"/>
        </w:rPr>
        <w:t>Timor-Leste warmly invites TDAG to consider supporting measures that would facilitate the successful planning and construction of a national school network, ensuring a safe and secure online environment for all students across the country.</w:t>
      </w:r>
    </w:p>
    <w:p w14:paraId="104F0703" w14:textId="77777777" w:rsidR="00FC5D00" w:rsidRPr="00FC5D00" w:rsidRDefault="00FC5D00" w:rsidP="00FC5D00">
      <w:pPr>
        <w:spacing w:after="120"/>
        <w:rPr>
          <w:rFonts w:cstheme="minorHAnsi"/>
          <w:szCs w:val="24"/>
        </w:rPr>
      </w:pPr>
      <w:r w:rsidRPr="00FC5D00">
        <w:rPr>
          <w:rFonts w:cstheme="minorHAnsi"/>
          <w:szCs w:val="24"/>
        </w:rPr>
        <w:t>ITU's contribution can be instrumental in connecting schools in Timor-Leste. As a UNCTAD-designated least developed country (LDC), Timor-Leste stands to benefit greatly from ITU's assistance in implementing its National Program to connect schools to the Internet. Leveraging ITU's expertise and resources, the Timor-Leste Research and Education Network (TLREN) can address challenges in both areas of work: planning and constructing the national school network, as well as establishing a secure online environment on top of the network. The support measures may encompass the following:</w:t>
      </w:r>
    </w:p>
    <w:p w14:paraId="42CCC19A" w14:textId="77777777" w:rsidR="00FC5D00" w:rsidRPr="00FC5D00" w:rsidRDefault="00FC5D00" w:rsidP="00FC5D00">
      <w:pPr>
        <w:pStyle w:val="ListParagraph"/>
        <w:numPr>
          <w:ilvl w:val="0"/>
          <w:numId w:val="22"/>
        </w:numPr>
        <w:tabs>
          <w:tab w:val="clear" w:pos="1134"/>
          <w:tab w:val="clear" w:pos="1871"/>
          <w:tab w:val="clear" w:pos="2268"/>
        </w:tabs>
        <w:overflowPunct/>
        <w:autoSpaceDE/>
        <w:autoSpaceDN/>
        <w:adjustRightInd/>
        <w:spacing w:before="60" w:after="60"/>
        <w:ind w:left="357" w:hanging="357"/>
        <w:contextualSpacing w:val="0"/>
        <w:textAlignment w:val="auto"/>
        <w:rPr>
          <w:rFonts w:cstheme="minorHAnsi"/>
          <w:szCs w:val="24"/>
        </w:rPr>
      </w:pPr>
      <w:r w:rsidRPr="00FC5D00">
        <w:rPr>
          <w:rFonts w:cstheme="minorHAnsi"/>
          <w:szCs w:val="24"/>
        </w:rPr>
        <w:t>Policy and Advocacy: The ITU can assist the government to develop policies and regulatory frameworks that promote affordable and sustainable access to the internet for schools.</w:t>
      </w:r>
    </w:p>
    <w:p w14:paraId="442BFDAC" w14:textId="77777777" w:rsidR="00FC5D00" w:rsidRPr="00FC5D00" w:rsidRDefault="00FC5D00" w:rsidP="00FC5D00">
      <w:pPr>
        <w:pStyle w:val="ListParagraph"/>
        <w:numPr>
          <w:ilvl w:val="0"/>
          <w:numId w:val="22"/>
        </w:numPr>
        <w:tabs>
          <w:tab w:val="clear" w:pos="1134"/>
          <w:tab w:val="clear" w:pos="1871"/>
          <w:tab w:val="clear" w:pos="2268"/>
        </w:tabs>
        <w:overflowPunct/>
        <w:autoSpaceDE/>
        <w:autoSpaceDN/>
        <w:adjustRightInd/>
        <w:spacing w:before="60" w:after="60"/>
        <w:ind w:left="357" w:hanging="357"/>
        <w:contextualSpacing w:val="0"/>
        <w:textAlignment w:val="auto"/>
        <w:rPr>
          <w:rFonts w:cstheme="minorHAnsi"/>
          <w:szCs w:val="24"/>
        </w:rPr>
      </w:pPr>
      <w:r w:rsidRPr="00FC5D00">
        <w:rPr>
          <w:rFonts w:cstheme="minorHAnsi"/>
          <w:szCs w:val="24"/>
        </w:rPr>
        <w:t>Funding and Resources: The ITU can assist through the GIGA initiative to mobilize resources, including financial assistance and technical expertise, to support connectivity initiatives in LDCs. It can assist in securing funding from international organizations, governments, and private sector partners to invest in the necessary infrastructure and equipment required to connect schools.</w:t>
      </w:r>
    </w:p>
    <w:p w14:paraId="66AF8952" w14:textId="77777777" w:rsidR="00FC5D00" w:rsidRPr="00FC5D00" w:rsidRDefault="00FC5D00" w:rsidP="00FC5D00">
      <w:pPr>
        <w:pStyle w:val="ListParagraph"/>
        <w:numPr>
          <w:ilvl w:val="0"/>
          <w:numId w:val="22"/>
        </w:numPr>
        <w:tabs>
          <w:tab w:val="clear" w:pos="1134"/>
          <w:tab w:val="clear" w:pos="1871"/>
          <w:tab w:val="clear" w:pos="2268"/>
        </w:tabs>
        <w:overflowPunct/>
        <w:autoSpaceDE/>
        <w:autoSpaceDN/>
        <w:adjustRightInd/>
        <w:spacing w:before="60" w:after="60"/>
        <w:ind w:left="357" w:hanging="357"/>
        <w:contextualSpacing w:val="0"/>
        <w:textAlignment w:val="auto"/>
        <w:rPr>
          <w:rFonts w:cstheme="minorHAnsi"/>
          <w:szCs w:val="24"/>
        </w:rPr>
      </w:pPr>
      <w:r w:rsidRPr="00FC5D00">
        <w:rPr>
          <w:rFonts w:cstheme="minorHAnsi"/>
          <w:szCs w:val="24"/>
        </w:rPr>
        <w:t>Connectivity Planning: The ITU GIGA initiative can also provide guidance and expertise in developing comprehensive connectivity plans tailored to the specific needs of the LDC. This includes assessing the existing infrastructure, identifying connectivity gaps, and designing a roadmap for connecting schools using appropriate technologies.</w:t>
      </w:r>
    </w:p>
    <w:p w14:paraId="773406D2" w14:textId="77777777" w:rsidR="00FC5D00" w:rsidRPr="00FC5D00" w:rsidRDefault="00FC5D00" w:rsidP="00FC5D00">
      <w:pPr>
        <w:pStyle w:val="ListParagraph"/>
        <w:numPr>
          <w:ilvl w:val="0"/>
          <w:numId w:val="22"/>
        </w:numPr>
        <w:tabs>
          <w:tab w:val="clear" w:pos="1134"/>
          <w:tab w:val="clear" w:pos="1871"/>
          <w:tab w:val="clear" w:pos="2268"/>
        </w:tabs>
        <w:overflowPunct/>
        <w:autoSpaceDE/>
        <w:autoSpaceDN/>
        <w:adjustRightInd/>
        <w:spacing w:before="60" w:after="60"/>
        <w:ind w:left="357" w:hanging="357"/>
        <w:contextualSpacing w:val="0"/>
        <w:textAlignment w:val="auto"/>
        <w:rPr>
          <w:rFonts w:cstheme="minorHAnsi"/>
          <w:szCs w:val="24"/>
        </w:rPr>
      </w:pPr>
      <w:r w:rsidRPr="00FC5D00">
        <w:rPr>
          <w:rFonts w:cstheme="minorHAnsi"/>
          <w:szCs w:val="24"/>
        </w:rPr>
        <w:t>Capacity Building: The ITU support can provide training programs and capacity-building initiatives for local technicians and educators. These programs aim to enhance their skills and knowledge in managing and utilizing the connected infrastructure effectively, ensuring sustainable maintenance and support.</w:t>
      </w:r>
    </w:p>
    <w:p w14:paraId="21F6A60B" w14:textId="77777777" w:rsidR="00FC5D00" w:rsidRPr="00FC5D00" w:rsidRDefault="00FC5D00" w:rsidP="00FC5D00">
      <w:pPr>
        <w:pStyle w:val="ListParagraph"/>
        <w:numPr>
          <w:ilvl w:val="0"/>
          <w:numId w:val="22"/>
        </w:numPr>
        <w:tabs>
          <w:tab w:val="clear" w:pos="1134"/>
          <w:tab w:val="clear" w:pos="1871"/>
          <w:tab w:val="clear" w:pos="2268"/>
        </w:tabs>
        <w:overflowPunct/>
        <w:autoSpaceDE/>
        <w:autoSpaceDN/>
        <w:adjustRightInd/>
        <w:spacing w:before="60" w:after="60"/>
        <w:ind w:left="357" w:hanging="357"/>
        <w:contextualSpacing w:val="0"/>
        <w:textAlignment w:val="auto"/>
        <w:rPr>
          <w:rFonts w:cstheme="minorHAnsi"/>
          <w:szCs w:val="24"/>
        </w:rPr>
      </w:pPr>
      <w:r w:rsidRPr="00FC5D00">
        <w:rPr>
          <w:rFonts w:cstheme="minorHAnsi"/>
          <w:szCs w:val="24"/>
        </w:rPr>
        <w:t>Monitoring and Evaluation: The ITU can support the LDC in monitoring and evaluating the impact of the connectivity initiatives. This includes measuring indicators such as the number of connected schools, internet penetration rates, and educational outcomes to assess the effectiveness of the implemented solutions.</w:t>
      </w:r>
    </w:p>
    <w:p w14:paraId="0E4CC24D" w14:textId="77777777" w:rsidR="00FC5D00" w:rsidRPr="00FC5D00" w:rsidRDefault="00FC5D00" w:rsidP="00FC5D00">
      <w:pPr>
        <w:pStyle w:val="ListParagraph"/>
        <w:numPr>
          <w:ilvl w:val="0"/>
          <w:numId w:val="22"/>
        </w:numPr>
        <w:tabs>
          <w:tab w:val="clear" w:pos="1134"/>
          <w:tab w:val="clear" w:pos="1871"/>
          <w:tab w:val="clear" w:pos="2268"/>
        </w:tabs>
        <w:overflowPunct/>
        <w:autoSpaceDE/>
        <w:autoSpaceDN/>
        <w:adjustRightInd/>
        <w:spacing w:before="60" w:after="60"/>
        <w:ind w:left="357" w:hanging="357"/>
        <w:contextualSpacing w:val="0"/>
        <w:textAlignment w:val="auto"/>
        <w:rPr>
          <w:rFonts w:cstheme="minorHAnsi"/>
          <w:szCs w:val="24"/>
        </w:rPr>
      </w:pPr>
      <w:r w:rsidRPr="00FC5D00">
        <w:rPr>
          <w:rFonts w:cstheme="minorHAnsi"/>
          <w:szCs w:val="24"/>
        </w:rPr>
        <w:t>Knowledge Sharing and Cooperation: ITU can assist with knowledge sharing and best practices. It can facilitate the exchange of experiences and lessons learned among LDCs, enabling them to learn from successful connectivity initiatives implemented in other countries.</w:t>
      </w:r>
    </w:p>
    <w:p w14:paraId="2E6774BD" w14:textId="77777777" w:rsidR="00FC5D00" w:rsidRPr="00FC5D00" w:rsidRDefault="00FC5D00" w:rsidP="00FC5D00">
      <w:pPr>
        <w:spacing w:after="120"/>
        <w:rPr>
          <w:rFonts w:cstheme="minorHAnsi"/>
          <w:szCs w:val="24"/>
        </w:rPr>
      </w:pPr>
      <w:r w:rsidRPr="00FC5D00">
        <w:rPr>
          <w:rFonts w:cstheme="minorHAnsi"/>
          <w:szCs w:val="24"/>
        </w:rPr>
        <w:t>ITU support can help Timor-Leste create an enabling environment, mobilize funding, deploy infrastructure, and build local capacity to ensure that every school has access to reliable internet connectivity to provide a safe and secure online environment for its users and its community.</w:t>
      </w:r>
    </w:p>
    <w:p w14:paraId="05C2F57D" w14:textId="5945C6D9" w:rsidR="00CF4FE1" w:rsidRPr="00B05372" w:rsidRDefault="00CF4FE1" w:rsidP="00CF4FE1">
      <w:pPr>
        <w:pStyle w:val="LO-normal"/>
        <w:spacing w:before="60" w:after="60" w:line="240" w:lineRule="auto"/>
        <w:jc w:val="center"/>
        <w:rPr>
          <w:rFonts w:asciiTheme="minorHAnsi" w:hAnsiTheme="minorHAnsi" w:cstheme="minorHAnsi"/>
          <w:sz w:val="24"/>
          <w:szCs w:val="24"/>
        </w:rPr>
      </w:pPr>
      <w:r>
        <w:rPr>
          <w:rFonts w:asciiTheme="minorHAnsi" w:hAnsiTheme="minorHAnsi" w:cstheme="minorHAnsi"/>
          <w:sz w:val="24"/>
          <w:szCs w:val="24"/>
        </w:rPr>
        <w:t>_____________</w:t>
      </w:r>
    </w:p>
    <w:sectPr w:rsidR="00CF4FE1" w:rsidRPr="00B05372" w:rsidSect="00473791">
      <w:headerReference w:type="even" r:id="rId9"/>
      <w:headerReference w:type="default" r:id="rId10"/>
      <w:footerReference w:type="even" r:id="rId11"/>
      <w:footerReference w:type="default" r:id="rId12"/>
      <w:headerReference w:type="first" r:id="rId13"/>
      <w:footerReference w:type="first" r:id="rId14"/>
      <w:pgSz w:w="11907" w:h="16834" w:code="9"/>
      <w:pgMar w:top="1418" w:right="1134" w:bottom="1418" w:left="1134" w:header="720" w:footer="720"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7AEFE9" w14:textId="77777777" w:rsidR="0082326B" w:rsidRDefault="0082326B">
      <w:r>
        <w:separator/>
      </w:r>
    </w:p>
  </w:endnote>
  <w:endnote w:type="continuationSeparator" w:id="0">
    <w:p w14:paraId="00AA8E57" w14:textId="77777777" w:rsidR="0082326B" w:rsidRDefault="00823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1"/>
    <w:family w:val="swiss"/>
    <w:pitch w:val="default"/>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SimHei">
    <w:altName w:val="黑体"/>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B867DC" w14:textId="77777777" w:rsidR="000E4670" w:rsidRDefault="000E46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B9BEB7" w14:textId="77777777" w:rsidR="000E4670" w:rsidRDefault="000E46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9855" w:type="dxa"/>
      <w:tblLayout w:type="fixed"/>
      <w:tblLook w:val="04A0" w:firstRow="1" w:lastRow="0" w:firstColumn="1" w:lastColumn="0" w:noHBand="0" w:noVBand="1"/>
    </w:tblPr>
    <w:tblGrid>
      <w:gridCol w:w="1524"/>
      <w:gridCol w:w="2412"/>
      <w:gridCol w:w="5919"/>
    </w:tblGrid>
    <w:tr w:rsidR="00B05372" w14:paraId="04BD0BBE" w14:textId="77777777" w:rsidTr="00B862E8">
      <w:tc>
        <w:tcPr>
          <w:tcW w:w="1524" w:type="dxa"/>
          <w:tcBorders>
            <w:left w:val="nil"/>
            <w:bottom w:val="nil"/>
            <w:right w:val="nil"/>
          </w:tcBorders>
        </w:tcPr>
        <w:p w14:paraId="4877E93A" w14:textId="77777777" w:rsidR="00B05372" w:rsidRDefault="00B05372" w:rsidP="00B05372">
          <w:pPr>
            <w:pStyle w:val="FirstFooter"/>
            <w:tabs>
              <w:tab w:val="left" w:pos="1559"/>
              <w:tab w:val="left" w:pos="3828"/>
            </w:tabs>
            <w:rPr>
              <w:sz w:val="18"/>
              <w:szCs w:val="18"/>
              <w:lang w:val="en-GB"/>
            </w:rPr>
          </w:pPr>
          <w:r>
            <w:rPr>
              <w:sz w:val="18"/>
              <w:szCs w:val="18"/>
              <w:lang w:val="en-GB"/>
            </w:rPr>
            <w:t>Contact:</w:t>
          </w:r>
        </w:p>
      </w:tc>
      <w:tc>
        <w:tcPr>
          <w:tcW w:w="2412" w:type="dxa"/>
          <w:tcBorders>
            <w:left w:val="nil"/>
            <w:bottom w:val="nil"/>
            <w:right w:val="nil"/>
          </w:tcBorders>
        </w:tcPr>
        <w:p w14:paraId="3B3B3155" w14:textId="77777777" w:rsidR="00B05372" w:rsidRDefault="00B05372" w:rsidP="00B05372">
          <w:pPr>
            <w:pStyle w:val="FirstFooter"/>
            <w:tabs>
              <w:tab w:val="left" w:pos="2302"/>
            </w:tabs>
            <w:ind w:left="2302" w:hanging="2302"/>
            <w:rPr>
              <w:sz w:val="18"/>
              <w:szCs w:val="18"/>
              <w:lang w:val="en-GB"/>
            </w:rPr>
          </w:pPr>
          <w:r>
            <w:rPr>
              <w:sz w:val="18"/>
              <w:szCs w:val="18"/>
              <w:lang w:val="en-GB"/>
            </w:rPr>
            <w:t>Name/Organization/Entity:</w:t>
          </w:r>
        </w:p>
      </w:tc>
      <w:tc>
        <w:tcPr>
          <w:tcW w:w="5919" w:type="dxa"/>
          <w:tcBorders>
            <w:left w:val="nil"/>
            <w:bottom w:val="nil"/>
            <w:right w:val="nil"/>
          </w:tcBorders>
        </w:tcPr>
        <w:p w14:paraId="68E06CDB" w14:textId="09B21EED" w:rsidR="00B05372" w:rsidRPr="00930387" w:rsidRDefault="00E2465F" w:rsidP="000E4670">
          <w:pPr>
            <w:pStyle w:val="LO-normal"/>
            <w:widowControl w:val="0"/>
            <w:tabs>
              <w:tab w:val="left" w:pos="2302"/>
              <w:tab w:val="center" w:pos="4680"/>
              <w:tab w:val="right" w:pos="9360"/>
            </w:tabs>
            <w:spacing w:before="40" w:after="0" w:line="240" w:lineRule="auto"/>
            <w:rPr>
              <w:sz w:val="18"/>
              <w:szCs w:val="18"/>
            </w:rPr>
          </w:pPr>
          <w:r w:rsidRPr="00E2465F">
            <w:rPr>
              <w:sz w:val="18"/>
              <w:szCs w:val="18"/>
            </w:rPr>
            <w:t xml:space="preserve">Mr </w:t>
          </w:r>
          <w:r w:rsidR="000E4670" w:rsidRPr="00E2465F">
            <w:rPr>
              <w:sz w:val="18"/>
              <w:szCs w:val="18"/>
            </w:rPr>
            <w:t xml:space="preserve">Jose Lay, </w:t>
          </w:r>
          <w:r w:rsidR="00B05372" w:rsidRPr="00E2465F">
            <w:rPr>
              <w:sz w:val="18"/>
              <w:szCs w:val="18"/>
            </w:rPr>
            <w:t>Autoridade Nacional de Comunicações (ANC)</w:t>
          </w:r>
          <w:r w:rsidR="000E4670" w:rsidRPr="00E2465F">
            <w:rPr>
              <w:sz w:val="18"/>
              <w:szCs w:val="18"/>
            </w:rPr>
            <w:t xml:space="preserve">, </w:t>
          </w:r>
          <w:r w:rsidR="00B05372">
            <w:rPr>
              <w:sz w:val="18"/>
              <w:szCs w:val="18"/>
            </w:rPr>
            <w:t>Ministry of Transportation and Communications</w:t>
          </w:r>
          <w:r w:rsidR="000E4670">
            <w:rPr>
              <w:sz w:val="18"/>
              <w:szCs w:val="18"/>
            </w:rPr>
            <w:t xml:space="preserve">, </w:t>
          </w:r>
          <w:r w:rsidR="00B05372" w:rsidRPr="00B05372">
            <w:rPr>
              <w:sz w:val="18"/>
              <w:szCs w:val="18"/>
            </w:rPr>
            <w:t>Timor-Leste</w:t>
          </w:r>
        </w:p>
      </w:tc>
    </w:tr>
    <w:tr w:rsidR="00B05372" w14:paraId="3E1F48EF" w14:textId="77777777" w:rsidTr="0018499B">
      <w:tc>
        <w:tcPr>
          <w:tcW w:w="1524" w:type="dxa"/>
          <w:tcBorders>
            <w:top w:val="nil"/>
            <w:left w:val="nil"/>
            <w:bottom w:val="nil"/>
            <w:right w:val="nil"/>
          </w:tcBorders>
        </w:tcPr>
        <w:p w14:paraId="63782700" w14:textId="77777777" w:rsidR="00B05372" w:rsidRDefault="00B05372" w:rsidP="00B05372">
          <w:pPr>
            <w:pStyle w:val="FirstFooter"/>
            <w:tabs>
              <w:tab w:val="left" w:pos="1559"/>
              <w:tab w:val="left" w:pos="3828"/>
            </w:tabs>
            <w:rPr>
              <w:sz w:val="20"/>
              <w:lang w:val="en-GB"/>
            </w:rPr>
          </w:pPr>
        </w:p>
      </w:tc>
      <w:tc>
        <w:tcPr>
          <w:tcW w:w="2412" w:type="dxa"/>
          <w:tcBorders>
            <w:top w:val="nil"/>
            <w:left w:val="nil"/>
            <w:bottom w:val="nil"/>
            <w:right w:val="nil"/>
          </w:tcBorders>
        </w:tcPr>
        <w:p w14:paraId="137D26EF" w14:textId="77777777" w:rsidR="00B05372" w:rsidRDefault="00B05372" w:rsidP="00B05372">
          <w:pPr>
            <w:pStyle w:val="FirstFooter"/>
            <w:tabs>
              <w:tab w:val="left" w:pos="2302"/>
            </w:tabs>
            <w:rPr>
              <w:sz w:val="18"/>
              <w:szCs w:val="18"/>
              <w:lang w:val="en-GB"/>
            </w:rPr>
          </w:pPr>
          <w:r>
            <w:rPr>
              <w:sz w:val="18"/>
              <w:szCs w:val="18"/>
              <w:lang w:val="en-GB"/>
            </w:rPr>
            <w:t>Phone number:</w:t>
          </w:r>
        </w:p>
      </w:tc>
      <w:tc>
        <w:tcPr>
          <w:tcW w:w="5919" w:type="dxa"/>
          <w:tcBorders>
            <w:top w:val="nil"/>
            <w:left w:val="nil"/>
            <w:bottom w:val="nil"/>
            <w:right w:val="nil"/>
          </w:tcBorders>
        </w:tcPr>
        <w:p w14:paraId="434B62EF" w14:textId="3364E93B" w:rsidR="00B05372" w:rsidRPr="00CA23BC" w:rsidRDefault="00B05372" w:rsidP="00B05372">
          <w:pPr>
            <w:pStyle w:val="FirstFooter"/>
            <w:rPr>
              <w:sz w:val="18"/>
              <w:szCs w:val="18"/>
            </w:rPr>
          </w:pPr>
          <w:r>
            <w:rPr>
              <w:sz w:val="18"/>
              <w:szCs w:val="18"/>
            </w:rPr>
            <w:t>+670 331 1415</w:t>
          </w:r>
        </w:p>
      </w:tc>
    </w:tr>
    <w:tr w:rsidR="00B05372" w14:paraId="408BB785" w14:textId="77777777" w:rsidTr="0018499B">
      <w:tc>
        <w:tcPr>
          <w:tcW w:w="1524" w:type="dxa"/>
          <w:tcBorders>
            <w:top w:val="nil"/>
            <w:left w:val="nil"/>
            <w:bottom w:val="nil"/>
            <w:right w:val="nil"/>
          </w:tcBorders>
        </w:tcPr>
        <w:p w14:paraId="513DD80F" w14:textId="77777777" w:rsidR="00B05372" w:rsidRDefault="00B05372" w:rsidP="00B05372">
          <w:pPr>
            <w:pStyle w:val="FirstFooter"/>
            <w:tabs>
              <w:tab w:val="left" w:pos="1559"/>
              <w:tab w:val="left" w:pos="3828"/>
            </w:tabs>
            <w:rPr>
              <w:sz w:val="20"/>
              <w:lang w:val="en-GB"/>
            </w:rPr>
          </w:pPr>
        </w:p>
      </w:tc>
      <w:tc>
        <w:tcPr>
          <w:tcW w:w="2412" w:type="dxa"/>
          <w:tcBorders>
            <w:top w:val="nil"/>
            <w:left w:val="nil"/>
            <w:bottom w:val="nil"/>
            <w:right w:val="nil"/>
          </w:tcBorders>
        </w:tcPr>
        <w:p w14:paraId="4C968C1E" w14:textId="77777777" w:rsidR="00B05372" w:rsidRDefault="00B05372" w:rsidP="00B05372">
          <w:pPr>
            <w:pStyle w:val="FirstFooter"/>
            <w:tabs>
              <w:tab w:val="left" w:pos="2302"/>
            </w:tabs>
            <w:rPr>
              <w:sz w:val="18"/>
              <w:szCs w:val="18"/>
              <w:lang w:val="en-GB"/>
            </w:rPr>
          </w:pPr>
          <w:r>
            <w:rPr>
              <w:sz w:val="18"/>
              <w:szCs w:val="18"/>
              <w:lang w:val="en-GB"/>
            </w:rPr>
            <w:t>E-mail:</w:t>
          </w:r>
        </w:p>
      </w:tc>
      <w:tc>
        <w:tcPr>
          <w:tcW w:w="5919" w:type="dxa"/>
          <w:tcBorders>
            <w:top w:val="nil"/>
            <w:left w:val="nil"/>
            <w:bottom w:val="nil"/>
            <w:right w:val="nil"/>
          </w:tcBorders>
        </w:tcPr>
        <w:p w14:paraId="468A3E7A" w14:textId="0C6B08DF" w:rsidR="00B05372" w:rsidRPr="00E2465F" w:rsidRDefault="00C54B01" w:rsidP="00B05372">
          <w:pPr>
            <w:pStyle w:val="FirstFooter"/>
            <w:rPr>
              <w:sz w:val="18"/>
              <w:szCs w:val="18"/>
              <w:lang w:val="en-GB"/>
            </w:rPr>
          </w:pPr>
          <w:hyperlink r:id="rId1" w:history="1">
            <w:r w:rsidR="000E4670" w:rsidRPr="00E2465F">
              <w:rPr>
                <w:rStyle w:val="Hyperlink"/>
                <w:sz w:val="18"/>
                <w:szCs w:val="18"/>
                <w:lang w:val="en-GB"/>
              </w:rPr>
              <w:t>jose.lay@anc.tl</w:t>
            </w:r>
          </w:hyperlink>
          <w:r w:rsidR="00E2465F" w:rsidRPr="00E2465F">
            <w:rPr>
              <w:sz w:val="18"/>
              <w:szCs w:val="18"/>
              <w:lang w:val="en-GB"/>
            </w:rPr>
            <w:t xml:space="preserve">; </w:t>
          </w:r>
          <w:hyperlink r:id="rId2" w:history="1">
            <w:r w:rsidR="00E2465F" w:rsidRPr="003410F4">
              <w:rPr>
                <w:rStyle w:val="Hyperlink"/>
                <w:sz w:val="18"/>
                <w:szCs w:val="18"/>
                <w:lang w:val="en-US"/>
              </w:rPr>
              <w:t>joselay@ieee.org</w:t>
            </w:r>
          </w:hyperlink>
          <w:r w:rsidR="00E2465F">
            <w:rPr>
              <w:sz w:val="18"/>
              <w:szCs w:val="18"/>
              <w:lang w:val="en-US"/>
            </w:rPr>
            <w:t xml:space="preserve"> </w:t>
          </w:r>
        </w:p>
      </w:tc>
    </w:tr>
  </w:tbl>
  <w:p w14:paraId="4B0C440E" w14:textId="77777777" w:rsidR="00CA23BC" w:rsidRDefault="00CA23BC" w:rsidP="00CA23BC">
    <w:pPr>
      <w:pStyle w:val="Footer"/>
      <w:rPr>
        <w:lang w:val="en-US"/>
      </w:rPr>
    </w:pPr>
  </w:p>
  <w:p w14:paraId="40A321D0" w14:textId="08EB6BB4" w:rsidR="00721657" w:rsidRPr="00E80B77" w:rsidRDefault="00C54B01" w:rsidP="00E80B77">
    <w:pPr>
      <w:pStyle w:val="Footer"/>
      <w:jc w:val="center"/>
      <w:rPr>
        <w:lang w:val="en-GB"/>
      </w:rPr>
    </w:pPr>
    <w:hyperlink r:id="rId3" w:history="1">
      <w:r w:rsidR="00E80B77">
        <w:rPr>
          <w:rStyle w:val="Hyperlink"/>
          <w:caps w:val="0"/>
          <w:noProof w:val="0"/>
          <w:sz w:val="18"/>
          <w:szCs w:val="18"/>
          <w:lang w:val="en-US"/>
        </w:rPr>
        <w:t>TDAG</w:t>
      </w:r>
    </w:hyperlink>
    <w:hyperlink r:id="rId4" w:history="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8DF707" w14:textId="77777777" w:rsidR="0082326B" w:rsidRDefault="0082326B">
      <w:r>
        <w:t>____________________</w:t>
      </w:r>
    </w:p>
  </w:footnote>
  <w:footnote w:type="continuationSeparator" w:id="0">
    <w:p w14:paraId="1DF81D81" w14:textId="77777777" w:rsidR="0082326B" w:rsidRDefault="0082326B">
      <w:r>
        <w:continuationSeparator/>
      </w:r>
    </w:p>
  </w:footnote>
  <w:footnote w:id="1">
    <w:p w14:paraId="51F6318E" w14:textId="622F96DB" w:rsidR="00FC5D00" w:rsidRPr="00FC5D00" w:rsidRDefault="00FC5D00" w:rsidP="00FC5D00">
      <w:pPr>
        <w:pStyle w:val="FootnoteText"/>
        <w:spacing w:before="0"/>
        <w:ind w:left="0" w:firstLine="0"/>
        <w:rPr>
          <w:sz w:val="20"/>
          <w:lang w:val="en-US"/>
        </w:rPr>
      </w:pPr>
      <w:r w:rsidRPr="00FC5D00">
        <w:rPr>
          <w:rStyle w:val="FootnoteReference"/>
          <w:sz w:val="20"/>
        </w:rPr>
        <w:footnoteRef/>
      </w:r>
      <w:r w:rsidRPr="00FC5D00">
        <w:rPr>
          <w:sz w:val="20"/>
        </w:rPr>
        <w:t xml:space="preserve"> </w:t>
      </w:r>
      <w:hyperlink r:id="rId1" w:history="1">
        <w:r w:rsidRPr="00AE102F">
          <w:rPr>
            <w:rStyle w:val="Hyperlink"/>
            <w:sz w:val="20"/>
          </w:rPr>
          <w:t>http://timor-leste.gov.tl/wp-content/uploads/2018/10/VIII-GOVERNO-CONSTITUCIONAL-FINAL_Programa_ENG.pdf</w:t>
        </w:r>
      </w:hyperlink>
      <w:r>
        <w:rPr>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FF24AE" w14:textId="77777777" w:rsidR="000E4670" w:rsidRDefault="000E46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F4FE77" w14:textId="459C61E7" w:rsidR="00721657" w:rsidRPr="00A525CC" w:rsidRDefault="00A525CC" w:rsidP="00307769">
    <w:pPr>
      <w:tabs>
        <w:tab w:val="clear" w:pos="794"/>
        <w:tab w:val="clear" w:pos="1191"/>
        <w:tab w:val="clear" w:pos="1588"/>
        <w:tab w:val="clear" w:pos="1985"/>
        <w:tab w:val="center" w:pos="4820"/>
        <w:tab w:val="right" w:pos="9639"/>
      </w:tabs>
      <w:ind w:right="1"/>
      <w:rPr>
        <w:rStyle w:val="PageNumber"/>
      </w:rPr>
    </w:pPr>
    <w:r w:rsidRPr="00972BCD">
      <w:rPr>
        <w:sz w:val="22"/>
        <w:szCs w:val="22"/>
      </w:rPr>
      <w:tab/>
    </w:r>
    <w:r w:rsidRPr="00A54E72">
      <w:rPr>
        <w:sz w:val="22"/>
        <w:szCs w:val="22"/>
        <w:lang w:val="de-CH"/>
      </w:rPr>
      <w:t>TDAG</w:t>
    </w:r>
    <w:r w:rsidR="003242AB">
      <w:rPr>
        <w:sz w:val="22"/>
        <w:szCs w:val="22"/>
        <w:lang w:val="de-CH"/>
      </w:rPr>
      <w:t>-</w:t>
    </w:r>
    <w:r w:rsidR="00923CF1">
      <w:rPr>
        <w:sz w:val="22"/>
        <w:szCs w:val="22"/>
        <w:lang w:val="de-CH"/>
      </w:rPr>
      <w:t>2</w:t>
    </w:r>
    <w:r w:rsidR="00307769">
      <w:rPr>
        <w:sz w:val="22"/>
        <w:szCs w:val="22"/>
        <w:lang w:val="de-CH"/>
      </w:rPr>
      <w:t>3</w:t>
    </w:r>
    <w:r w:rsidRPr="00A54E72">
      <w:rPr>
        <w:sz w:val="22"/>
        <w:szCs w:val="22"/>
        <w:lang w:val="de-CH"/>
      </w:rPr>
      <w:t>/</w:t>
    </w:r>
    <w:r w:rsidR="00C54B01">
      <w:rPr>
        <w:sz w:val="22"/>
        <w:szCs w:val="22"/>
        <w:lang w:val="de-CH"/>
      </w:rPr>
      <w:t>45</w:t>
    </w:r>
    <w:bookmarkStart w:id="7" w:name="_GoBack"/>
    <w:bookmarkEnd w:id="7"/>
    <w:r w:rsidRPr="006D271A">
      <w:rPr>
        <w:sz w:val="22"/>
        <w:szCs w:val="22"/>
        <w:lang w:val="de-CH"/>
      </w:rPr>
      <w:t>-E</w:t>
    </w:r>
    <w:r w:rsidRPr="006D271A">
      <w:rPr>
        <w:sz w:val="22"/>
        <w:szCs w:val="22"/>
        <w:lang w:val="de-CH"/>
      </w:rPr>
      <w:tab/>
      <w:t xml:space="preserve">Page </w:t>
    </w:r>
    <w:r w:rsidRPr="00972BCD">
      <w:rPr>
        <w:sz w:val="22"/>
        <w:szCs w:val="22"/>
      </w:rPr>
      <w:fldChar w:fldCharType="begin"/>
    </w:r>
    <w:r w:rsidRPr="006D271A">
      <w:rPr>
        <w:sz w:val="22"/>
        <w:szCs w:val="22"/>
        <w:lang w:val="de-CH"/>
      </w:rPr>
      <w:instrText xml:space="preserve"> PAGE </w:instrText>
    </w:r>
    <w:r w:rsidRPr="00972BCD">
      <w:rPr>
        <w:sz w:val="22"/>
        <w:szCs w:val="22"/>
      </w:rPr>
      <w:fldChar w:fldCharType="separate"/>
    </w:r>
    <w:r w:rsidR="004D7DAB">
      <w:rPr>
        <w:noProof/>
        <w:sz w:val="22"/>
        <w:szCs w:val="22"/>
        <w:lang w:val="de-CH"/>
      </w:rPr>
      <w:t>2</w:t>
    </w:r>
    <w:r w:rsidRPr="00972BCD">
      <w:rP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8268B7" w14:textId="77777777" w:rsidR="000E4670" w:rsidRDefault="000E46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4438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6706DA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7E43122"/>
    <w:multiLevelType w:val="hybridMultilevel"/>
    <w:tmpl w:val="893AE646"/>
    <w:lvl w:ilvl="0" w:tplc="46C0BA7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AB204A"/>
    <w:multiLevelType w:val="hybridMultilevel"/>
    <w:tmpl w:val="F4A28F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B43E98"/>
    <w:multiLevelType w:val="hybridMultilevel"/>
    <w:tmpl w:val="1136B736"/>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A21494"/>
    <w:multiLevelType w:val="hybridMultilevel"/>
    <w:tmpl w:val="60D4FAF8"/>
    <w:lvl w:ilvl="0" w:tplc="D8AA70EE">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6" w15:restartNumberingAfterBreak="0">
    <w:nsid w:val="2FEC31E7"/>
    <w:multiLevelType w:val="multilevel"/>
    <w:tmpl w:val="5668640C"/>
    <w:lvl w:ilvl="0">
      <w:start w:val="1"/>
      <w:numFmt w:val="bullet"/>
      <w:lvlText w:val=""/>
      <w:lvlJc w:val="left"/>
      <w:pPr>
        <w:tabs>
          <w:tab w:val="num" w:pos="-53"/>
        </w:tabs>
        <w:ind w:left="360" w:hanging="360"/>
      </w:pPr>
      <w:rPr>
        <w:rFonts w:ascii="Symbol" w:hAnsi="Symbol" w:hint="default"/>
      </w:rPr>
    </w:lvl>
    <w:lvl w:ilvl="1">
      <w:start w:val="1"/>
      <w:numFmt w:val="bullet"/>
      <w:lvlText w:val="o"/>
      <w:lvlJc w:val="left"/>
      <w:pPr>
        <w:tabs>
          <w:tab w:val="num" w:pos="-53"/>
        </w:tabs>
        <w:ind w:left="1080" w:hanging="360"/>
      </w:pPr>
      <w:rPr>
        <w:rFonts w:ascii="Courier New" w:hAnsi="Courier New" w:cs="Courier New" w:hint="default"/>
      </w:rPr>
    </w:lvl>
    <w:lvl w:ilvl="2">
      <w:start w:val="1"/>
      <w:numFmt w:val="bullet"/>
      <w:lvlText w:val="▪"/>
      <w:lvlJc w:val="left"/>
      <w:pPr>
        <w:tabs>
          <w:tab w:val="num" w:pos="-53"/>
        </w:tabs>
        <w:ind w:left="1800" w:hanging="360"/>
      </w:pPr>
      <w:rPr>
        <w:rFonts w:ascii="Noto Sans Symbols" w:hAnsi="Noto Sans Symbols" w:cs="Noto Sans Symbols" w:hint="default"/>
      </w:rPr>
    </w:lvl>
    <w:lvl w:ilvl="3">
      <w:start w:val="1"/>
      <w:numFmt w:val="bullet"/>
      <w:lvlText w:val="●"/>
      <w:lvlJc w:val="left"/>
      <w:pPr>
        <w:tabs>
          <w:tab w:val="num" w:pos="-53"/>
        </w:tabs>
        <w:ind w:left="2520" w:hanging="360"/>
      </w:pPr>
      <w:rPr>
        <w:rFonts w:ascii="Noto Sans Symbols" w:hAnsi="Noto Sans Symbols" w:cs="Noto Sans Symbols" w:hint="default"/>
      </w:rPr>
    </w:lvl>
    <w:lvl w:ilvl="4">
      <w:start w:val="1"/>
      <w:numFmt w:val="bullet"/>
      <w:lvlText w:val="o"/>
      <w:lvlJc w:val="left"/>
      <w:pPr>
        <w:tabs>
          <w:tab w:val="num" w:pos="-53"/>
        </w:tabs>
        <w:ind w:left="3240" w:hanging="360"/>
      </w:pPr>
      <w:rPr>
        <w:rFonts w:ascii="Courier New" w:hAnsi="Courier New" w:cs="Courier New" w:hint="default"/>
      </w:rPr>
    </w:lvl>
    <w:lvl w:ilvl="5">
      <w:start w:val="1"/>
      <w:numFmt w:val="bullet"/>
      <w:lvlText w:val="▪"/>
      <w:lvlJc w:val="left"/>
      <w:pPr>
        <w:tabs>
          <w:tab w:val="num" w:pos="-53"/>
        </w:tabs>
        <w:ind w:left="3960" w:hanging="360"/>
      </w:pPr>
      <w:rPr>
        <w:rFonts w:ascii="Noto Sans Symbols" w:hAnsi="Noto Sans Symbols" w:cs="Noto Sans Symbols" w:hint="default"/>
      </w:rPr>
    </w:lvl>
    <w:lvl w:ilvl="6">
      <w:start w:val="1"/>
      <w:numFmt w:val="bullet"/>
      <w:lvlText w:val="●"/>
      <w:lvlJc w:val="left"/>
      <w:pPr>
        <w:tabs>
          <w:tab w:val="num" w:pos="-53"/>
        </w:tabs>
        <w:ind w:left="4680" w:hanging="360"/>
      </w:pPr>
      <w:rPr>
        <w:rFonts w:ascii="Noto Sans Symbols" w:hAnsi="Noto Sans Symbols" w:cs="Noto Sans Symbols" w:hint="default"/>
      </w:rPr>
    </w:lvl>
    <w:lvl w:ilvl="7">
      <w:start w:val="1"/>
      <w:numFmt w:val="bullet"/>
      <w:lvlText w:val="o"/>
      <w:lvlJc w:val="left"/>
      <w:pPr>
        <w:tabs>
          <w:tab w:val="num" w:pos="-53"/>
        </w:tabs>
        <w:ind w:left="5400" w:hanging="360"/>
      </w:pPr>
      <w:rPr>
        <w:rFonts w:ascii="Courier New" w:hAnsi="Courier New" w:cs="Courier New" w:hint="default"/>
      </w:rPr>
    </w:lvl>
    <w:lvl w:ilvl="8">
      <w:start w:val="1"/>
      <w:numFmt w:val="bullet"/>
      <w:lvlText w:val="▪"/>
      <w:lvlJc w:val="left"/>
      <w:pPr>
        <w:tabs>
          <w:tab w:val="num" w:pos="-53"/>
        </w:tabs>
        <w:ind w:left="6120" w:hanging="360"/>
      </w:pPr>
      <w:rPr>
        <w:rFonts w:ascii="Noto Sans Symbols" w:hAnsi="Noto Sans Symbols" w:cs="Noto Sans Symbols" w:hint="default"/>
      </w:rPr>
    </w:lvl>
  </w:abstractNum>
  <w:abstractNum w:abstractNumId="7" w15:restartNumberingAfterBreak="0">
    <w:nsid w:val="35F957BF"/>
    <w:multiLevelType w:val="multilevel"/>
    <w:tmpl w:val="06EE4816"/>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7"/>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4"/>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15:restartNumberingAfterBreak="0">
    <w:nsid w:val="45382C29"/>
    <w:multiLevelType w:val="hybridMultilevel"/>
    <w:tmpl w:val="FF7C051A"/>
    <w:lvl w:ilvl="0" w:tplc="449CA9D6">
      <w:numFmt w:val="bullet"/>
      <w:lvlText w:val="•"/>
      <w:lvlJc w:val="left"/>
      <w:pPr>
        <w:ind w:left="799" w:hanging="765"/>
      </w:pPr>
      <w:rPr>
        <w:rFonts w:ascii="Calibri" w:eastAsia="Times New Roman" w:hAnsi="Calibri" w:cs="Calibri"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9" w15:restartNumberingAfterBreak="0">
    <w:nsid w:val="466021F0"/>
    <w:multiLevelType w:val="hybridMultilevel"/>
    <w:tmpl w:val="7A0A65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FE4B8D"/>
    <w:multiLevelType w:val="hybridMultilevel"/>
    <w:tmpl w:val="436A8E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7C1476"/>
    <w:multiLevelType w:val="hybridMultilevel"/>
    <w:tmpl w:val="2C0632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A5379B4"/>
    <w:multiLevelType w:val="multilevel"/>
    <w:tmpl w:val="769833E0"/>
    <w:lvl w:ilvl="0">
      <w:start w:val="1"/>
      <w:numFmt w:val="bullet"/>
      <w:lvlText w:val=""/>
      <w:lvlJc w:val="left"/>
      <w:pPr>
        <w:tabs>
          <w:tab w:val="num" w:pos="-53"/>
        </w:tabs>
        <w:ind w:left="360" w:hanging="360"/>
      </w:pPr>
      <w:rPr>
        <w:rFonts w:ascii="Symbol" w:hAnsi="Symbol" w:hint="default"/>
      </w:rPr>
    </w:lvl>
    <w:lvl w:ilvl="1">
      <w:start w:val="1"/>
      <w:numFmt w:val="bullet"/>
      <w:lvlText w:val="o"/>
      <w:lvlJc w:val="left"/>
      <w:pPr>
        <w:tabs>
          <w:tab w:val="num" w:pos="-53"/>
        </w:tabs>
        <w:ind w:left="1080" w:hanging="360"/>
      </w:pPr>
      <w:rPr>
        <w:rFonts w:ascii="Courier New" w:hAnsi="Courier New" w:cs="Courier New" w:hint="default"/>
      </w:rPr>
    </w:lvl>
    <w:lvl w:ilvl="2">
      <w:start w:val="1"/>
      <w:numFmt w:val="bullet"/>
      <w:lvlText w:val="▪"/>
      <w:lvlJc w:val="left"/>
      <w:pPr>
        <w:tabs>
          <w:tab w:val="num" w:pos="-53"/>
        </w:tabs>
        <w:ind w:left="1800" w:hanging="360"/>
      </w:pPr>
      <w:rPr>
        <w:rFonts w:ascii="Noto Sans Symbols" w:hAnsi="Noto Sans Symbols" w:cs="Noto Sans Symbols" w:hint="default"/>
      </w:rPr>
    </w:lvl>
    <w:lvl w:ilvl="3">
      <w:start w:val="1"/>
      <w:numFmt w:val="bullet"/>
      <w:lvlText w:val="●"/>
      <w:lvlJc w:val="left"/>
      <w:pPr>
        <w:tabs>
          <w:tab w:val="num" w:pos="-53"/>
        </w:tabs>
        <w:ind w:left="2520" w:hanging="360"/>
      </w:pPr>
      <w:rPr>
        <w:rFonts w:ascii="Noto Sans Symbols" w:hAnsi="Noto Sans Symbols" w:cs="Noto Sans Symbols" w:hint="default"/>
      </w:rPr>
    </w:lvl>
    <w:lvl w:ilvl="4">
      <w:start w:val="1"/>
      <w:numFmt w:val="bullet"/>
      <w:lvlText w:val="o"/>
      <w:lvlJc w:val="left"/>
      <w:pPr>
        <w:tabs>
          <w:tab w:val="num" w:pos="-53"/>
        </w:tabs>
        <w:ind w:left="3240" w:hanging="360"/>
      </w:pPr>
      <w:rPr>
        <w:rFonts w:ascii="Courier New" w:hAnsi="Courier New" w:cs="Courier New" w:hint="default"/>
      </w:rPr>
    </w:lvl>
    <w:lvl w:ilvl="5">
      <w:start w:val="1"/>
      <w:numFmt w:val="bullet"/>
      <w:lvlText w:val="▪"/>
      <w:lvlJc w:val="left"/>
      <w:pPr>
        <w:tabs>
          <w:tab w:val="num" w:pos="-53"/>
        </w:tabs>
        <w:ind w:left="3960" w:hanging="360"/>
      </w:pPr>
      <w:rPr>
        <w:rFonts w:ascii="Noto Sans Symbols" w:hAnsi="Noto Sans Symbols" w:cs="Noto Sans Symbols" w:hint="default"/>
      </w:rPr>
    </w:lvl>
    <w:lvl w:ilvl="6">
      <w:start w:val="1"/>
      <w:numFmt w:val="bullet"/>
      <w:lvlText w:val="●"/>
      <w:lvlJc w:val="left"/>
      <w:pPr>
        <w:tabs>
          <w:tab w:val="num" w:pos="-53"/>
        </w:tabs>
        <w:ind w:left="4680" w:hanging="360"/>
      </w:pPr>
      <w:rPr>
        <w:rFonts w:ascii="Noto Sans Symbols" w:hAnsi="Noto Sans Symbols" w:cs="Noto Sans Symbols" w:hint="default"/>
      </w:rPr>
    </w:lvl>
    <w:lvl w:ilvl="7">
      <w:start w:val="1"/>
      <w:numFmt w:val="bullet"/>
      <w:lvlText w:val="o"/>
      <w:lvlJc w:val="left"/>
      <w:pPr>
        <w:tabs>
          <w:tab w:val="num" w:pos="-53"/>
        </w:tabs>
        <w:ind w:left="5400" w:hanging="360"/>
      </w:pPr>
      <w:rPr>
        <w:rFonts w:ascii="Courier New" w:hAnsi="Courier New" w:cs="Courier New" w:hint="default"/>
      </w:rPr>
    </w:lvl>
    <w:lvl w:ilvl="8">
      <w:start w:val="1"/>
      <w:numFmt w:val="bullet"/>
      <w:lvlText w:val="▪"/>
      <w:lvlJc w:val="left"/>
      <w:pPr>
        <w:tabs>
          <w:tab w:val="num" w:pos="-53"/>
        </w:tabs>
        <w:ind w:left="6120" w:hanging="360"/>
      </w:pPr>
      <w:rPr>
        <w:rFonts w:ascii="Noto Sans Symbols" w:hAnsi="Noto Sans Symbols" w:cs="Noto Sans Symbols" w:hint="default"/>
      </w:rPr>
    </w:lvl>
  </w:abstractNum>
  <w:abstractNum w:abstractNumId="13"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14" w15:restartNumberingAfterBreak="0">
    <w:nsid w:val="677E078F"/>
    <w:multiLevelType w:val="multilevel"/>
    <w:tmpl w:val="76B6C242"/>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5" w15:restartNumberingAfterBreak="0">
    <w:nsid w:val="6A1454E2"/>
    <w:multiLevelType w:val="multilevel"/>
    <w:tmpl w:val="5FFCBAF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6BB00AB3"/>
    <w:multiLevelType w:val="hybridMultilevel"/>
    <w:tmpl w:val="5860C620"/>
    <w:lvl w:ilvl="0" w:tplc="AF0CEBB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3625490"/>
    <w:multiLevelType w:val="multilevel"/>
    <w:tmpl w:val="BEC872C8"/>
    <w:lvl w:ilvl="0">
      <w:start w:val="5"/>
      <w:numFmt w:val="bullet"/>
      <w:lvlText w:val="-"/>
      <w:lvlJc w:val="left"/>
      <w:pPr>
        <w:tabs>
          <w:tab w:val="num" w:pos="0"/>
        </w:tabs>
        <w:ind w:left="413" w:hanging="360"/>
      </w:pPr>
      <w:rPr>
        <w:rFonts w:ascii="Calibri" w:hAnsi="Calibri" w:cs="Calibri" w:hint="default"/>
      </w:rPr>
    </w:lvl>
    <w:lvl w:ilvl="1">
      <w:start w:val="1"/>
      <w:numFmt w:val="bullet"/>
      <w:lvlText w:val="o"/>
      <w:lvlJc w:val="left"/>
      <w:pPr>
        <w:tabs>
          <w:tab w:val="num" w:pos="0"/>
        </w:tabs>
        <w:ind w:left="1133" w:hanging="360"/>
      </w:pPr>
      <w:rPr>
        <w:rFonts w:ascii="Courier New" w:hAnsi="Courier New" w:cs="Courier New" w:hint="default"/>
      </w:rPr>
    </w:lvl>
    <w:lvl w:ilvl="2">
      <w:start w:val="1"/>
      <w:numFmt w:val="bullet"/>
      <w:lvlText w:val="▪"/>
      <w:lvlJc w:val="left"/>
      <w:pPr>
        <w:tabs>
          <w:tab w:val="num" w:pos="0"/>
        </w:tabs>
        <w:ind w:left="1853" w:hanging="360"/>
      </w:pPr>
      <w:rPr>
        <w:rFonts w:ascii="Noto Sans Symbols" w:hAnsi="Noto Sans Symbols" w:cs="Noto Sans Symbols" w:hint="default"/>
      </w:rPr>
    </w:lvl>
    <w:lvl w:ilvl="3">
      <w:start w:val="1"/>
      <w:numFmt w:val="bullet"/>
      <w:lvlText w:val="●"/>
      <w:lvlJc w:val="left"/>
      <w:pPr>
        <w:tabs>
          <w:tab w:val="num" w:pos="0"/>
        </w:tabs>
        <w:ind w:left="2573" w:hanging="360"/>
      </w:pPr>
      <w:rPr>
        <w:rFonts w:ascii="Noto Sans Symbols" w:hAnsi="Noto Sans Symbols" w:cs="Noto Sans Symbols" w:hint="default"/>
      </w:rPr>
    </w:lvl>
    <w:lvl w:ilvl="4">
      <w:start w:val="1"/>
      <w:numFmt w:val="bullet"/>
      <w:lvlText w:val="o"/>
      <w:lvlJc w:val="left"/>
      <w:pPr>
        <w:tabs>
          <w:tab w:val="num" w:pos="0"/>
        </w:tabs>
        <w:ind w:left="3293" w:hanging="360"/>
      </w:pPr>
      <w:rPr>
        <w:rFonts w:ascii="Courier New" w:hAnsi="Courier New" w:cs="Courier New" w:hint="default"/>
      </w:rPr>
    </w:lvl>
    <w:lvl w:ilvl="5">
      <w:start w:val="1"/>
      <w:numFmt w:val="bullet"/>
      <w:lvlText w:val="▪"/>
      <w:lvlJc w:val="left"/>
      <w:pPr>
        <w:tabs>
          <w:tab w:val="num" w:pos="0"/>
        </w:tabs>
        <w:ind w:left="4013" w:hanging="360"/>
      </w:pPr>
      <w:rPr>
        <w:rFonts w:ascii="Noto Sans Symbols" w:hAnsi="Noto Sans Symbols" w:cs="Noto Sans Symbols" w:hint="default"/>
      </w:rPr>
    </w:lvl>
    <w:lvl w:ilvl="6">
      <w:start w:val="1"/>
      <w:numFmt w:val="bullet"/>
      <w:lvlText w:val="●"/>
      <w:lvlJc w:val="left"/>
      <w:pPr>
        <w:tabs>
          <w:tab w:val="num" w:pos="0"/>
        </w:tabs>
        <w:ind w:left="4733" w:hanging="360"/>
      </w:pPr>
      <w:rPr>
        <w:rFonts w:ascii="Noto Sans Symbols" w:hAnsi="Noto Sans Symbols" w:cs="Noto Sans Symbols" w:hint="default"/>
      </w:rPr>
    </w:lvl>
    <w:lvl w:ilvl="7">
      <w:start w:val="1"/>
      <w:numFmt w:val="bullet"/>
      <w:lvlText w:val="o"/>
      <w:lvlJc w:val="left"/>
      <w:pPr>
        <w:tabs>
          <w:tab w:val="num" w:pos="0"/>
        </w:tabs>
        <w:ind w:left="5453" w:hanging="360"/>
      </w:pPr>
      <w:rPr>
        <w:rFonts w:ascii="Courier New" w:hAnsi="Courier New" w:cs="Courier New" w:hint="default"/>
      </w:rPr>
    </w:lvl>
    <w:lvl w:ilvl="8">
      <w:start w:val="1"/>
      <w:numFmt w:val="bullet"/>
      <w:lvlText w:val="▪"/>
      <w:lvlJc w:val="left"/>
      <w:pPr>
        <w:tabs>
          <w:tab w:val="num" w:pos="0"/>
        </w:tabs>
        <w:ind w:left="6173" w:hanging="360"/>
      </w:pPr>
      <w:rPr>
        <w:rFonts w:ascii="Noto Sans Symbols" w:hAnsi="Noto Sans Symbols" w:cs="Noto Sans Symbols" w:hint="default"/>
      </w:rPr>
    </w:lvl>
  </w:abstractNum>
  <w:abstractNum w:abstractNumId="18" w15:restartNumberingAfterBreak="0">
    <w:nsid w:val="741D3B25"/>
    <w:multiLevelType w:val="multilevel"/>
    <w:tmpl w:val="5096062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4AE1356"/>
    <w:multiLevelType w:val="hybridMultilevel"/>
    <w:tmpl w:val="E572D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A14130"/>
    <w:multiLevelType w:val="hybridMultilevel"/>
    <w:tmpl w:val="005621A0"/>
    <w:lvl w:ilvl="0" w:tplc="D8AA70E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E277297"/>
    <w:multiLevelType w:val="multilevel"/>
    <w:tmpl w:val="9FB6980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3"/>
  </w:num>
  <w:num w:numId="2">
    <w:abstractNumId w:val="0"/>
  </w:num>
  <w:num w:numId="3">
    <w:abstractNumId w:val="16"/>
  </w:num>
  <w:num w:numId="4">
    <w:abstractNumId w:val="1"/>
  </w:num>
  <w:num w:numId="5">
    <w:abstractNumId w:val="2"/>
  </w:num>
  <w:num w:numId="6">
    <w:abstractNumId w:val="5"/>
  </w:num>
  <w:num w:numId="7">
    <w:abstractNumId w:val="8"/>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4"/>
  </w:num>
  <w:num w:numId="14">
    <w:abstractNumId w:val="6"/>
  </w:num>
  <w:num w:numId="15">
    <w:abstractNumId w:val="18"/>
  </w:num>
  <w:num w:numId="16">
    <w:abstractNumId w:val="11"/>
  </w:num>
  <w:num w:numId="17">
    <w:abstractNumId w:val="10"/>
  </w:num>
  <w:num w:numId="18">
    <w:abstractNumId w:val="9"/>
  </w:num>
  <w:num w:numId="19">
    <w:abstractNumId w:val="3"/>
  </w:num>
  <w:num w:numId="20">
    <w:abstractNumId w:val="19"/>
  </w:num>
  <w:num w:numId="21">
    <w:abstractNumId w:val="4"/>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embedSystemFonts/>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C43"/>
    <w:rsid w:val="00002716"/>
    <w:rsid w:val="00003C43"/>
    <w:rsid w:val="00005791"/>
    <w:rsid w:val="00010827"/>
    <w:rsid w:val="00015089"/>
    <w:rsid w:val="0002520B"/>
    <w:rsid w:val="00030397"/>
    <w:rsid w:val="00037A9E"/>
    <w:rsid w:val="00037F91"/>
    <w:rsid w:val="000539F1"/>
    <w:rsid w:val="00054747"/>
    <w:rsid w:val="00055A2A"/>
    <w:rsid w:val="000615C1"/>
    <w:rsid w:val="00061675"/>
    <w:rsid w:val="000743AA"/>
    <w:rsid w:val="0009076F"/>
    <w:rsid w:val="0009225C"/>
    <w:rsid w:val="000A17C4"/>
    <w:rsid w:val="000A36A4"/>
    <w:rsid w:val="000B2352"/>
    <w:rsid w:val="000C3D86"/>
    <w:rsid w:val="000C7B84"/>
    <w:rsid w:val="000D261B"/>
    <w:rsid w:val="000D58A3"/>
    <w:rsid w:val="000E3ED4"/>
    <w:rsid w:val="000E3F9C"/>
    <w:rsid w:val="000E4670"/>
    <w:rsid w:val="000F1550"/>
    <w:rsid w:val="000F251B"/>
    <w:rsid w:val="000F5FE8"/>
    <w:rsid w:val="000F6644"/>
    <w:rsid w:val="00100833"/>
    <w:rsid w:val="00102F72"/>
    <w:rsid w:val="00107E85"/>
    <w:rsid w:val="00113EE8"/>
    <w:rsid w:val="0011455A"/>
    <w:rsid w:val="00114A65"/>
    <w:rsid w:val="00133061"/>
    <w:rsid w:val="00141699"/>
    <w:rsid w:val="00141882"/>
    <w:rsid w:val="00147000"/>
    <w:rsid w:val="00157DFD"/>
    <w:rsid w:val="00163091"/>
    <w:rsid w:val="001645CB"/>
    <w:rsid w:val="00166305"/>
    <w:rsid w:val="00167545"/>
    <w:rsid w:val="001703C6"/>
    <w:rsid w:val="00173781"/>
    <w:rsid w:val="00175ADF"/>
    <w:rsid w:val="00175CAE"/>
    <w:rsid w:val="001828DB"/>
    <w:rsid w:val="0018499B"/>
    <w:rsid w:val="001850FE"/>
    <w:rsid w:val="00185135"/>
    <w:rsid w:val="0019037C"/>
    <w:rsid w:val="001905A9"/>
    <w:rsid w:val="00191273"/>
    <w:rsid w:val="001942A7"/>
    <w:rsid w:val="0019587B"/>
    <w:rsid w:val="001A163D"/>
    <w:rsid w:val="001A441E"/>
    <w:rsid w:val="001A6733"/>
    <w:rsid w:val="001B357F"/>
    <w:rsid w:val="001C3444"/>
    <w:rsid w:val="001C3702"/>
    <w:rsid w:val="001C4656"/>
    <w:rsid w:val="001C46BC"/>
    <w:rsid w:val="001D1E06"/>
    <w:rsid w:val="001F23E6"/>
    <w:rsid w:val="001F4238"/>
    <w:rsid w:val="00200A38"/>
    <w:rsid w:val="00200A46"/>
    <w:rsid w:val="00211B6F"/>
    <w:rsid w:val="00217CC3"/>
    <w:rsid w:val="00220AB6"/>
    <w:rsid w:val="0022120F"/>
    <w:rsid w:val="0022754A"/>
    <w:rsid w:val="00236560"/>
    <w:rsid w:val="0023662E"/>
    <w:rsid w:val="00245D0F"/>
    <w:rsid w:val="002548C3"/>
    <w:rsid w:val="00257ACD"/>
    <w:rsid w:val="00262908"/>
    <w:rsid w:val="002650F4"/>
    <w:rsid w:val="002715FD"/>
    <w:rsid w:val="002769D8"/>
    <w:rsid w:val="002770B1"/>
    <w:rsid w:val="00285B33"/>
    <w:rsid w:val="00287A3C"/>
    <w:rsid w:val="00295AEB"/>
    <w:rsid w:val="002A2FC6"/>
    <w:rsid w:val="002C1EC7"/>
    <w:rsid w:val="002C3015"/>
    <w:rsid w:val="002C4342"/>
    <w:rsid w:val="002C7EA3"/>
    <w:rsid w:val="002D20AE"/>
    <w:rsid w:val="002D6C61"/>
    <w:rsid w:val="002E2104"/>
    <w:rsid w:val="002E2DAC"/>
    <w:rsid w:val="002E6963"/>
    <w:rsid w:val="002E6F8F"/>
    <w:rsid w:val="002F05D8"/>
    <w:rsid w:val="002F2DE0"/>
    <w:rsid w:val="002F5E25"/>
    <w:rsid w:val="0030353C"/>
    <w:rsid w:val="00307769"/>
    <w:rsid w:val="003125C3"/>
    <w:rsid w:val="00312AE6"/>
    <w:rsid w:val="00317D1A"/>
    <w:rsid w:val="003211FF"/>
    <w:rsid w:val="003242AB"/>
    <w:rsid w:val="00327247"/>
    <w:rsid w:val="00327A9D"/>
    <w:rsid w:val="0033130E"/>
    <w:rsid w:val="0033269C"/>
    <w:rsid w:val="00351C79"/>
    <w:rsid w:val="0035516C"/>
    <w:rsid w:val="00355A4C"/>
    <w:rsid w:val="003604FB"/>
    <w:rsid w:val="00360B73"/>
    <w:rsid w:val="00380B71"/>
    <w:rsid w:val="0038365A"/>
    <w:rsid w:val="00386A89"/>
    <w:rsid w:val="0039648E"/>
    <w:rsid w:val="003A5AFE"/>
    <w:rsid w:val="003A5D5F"/>
    <w:rsid w:val="003A7FFE"/>
    <w:rsid w:val="003B0A63"/>
    <w:rsid w:val="003B50E1"/>
    <w:rsid w:val="003C1746"/>
    <w:rsid w:val="003C2AA9"/>
    <w:rsid w:val="003C58BF"/>
    <w:rsid w:val="003D451D"/>
    <w:rsid w:val="003F2DD8"/>
    <w:rsid w:val="003F3F2D"/>
    <w:rsid w:val="003F50B2"/>
    <w:rsid w:val="00400CCF"/>
    <w:rsid w:val="00401BFF"/>
    <w:rsid w:val="00404424"/>
    <w:rsid w:val="0041139C"/>
    <w:rsid w:val="0041156B"/>
    <w:rsid w:val="004122C5"/>
    <w:rsid w:val="00413B78"/>
    <w:rsid w:val="004146FD"/>
    <w:rsid w:val="00416DDE"/>
    <w:rsid w:val="004358DB"/>
    <w:rsid w:val="00441D1A"/>
    <w:rsid w:val="0044411E"/>
    <w:rsid w:val="00453435"/>
    <w:rsid w:val="00460089"/>
    <w:rsid w:val="00466398"/>
    <w:rsid w:val="0047306D"/>
    <w:rsid w:val="00473791"/>
    <w:rsid w:val="00476E48"/>
    <w:rsid w:val="00481DE9"/>
    <w:rsid w:val="00490779"/>
    <w:rsid w:val="0049128B"/>
    <w:rsid w:val="00493B49"/>
    <w:rsid w:val="00495501"/>
    <w:rsid w:val="004A070A"/>
    <w:rsid w:val="004A320E"/>
    <w:rsid w:val="004A4E9C"/>
    <w:rsid w:val="004B1A3C"/>
    <w:rsid w:val="004D2CC3"/>
    <w:rsid w:val="004D35CB"/>
    <w:rsid w:val="004D7DAB"/>
    <w:rsid w:val="004E20E5"/>
    <w:rsid w:val="004E4535"/>
    <w:rsid w:val="004E64EA"/>
    <w:rsid w:val="004E7828"/>
    <w:rsid w:val="004F46AA"/>
    <w:rsid w:val="004F6A70"/>
    <w:rsid w:val="00500AD7"/>
    <w:rsid w:val="00502ABF"/>
    <w:rsid w:val="00504DB0"/>
    <w:rsid w:val="00507C35"/>
    <w:rsid w:val="00510735"/>
    <w:rsid w:val="00514D2F"/>
    <w:rsid w:val="0054420E"/>
    <w:rsid w:val="00544D1B"/>
    <w:rsid w:val="00545DC0"/>
    <w:rsid w:val="00545F6C"/>
    <w:rsid w:val="005477D9"/>
    <w:rsid w:val="0055720C"/>
    <w:rsid w:val="00561796"/>
    <w:rsid w:val="005632DD"/>
    <w:rsid w:val="0056423B"/>
    <w:rsid w:val="00573424"/>
    <w:rsid w:val="0057402F"/>
    <w:rsid w:val="00581653"/>
    <w:rsid w:val="005849D6"/>
    <w:rsid w:val="00585367"/>
    <w:rsid w:val="005871A1"/>
    <w:rsid w:val="0058737E"/>
    <w:rsid w:val="00592518"/>
    <w:rsid w:val="00592E87"/>
    <w:rsid w:val="0059420B"/>
    <w:rsid w:val="00594C4D"/>
    <w:rsid w:val="005A33B0"/>
    <w:rsid w:val="005A73D1"/>
    <w:rsid w:val="005C2DC2"/>
    <w:rsid w:val="005C304A"/>
    <w:rsid w:val="005C3D69"/>
    <w:rsid w:val="005C7C98"/>
    <w:rsid w:val="005D2C3A"/>
    <w:rsid w:val="005D55A4"/>
    <w:rsid w:val="005D57C8"/>
    <w:rsid w:val="005D7761"/>
    <w:rsid w:val="005E0278"/>
    <w:rsid w:val="005E090D"/>
    <w:rsid w:val="005E3CA0"/>
    <w:rsid w:val="005E44B1"/>
    <w:rsid w:val="005E67B0"/>
    <w:rsid w:val="005E7047"/>
    <w:rsid w:val="005E777F"/>
    <w:rsid w:val="005F1CA7"/>
    <w:rsid w:val="005F43DD"/>
    <w:rsid w:val="005F51A9"/>
    <w:rsid w:val="005F6BE1"/>
    <w:rsid w:val="005F7416"/>
    <w:rsid w:val="00600C11"/>
    <w:rsid w:val="00606B89"/>
    <w:rsid w:val="00611EAF"/>
    <w:rsid w:val="00623F30"/>
    <w:rsid w:val="00625FB8"/>
    <w:rsid w:val="006261BD"/>
    <w:rsid w:val="00635EDB"/>
    <w:rsid w:val="00641417"/>
    <w:rsid w:val="0064734E"/>
    <w:rsid w:val="00650137"/>
    <w:rsid w:val="006509D7"/>
    <w:rsid w:val="00651CE8"/>
    <w:rsid w:val="0065521B"/>
    <w:rsid w:val="00661C27"/>
    <w:rsid w:val="00671EF6"/>
    <w:rsid w:val="0067205B"/>
    <w:rsid w:val="006748F8"/>
    <w:rsid w:val="00680489"/>
    <w:rsid w:val="00683C32"/>
    <w:rsid w:val="00690BB2"/>
    <w:rsid w:val="00693D09"/>
    <w:rsid w:val="006A6549"/>
    <w:rsid w:val="006A7710"/>
    <w:rsid w:val="006A7A61"/>
    <w:rsid w:val="006B1E59"/>
    <w:rsid w:val="006B2FFB"/>
    <w:rsid w:val="006C10A2"/>
    <w:rsid w:val="006C1F18"/>
    <w:rsid w:val="006D40D5"/>
    <w:rsid w:val="006F009A"/>
    <w:rsid w:val="006F3D93"/>
    <w:rsid w:val="007019B1"/>
    <w:rsid w:val="00721657"/>
    <w:rsid w:val="007279A8"/>
    <w:rsid w:val="00727B1A"/>
    <w:rsid w:val="00741337"/>
    <w:rsid w:val="00752258"/>
    <w:rsid w:val="007529E1"/>
    <w:rsid w:val="00762880"/>
    <w:rsid w:val="00762AD6"/>
    <w:rsid w:val="00762E02"/>
    <w:rsid w:val="00772290"/>
    <w:rsid w:val="00777265"/>
    <w:rsid w:val="007805E7"/>
    <w:rsid w:val="0078222A"/>
    <w:rsid w:val="00787D48"/>
    <w:rsid w:val="00795294"/>
    <w:rsid w:val="007A4E50"/>
    <w:rsid w:val="007B18A7"/>
    <w:rsid w:val="007B250E"/>
    <w:rsid w:val="007C27FC"/>
    <w:rsid w:val="007C51FF"/>
    <w:rsid w:val="007D50E4"/>
    <w:rsid w:val="007E2DC5"/>
    <w:rsid w:val="007F1CC7"/>
    <w:rsid w:val="00801F1E"/>
    <w:rsid w:val="008027AC"/>
    <w:rsid w:val="008028CE"/>
    <w:rsid w:val="0080332E"/>
    <w:rsid w:val="008141E0"/>
    <w:rsid w:val="00816EE1"/>
    <w:rsid w:val="00816F88"/>
    <w:rsid w:val="00821996"/>
    <w:rsid w:val="00822323"/>
    <w:rsid w:val="0082326B"/>
    <w:rsid w:val="00827BC6"/>
    <w:rsid w:val="008300AD"/>
    <w:rsid w:val="00833024"/>
    <w:rsid w:val="008419B1"/>
    <w:rsid w:val="008434D2"/>
    <w:rsid w:val="008439E3"/>
    <w:rsid w:val="00844A56"/>
    <w:rsid w:val="00845B11"/>
    <w:rsid w:val="00852081"/>
    <w:rsid w:val="008626CD"/>
    <w:rsid w:val="00872B6E"/>
    <w:rsid w:val="00874DFD"/>
    <w:rsid w:val="008802F9"/>
    <w:rsid w:val="00883086"/>
    <w:rsid w:val="008879FD"/>
    <w:rsid w:val="00893174"/>
    <w:rsid w:val="00894C37"/>
    <w:rsid w:val="008A00EA"/>
    <w:rsid w:val="008A3F93"/>
    <w:rsid w:val="008A6236"/>
    <w:rsid w:val="008A6E1C"/>
    <w:rsid w:val="008A72FD"/>
    <w:rsid w:val="008B2EDF"/>
    <w:rsid w:val="008B47C7"/>
    <w:rsid w:val="008B54CB"/>
    <w:rsid w:val="008B5A3D"/>
    <w:rsid w:val="008C4010"/>
    <w:rsid w:val="008C4FDF"/>
    <w:rsid w:val="008C6B1F"/>
    <w:rsid w:val="008D5E4F"/>
    <w:rsid w:val="008E34F0"/>
    <w:rsid w:val="008F14F5"/>
    <w:rsid w:val="008F71C1"/>
    <w:rsid w:val="008F744C"/>
    <w:rsid w:val="00902D41"/>
    <w:rsid w:val="00902F49"/>
    <w:rsid w:val="00904230"/>
    <w:rsid w:val="00914004"/>
    <w:rsid w:val="009146AC"/>
    <w:rsid w:val="00916AE6"/>
    <w:rsid w:val="00922EC1"/>
    <w:rsid w:val="00923CF1"/>
    <w:rsid w:val="009301F1"/>
    <w:rsid w:val="00930387"/>
    <w:rsid w:val="009307DF"/>
    <w:rsid w:val="009359B8"/>
    <w:rsid w:val="00935FF0"/>
    <w:rsid w:val="009431F8"/>
    <w:rsid w:val="00947A35"/>
    <w:rsid w:val="00952667"/>
    <w:rsid w:val="0096201B"/>
    <w:rsid w:val="00962081"/>
    <w:rsid w:val="00966CB5"/>
    <w:rsid w:val="00975786"/>
    <w:rsid w:val="00981CB7"/>
    <w:rsid w:val="00983E1F"/>
    <w:rsid w:val="00993F46"/>
    <w:rsid w:val="00996F43"/>
    <w:rsid w:val="00997358"/>
    <w:rsid w:val="009A452B"/>
    <w:rsid w:val="009B050C"/>
    <w:rsid w:val="009B087F"/>
    <w:rsid w:val="009B2AF4"/>
    <w:rsid w:val="009C110B"/>
    <w:rsid w:val="009C5441"/>
    <w:rsid w:val="009D119F"/>
    <w:rsid w:val="009D49A2"/>
    <w:rsid w:val="009D6021"/>
    <w:rsid w:val="009F3940"/>
    <w:rsid w:val="009F3EB2"/>
    <w:rsid w:val="009F6EB1"/>
    <w:rsid w:val="00A11D05"/>
    <w:rsid w:val="00A13162"/>
    <w:rsid w:val="00A20267"/>
    <w:rsid w:val="00A3158C"/>
    <w:rsid w:val="00A32DF3"/>
    <w:rsid w:val="00A33E32"/>
    <w:rsid w:val="00A35E20"/>
    <w:rsid w:val="00A36F6D"/>
    <w:rsid w:val="00A50CA0"/>
    <w:rsid w:val="00A525CC"/>
    <w:rsid w:val="00A53E7C"/>
    <w:rsid w:val="00A60087"/>
    <w:rsid w:val="00A705E8"/>
    <w:rsid w:val="00A721F4"/>
    <w:rsid w:val="00A85A17"/>
    <w:rsid w:val="00A9392C"/>
    <w:rsid w:val="00A9462B"/>
    <w:rsid w:val="00A97D59"/>
    <w:rsid w:val="00AA3E09"/>
    <w:rsid w:val="00AA4BEF"/>
    <w:rsid w:val="00AB1659"/>
    <w:rsid w:val="00AB4962"/>
    <w:rsid w:val="00AB63CD"/>
    <w:rsid w:val="00AB734E"/>
    <w:rsid w:val="00AB740F"/>
    <w:rsid w:val="00AC6F14"/>
    <w:rsid w:val="00AC7221"/>
    <w:rsid w:val="00AD4677"/>
    <w:rsid w:val="00AE4208"/>
    <w:rsid w:val="00AE5961"/>
    <w:rsid w:val="00AF0745"/>
    <w:rsid w:val="00AF4971"/>
    <w:rsid w:val="00AF5276"/>
    <w:rsid w:val="00AF7C86"/>
    <w:rsid w:val="00B01046"/>
    <w:rsid w:val="00B05372"/>
    <w:rsid w:val="00B310F9"/>
    <w:rsid w:val="00B37866"/>
    <w:rsid w:val="00B412FB"/>
    <w:rsid w:val="00B4576B"/>
    <w:rsid w:val="00B46350"/>
    <w:rsid w:val="00B46DF3"/>
    <w:rsid w:val="00B50574"/>
    <w:rsid w:val="00B648C7"/>
    <w:rsid w:val="00B66E8F"/>
    <w:rsid w:val="00B70145"/>
    <w:rsid w:val="00B80157"/>
    <w:rsid w:val="00B83D5E"/>
    <w:rsid w:val="00B8460A"/>
    <w:rsid w:val="00B8650D"/>
    <w:rsid w:val="00B879B4"/>
    <w:rsid w:val="00B90F07"/>
    <w:rsid w:val="00B97BB9"/>
    <w:rsid w:val="00BA0009"/>
    <w:rsid w:val="00BA2A30"/>
    <w:rsid w:val="00BB02B5"/>
    <w:rsid w:val="00BB1863"/>
    <w:rsid w:val="00BB25EE"/>
    <w:rsid w:val="00BB363A"/>
    <w:rsid w:val="00BC10A0"/>
    <w:rsid w:val="00BC7BA2"/>
    <w:rsid w:val="00BD426B"/>
    <w:rsid w:val="00BD79F0"/>
    <w:rsid w:val="00BE2B4D"/>
    <w:rsid w:val="00C015F8"/>
    <w:rsid w:val="00C02C2A"/>
    <w:rsid w:val="00C07E26"/>
    <w:rsid w:val="00C1011C"/>
    <w:rsid w:val="00C12F94"/>
    <w:rsid w:val="00C177C5"/>
    <w:rsid w:val="00C34EC3"/>
    <w:rsid w:val="00C4038C"/>
    <w:rsid w:val="00C42BA2"/>
    <w:rsid w:val="00C44066"/>
    <w:rsid w:val="00C44E13"/>
    <w:rsid w:val="00C54B01"/>
    <w:rsid w:val="00C60A41"/>
    <w:rsid w:val="00C62DE8"/>
    <w:rsid w:val="00C62DFB"/>
    <w:rsid w:val="00C630E6"/>
    <w:rsid w:val="00C63812"/>
    <w:rsid w:val="00C64AF3"/>
    <w:rsid w:val="00C66F4D"/>
    <w:rsid w:val="00C67BB5"/>
    <w:rsid w:val="00C72713"/>
    <w:rsid w:val="00C848EF"/>
    <w:rsid w:val="00C86600"/>
    <w:rsid w:val="00C87BCA"/>
    <w:rsid w:val="00C87EED"/>
    <w:rsid w:val="00C94506"/>
    <w:rsid w:val="00C954BC"/>
    <w:rsid w:val="00CA1F0B"/>
    <w:rsid w:val="00CA23BC"/>
    <w:rsid w:val="00CB110F"/>
    <w:rsid w:val="00CB2A2E"/>
    <w:rsid w:val="00CB338A"/>
    <w:rsid w:val="00CB79C5"/>
    <w:rsid w:val="00CC411F"/>
    <w:rsid w:val="00CC4B75"/>
    <w:rsid w:val="00CC732E"/>
    <w:rsid w:val="00CD2FCD"/>
    <w:rsid w:val="00CD7207"/>
    <w:rsid w:val="00CE0422"/>
    <w:rsid w:val="00CE0DBE"/>
    <w:rsid w:val="00CE5E4D"/>
    <w:rsid w:val="00CF02C4"/>
    <w:rsid w:val="00CF167F"/>
    <w:rsid w:val="00CF4FE1"/>
    <w:rsid w:val="00CF72E5"/>
    <w:rsid w:val="00D013EE"/>
    <w:rsid w:val="00D01F54"/>
    <w:rsid w:val="00D040F7"/>
    <w:rsid w:val="00D04A76"/>
    <w:rsid w:val="00D0755B"/>
    <w:rsid w:val="00D10FC7"/>
    <w:rsid w:val="00D1519F"/>
    <w:rsid w:val="00D20E99"/>
    <w:rsid w:val="00D21C83"/>
    <w:rsid w:val="00D35BDD"/>
    <w:rsid w:val="00D37607"/>
    <w:rsid w:val="00D56A3C"/>
    <w:rsid w:val="00D63006"/>
    <w:rsid w:val="00D72301"/>
    <w:rsid w:val="00D81F65"/>
    <w:rsid w:val="00D911DE"/>
    <w:rsid w:val="00D91B97"/>
    <w:rsid w:val="00D93ACC"/>
    <w:rsid w:val="00D93C08"/>
    <w:rsid w:val="00D95DAC"/>
    <w:rsid w:val="00DA0B53"/>
    <w:rsid w:val="00DB1171"/>
    <w:rsid w:val="00DB1519"/>
    <w:rsid w:val="00DB2840"/>
    <w:rsid w:val="00DC1BD3"/>
    <w:rsid w:val="00DC2C1A"/>
    <w:rsid w:val="00DD66B4"/>
    <w:rsid w:val="00DE1972"/>
    <w:rsid w:val="00DE27AB"/>
    <w:rsid w:val="00DF2AB3"/>
    <w:rsid w:val="00DF7250"/>
    <w:rsid w:val="00E00CAA"/>
    <w:rsid w:val="00E03EBF"/>
    <w:rsid w:val="00E05209"/>
    <w:rsid w:val="00E05AC1"/>
    <w:rsid w:val="00E11BCF"/>
    <w:rsid w:val="00E2258E"/>
    <w:rsid w:val="00E2465F"/>
    <w:rsid w:val="00E260C2"/>
    <w:rsid w:val="00E32596"/>
    <w:rsid w:val="00E368F7"/>
    <w:rsid w:val="00E36EB8"/>
    <w:rsid w:val="00E37FB8"/>
    <w:rsid w:val="00E40B07"/>
    <w:rsid w:val="00E42326"/>
    <w:rsid w:val="00E43544"/>
    <w:rsid w:val="00E44D89"/>
    <w:rsid w:val="00E477EA"/>
    <w:rsid w:val="00E55807"/>
    <w:rsid w:val="00E63B14"/>
    <w:rsid w:val="00E65CA0"/>
    <w:rsid w:val="00E70D9F"/>
    <w:rsid w:val="00E80B77"/>
    <w:rsid w:val="00E83810"/>
    <w:rsid w:val="00E86933"/>
    <w:rsid w:val="00E9605B"/>
    <w:rsid w:val="00E97298"/>
    <w:rsid w:val="00E97753"/>
    <w:rsid w:val="00EA0C51"/>
    <w:rsid w:val="00EA7DE7"/>
    <w:rsid w:val="00EB4D70"/>
    <w:rsid w:val="00EB7A8A"/>
    <w:rsid w:val="00EC6FED"/>
    <w:rsid w:val="00EC7F3B"/>
    <w:rsid w:val="00ED5299"/>
    <w:rsid w:val="00EE3A64"/>
    <w:rsid w:val="00EE50E5"/>
    <w:rsid w:val="00EF01CF"/>
    <w:rsid w:val="00F03590"/>
    <w:rsid w:val="00F03622"/>
    <w:rsid w:val="00F077FD"/>
    <w:rsid w:val="00F204F3"/>
    <w:rsid w:val="00F218AB"/>
    <w:rsid w:val="00F238B3"/>
    <w:rsid w:val="00F24FED"/>
    <w:rsid w:val="00F25586"/>
    <w:rsid w:val="00F2651D"/>
    <w:rsid w:val="00F27362"/>
    <w:rsid w:val="00F31498"/>
    <w:rsid w:val="00F32FEF"/>
    <w:rsid w:val="00F41B1C"/>
    <w:rsid w:val="00F42E13"/>
    <w:rsid w:val="00F42F1C"/>
    <w:rsid w:val="00F43B44"/>
    <w:rsid w:val="00F440E5"/>
    <w:rsid w:val="00F448F6"/>
    <w:rsid w:val="00F52741"/>
    <w:rsid w:val="00F53D8A"/>
    <w:rsid w:val="00F626F7"/>
    <w:rsid w:val="00F736F9"/>
    <w:rsid w:val="00F73833"/>
    <w:rsid w:val="00F73F31"/>
    <w:rsid w:val="00F9211C"/>
    <w:rsid w:val="00FA095D"/>
    <w:rsid w:val="00FA6C8B"/>
    <w:rsid w:val="00FA6CDA"/>
    <w:rsid w:val="00FA7C89"/>
    <w:rsid w:val="00FB4139"/>
    <w:rsid w:val="00FB476E"/>
    <w:rsid w:val="00FC0D90"/>
    <w:rsid w:val="00FC5D00"/>
    <w:rsid w:val="00FC7D8C"/>
    <w:rsid w:val="00FD3980"/>
    <w:rsid w:val="00FD431E"/>
    <w:rsid w:val="00FD5A2C"/>
    <w:rsid w:val="00FE0D47"/>
    <w:rsid w:val="00FE1D5C"/>
    <w:rsid w:val="00FE2F8B"/>
    <w:rsid w:val="00FE3669"/>
    <w:rsid w:val="00FE5204"/>
    <w:rsid w:val="00FF287F"/>
    <w:rsid w:val="00FF74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FAF29E"/>
  <w15:docId w15:val="{DDEE480D-52BF-4038-9942-1B7C16C25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7C86"/>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rsid w:val="00B37866"/>
    <w:pPr>
      <w:keepNext/>
      <w:keepLines/>
      <w:spacing w:before="280"/>
      <w:ind w:left="794" w:hanging="794"/>
      <w:outlineLvl w:val="0"/>
    </w:pPr>
    <w:rPr>
      <w:b/>
      <w:sz w:val="28"/>
    </w:rPr>
  </w:style>
  <w:style w:type="paragraph" w:styleId="Heading2">
    <w:name w:val="heading 2"/>
    <w:basedOn w:val="Heading1"/>
    <w:next w:val="Normal"/>
    <w:qFormat/>
    <w:rsid w:val="00B37866"/>
    <w:pPr>
      <w:spacing w:before="200"/>
      <w:outlineLvl w:val="1"/>
    </w:pPr>
    <w:rPr>
      <w:sz w:val="24"/>
    </w:rPr>
  </w:style>
  <w:style w:type="paragraph" w:styleId="Heading3">
    <w:name w:val="heading 3"/>
    <w:basedOn w:val="Heading1"/>
    <w:next w:val="Normal"/>
    <w:qFormat/>
    <w:rsid w:val="00B37866"/>
    <w:pPr>
      <w:spacing w:before="200"/>
      <w:outlineLvl w:val="2"/>
    </w:pPr>
    <w:rPr>
      <w:sz w:val="24"/>
    </w:rPr>
  </w:style>
  <w:style w:type="paragraph" w:styleId="Heading4">
    <w:name w:val="heading 4"/>
    <w:basedOn w:val="Heading3"/>
    <w:next w:val="Normal"/>
    <w:qFormat/>
    <w:rsid w:val="00B37866"/>
    <w:pPr>
      <w:tabs>
        <w:tab w:val="clear" w:pos="794"/>
        <w:tab w:val="left" w:pos="992"/>
      </w:tabs>
      <w:ind w:left="992" w:hanging="992"/>
      <w:outlineLvl w:val="3"/>
    </w:pPr>
  </w:style>
  <w:style w:type="paragraph" w:styleId="Heading5">
    <w:name w:val="heading 5"/>
    <w:basedOn w:val="Heading4"/>
    <w:next w:val="Normal"/>
    <w:qFormat/>
    <w:rsid w:val="00B37866"/>
    <w:pPr>
      <w:outlineLvl w:val="4"/>
    </w:pPr>
  </w:style>
  <w:style w:type="paragraph" w:styleId="Heading6">
    <w:name w:val="heading 6"/>
    <w:basedOn w:val="Heading4"/>
    <w:next w:val="Normal"/>
    <w:qFormat/>
    <w:rsid w:val="00B37866"/>
    <w:pPr>
      <w:tabs>
        <w:tab w:val="clear" w:pos="992"/>
        <w:tab w:val="clear" w:pos="1191"/>
      </w:tabs>
      <w:ind w:left="1588" w:hanging="1588"/>
      <w:outlineLvl w:val="5"/>
    </w:pPr>
  </w:style>
  <w:style w:type="paragraph" w:styleId="Heading7">
    <w:name w:val="heading 7"/>
    <w:basedOn w:val="Heading6"/>
    <w:next w:val="Normal"/>
    <w:qFormat/>
    <w:rsid w:val="00B37866"/>
    <w:pPr>
      <w:outlineLvl w:val="6"/>
    </w:pPr>
  </w:style>
  <w:style w:type="paragraph" w:styleId="Heading8">
    <w:name w:val="heading 8"/>
    <w:basedOn w:val="Heading6"/>
    <w:next w:val="Normal"/>
    <w:qFormat/>
    <w:rsid w:val="00B37866"/>
    <w:pPr>
      <w:outlineLvl w:val="7"/>
    </w:pPr>
  </w:style>
  <w:style w:type="paragraph" w:styleId="Heading9">
    <w:name w:val="heading 9"/>
    <w:basedOn w:val="Heading6"/>
    <w:next w:val="Normal"/>
    <w:qFormat/>
    <w:rsid w:val="00B3786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B37866"/>
  </w:style>
  <w:style w:type="paragraph" w:styleId="TOC4">
    <w:name w:val="toc 4"/>
    <w:basedOn w:val="TOC3"/>
    <w:semiHidden/>
    <w:rsid w:val="00B37866"/>
  </w:style>
  <w:style w:type="paragraph" w:styleId="TOC3">
    <w:name w:val="toc 3"/>
    <w:basedOn w:val="TOC2"/>
    <w:rsid w:val="00B37866"/>
  </w:style>
  <w:style w:type="paragraph" w:styleId="TOC2">
    <w:name w:val="toc 2"/>
    <w:basedOn w:val="TOC1"/>
    <w:rsid w:val="00B37866"/>
    <w:pPr>
      <w:spacing w:before="120"/>
    </w:pPr>
  </w:style>
  <w:style w:type="paragraph" w:styleId="TOC1">
    <w:name w:val="toc 1"/>
    <w:basedOn w:val="Normal"/>
    <w:rsid w:val="00B37866"/>
    <w:pPr>
      <w:keepLines/>
      <w:tabs>
        <w:tab w:val="clear" w:pos="794"/>
        <w:tab w:val="clear" w:pos="1191"/>
        <w:tab w:val="clear" w:pos="1588"/>
        <w:tab w:val="clear" w:pos="1985"/>
        <w:tab w:val="left" w:pos="964"/>
        <w:tab w:val="left" w:leader="dot" w:pos="8647"/>
        <w:tab w:val="center" w:pos="9526"/>
      </w:tabs>
      <w:spacing w:before="240"/>
      <w:ind w:left="964" w:hanging="964"/>
    </w:pPr>
  </w:style>
  <w:style w:type="paragraph" w:styleId="TOC7">
    <w:name w:val="toc 7"/>
    <w:basedOn w:val="TOC4"/>
    <w:semiHidden/>
    <w:rsid w:val="00B37866"/>
  </w:style>
  <w:style w:type="paragraph" w:styleId="TOC6">
    <w:name w:val="toc 6"/>
    <w:basedOn w:val="TOC4"/>
    <w:semiHidden/>
    <w:rsid w:val="00B37866"/>
  </w:style>
  <w:style w:type="paragraph" w:styleId="TOC5">
    <w:name w:val="toc 5"/>
    <w:basedOn w:val="TOC4"/>
    <w:semiHidden/>
    <w:rsid w:val="00B37866"/>
  </w:style>
  <w:style w:type="paragraph" w:styleId="Index7">
    <w:name w:val="index 7"/>
    <w:basedOn w:val="Normal"/>
    <w:next w:val="Normal"/>
    <w:semiHidden/>
    <w:rsid w:val="00B37866"/>
    <w:pPr>
      <w:ind w:left="1698"/>
    </w:pPr>
  </w:style>
  <w:style w:type="paragraph" w:styleId="Index6">
    <w:name w:val="index 6"/>
    <w:basedOn w:val="Normal"/>
    <w:next w:val="Normal"/>
    <w:semiHidden/>
    <w:rsid w:val="00B37866"/>
    <w:pPr>
      <w:ind w:left="1415"/>
    </w:pPr>
  </w:style>
  <w:style w:type="paragraph" w:styleId="Index5">
    <w:name w:val="index 5"/>
    <w:basedOn w:val="Normal"/>
    <w:next w:val="Normal"/>
    <w:semiHidden/>
    <w:rsid w:val="00B37866"/>
    <w:pPr>
      <w:ind w:left="1132"/>
    </w:pPr>
  </w:style>
  <w:style w:type="paragraph" w:styleId="Index4">
    <w:name w:val="index 4"/>
    <w:basedOn w:val="Normal"/>
    <w:next w:val="Normal"/>
    <w:semiHidden/>
    <w:rsid w:val="00B37866"/>
    <w:pPr>
      <w:ind w:left="849"/>
    </w:pPr>
  </w:style>
  <w:style w:type="paragraph" w:styleId="Index3">
    <w:name w:val="index 3"/>
    <w:basedOn w:val="Normal"/>
    <w:next w:val="Normal"/>
    <w:semiHidden/>
    <w:rsid w:val="00B37866"/>
    <w:pPr>
      <w:ind w:left="566"/>
    </w:pPr>
  </w:style>
  <w:style w:type="paragraph" w:styleId="Index2">
    <w:name w:val="index 2"/>
    <w:basedOn w:val="Normal"/>
    <w:next w:val="Normal"/>
    <w:semiHidden/>
    <w:rsid w:val="00B37866"/>
    <w:pPr>
      <w:ind w:left="283"/>
    </w:pPr>
  </w:style>
  <w:style w:type="paragraph" w:styleId="Index1">
    <w:name w:val="index 1"/>
    <w:basedOn w:val="Normal"/>
    <w:next w:val="Normal"/>
    <w:semiHidden/>
    <w:rsid w:val="00B37866"/>
  </w:style>
  <w:style w:type="character" w:styleId="LineNumber">
    <w:name w:val="line number"/>
    <w:basedOn w:val="DefaultParagraphFont"/>
    <w:rsid w:val="00B37866"/>
  </w:style>
  <w:style w:type="paragraph" w:styleId="IndexHeading">
    <w:name w:val="index heading"/>
    <w:basedOn w:val="Normal"/>
    <w:next w:val="Index1"/>
    <w:semiHidden/>
    <w:rsid w:val="00B37866"/>
  </w:style>
  <w:style w:type="paragraph" w:styleId="Footer">
    <w:name w:val="footer"/>
    <w:basedOn w:val="Normal"/>
    <w:link w:val="FooterChar"/>
    <w:rsid w:val="00B37866"/>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B37866"/>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uiPriority w:val="99"/>
    <w:rsid w:val="00F52741"/>
    <w:rPr>
      <w:rFonts w:asciiTheme="minorHAnsi" w:hAnsiTheme="minorHAnsi"/>
      <w:position w:val="6"/>
      <w:sz w:val="18"/>
    </w:rPr>
  </w:style>
  <w:style w:type="paragraph" w:styleId="FootnoteText">
    <w:name w:val="footnote text"/>
    <w:basedOn w:val="Normal"/>
    <w:link w:val="FootnoteTextChar"/>
    <w:uiPriority w:val="99"/>
    <w:rsid w:val="00B37866"/>
    <w:pPr>
      <w:keepLines/>
      <w:tabs>
        <w:tab w:val="left" w:pos="255"/>
      </w:tabs>
      <w:ind w:left="255" w:hanging="255"/>
    </w:pPr>
  </w:style>
  <w:style w:type="paragraph" w:styleId="NormalIndent">
    <w:name w:val="Normal Indent"/>
    <w:basedOn w:val="Normal"/>
    <w:rsid w:val="00B37866"/>
    <w:pPr>
      <w:ind w:left="794"/>
    </w:pPr>
  </w:style>
  <w:style w:type="paragraph" w:customStyle="1" w:styleId="enumlev1">
    <w:name w:val="enumlev1"/>
    <w:basedOn w:val="Normal"/>
    <w:rsid w:val="00B37866"/>
    <w:pPr>
      <w:spacing w:before="80"/>
      <w:ind w:left="794" w:hanging="794"/>
    </w:pPr>
  </w:style>
  <w:style w:type="paragraph" w:customStyle="1" w:styleId="enumlev2">
    <w:name w:val="enumlev2"/>
    <w:basedOn w:val="enumlev1"/>
    <w:rsid w:val="00B37866"/>
    <w:pPr>
      <w:ind w:left="1191" w:hanging="397"/>
    </w:pPr>
  </w:style>
  <w:style w:type="paragraph" w:customStyle="1" w:styleId="enumlev3">
    <w:name w:val="enumlev3"/>
    <w:basedOn w:val="enumlev2"/>
    <w:rsid w:val="00B37866"/>
    <w:pPr>
      <w:ind w:left="1588"/>
    </w:pPr>
  </w:style>
  <w:style w:type="paragraph" w:customStyle="1" w:styleId="Normalaftertitle">
    <w:name w:val="Normal after title"/>
    <w:basedOn w:val="Normal"/>
    <w:next w:val="Normal"/>
    <w:rsid w:val="00B37866"/>
    <w:pPr>
      <w:spacing w:before="280"/>
    </w:pPr>
  </w:style>
  <w:style w:type="paragraph" w:customStyle="1" w:styleId="Equation">
    <w:name w:val="Equation"/>
    <w:basedOn w:val="Normal"/>
    <w:rsid w:val="00B37866"/>
    <w:pPr>
      <w:tabs>
        <w:tab w:val="clear" w:pos="1191"/>
        <w:tab w:val="clear" w:pos="1588"/>
        <w:tab w:val="clear" w:pos="1985"/>
        <w:tab w:val="center" w:pos="4820"/>
        <w:tab w:val="right" w:pos="9639"/>
      </w:tabs>
    </w:pPr>
  </w:style>
  <w:style w:type="paragraph" w:customStyle="1" w:styleId="toc0">
    <w:name w:val="toc 0"/>
    <w:basedOn w:val="Normal"/>
    <w:next w:val="TOC1"/>
    <w:rsid w:val="00B37866"/>
    <w:pPr>
      <w:tabs>
        <w:tab w:val="clear" w:pos="794"/>
        <w:tab w:val="clear" w:pos="1191"/>
        <w:tab w:val="clear" w:pos="1588"/>
        <w:tab w:val="clear" w:pos="1985"/>
        <w:tab w:val="right" w:pos="9781"/>
      </w:tabs>
    </w:pPr>
    <w:rPr>
      <w:b/>
    </w:rPr>
  </w:style>
  <w:style w:type="paragraph" w:customStyle="1" w:styleId="AnnexNo">
    <w:name w:val="Annex_No"/>
    <w:basedOn w:val="Normal"/>
    <w:next w:val="Annexref"/>
    <w:rsid w:val="00B37866"/>
    <w:pPr>
      <w:keepNext/>
      <w:keepLines/>
      <w:spacing w:before="480" w:after="80"/>
      <w:jc w:val="center"/>
    </w:pPr>
    <w:rPr>
      <w:caps/>
      <w:sz w:val="28"/>
    </w:rPr>
  </w:style>
  <w:style w:type="paragraph" w:customStyle="1" w:styleId="ASN1">
    <w:name w:val="ASN.1"/>
    <w:basedOn w:val="Normal"/>
    <w:rsid w:val="00B37866"/>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Note">
    <w:name w:val="Note"/>
    <w:basedOn w:val="Normal"/>
    <w:rsid w:val="00B37866"/>
    <w:pPr>
      <w:spacing w:before="80"/>
    </w:pPr>
  </w:style>
  <w:style w:type="paragraph" w:styleId="TOC9">
    <w:name w:val="toc 9"/>
    <w:basedOn w:val="TOC3"/>
    <w:next w:val="Normal"/>
    <w:semiHidden/>
    <w:rsid w:val="00B37866"/>
  </w:style>
  <w:style w:type="paragraph" w:customStyle="1" w:styleId="Source">
    <w:name w:val="Source"/>
    <w:basedOn w:val="Normal"/>
    <w:next w:val="Normalaftertitle"/>
    <w:rsid w:val="00EC6FED"/>
    <w:pPr>
      <w:spacing w:before="240" w:after="240"/>
      <w:jc w:val="center"/>
    </w:pPr>
    <w:rPr>
      <w:b/>
      <w:sz w:val="28"/>
    </w:rPr>
  </w:style>
  <w:style w:type="paragraph" w:customStyle="1" w:styleId="Title1">
    <w:name w:val="Title 1"/>
    <w:basedOn w:val="Source"/>
    <w:next w:val="Title2"/>
    <w:rsid w:val="00EC6FED"/>
    <w:pPr>
      <w:tabs>
        <w:tab w:val="clear" w:pos="794"/>
        <w:tab w:val="clear" w:pos="1191"/>
        <w:tab w:val="clear" w:pos="1588"/>
        <w:tab w:val="clear" w:pos="1985"/>
        <w:tab w:val="left" w:pos="567"/>
        <w:tab w:val="left" w:pos="1134"/>
        <w:tab w:val="left" w:pos="1701"/>
        <w:tab w:val="left" w:pos="2268"/>
        <w:tab w:val="left" w:pos="2835"/>
      </w:tabs>
      <w:spacing w:before="120" w:after="120"/>
    </w:pPr>
    <w:rPr>
      <w:rFonts w:cs="Times New Roman Bold"/>
      <w:b w:val="0"/>
    </w:rPr>
  </w:style>
  <w:style w:type="paragraph" w:customStyle="1" w:styleId="Title2">
    <w:name w:val="Title 2"/>
    <w:basedOn w:val="Title1"/>
    <w:next w:val="Title3"/>
    <w:rsid w:val="00B37866"/>
  </w:style>
  <w:style w:type="paragraph" w:customStyle="1" w:styleId="Title3">
    <w:name w:val="Title 3"/>
    <w:basedOn w:val="Title2"/>
    <w:next w:val="Title4"/>
    <w:rsid w:val="00B37866"/>
  </w:style>
  <w:style w:type="paragraph" w:customStyle="1" w:styleId="Title4">
    <w:name w:val="Title 4"/>
    <w:basedOn w:val="Title3"/>
    <w:next w:val="Heading1"/>
    <w:rsid w:val="00B37866"/>
  </w:style>
  <w:style w:type="paragraph" w:customStyle="1" w:styleId="FirstFooter">
    <w:name w:val="FirstFooter"/>
    <w:basedOn w:val="Footer"/>
    <w:qFormat/>
    <w:rsid w:val="00B37866"/>
    <w:pPr>
      <w:tabs>
        <w:tab w:val="clear" w:pos="5954"/>
        <w:tab w:val="clear" w:pos="9639"/>
      </w:tabs>
      <w:overflowPunct/>
      <w:autoSpaceDE/>
      <w:autoSpaceDN/>
      <w:adjustRightInd/>
      <w:spacing w:before="40"/>
      <w:textAlignment w:val="auto"/>
    </w:pPr>
    <w:rPr>
      <w:caps w:val="0"/>
      <w:noProof w:val="0"/>
    </w:rPr>
  </w:style>
  <w:style w:type="paragraph" w:customStyle="1" w:styleId="Annexref">
    <w:name w:val="Annex_ref"/>
    <w:basedOn w:val="Normal"/>
    <w:next w:val="Annextitle"/>
    <w:rsid w:val="00B37866"/>
    <w:pPr>
      <w:keepNext/>
      <w:keepLines/>
      <w:spacing w:after="280"/>
      <w:jc w:val="center"/>
    </w:pPr>
  </w:style>
  <w:style w:type="paragraph" w:customStyle="1" w:styleId="Annextitle">
    <w:name w:val="Annex_title"/>
    <w:basedOn w:val="Normal"/>
    <w:next w:val="Normalaftertitle"/>
    <w:rsid w:val="00F52741"/>
    <w:pPr>
      <w:keepNext/>
      <w:keepLines/>
      <w:spacing w:before="240" w:after="280"/>
      <w:jc w:val="center"/>
    </w:pPr>
    <w:rPr>
      <w:b/>
      <w:sz w:val="28"/>
    </w:rPr>
  </w:style>
  <w:style w:type="character" w:customStyle="1" w:styleId="Appdef">
    <w:name w:val="App_def"/>
    <w:basedOn w:val="DefaultParagraphFont"/>
    <w:rsid w:val="00F52741"/>
    <w:rPr>
      <w:rFonts w:asciiTheme="minorHAnsi" w:hAnsiTheme="minorHAnsi"/>
      <w:b/>
    </w:rPr>
  </w:style>
  <w:style w:type="character" w:customStyle="1" w:styleId="Appref">
    <w:name w:val="App_ref"/>
    <w:basedOn w:val="DefaultParagraphFont"/>
    <w:rsid w:val="00F52741"/>
    <w:rPr>
      <w:rFonts w:asciiTheme="minorHAnsi" w:hAnsiTheme="minorHAnsi"/>
    </w:rPr>
  </w:style>
  <w:style w:type="paragraph" w:customStyle="1" w:styleId="AppendixNo">
    <w:name w:val="Appendix_No"/>
    <w:basedOn w:val="AnnexNo"/>
    <w:next w:val="Annexref"/>
    <w:rsid w:val="00B37866"/>
  </w:style>
  <w:style w:type="paragraph" w:customStyle="1" w:styleId="Appendixref">
    <w:name w:val="Appendix_ref"/>
    <w:basedOn w:val="Annexref"/>
    <w:next w:val="Annextitle"/>
    <w:rsid w:val="00B37866"/>
  </w:style>
  <w:style w:type="paragraph" w:customStyle="1" w:styleId="Appendixtitle">
    <w:name w:val="Appendix_title"/>
    <w:basedOn w:val="Annextitle"/>
    <w:next w:val="Normalaftertitle"/>
    <w:rsid w:val="00B37866"/>
  </w:style>
  <w:style w:type="character" w:customStyle="1" w:styleId="Artdef">
    <w:name w:val="Art_def"/>
    <w:basedOn w:val="DefaultParagraphFont"/>
    <w:rsid w:val="00F52741"/>
    <w:rPr>
      <w:rFonts w:asciiTheme="minorHAnsi" w:hAnsiTheme="minorHAnsi"/>
      <w:b/>
    </w:rPr>
  </w:style>
  <w:style w:type="paragraph" w:customStyle="1" w:styleId="Artheading">
    <w:name w:val="Art_heading"/>
    <w:basedOn w:val="Normal"/>
    <w:next w:val="Normalaftertitle"/>
    <w:rsid w:val="00F52741"/>
    <w:pPr>
      <w:spacing w:before="480"/>
      <w:jc w:val="center"/>
    </w:pPr>
    <w:rPr>
      <w:b/>
      <w:sz w:val="28"/>
    </w:rPr>
  </w:style>
  <w:style w:type="paragraph" w:customStyle="1" w:styleId="ArtNo">
    <w:name w:val="Art_No"/>
    <w:basedOn w:val="Normal"/>
    <w:next w:val="Arttitle"/>
    <w:rsid w:val="00B37866"/>
    <w:pPr>
      <w:keepNext/>
      <w:keepLines/>
      <w:spacing w:before="480"/>
      <w:jc w:val="center"/>
    </w:pPr>
    <w:rPr>
      <w:caps/>
      <w:sz w:val="28"/>
    </w:rPr>
  </w:style>
  <w:style w:type="paragraph" w:customStyle="1" w:styleId="Arttitle">
    <w:name w:val="Art_title"/>
    <w:basedOn w:val="Normal"/>
    <w:next w:val="Normalaftertitle"/>
    <w:rsid w:val="00B37866"/>
    <w:pPr>
      <w:keepNext/>
      <w:keepLines/>
      <w:spacing w:before="240"/>
      <w:jc w:val="center"/>
    </w:pPr>
    <w:rPr>
      <w:b/>
      <w:sz w:val="28"/>
    </w:rPr>
  </w:style>
  <w:style w:type="character" w:customStyle="1" w:styleId="Artref">
    <w:name w:val="Art_ref"/>
    <w:basedOn w:val="DefaultParagraphFont"/>
    <w:rsid w:val="00B37866"/>
  </w:style>
  <w:style w:type="paragraph" w:customStyle="1" w:styleId="Call">
    <w:name w:val="Call"/>
    <w:basedOn w:val="Normal"/>
    <w:next w:val="Normal"/>
    <w:rsid w:val="00B37866"/>
    <w:pPr>
      <w:keepNext/>
      <w:keepLines/>
      <w:spacing w:before="160"/>
      <w:ind w:left="794"/>
    </w:pPr>
    <w:rPr>
      <w:i/>
    </w:rPr>
  </w:style>
  <w:style w:type="paragraph" w:customStyle="1" w:styleId="ChapNo">
    <w:name w:val="Chap_No"/>
    <w:basedOn w:val="ArtNo"/>
    <w:next w:val="Chaptitle"/>
    <w:rsid w:val="00F52741"/>
    <w:rPr>
      <w:b/>
    </w:rPr>
  </w:style>
  <w:style w:type="paragraph" w:customStyle="1" w:styleId="Chaptitle">
    <w:name w:val="Chap_title"/>
    <w:basedOn w:val="Arttitle"/>
    <w:next w:val="Normalaftertitle"/>
    <w:rsid w:val="00B37866"/>
  </w:style>
  <w:style w:type="paragraph" w:customStyle="1" w:styleId="ddate">
    <w:name w:val="ddate"/>
    <w:basedOn w:val="Normal"/>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num">
    <w:name w:val="dnum"/>
    <w:basedOn w:val="Normal"/>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orlang">
    <w:name w:val="dorlang"/>
    <w:basedOn w:val="Normal"/>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character" w:styleId="EndnoteReference">
    <w:name w:val="endnote reference"/>
    <w:basedOn w:val="DefaultParagraphFont"/>
    <w:semiHidden/>
    <w:rsid w:val="00B37866"/>
    <w:rPr>
      <w:vertAlign w:val="superscript"/>
    </w:rPr>
  </w:style>
  <w:style w:type="paragraph" w:customStyle="1" w:styleId="Equationlegend">
    <w:name w:val="Equation_legend"/>
    <w:basedOn w:val="Normal"/>
    <w:rsid w:val="00B37866"/>
    <w:pPr>
      <w:tabs>
        <w:tab w:val="clear" w:pos="794"/>
        <w:tab w:val="clear" w:pos="1191"/>
        <w:tab w:val="clear" w:pos="1588"/>
        <w:tab w:val="clear" w:pos="1985"/>
        <w:tab w:val="right" w:pos="1531"/>
        <w:tab w:val="left" w:pos="1701"/>
      </w:tabs>
      <w:spacing w:before="80"/>
      <w:ind w:left="1701" w:hanging="1701"/>
    </w:pPr>
  </w:style>
  <w:style w:type="paragraph" w:customStyle="1" w:styleId="Figurelegend">
    <w:name w:val="Figure_legend"/>
    <w:basedOn w:val="Normal"/>
    <w:rsid w:val="00B37866"/>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B37866"/>
    <w:pPr>
      <w:keepNext/>
      <w:keepLines/>
      <w:spacing w:before="480" w:after="120"/>
      <w:jc w:val="center"/>
    </w:pPr>
    <w:rPr>
      <w:caps/>
    </w:rPr>
  </w:style>
  <w:style w:type="paragraph" w:customStyle="1" w:styleId="Figuretitle">
    <w:name w:val="Figure_title"/>
    <w:basedOn w:val="Tabletitle"/>
    <w:next w:val="Normal"/>
    <w:rsid w:val="00F52741"/>
    <w:pPr>
      <w:keepNext w:val="0"/>
      <w:spacing w:after="480"/>
    </w:pPr>
  </w:style>
  <w:style w:type="paragraph" w:customStyle="1" w:styleId="Tabletitle">
    <w:name w:val="Table_title"/>
    <w:basedOn w:val="Normal"/>
    <w:next w:val="Tabletext"/>
    <w:rsid w:val="00F52741"/>
    <w:pPr>
      <w:keepNext/>
      <w:keepLines/>
      <w:spacing w:before="0" w:after="120"/>
      <w:jc w:val="center"/>
    </w:pPr>
    <w:rPr>
      <w:b/>
    </w:rPr>
  </w:style>
  <w:style w:type="paragraph" w:customStyle="1" w:styleId="Tabletext">
    <w:name w:val="Table_text"/>
    <w:basedOn w:val="Normal"/>
    <w:rsid w:val="00B3786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withouttitle">
    <w:name w:val="Figure_without_title"/>
    <w:basedOn w:val="FigureNo"/>
    <w:next w:val="Normal"/>
    <w:rsid w:val="00B37866"/>
    <w:pPr>
      <w:keepNext w:val="0"/>
    </w:pPr>
  </w:style>
  <w:style w:type="paragraph" w:customStyle="1" w:styleId="Headingb">
    <w:name w:val="Heading_b"/>
    <w:basedOn w:val="Normal"/>
    <w:next w:val="Normal"/>
    <w:rsid w:val="00F52741"/>
    <w:pPr>
      <w:keepNext/>
      <w:spacing w:before="160"/>
    </w:pPr>
    <w:rPr>
      <w:b/>
    </w:rPr>
  </w:style>
  <w:style w:type="paragraph" w:customStyle="1" w:styleId="Headingi">
    <w:name w:val="Heading_i"/>
    <w:basedOn w:val="Normal"/>
    <w:next w:val="Normal"/>
    <w:rsid w:val="00F52741"/>
    <w:pPr>
      <w:keepNext/>
      <w:spacing w:before="160"/>
    </w:pPr>
    <w:rPr>
      <w:i/>
    </w:rPr>
  </w:style>
  <w:style w:type="paragraph" w:customStyle="1" w:styleId="PartNo">
    <w:name w:val="Part_No"/>
    <w:basedOn w:val="AnnexNo"/>
    <w:next w:val="Partref"/>
    <w:rsid w:val="00B37866"/>
  </w:style>
  <w:style w:type="paragraph" w:customStyle="1" w:styleId="Partref">
    <w:name w:val="Part_ref"/>
    <w:basedOn w:val="Annexref"/>
    <w:next w:val="Parttitle"/>
    <w:rsid w:val="00B37866"/>
  </w:style>
  <w:style w:type="paragraph" w:customStyle="1" w:styleId="Parttitle">
    <w:name w:val="Part_title"/>
    <w:basedOn w:val="Annextitle"/>
    <w:next w:val="Normalaftertitle"/>
    <w:rsid w:val="00B37866"/>
  </w:style>
  <w:style w:type="paragraph" w:customStyle="1" w:styleId="RecNo">
    <w:name w:val="Rec_No"/>
    <w:basedOn w:val="Normal"/>
    <w:next w:val="Rectitle"/>
    <w:rsid w:val="00B37866"/>
    <w:pPr>
      <w:keepNext/>
      <w:keepLines/>
      <w:spacing w:before="480"/>
      <w:jc w:val="center"/>
    </w:pPr>
    <w:rPr>
      <w:caps/>
      <w:sz w:val="28"/>
    </w:rPr>
  </w:style>
  <w:style w:type="paragraph" w:customStyle="1" w:styleId="Rectitle">
    <w:name w:val="Rec_title"/>
    <w:basedOn w:val="RecNo"/>
    <w:next w:val="Recref"/>
    <w:rsid w:val="00F52741"/>
    <w:pPr>
      <w:spacing w:before="240"/>
    </w:pPr>
    <w:rPr>
      <w:b/>
      <w:caps w:val="0"/>
    </w:rPr>
  </w:style>
  <w:style w:type="paragraph" w:customStyle="1" w:styleId="Recref">
    <w:name w:val="Rec_ref"/>
    <w:basedOn w:val="Rectitle"/>
    <w:next w:val="Recdate"/>
    <w:rsid w:val="00F52741"/>
    <w:pPr>
      <w:tabs>
        <w:tab w:val="clear" w:pos="794"/>
        <w:tab w:val="clear" w:pos="1191"/>
        <w:tab w:val="clear" w:pos="1588"/>
        <w:tab w:val="clear" w:pos="1985"/>
      </w:tabs>
      <w:spacing w:before="120"/>
    </w:pPr>
    <w:rPr>
      <w:b w:val="0"/>
      <w:i/>
      <w:sz w:val="24"/>
    </w:rPr>
  </w:style>
  <w:style w:type="paragraph" w:customStyle="1" w:styleId="Recdate">
    <w:name w:val="Rec_date"/>
    <w:basedOn w:val="Recref"/>
    <w:next w:val="Normalaftertitle"/>
    <w:rsid w:val="00B37866"/>
    <w:pPr>
      <w:jc w:val="right"/>
    </w:pPr>
    <w:rPr>
      <w:sz w:val="22"/>
    </w:rPr>
  </w:style>
  <w:style w:type="paragraph" w:customStyle="1" w:styleId="Questiondate">
    <w:name w:val="Question_date"/>
    <w:basedOn w:val="Recdate"/>
    <w:next w:val="Normalaftertitle"/>
    <w:rsid w:val="00F52741"/>
  </w:style>
  <w:style w:type="paragraph" w:customStyle="1" w:styleId="QuestionNo">
    <w:name w:val="Question_No"/>
    <w:basedOn w:val="RecNo"/>
    <w:next w:val="Questiontitle"/>
    <w:rsid w:val="00B37866"/>
  </w:style>
  <w:style w:type="paragraph" w:customStyle="1" w:styleId="Questiontitle">
    <w:name w:val="Question_title"/>
    <w:basedOn w:val="Rectitle"/>
    <w:next w:val="Questionref"/>
    <w:rsid w:val="00F52741"/>
  </w:style>
  <w:style w:type="paragraph" w:customStyle="1" w:styleId="Questionref">
    <w:name w:val="Question_ref"/>
    <w:basedOn w:val="Recref"/>
    <w:next w:val="Questiondate"/>
    <w:rsid w:val="00F52741"/>
  </w:style>
  <w:style w:type="character" w:customStyle="1" w:styleId="Recdef">
    <w:name w:val="Rec_def"/>
    <w:basedOn w:val="DefaultParagraphFont"/>
    <w:rsid w:val="00F52741"/>
    <w:rPr>
      <w:rFonts w:asciiTheme="minorHAnsi" w:hAnsiTheme="minorHAnsi"/>
      <w:b/>
    </w:rPr>
  </w:style>
  <w:style w:type="paragraph" w:customStyle="1" w:styleId="Reftext">
    <w:name w:val="Ref_text"/>
    <w:basedOn w:val="Normal"/>
    <w:rsid w:val="00B37866"/>
    <w:pPr>
      <w:ind w:left="794" w:hanging="794"/>
    </w:pPr>
  </w:style>
  <w:style w:type="paragraph" w:customStyle="1" w:styleId="Reftitle">
    <w:name w:val="Ref_title"/>
    <w:basedOn w:val="Normal"/>
    <w:next w:val="Reftext"/>
    <w:rsid w:val="00B37866"/>
    <w:pPr>
      <w:spacing w:before="480"/>
      <w:jc w:val="center"/>
    </w:pPr>
    <w:rPr>
      <w:caps/>
    </w:rPr>
  </w:style>
  <w:style w:type="paragraph" w:customStyle="1" w:styleId="Repdate">
    <w:name w:val="Rep_date"/>
    <w:basedOn w:val="Recdate"/>
    <w:next w:val="Normalaftertitle"/>
    <w:rsid w:val="00B37866"/>
  </w:style>
  <w:style w:type="paragraph" w:customStyle="1" w:styleId="RepNo">
    <w:name w:val="Rep_No"/>
    <w:basedOn w:val="RecNo"/>
    <w:next w:val="Reptitle"/>
    <w:rsid w:val="00B37866"/>
  </w:style>
  <w:style w:type="paragraph" w:customStyle="1" w:styleId="Reptitle">
    <w:name w:val="Rep_title"/>
    <w:basedOn w:val="Rectitle"/>
    <w:next w:val="Repref"/>
    <w:rsid w:val="00B37866"/>
  </w:style>
  <w:style w:type="paragraph" w:customStyle="1" w:styleId="Repref">
    <w:name w:val="Rep_ref"/>
    <w:basedOn w:val="Recref"/>
    <w:next w:val="Repdate"/>
    <w:rsid w:val="00B37866"/>
  </w:style>
  <w:style w:type="paragraph" w:customStyle="1" w:styleId="Resdate">
    <w:name w:val="Res_date"/>
    <w:basedOn w:val="Recdate"/>
    <w:next w:val="Normalaftertitle"/>
    <w:rsid w:val="00B37866"/>
  </w:style>
  <w:style w:type="character" w:customStyle="1" w:styleId="Resdef">
    <w:name w:val="Res_def"/>
    <w:basedOn w:val="DefaultParagraphFont"/>
    <w:rsid w:val="00F52741"/>
    <w:rPr>
      <w:rFonts w:asciiTheme="minorHAnsi" w:hAnsiTheme="minorHAnsi"/>
      <w:b/>
    </w:rPr>
  </w:style>
  <w:style w:type="paragraph" w:customStyle="1" w:styleId="ResNo">
    <w:name w:val="Res_No"/>
    <w:basedOn w:val="RecNo"/>
    <w:next w:val="Restitle"/>
    <w:rsid w:val="00B37866"/>
  </w:style>
  <w:style w:type="paragraph" w:customStyle="1" w:styleId="Restitle">
    <w:name w:val="Res_title"/>
    <w:basedOn w:val="Rectitle"/>
    <w:next w:val="Resref"/>
    <w:link w:val="RestitleChar"/>
    <w:qFormat/>
    <w:rsid w:val="00B37866"/>
  </w:style>
  <w:style w:type="paragraph" w:customStyle="1" w:styleId="Resref">
    <w:name w:val="Res_ref"/>
    <w:basedOn w:val="Recref"/>
    <w:next w:val="Resdate"/>
    <w:rsid w:val="00B37866"/>
  </w:style>
  <w:style w:type="paragraph" w:customStyle="1" w:styleId="SectionNo">
    <w:name w:val="Section_No"/>
    <w:basedOn w:val="AnnexNo"/>
    <w:next w:val="Sectiontitle"/>
    <w:rsid w:val="00B37866"/>
  </w:style>
  <w:style w:type="paragraph" w:customStyle="1" w:styleId="Sectiontitle">
    <w:name w:val="Section_title"/>
    <w:basedOn w:val="Annextitle"/>
    <w:next w:val="Normalaftertitle"/>
    <w:rsid w:val="00B37866"/>
  </w:style>
  <w:style w:type="paragraph" w:customStyle="1" w:styleId="SpecialFooter">
    <w:name w:val="Special Footer"/>
    <w:basedOn w:val="Footer"/>
    <w:rsid w:val="00B37866"/>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F52741"/>
    <w:rPr>
      <w:rFonts w:asciiTheme="minorHAnsi" w:hAnsiTheme="minorHAnsi"/>
      <w:b/>
      <w:color w:val="auto"/>
    </w:rPr>
  </w:style>
  <w:style w:type="paragraph" w:customStyle="1" w:styleId="Tablehead">
    <w:name w:val="Table_head"/>
    <w:basedOn w:val="Tabletext"/>
    <w:next w:val="Tabletext"/>
    <w:rsid w:val="00B37866"/>
    <w:pPr>
      <w:keepNext/>
      <w:spacing w:before="80" w:after="80"/>
      <w:jc w:val="center"/>
    </w:pPr>
    <w:rPr>
      <w:b/>
    </w:rPr>
  </w:style>
  <w:style w:type="paragraph" w:customStyle="1" w:styleId="Tablelegend">
    <w:name w:val="Table_legend"/>
    <w:basedOn w:val="Tabletext"/>
    <w:rsid w:val="00B37866"/>
    <w:pPr>
      <w:spacing w:before="120"/>
    </w:pPr>
  </w:style>
  <w:style w:type="paragraph" w:customStyle="1" w:styleId="TableNo">
    <w:name w:val="Table_No"/>
    <w:basedOn w:val="Normal"/>
    <w:next w:val="Tabletitle"/>
    <w:rsid w:val="00B37866"/>
    <w:pPr>
      <w:keepNext/>
      <w:spacing w:before="560" w:after="120"/>
      <w:jc w:val="center"/>
    </w:pPr>
    <w:rPr>
      <w:caps/>
    </w:rPr>
  </w:style>
  <w:style w:type="paragraph" w:customStyle="1" w:styleId="Tableref">
    <w:name w:val="Table_ref"/>
    <w:basedOn w:val="Normal"/>
    <w:next w:val="Tabletitle"/>
    <w:rsid w:val="00B37866"/>
    <w:pPr>
      <w:keepNext/>
      <w:spacing w:before="0" w:after="120"/>
      <w:jc w:val="center"/>
    </w:pPr>
  </w:style>
  <w:style w:type="character" w:styleId="PageNumber">
    <w:name w:val="page number"/>
    <w:basedOn w:val="DefaultParagraphFont"/>
    <w:rsid w:val="00F52741"/>
    <w:rPr>
      <w:rFonts w:asciiTheme="minorHAnsi" w:hAnsiTheme="minorHAnsi"/>
    </w:rPr>
  </w:style>
  <w:style w:type="character" w:customStyle="1" w:styleId="HeaderChar">
    <w:name w:val="Header Char"/>
    <w:basedOn w:val="DefaultParagraphFont"/>
    <w:link w:val="Header"/>
    <w:uiPriority w:val="99"/>
    <w:rsid w:val="00005791"/>
    <w:rPr>
      <w:rFonts w:ascii="Times New Roman" w:hAnsi="Times New Roman"/>
      <w:sz w:val="18"/>
      <w:lang w:val="fr-FR" w:eastAsia="en-US"/>
    </w:rPr>
  </w:style>
  <w:style w:type="character" w:customStyle="1" w:styleId="FooterChar">
    <w:name w:val="Footer Char"/>
    <w:basedOn w:val="DefaultParagraphFont"/>
    <w:link w:val="Footer"/>
    <w:qFormat/>
    <w:rsid w:val="0056423B"/>
    <w:rPr>
      <w:rFonts w:ascii="Times New Roman" w:hAnsi="Times New Roman"/>
      <w:caps/>
      <w:noProof/>
      <w:sz w:val="16"/>
      <w:lang w:val="fr-FR" w:eastAsia="en-US"/>
    </w:rPr>
  </w:style>
  <w:style w:type="table" w:styleId="TableGrid">
    <w:name w:val="Table Grid"/>
    <w:basedOn w:val="TableNormal"/>
    <w:uiPriority w:val="59"/>
    <w:rsid w:val="0014700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mmittee">
    <w:name w:val="Committee"/>
    <w:basedOn w:val="Normal"/>
    <w:qFormat/>
    <w:rsid w:val="001A163D"/>
    <w:rPr>
      <w:rFonts w:cs="Times New Roman Bold"/>
      <w:b/>
      <w:caps/>
    </w:rPr>
  </w:style>
  <w:style w:type="character" w:styleId="Hyperlink">
    <w:name w:val="Hyperlink"/>
    <w:aliases w:val="CEO_Hyperlink"/>
    <w:basedOn w:val="DefaultParagraphFont"/>
    <w:uiPriority w:val="99"/>
    <w:qFormat/>
    <w:rsid w:val="00BA0009"/>
    <w:rPr>
      <w:color w:val="0000FF" w:themeColor="hyperlink"/>
      <w:u w:val="single"/>
    </w:rPr>
  </w:style>
  <w:style w:type="paragraph" w:customStyle="1" w:styleId="BDTLogo">
    <w:name w:val="BDT_Logo"/>
    <w:uiPriority w:val="99"/>
    <w:rsid w:val="00C72713"/>
    <w:pPr>
      <w:jc w:val="center"/>
    </w:pPr>
    <w:rPr>
      <w:rFonts w:ascii="Calibri" w:eastAsia="SimHei" w:hAnsi="Calibri" w:cs="Simplified Arabic"/>
      <w:sz w:val="22"/>
      <w:szCs w:val="28"/>
      <w:lang w:val="en-GB" w:eastAsia="en-US"/>
    </w:rPr>
  </w:style>
  <w:style w:type="paragraph" w:styleId="ListParagraph">
    <w:name w:val="List Paragraph"/>
    <w:basedOn w:val="Normal"/>
    <w:uiPriority w:val="34"/>
    <w:qFormat/>
    <w:rsid w:val="00A721F4"/>
    <w:pPr>
      <w:tabs>
        <w:tab w:val="clear" w:pos="794"/>
        <w:tab w:val="clear" w:pos="1191"/>
        <w:tab w:val="clear" w:pos="1588"/>
        <w:tab w:val="clear" w:pos="1985"/>
        <w:tab w:val="left" w:pos="1134"/>
        <w:tab w:val="left" w:pos="1871"/>
        <w:tab w:val="left" w:pos="2268"/>
      </w:tabs>
      <w:ind w:left="720"/>
      <w:contextualSpacing/>
    </w:pPr>
  </w:style>
  <w:style w:type="paragraph" w:customStyle="1" w:styleId="AppArtNo">
    <w:name w:val="App_Art_No"/>
    <w:basedOn w:val="ArtNo"/>
    <w:qFormat/>
    <w:rsid w:val="00A50CA0"/>
    <w:pPr>
      <w:tabs>
        <w:tab w:val="clear" w:pos="794"/>
        <w:tab w:val="clear" w:pos="1191"/>
        <w:tab w:val="clear" w:pos="1588"/>
        <w:tab w:val="clear" w:pos="1985"/>
        <w:tab w:val="left" w:pos="1134"/>
        <w:tab w:val="left" w:pos="1871"/>
        <w:tab w:val="left" w:pos="2268"/>
      </w:tabs>
    </w:pPr>
  </w:style>
  <w:style w:type="paragraph" w:customStyle="1" w:styleId="AppArttitle">
    <w:name w:val="App_Art_title"/>
    <w:basedOn w:val="Arttitle"/>
    <w:qFormat/>
    <w:rsid w:val="00A50CA0"/>
    <w:pPr>
      <w:tabs>
        <w:tab w:val="clear" w:pos="794"/>
        <w:tab w:val="clear" w:pos="1191"/>
        <w:tab w:val="clear" w:pos="1588"/>
        <w:tab w:val="clear" w:pos="1985"/>
        <w:tab w:val="left" w:pos="1134"/>
        <w:tab w:val="left" w:pos="1871"/>
        <w:tab w:val="left" w:pos="2268"/>
      </w:tabs>
    </w:pPr>
  </w:style>
  <w:style w:type="paragraph" w:customStyle="1" w:styleId="ApptoAnnex">
    <w:name w:val="App_to_Annex"/>
    <w:basedOn w:val="AppendixNo"/>
    <w:next w:val="Normal"/>
    <w:qFormat/>
    <w:rsid w:val="00A50CA0"/>
    <w:pPr>
      <w:tabs>
        <w:tab w:val="clear" w:pos="794"/>
        <w:tab w:val="clear" w:pos="1191"/>
        <w:tab w:val="clear" w:pos="1588"/>
        <w:tab w:val="clear" w:pos="1985"/>
        <w:tab w:val="left" w:pos="1134"/>
        <w:tab w:val="left" w:pos="1871"/>
        <w:tab w:val="left" w:pos="2268"/>
      </w:tabs>
    </w:pPr>
  </w:style>
  <w:style w:type="paragraph" w:customStyle="1" w:styleId="Volumetitle">
    <w:name w:val="Volume_title"/>
    <w:basedOn w:val="Normal"/>
    <w:qFormat/>
    <w:rsid w:val="00A50CA0"/>
    <w:pPr>
      <w:tabs>
        <w:tab w:val="clear" w:pos="794"/>
        <w:tab w:val="clear" w:pos="1191"/>
        <w:tab w:val="clear" w:pos="1588"/>
        <w:tab w:val="clear" w:pos="1985"/>
        <w:tab w:val="left" w:pos="1871"/>
      </w:tabs>
      <w:overflowPunct/>
      <w:autoSpaceDE/>
      <w:autoSpaceDN/>
      <w:adjustRightInd/>
      <w:spacing w:before="0"/>
      <w:textAlignment w:val="auto"/>
    </w:pPr>
    <w:rPr>
      <w:b/>
      <w:sz w:val="28"/>
      <w:lang w:val="en-US"/>
    </w:rPr>
  </w:style>
  <w:style w:type="paragraph" w:customStyle="1" w:styleId="Proposal">
    <w:name w:val="Proposal"/>
    <w:basedOn w:val="Normal"/>
    <w:next w:val="Normal"/>
    <w:rsid w:val="00904230"/>
    <w:pPr>
      <w:keepNext/>
      <w:tabs>
        <w:tab w:val="clear" w:pos="794"/>
        <w:tab w:val="clear" w:pos="1191"/>
        <w:tab w:val="clear" w:pos="1588"/>
        <w:tab w:val="clear" w:pos="1985"/>
        <w:tab w:val="left" w:pos="1134"/>
        <w:tab w:val="left" w:pos="1871"/>
        <w:tab w:val="left" w:pos="2268"/>
      </w:tabs>
      <w:spacing w:before="240"/>
    </w:pPr>
    <w:rPr>
      <w:rFonts w:hAnsi="Times New Roman Bold"/>
    </w:rPr>
  </w:style>
  <w:style w:type="paragraph" w:customStyle="1" w:styleId="Reasons">
    <w:name w:val="Reasons"/>
    <w:basedOn w:val="Normal"/>
    <w:rsid w:val="005D2C3A"/>
    <w:pPr>
      <w:tabs>
        <w:tab w:val="clear" w:pos="794"/>
        <w:tab w:val="clear" w:pos="1191"/>
        <w:tab w:val="left" w:pos="1134"/>
        <w:tab w:val="left" w:pos="1871"/>
      </w:tabs>
    </w:pPr>
  </w:style>
  <w:style w:type="character" w:styleId="FollowedHyperlink">
    <w:name w:val="FollowedHyperlink"/>
    <w:basedOn w:val="DefaultParagraphFont"/>
    <w:semiHidden/>
    <w:unhideWhenUsed/>
    <w:rsid w:val="00AD4677"/>
    <w:rPr>
      <w:color w:val="800080" w:themeColor="followedHyperlink"/>
      <w:u w:val="single"/>
    </w:rPr>
  </w:style>
  <w:style w:type="character" w:customStyle="1" w:styleId="RestitleChar">
    <w:name w:val="Res_title Char"/>
    <w:basedOn w:val="DefaultParagraphFont"/>
    <w:link w:val="Restitle"/>
    <w:qFormat/>
    <w:rsid w:val="00441D1A"/>
    <w:rPr>
      <w:rFonts w:asciiTheme="minorHAnsi" w:hAnsiTheme="minorHAnsi"/>
      <w:b/>
      <w:sz w:val="28"/>
      <w:lang w:val="en-GB" w:eastAsia="en-US"/>
    </w:rPr>
  </w:style>
  <w:style w:type="character" w:styleId="Strong">
    <w:name w:val="Strong"/>
    <w:basedOn w:val="DefaultParagraphFont"/>
    <w:uiPriority w:val="22"/>
    <w:qFormat/>
    <w:rsid w:val="00441D1A"/>
    <w:rPr>
      <w:b/>
      <w:bCs/>
    </w:rPr>
  </w:style>
  <w:style w:type="character" w:styleId="UnresolvedMention">
    <w:name w:val="Unresolved Mention"/>
    <w:basedOn w:val="DefaultParagraphFont"/>
    <w:uiPriority w:val="99"/>
    <w:semiHidden/>
    <w:unhideWhenUsed/>
    <w:rsid w:val="00295AEB"/>
    <w:rPr>
      <w:color w:val="605E5C"/>
      <w:shd w:val="clear" w:color="auto" w:fill="E1DFDD"/>
    </w:rPr>
  </w:style>
  <w:style w:type="paragraph" w:customStyle="1" w:styleId="western">
    <w:name w:val="western"/>
    <w:basedOn w:val="Normal"/>
    <w:qFormat/>
    <w:rsid w:val="00CA23BC"/>
    <w:pPr>
      <w:tabs>
        <w:tab w:val="clear" w:pos="794"/>
        <w:tab w:val="clear" w:pos="1191"/>
        <w:tab w:val="clear" w:pos="1588"/>
        <w:tab w:val="clear" w:pos="1985"/>
      </w:tabs>
      <w:overflowPunct/>
      <w:autoSpaceDE/>
      <w:autoSpaceDN/>
      <w:adjustRightInd/>
      <w:spacing w:beforeAutospacing="1" w:after="144" w:line="276" w:lineRule="auto"/>
      <w:textAlignment w:val="auto"/>
    </w:pPr>
    <w:rPr>
      <w:rFonts w:ascii="Calibri" w:hAnsi="Calibri" w:cs="Calibri"/>
      <w:szCs w:val="24"/>
      <w:lang w:val="en-US"/>
    </w:rPr>
  </w:style>
  <w:style w:type="character" w:customStyle="1" w:styleId="FootnoteTextChar">
    <w:name w:val="Footnote Text Char"/>
    <w:basedOn w:val="DefaultParagraphFont"/>
    <w:link w:val="FootnoteText"/>
    <w:uiPriority w:val="99"/>
    <w:rsid w:val="00B50574"/>
    <w:rPr>
      <w:rFonts w:asciiTheme="minorHAnsi" w:hAnsiTheme="minorHAnsi"/>
      <w:sz w:val="24"/>
      <w:lang w:val="en-GB" w:eastAsia="en-US"/>
    </w:rPr>
  </w:style>
  <w:style w:type="character" w:customStyle="1" w:styleId="normaltextrun">
    <w:name w:val="normaltextrun"/>
    <w:basedOn w:val="DefaultParagraphFont"/>
    <w:rsid w:val="00B50574"/>
  </w:style>
  <w:style w:type="paragraph" w:styleId="Revision">
    <w:name w:val="Revision"/>
    <w:hidden/>
    <w:uiPriority w:val="99"/>
    <w:semiHidden/>
    <w:rsid w:val="00661C27"/>
    <w:rPr>
      <w:rFonts w:asciiTheme="minorHAnsi" w:hAnsiTheme="minorHAnsi"/>
      <w:sz w:val="24"/>
      <w:lang w:val="en-GB" w:eastAsia="en-US"/>
    </w:rPr>
  </w:style>
  <w:style w:type="paragraph" w:styleId="BodyText">
    <w:name w:val="Body Text"/>
    <w:basedOn w:val="Normal"/>
    <w:link w:val="BodyTextChar"/>
    <w:uiPriority w:val="1"/>
    <w:qFormat/>
    <w:rsid w:val="00D81F65"/>
    <w:pPr>
      <w:widowControl w:val="0"/>
      <w:tabs>
        <w:tab w:val="clear" w:pos="794"/>
        <w:tab w:val="clear" w:pos="1191"/>
        <w:tab w:val="clear" w:pos="1588"/>
        <w:tab w:val="clear" w:pos="1985"/>
      </w:tabs>
      <w:overflowPunct/>
      <w:adjustRightInd/>
      <w:spacing w:before="0"/>
      <w:textAlignment w:val="auto"/>
    </w:pPr>
    <w:rPr>
      <w:rFonts w:ascii="Arial" w:eastAsia="Arial" w:hAnsi="Arial" w:cs="Arial"/>
      <w:sz w:val="22"/>
      <w:szCs w:val="22"/>
      <w:lang w:val="en-US"/>
    </w:rPr>
  </w:style>
  <w:style w:type="character" w:customStyle="1" w:styleId="BodyTextChar">
    <w:name w:val="Body Text Char"/>
    <w:basedOn w:val="DefaultParagraphFont"/>
    <w:link w:val="BodyText"/>
    <w:uiPriority w:val="1"/>
    <w:rsid w:val="00D81F65"/>
    <w:rPr>
      <w:rFonts w:ascii="Arial" w:eastAsia="Arial" w:hAnsi="Arial" w:cs="Arial"/>
      <w:sz w:val="22"/>
      <w:szCs w:val="22"/>
      <w:lang w:eastAsia="en-US"/>
    </w:rPr>
  </w:style>
  <w:style w:type="paragraph" w:styleId="Title">
    <w:name w:val="Title"/>
    <w:basedOn w:val="Normal"/>
    <w:link w:val="TitleChar"/>
    <w:uiPriority w:val="10"/>
    <w:qFormat/>
    <w:rsid w:val="00D81F65"/>
    <w:pPr>
      <w:widowControl w:val="0"/>
      <w:tabs>
        <w:tab w:val="clear" w:pos="794"/>
        <w:tab w:val="clear" w:pos="1191"/>
        <w:tab w:val="clear" w:pos="1588"/>
        <w:tab w:val="clear" w:pos="1985"/>
      </w:tabs>
      <w:overflowPunct/>
      <w:adjustRightInd/>
      <w:spacing w:before="75"/>
      <w:ind w:left="1773" w:right="1773"/>
      <w:jc w:val="center"/>
      <w:textAlignment w:val="auto"/>
    </w:pPr>
    <w:rPr>
      <w:rFonts w:ascii="Arial" w:eastAsia="Arial" w:hAnsi="Arial" w:cs="Arial"/>
      <w:b/>
      <w:bCs/>
      <w:szCs w:val="24"/>
      <w:lang w:val="en-US"/>
    </w:rPr>
  </w:style>
  <w:style w:type="character" w:customStyle="1" w:styleId="TitleChar">
    <w:name w:val="Title Char"/>
    <w:basedOn w:val="DefaultParagraphFont"/>
    <w:link w:val="Title"/>
    <w:uiPriority w:val="10"/>
    <w:rsid w:val="00D81F65"/>
    <w:rPr>
      <w:rFonts w:ascii="Arial" w:eastAsia="Arial" w:hAnsi="Arial" w:cs="Arial"/>
      <w:b/>
      <w:bCs/>
      <w:sz w:val="24"/>
      <w:szCs w:val="24"/>
      <w:lang w:eastAsia="en-US"/>
    </w:rPr>
  </w:style>
  <w:style w:type="paragraph" w:customStyle="1" w:styleId="LO-normal">
    <w:name w:val="LO-normal"/>
    <w:qFormat/>
    <w:rsid w:val="00B05372"/>
    <w:pPr>
      <w:suppressAutoHyphens/>
      <w:spacing w:after="200" w:line="276" w:lineRule="auto"/>
    </w:pPr>
    <w:rPr>
      <w:rFonts w:ascii="Calibri" w:eastAsia="Calibri" w:hAnsi="Calibri" w:cs="Calibri"/>
      <w:sz w:val="22"/>
      <w:szCs w:val="22"/>
      <w:lang w:val="en-GB" w:bidi="hi-IN"/>
    </w:rPr>
  </w:style>
  <w:style w:type="paragraph" w:customStyle="1" w:styleId="LO-normal1">
    <w:name w:val="LO-normal1"/>
    <w:qFormat/>
    <w:rsid w:val="00B05372"/>
    <w:pPr>
      <w:suppressAutoHyphens/>
      <w:spacing w:after="200" w:line="276" w:lineRule="auto"/>
    </w:pPr>
    <w:rPr>
      <w:rFonts w:ascii="Calibri" w:eastAsia="Calibri" w:hAnsi="Calibri" w:cs="Calibri"/>
      <w:sz w:val="22"/>
      <w:szCs w:val="22"/>
      <w:lang w:val="en-GB"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318651">
      <w:bodyDiv w:val="1"/>
      <w:marLeft w:val="0"/>
      <w:marRight w:val="0"/>
      <w:marTop w:val="0"/>
      <w:marBottom w:val="0"/>
      <w:divBdr>
        <w:top w:val="none" w:sz="0" w:space="0" w:color="auto"/>
        <w:left w:val="none" w:sz="0" w:space="0" w:color="auto"/>
        <w:bottom w:val="none" w:sz="0" w:space="0" w:color="auto"/>
        <w:right w:val="none" w:sz="0" w:space="0" w:color="auto"/>
      </w:divBdr>
    </w:div>
    <w:div w:id="2013726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3" Type="http://schemas.openxmlformats.org/officeDocument/2006/relationships/hyperlink" Target="http://www.itu.int/ITU-D/TDAG/" TargetMode="External"/><Relationship Id="rId2" Type="http://schemas.openxmlformats.org/officeDocument/2006/relationships/hyperlink" Target="mailto:joselay@ieee.org" TargetMode="External"/><Relationship Id="rId1" Type="http://schemas.openxmlformats.org/officeDocument/2006/relationships/hyperlink" Target="mailto:jose.lay@anc.tl" TargetMode="External"/><Relationship Id="rId4" Type="http://schemas.openxmlformats.org/officeDocument/2006/relationships/hyperlink" Target="http://www.itu.int/en/ITU-D/Conferences/TDAG/Pages/default.aspx"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timor-leste.gov.tl/wp-content/uploads/2018/10/VIII-GOVERNO-CONSTITUCIONAL-FINAL_Programa_EN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4094A1-3FB6-46E1-AA64-ADA3ECB5B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2665</Words>
  <Characters>16690</Characters>
  <Application>Microsoft Office Word</Application>
  <DocSecurity>0</DocSecurity>
  <Lines>139</Lines>
  <Paragraphs>38</Paragraphs>
  <ScaleCrop>false</ScaleCrop>
  <HeadingPairs>
    <vt:vector size="2" baseType="variant">
      <vt:variant>
        <vt:lpstr>Title</vt:lpstr>
      </vt:variant>
      <vt:variant>
        <vt:i4>1</vt:i4>
      </vt:variant>
    </vt:vector>
  </HeadingPairs>
  <TitlesOfParts>
    <vt:vector size="1" baseType="lpstr">
      <vt:lpstr>TDAG19</vt:lpstr>
    </vt:vector>
  </TitlesOfParts>
  <Manager>General Secretariat - Pool</Manager>
  <Company>International Telecommunication Union (ITU)</Company>
  <LinksUpToDate>false</LinksUpToDate>
  <CharactersWithSpaces>19317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TDAG19</dc:title>
  <dc:creator>BDT-nd</dc:creator>
  <cp:lastModifiedBy>BDT-nd</cp:lastModifiedBy>
  <cp:revision>6</cp:revision>
  <cp:lastPrinted>2014-11-04T09:22:00Z</cp:lastPrinted>
  <dcterms:created xsi:type="dcterms:W3CDTF">2023-06-07T09:15:00Z</dcterms:created>
  <dcterms:modified xsi:type="dcterms:W3CDTF">2023-06-08T06:40:00Z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1/001-E</vt:lpwstr>
  </property>
  <property fmtid="{D5CDD505-2E9C-101B-9397-08002B2CF9AE}" pid="3" name="Docdate">
    <vt:lpwstr>[Date]</vt:lpwstr>
  </property>
  <property fmtid="{D5CDD505-2E9C-101B-9397-08002B2CF9AE}" pid="4" name="Docorlang">
    <vt:lpwstr>For action</vt:lpwstr>
  </property>
  <property fmtid="{D5CDD505-2E9C-101B-9397-08002B2CF9AE}" pid="5" name="Docdest">
    <vt:lpwstr/>
  </property>
  <property fmtid="{D5CDD505-2E9C-101B-9397-08002B2CF9AE}" pid="6" name="Docauthor">
    <vt:lpwstr>[Insert here]</vt:lpwstr>
  </property>
  <property fmtid="{D5CDD505-2E9C-101B-9397-08002B2CF9AE}" pid="7" name="Docbluepink">
    <vt:lpwstr/>
  </property>
</Properties>
</file>