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1EDA216F">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1EDA21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1EDA21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E57DB09"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315763">
              <w:rPr>
                <w:b/>
                <w:bCs/>
                <w:lang w:val="en-US"/>
              </w:rPr>
              <w:t>40</w:t>
            </w:r>
            <w:r>
              <w:rPr>
                <w:b/>
                <w:bCs/>
                <w:lang w:val="en-US"/>
              </w:rPr>
              <w:t>-E</w:t>
            </w:r>
          </w:p>
        </w:tc>
      </w:tr>
      <w:tr w:rsidR="00683C32" w14:paraId="24D04936" w14:textId="77777777" w:rsidTr="1EDA21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659FB33" w:rsidR="00683C32" w:rsidRPr="007F1CC7" w:rsidRDefault="00187D8C" w:rsidP="00B648C7">
            <w:pPr>
              <w:spacing w:before="0"/>
              <w:rPr>
                <w:b/>
                <w:szCs w:val="24"/>
              </w:rPr>
            </w:pPr>
            <w:bookmarkStart w:id="2" w:name="CreationDate"/>
            <w:bookmarkEnd w:id="2"/>
            <w:r>
              <w:rPr>
                <w:b/>
                <w:bCs/>
                <w:szCs w:val="28"/>
              </w:rPr>
              <w:t>7</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1EDA21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72673A6"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r w:rsidR="00A92CF6">
              <w:rPr>
                <w:b/>
              </w:rPr>
              <w:t xml:space="preserve"> and Chinese</w:t>
            </w:r>
          </w:p>
        </w:tc>
      </w:tr>
      <w:tr w:rsidR="00A13162" w14:paraId="31656E31" w14:textId="77777777" w:rsidTr="1EDA216F">
        <w:trPr>
          <w:cantSplit/>
          <w:trHeight w:val="852"/>
        </w:trPr>
        <w:tc>
          <w:tcPr>
            <w:tcW w:w="9888" w:type="dxa"/>
            <w:gridSpan w:val="2"/>
          </w:tcPr>
          <w:p w14:paraId="512FCA01" w14:textId="1489CFCB" w:rsidR="00A13162" w:rsidRPr="0030353C" w:rsidRDefault="0067203A" w:rsidP="0030353C">
            <w:pPr>
              <w:pStyle w:val="Source"/>
            </w:pPr>
            <w:bookmarkStart w:id="4" w:name="Source"/>
            <w:bookmarkEnd w:id="4"/>
            <w:r w:rsidRPr="0067203A">
              <w:t>China (Peopl</w:t>
            </w:r>
            <w:bookmarkStart w:id="5" w:name="_GoBack"/>
            <w:bookmarkEnd w:id="5"/>
            <w:r w:rsidRPr="0067203A">
              <w:t>e</w:t>
            </w:r>
            <w:r w:rsidR="00346B0A">
              <w:t>’</w:t>
            </w:r>
            <w:r w:rsidRPr="0067203A">
              <w:t>s Republic of)</w:t>
            </w:r>
          </w:p>
        </w:tc>
      </w:tr>
      <w:tr w:rsidR="00AC6F14" w:rsidRPr="002E6963" w14:paraId="2CBD3A36" w14:textId="77777777" w:rsidTr="1EDA216F">
        <w:trPr>
          <w:cantSplit/>
        </w:trPr>
        <w:tc>
          <w:tcPr>
            <w:tcW w:w="9888" w:type="dxa"/>
            <w:gridSpan w:val="2"/>
          </w:tcPr>
          <w:p w14:paraId="1B4121DF" w14:textId="0392F942" w:rsidR="00AC6F14" w:rsidRPr="0030353C" w:rsidRDefault="00315763" w:rsidP="0030353C">
            <w:pPr>
              <w:pStyle w:val="Title1"/>
            </w:pPr>
            <w:bookmarkStart w:id="6" w:name="Title"/>
            <w:bookmarkEnd w:id="6"/>
            <w:r w:rsidRPr="00315763">
              <w:t>P</w:t>
            </w:r>
            <w:r>
              <w:t>roposals for strengthening sustainable digital transformation</w:t>
            </w:r>
            <w:r w:rsidRPr="00315763">
              <w:t xml:space="preserve"> </w:t>
            </w:r>
          </w:p>
        </w:tc>
      </w:tr>
      <w:tr w:rsidR="00A721F4" w:rsidRPr="002E6963" w14:paraId="23A30231" w14:textId="77777777" w:rsidTr="1EDA216F">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1EDA216F">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47876C70" w14:textId="2C309453" w:rsidR="00315763" w:rsidRDefault="00315763" w:rsidP="00D81F65">
            <w:pPr>
              <w:spacing w:after="120"/>
            </w:pPr>
            <w:r>
              <w:t xml:space="preserve">According to the final Acts of the Plenipotentiary Conference (Bucharest, 2022) and </w:t>
            </w:r>
            <w:r w:rsidR="7071741E">
              <w:t>F</w:t>
            </w:r>
            <w:r>
              <w:t xml:space="preserve">inal </w:t>
            </w:r>
            <w:r w:rsidR="71EBB894">
              <w:t>R</w:t>
            </w:r>
            <w:r>
              <w:t>eport WTDC-22 (Kigali, 2022), this document provides some proposals to strengthen sustainable digital transformation in the new study periods.</w:t>
            </w:r>
          </w:p>
          <w:p w14:paraId="76A1C541" w14:textId="5F0114CA" w:rsidR="00A721F4" w:rsidRPr="00D9621A" w:rsidRDefault="00A721F4" w:rsidP="00D81F65">
            <w:pPr>
              <w:spacing w:after="120"/>
              <w:rPr>
                <w:b/>
                <w:bCs/>
                <w:szCs w:val="24"/>
              </w:rPr>
            </w:pPr>
            <w:r w:rsidRPr="005E090D">
              <w:rPr>
                <w:b/>
                <w:bCs/>
              </w:rPr>
              <w:t>Action required:</w:t>
            </w:r>
          </w:p>
          <w:p w14:paraId="33868478" w14:textId="34DDDBF9" w:rsidR="00CA23BC" w:rsidRDefault="00315763" w:rsidP="005A73D1">
            <w:pPr>
              <w:spacing w:after="120"/>
            </w:pPr>
            <w:r w:rsidRPr="00315763">
              <w:t>TDAG is invited to note this document and to provide guidance as deemed appropriate.</w:t>
            </w:r>
          </w:p>
          <w:p w14:paraId="622ACB80" w14:textId="62C4D0AE" w:rsidR="00A721F4" w:rsidRPr="00D9621A" w:rsidRDefault="00A721F4" w:rsidP="005A73D1">
            <w:pPr>
              <w:spacing w:after="120"/>
              <w:rPr>
                <w:b/>
                <w:bCs/>
                <w:szCs w:val="24"/>
              </w:rPr>
            </w:pPr>
            <w:r w:rsidRPr="00D9621A">
              <w:rPr>
                <w:b/>
                <w:bCs/>
                <w:szCs w:val="24"/>
              </w:rPr>
              <w:t>References:</w:t>
            </w:r>
          </w:p>
          <w:p w14:paraId="1ECDD20E" w14:textId="0E8695E5" w:rsidR="00A721F4" w:rsidRPr="00D9621A" w:rsidRDefault="00E621E4" w:rsidP="00B23938">
            <w:pPr>
              <w:spacing w:after="120"/>
            </w:pPr>
            <w:r>
              <w:t>PP-22 Resolution 7</w:t>
            </w:r>
            <w:r w:rsidR="457A81B5">
              <w:t>1, WTDC-22 Resolution 89</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1AE4E959" w14:textId="4753FA95" w:rsidR="00D4401F" w:rsidRPr="00D4401F" w:rsidRDefault="00D4401F" w:rsidP="00D4401F">
      <w:pPr>
        <w:pStyle w:val="Heading1"/>
        <w:numPr>
          <w:ilvl w:val="0"/>
          <w:numId w:val="14"/>
        </w:numPr>
        <w:spacing w:before="120" w:after="120"/>
        <w:rPr>
          <w:rFonts w:cstheme="minorHAnsi"/>
          <w:sz w:val="24"/>
          <w:szCs w:val="24"/>
        </w:rPr>
      </w:pPr>
      <w:r w:rsidRPr="00D4401F">
        <w:rPr>
          <w:rFonts w:eastAsia="SimSun" w:cstheme="minorHAnsi"/>
          <w:sz w:val="24"/>
          <w:szCs w:val="24"/>
          <w:lang w:val="en-US" w:eastAsia="zh-CN"/>
        </w:rPr>
        <w:lastRenderedPageBreak/>
        <w:t>Background</w:t>
      </w:r>
    </w:p>
    <w:p w14:paraId="5AD8C4C3" w14:textId="311F4DE6" w:rsidR="00D4401F" w:rsidRPr="00D4401F" w:rsidRDefault="00D4401F" w:rsidP="1EDA216F">
      <w:pPr>
        <w:spacing w:after="120"/>
        <w:rPr>
          <w:rFonts w:eastAsia="SimSun" w:cstheme="minorBidi"/>
          <w:lang w:val="en-US" w:eastAsia="zh-CN"/>
        </w:rPr>
      </w:pPr>
      <w:r w:rsidRPr="1EDA216F">
        <w:rPr>
          <w:rFonts w:eastAsia="SimSun" w:cstheme="minorBidi"/>
          <w:lang w:val="en-US" w:eastAsia="zh-CN"/>
        </w:rPr>
        <w:t>According to Resolution 71 (Rev. Bucharest, 2022) Strategic plan for the Union for 2024-2027, ITU strategic framework for 2024-2027 has 2 pillars: Universal Connectivity and Sustainable Digital Transformation.</w:t>
      </w:r>
    </w:p>
    <w:p w14:paraId="490146FA" w14:textId="0B4A8309" w:rsidR="00D4401F" w:rsidRPr="00D4401F" w:rsidRDefault="00D4401F" w:rsidP="1EDA216F">
      <w:pPr>
        <w:spacing w:after="120"/>
        <w:rPr>
          <w:rFonts w:eastAsia="SimSun" w:cstheme="minorBidi"/>
          <w:lang w:val="en-US" w:eastAsia="zh-CN"/>
        </w:rPr>
      </w:pPr>
      <w:r w:rsidRPr="1EDA216F">
        <w:rPr>
          <w:rFonts w:eastAsia="SimSun" w:cstheme="minorBidi"/>
          <w:lang w:val="en-US" w:eastAsia="zh-CN"/>
        </w:rPr>
        <w:t>R</w:t>
      </w:r>
      <w:r w:rsidR="4141B838" w:rsidRPr="1EDA216F">
        <w:rPr>
          <w:rFonts w:eastAsia="SimSun" w:cstheme="minorBidi"/>
          <w:lang w:val="en-US" w:eastAsia="zh-CN"/>
        </w:rPr>
        <w:t xml:space="preserve">esolution </w:t>
      </w:r>
      <w:r w:rsidRPr="1EDA216F">
        <w:rPr>
          <w:rFonts w:eastAsia="SimSun" w:cstheme="minorBidi"/>
          <w:lang w:val="en-US" w:eastAsia="zh-CN"/>
        </w:rPr>
        <w:t>89 (Kigali, 2022)</w:t>
      </w:r>
      <w:r w:rsidRPr="1EDA216F">
        <w:rPr>
          <w:rFonts w:cstheme="minorBidi"/>
        </w:rPr>
        <w:t xml:space="preserve"> </w:t>
      </w:r>
      <w:r w:rsidRPr="1EDA216F">
        <w:rPr>
          <w:rFonts w:eastAsia="SimSun" w:cstheme="minorBidi"/>
          <w:lang w:val="en-US" w:eastAsia="zh-CN"/>
        </w:rPr>
        <w:t>emphasizes digital transformation for sustainable development and resolves to instruct the Director of the Telecommunication Development Bureau</w:t>
      </w:r>
      <w:r w:rsidRPr="1EDA216F">
        <w:rPr>
          <w:rFonts w:eastAsia="SimSun" w:cstheme="minorBidi"/>
          <w:lang w:val="en-US" w:eastAsia="zh-CN"/>
        </w:rPr>
        <w:t>：</w:t>
      </w:r>
    </w:p>
    <w:p w14:paraId="510CD25D" w14:textId="307378EB"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facilitate efforts within the Telecommunication Development Bureau, with the assistance of the ITU regional offices, to promote digital transformation in line with ITU-D priorities, regional initiatives, WSIS action lines, SDGs, study Questions and ITU-D projects;</w:t>
      </w:r>
    </w:p>
    <w:p w14:paraId="73EF290D" w14:textId="2F2CC370"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increase attention on projects related to new and emerging telecommunication/ICT services and technologies related to digital transformation through ITU-D priorities and regional initiatives, linking with the associated SDGs and WSIS action lines;</w:t>
      </w:r>
    </w:p>
    <w:p w14:paraId="3906CDCF" w14:textId="168C2955"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continue to address matters related to key telecommunication/ICT enablers of digital transformation for a variety of services and local content, taking into consideration the related financing mechanisms for affordable and cost-effective solutions and the associated policies and strategies, including for a variety of services and local content;</w:t>
      </w:r>
    </w:p>
    <w:p w14:paraId="5512623A" w14:textId="05A09084"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undertake studies and projects related to digital transformation policies and strategies, enabling developing countries to reap the full benefits of the digital economy;</w:t>
      </w:r>
    </w:p>
    <w:p w14:paraId="3D4F37B8" w14:textId="362705F7"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continue, and further develop, ITU-D activities on digital transformation, including training programmes and awareness campaigns, and to support global capacity-building efforts for digital transformation;</w:t>
      </w:r>
    </w:p>
    <w:p w14:paraId="23194FDC" w14:textId="54B9F5D9"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promote and support national initiatives dedicated to the telecommunication/ICT dimensions of the digital economy;</w:t>
      </w:r>
    </w:p>
    <w:p w14:paraId="1D195F60" w14:textId="13897E9C" w:rsidR="00D4401F" w:rsidRPr="00D4401F" w:rsidRDefault="00D4401F" w:rsidP="1EDA216F">
      <w:pPr>
        <w:pStyle w:val="ListParagraph"/>
        <w:numPr>
          <w:ilvl w:val="0"/>
          <w:numId w:val="18"/>
        </w:numPr>
        <w:spacing w:before="60" w:after="60"/>
        <w:ind w:left="357" w:hanging="357"/>
        <w:rPr>
          <w:rFonts w:eastAsia="SimSun" w:cstheme="minorBidi"/>
          <w:lang w:val="en-US" w:eastAsia="zh-CN"/>
        </w:rPr>
      </w:pPr>
      <w:r w:rsidRPr="1EDA216F">
        <w:rPr>
          <w:rFonts w:eastAsia="SimSun" w:cstheme="minorBidi"/>
          <w:lang w:val="en-US" w:eastAsia="zh-CN"/>
        </w:rPr>
        <w:t>to assist Member States, upon request, and within available resources, to develop national digital transformation strategies using relevant ITU-D tools and resources on digital transformation.</w:t>
      </w:r>
    </w:p>
    <w:p w14:paraId="6F1E5989" w14:textId="25AFDCE3" w:rsidR="00D4401F" w:rsidRPr="00D4401F" w:rsidRDefault="00D4401F" w:rsidP="00D4401F">
      <w:pPr>
        <w:pStyle w:val="Heading1"/>
        <w:numPr>
          <w:ilvl w:val="0"/>
          <w:numId w:val="14"/>
        </w:numPr>
        <w:spacing w:before="120" w:after="120"/>
        <w:rPr>
          <w:rFonts w:cstheme="minorHAnsi"/>
          <w:sz w:val="24"/>
          <w:szCs w:val="24"/>
        </w:rPr>
      </w:pPr>
      <w:r w:rsidRPr="00D4401F">
        <w:rPr>
          <w:rFonts w:eastAsia="SimSun" w:cstheme="minorHAnsi"/>
          <w:sz w:val="24"/>
          <w:szCs w:val="24"/>
          <w:lang w:val="en-US" w:eastAsia="zh-CN"/>
        </w:rPr>
        <w:t>Proposals</w:t>
      </w:r>
    </w:p>
    <w:p w14:paraId="7A5DD660" w14:textId="40293EEF" w:rsidR="00D4401F" w:rsidRPr="00D4401F" w:rsidRDefault="00D4401F" w:rsidP="09BE8DF9">
      <w:pPr>
        <w:spacing w:after="120"/>
        <w:rPr>
          <w:rFonts w:eastAsia="SimSun" w:cstheme="minorBidi"/>
          <w:lang w:val="en-US" w:eastAsia="zh-CN"/>
        </w:rPr>
      </w:pPr>
      <w:r w:rsidRPr="09BE8DF9">
        <w:rPr>
          <w:rFonts w:eastAsia="SimSun" w:cstheme="minorBidi"/>
          <w:lang w:val="en-US" w:eastAsia="zh-CN"/>
        </w:rPr>
        <w:t>China support</w:t>
      </w:r>
      <w:r w:rsidR="44F309DE" w:rsidRPr="09BE8DF9">
        <w:rPr>
          <w:rFonts w:eastAsia="SimSun" w:cstheme="minorBidi"/>
          <w:lang w:val="en-US" w:eastAsia="zh-CN"/>
        </w:rPr>
        <w:t>s</w:t>
      </w:r>
      <w:r w:rsidRPr="09BE8DF9">
        <w:rPr>
          <w:rFonts w:eastAsia="SimSun" w:cstheme="minorBidi"/>
          <w:lang w:val="en-US" w:eastAsia="zh-CN"/>
        </w:rPr>
        <w:t xml:space="preserve"> ITU </w:t>
      </w:r>
      <w:r w:rsidR="3B654FF5" w:rsidRPr="09BE8DF9">
        <w:rPr>
          <w:rFonts w:eastAsia="SimSun" w:cstheme="minorBidi"/>
          <w:lang w:val="en-US" w:eastAsia="zh-CN"/>
        </w:rPr>
        <w:t>T</w:t>
      </w:r>
      <w:r w:rsidRPr="09BE8DF9">
        <w:rPr>
          <w:rFonts w:eastAsia="SimSun" w:cstheme="minorBidi"/>
          <w:lang w:val="en-US" w:eastAsia="zh-CN"/>
        </w:rPr>
        <w:t xml:space="preserve">elecommunication </w:t>
      </w:r>
      <w:r w:rsidR="67CF95F4" w:rsidRPr="09BE8DF9">
        <w:rPr>
          <w:rFonts w:eastAsia="SimSun" w:cstheme="minorBidi"/>
          <w:lang w:val="en-US" w:eastAsia="zh-CN"/>
        </w:rPr>
        <w:t>D</w:t>
      </w:r>
      <w:r w:rsidRPr="09BE8DF9">
        <w:rPr>
          <w:rFonts w:eastAsia="SimSun" w:cstheme="minorBidi"/>
          <w:lang w:val="en-US" w:eastAsia="zh-CN"/>
        </w:rPr>
        <w:t xml:space="preserve">evelopment </w:t>
      </w:r>
      <w:r w:rsidR="25CFB455" w:rsidRPr="09BE8DF9">
        <w:rPr>
          <w:rFonts w:eastAsia="SimSun" w:cstheme="minorBidi"/>
          <w:lang w:val="en-US" w:eastAsia="zh-CN"/>
        </w:rPr>
        <w:t>S</w:t>
      </w:r>
      <w:r w:rsidRPr="09BE8DF9">
        <w:rPr>
          <w:rFonts w:eastAsia="SimSun" w:cstheme="minorBidi"/>
          <w:lang w:val="en-US" w:eastAsia="zh-CN"/>
        </w:rPr>
        <w:t>ector to take measures continuously to implement actively WTDC-22 and PP-22 resolutions on strengthening digital transformation based on ITU-D’s mission and responsibilities, and propose:</w:t>
      </w:r>
    </w:p>
    <w:p w14:paraId="7CF61995" w14:textId="77777777" w:rsidR="00D4401F" w:rsidRPr="00D4401F" w:rsidRDefault="00D4401F" w:rsidP="09BE8DF9">
      <w:pPr>
        <w:pStyle w:val="ListParagraph"/>
        <w:keepNext/>
        <w:numPr>
          <w:ilvl w:val="0"/>
          <w:numId w:val="15"/>
        </w:numPr>
        <w:tabs>
          <w:tab w:val="clear" w:pos="1134"/>
          <w:tab w:val="clear" w:pos="1871"/>
          <w:tab w:val="clear" w:pos="2268"/>
          <w:tab w:val="left" w:pos="794"/>
          <w:tab w:val="left" w:pos="1191"/>
          <w:tab w:val="left" w:pos="1588"/>
          <w:tab w:val="left" w:pos="1985"/>
        </w:tabs>
        <w:spacing w:after="120"/>
        <w:ind w:left="357" w:hanging="357"/>
        <w:rPr>
          <w:rFonts w:eastAsia="SimSun" w:cstheme="minorBidi"/>
          <w:b/>
          <w:bCs/>
          <w:lang w:val="en-US" w:eastAsia="zh-CN"/>
        </w:rPr>
      </w:pPr>
      <w:r w:rsidRPr="09BE8DF9">
        <w:rPr>
          <w:rFonts w:eastAsia="SimSun" w:cstheme="minorBidi"/>
          <w:b/>
          <w:bCs/>
          <w:lang w:val="en-US" w:eastAsia="zh-CN"/>
        </w:rPr>
        <w:t>ITU-D help members achieve sustainable digital transformation goals</w:t>
      </w:r>
    </w:p>
    <w:p w14:paraId="08405AF3" w14:textId="401142C4"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support BDT's initiatives to build a digital innovation and entrepreneurship alliance, and help improve countries' innovation capabilities through three main vehicles</w:t>
      </w:r>
      <w:r w:rsidRPr="00D4401F">
        <w:rPr>
          <w:rFonts w:eastAsia="SimSun" w:cstheme="minorHAnsi"/>
          <w:szCs w:val="24"/>
          <w:lang w:val="en-US" w:eastAsia="zh-CN"/>
        </w:rPr>
        <w:t>：</w:t>
      </w:r>
      <w:r w:rsidRPr="00D4401F">
        <w:rPr>
          <w:rFonts w:eastAsia="SimSun" w:cstheme="minorHAnsi"/>
          <w:szCs w:val="24"/>
          <w:lang w:val="en-US" w:eastAsia="zh-CN"/>
        </w:rPr>
        <w:t>Digital Transformation Lab,</w:t>
      </w:r>
      <w:r>
        <w:rPr>
          <w:rFonts w:eastAsia="SimSun" w:cstheme="minorHAnsi"/>
          <w:szCs w:val="24"/>
          <w:lang w:val="en-US" w:eastAsia="zh-CN"/>
        </w:rPr>
        <w:t xml:space="preserve"> </w:t>
      </w:r>
      <w:r w:rsidRPr="00D4401F">
        <w:rPr>
          <w:rFonts w:eastAsia="SimSun" w:cstheme="minorHAnsi"/>
          <w:szCs w:val="24"/>
          <w:lang w:val="en-US" w:eastAsia="zh-CN"/>
        </w:rPr>
        <w:t>Network of Acceleration Centers, Digital Innovation Board;</w:t>
      </w:r>
    </w:p>
    <w:p w14:paraId="27EDCC75" w14:textId="1E0BDFDC"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strengthen research on digital transformation in different vertical fields and guide implementation in stages;</w:t>
      </w:r>
    </w:p>
    <w:p w14:paraId="68C97679" w14:textId="4897B9DD"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attract industries to join ITU-D and strengthen cooperation with ITU-T and ITU-R, and related international institutions;</w:t>
      </w:r>
    </w:p>
    <w:p w14:paraId="13D2F539" w14:textId="7FC21CF0"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pay attention to the development of ICT new technology and new services, and organize workshops to discuss the sustainable digital transformation development trends;</w:t>
      </w:r>
    </w:p>
    <w:p w14:paraId="1F164973" w14:textId="7C0E757C"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cultivate a favorable digital environment through pilot experiments and flagship projects, share digital transformation experience and digital governance capability to promote the deployment and use of ICT applications;</w:t>
      </w:r>
    </w:p>
    <w:p w14:paraId="350C8E08" w14:textId="0B5E59DE"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establish toolkits for sustainable digital transformation, and ITU-D members can share good practices through ITU-D</w:t>
      </w:r>
      <w:r>
        <w:rPr>
          <w:rFonts w:eastAsia="SimSun" w:cstheme="minorHAnsi"/>
          <w:szCs w:val="24"/>
          <w:lang w:val="en-US" w:eastAsia="zh-CN"/>
        </w:rPr>
        <w:t>;</w:t>
      </w:r>
    </w:p>
    <w:p w14:paraId="3DB186CC" w14:textId="063BA77A" w:rsidR="00D4401F" w:rsidRPr="00D4401F" w:rsidRDefault="00D4401F" w:rsidP="09BE8DF9">
      <w:pPr>
        <w:pStyle w:val="ListParagraph"/>
        <w:numPr>
          <w:ilvl w:val="0"/>
          <w:numId w:val="16"/>
        </w:numPr>
        <w:spacing w:before="60" w:after="60"/>
        <w:ind w:left="357" w:hanging="357"/>
        <w:rPr>
          <w:rFonts w:eastAsia="SimSun" w:cstheme="minorBidi"/>
          <w:lang w:val="en-US" w:eastAsia="zh-CN"/>
        </w:rPr>
      </w:pPr>
      <w:r w:rsidRPr="09BE8DF9">
        <w:rPr>
          <w:rFonts w:eastAsia="SimSun" w:cstheme="minorBidi"/>
          <w:lang w:val="en-US" w:eastAsia="zh-CN"/>
        </w:rPr>
        <w:t>To establish a</w:t>
      </w:r>
      <w:r w:rsidR="7E94BBAB" w:rsidRPr="09BE8DF9">
        <w:rPr>
          <w:rFonts w:eastAsia="SimSun" w:cstheme="minorBidi"/>
          <w:lang w:val="en-US" w:eastAsia="zh-CN"/>
        </w:rPr>
        <w:t>n A</w:t>
      </w:r>
      <w:r w:rsidRPr="09BE8DF9">
        <w:rPr>
          <w:rFonts w:eastAsia="SimSun" w:cstheme="minorBidi"/>
          <w:lang w:val="en-US" w:eastAsia="zh-CN"/>
        </w:rPr>
        <w:t xml:space="preserve">ssessment system to monitor and measure domestic digital transformation progress. </w:t>
      </w:r>
    </w:p>
    <w:p w14:paraId="5E8D1B4C" w14:textId="77777777" w:rsidR="00D4401F" w:rsidRPr="00D4401F" w:rsidRDefault="00D4401F" w:rsidP="09BE8DF9">
      <w:pPr>
        <w:keepNext/>
        <w:spacing w:after="120"/>
        <w:ind w:left="357" w:hanging="357"/>
        <w:rPr>
          <w:rFonts w:eastAsia="SimSun" w:cstheme="minorBidi"/>
          <w:b/>
          <w:bCs/>
          <w:lang w:val="en-US" w:eastAsia="zh-CN"/>
        </w:rPr>
      </w:pPr>
      <w:r w:rsidRPr="09BE8DF9">
        <w:rPr>
          <w:rFonts w:eastAsia="SimSun" w:cstheme="minorBidi"/>
          <w:b/>
          <w:bCs/>
          <w:lang w:val="en-US" w:eastAsia="zh-CN"/>
        </w:rPr>
        <w:t>2)</w:t>
      </w:r>
      <w:r>
        <w:tab/>
      </w:r>
      <w:r w:rsidRPr="09BE8DF9">
        <w:rPr>
          <w:rFonts w:eastAsia="SimSun" w:cstheme="minorBidi"/>
          <w:b/>
          <w:bCs/>
          <w:lang w:val="en-US" w:eastAsia="zh-CN"/>
        </w:rPr>
        <w:t>Members enhance digital transformation capacity</w:t>
      </w:r>
    </w:p>
    <w:p w14:paraId="665D0E9F" w14:textId="3C88D0A7"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strengthen the construction of digital infrastructure, bridge the digital divide between regions, carry out new infrastructure construction pilot projects, encourage and support developing countries to carry out new infrastructure construction pilot projects, and enhance the connectivity capabilities.</w:t>
      </w:r>
    </w:p>
    <w:p w14:paraId="1B06C5B4" w14:textId="3E0E07FB"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Further optimize the ICT innovation policy environment and strengthen the ability to incorporate ICT/telecommunications into their national development agendas.</w:t>
      </w:r>
    </w:p>
    <w:p w14:paraId="6DDB38FE" w14:textId="2A0C14D7"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 xml:space="preserve">To build digital technology innovation platform, strengthen the joint research and sharing of digital tools, integration and collaboration, and the implementation of scenarios. To Strengthen innovation and application of digital technologies such as 5G/6G, Industrial Internet, artificial intelligence, blockchain and future network. </w:t>
      </w:r>
    </w:p>
    <w:p w14:paraId="0E2667BB" w14:textId="4B0CC2E6"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encourage innovative enterprise incubation and SME service platforms, providing services for the start-ups and SME</w:t>
      </w:r>
      <w:r>
        <w:rPr>
          <w:rFonts w:eastAsia="SimSun" w:cstheme="minorHAnsi"/>
          <w:szCs w:val="24"/>
          <w:lang w:val="en-US" w:eastAsia="zh-CN"/>
        </w:rPr>
        <w:t>.</w:t>
      </w:r>
    </w:p>
    <w:p w14:paraId="7266235C" w14:textId="386A2BEC" w:rsidR="00D4401F" w:rsidRPr="00D4401F" w:rsidRDefault="00D4401F" w:rsidP="00D4401F">
      <w:pPr>
        <w:pStyle w:val="ListParagraph"/>
        <w:numPr>
          <w:ilvl w:val="0"/>
          <w:numId w:val="16"/>
        </w:numPr>
        <w:spacing w:before="60" w:after="60"/>
        <w:ind w:left="357" w:hanging="357"/>
        <w:contextualSpacing w:val="0"/>
        <w:rPr>
          <w:rFonts w:eastAsia="SimSun" w:cstheme="minorHAnsi"/>
          <w:szCs w:val="24"/>
          <w:lang w:val="en-US" w:eastAsia="zh-CN"/>
        </w:rPr>
      </w:pPr>
      <w:r w:rsidRPr="00D4401F">
        <w:rPr>
          <w:rFonts w:eastAsia="SimSun" w:cstheme="minorHAnsi"/>
          <w:szCs w:val="24"/>
          <w:lang w:val="en-US" w:eastAsia="zh-CN"/>
        </w:rPr>
        <w:t>To strengthen digital transformation capacity building, leverage the role of institutions such as ITU Academy training centres (ATC), improve the digital skills, and cultivate digital talents. To promote digital transformation and improve the digital level of labor force, pay attention to the impact of digital transformation on the employment market, and provide digital learning opportunities for the people.</w:t>
      </w:r>
    </w:p>
    <w:p w14:paraId="371D568F" w14:textId="1F99B24A"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egoe Print"/>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67203A" w14:paraId="04BD0BBE" w14:textId="77777777" w:rsidTr="00B862E8">
      <w:tc>
        <w:tcPr>
          <w:tcW w:w="1524" w:type="dxa"/>
          <w:tcBorders>
            <w:left w:val="nil"/>
            <w:bottom w:val="nil"/>
            <w:right w:val="nil"/>
          </w:tcBorders>
        </w:tcPr>
        <w:p w14:paraId="4877E93A" w14:textId="77777777" w:rsidR="0067203A" w:rsidRDefault="0067203A" w:rsidP="0067203A">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67203A" w:rsidRDefault="0067203A" w:rsidP="0067203A">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662C0967" w:rsidR="0067203A" w:rsidRPr="0067203A" w:rsidRDefault="00315763" w:rsidP="0067203A">
          <w:pPr>
            <w:pStyle w:val="FirstFooter"/>
            <w:rPr>
              <w:sz w:val="18"/>
              <w:szCs w:val="22"/>
              <w:lang w:val="en-GB"/>
            </w:rPr>
          </w:pPr>
          <w:r w:rsidRPr="00315763">
            <w:rPr>
              <w:sz w:val="18"/>
              <w:szCs w:val="22"/>
              <w:lang w:val="en-GB"/>
            </w:rPr>
            <w:t>Ms Ke Wang</w:t>
          </w:r>
          <w:r w:rsidR="0067203A">
            <w:rPr>
              <w:sz w:val="18"/>
              <w:szCs w:val="22"/>
              <w:lang w:val="en-GB"/>
            </w:rPr>
            <w:t>, C</w:t>
          </w:r>
          <w:r w:rsidR="0067203A" w:rsidRPr="0067203A">
            <w:rPr>
              <w:sz w:val="18"/>
              <w:szCs w:val="22"/>
              <w:lang w:val="en-GB"/>
            </w:rPr>
            <w:t>AICT</w:t>
          </w:r>
          <w:r w:rsidR="0067203A">
            <w:rPr>
              <w:sz w:val="18"/>
              <w:szCs w:val="22"/>
              <w:lang w:val="en-GB"/>
            </w:rPr>
            <w:t xml:space="preserve">, </w:t>
          </w:r>
          <w:r w:rsidR="0067203A" w:rsidRPr="0067203A">
            <w:rPr>
              <w:sz w:val="18"/>
              <w:szCs w:val="22"/>
              <w:lang w:val="en-GB"/>
            </w:rPr>
            <w:t>Ministry of Industry and Information Technology (MIIT)</w:t>
          </w:r>
          <w:r w:rsidR="0067203A">
            <w:rPr>
              <w:sz w:val="18"/>
              <w:szCs w:val="22"/>
              <w:lang w:val="en-GB"/>
            </w:rPr>
            <w:t xml:space="preserve">, </w:t>
          </w:r>
          <w:r w:rsidR="0067203A" w:rsidRPr="0067203A">
            <w:rPr>
              <w:sz w:val="18"/>
              <w:szCs w:val="22"/>
              <w:lang w:val="en-GB"/>
            </w:rPr>
            <w:t>China (People's Republic of)</w:t>
          </w:r>
        </w:p>
      </w:tc>
    </w:tr>
    <w:tr w:rsidR="00315763" w14:paraId="3E1F48EF" w14:textId="77777777" w:rsidTr="0018499B">
      <w:tc>
        <w:tcPr>
          <w:tcW w:w="1524" w:type="dxa"/>
          <w:tcBorders>
            <w:top w:val="nil"/>
            <w:left w:val="nil"/>
            <w:bottom w:val="nil"/>
            <w:right w:val="nil"/>
          </w:tcBorders>
        </w:tcPr>
        <w:p w14:paraId="63782700" w14:textId="77777777" w:rsidR="00315763" w:rsidRDefault="00315763" w:rsidP="00315763">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315763" w:rsidRDefault="00315763" w:rsidP="00315763">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41ED8871" w:rsidR="00315763" w:rsidRPr="0067203A" w:rsidRDefault="00315763" w:rsidP="00315763">
          <w:pPr>
            <w:pStyle w:val="FirstFooter"/>
            <w:rPr>
              <w:sz w:val="18"/>
              <w:szCs w:val="22"/>
            </w:rPr>
          </w:pPr>
          <w:r>
            <w:rPr>
              <w:rFonts w:eastAsia="SimSun" w:hint="eastAsia"/>
              <w:sz w:val="18"/>
              <w:szCs w:val="18"/>
              <w:lang w:val="en-US" w:eastAsia="zh-CN"/>
            </w:rPr>
            <w:t xml:space="preserve">+86 </w:t>
          </w:r>
          <w:r>
            <w:rPr>
              <w:rFonts w:eastAsia="SimSun"/>
              <w:sz w:val="18"/>
              <w:szCs w:val="18"/>
              <w:lang w:val="en-US" w:eastAsia="zh-CN"/>
            </w:rPr>
            <w:t>13693275675</w:t>
          </w:r>
        </w:p>
      </w:tc>
    </w:tr>
    <w:tr w:rsidR="00315763" w14:paraId="408BB785" w14:textId="77777777" w:rsidTr="0018499B">
      <w:tc>
        <w:tcPr>
          <w:tcW w:w="1524" w:type="dxa"/>
          <w:tcBorders>
            <w:top w:val="nil"/>
            <w:left w:val="nil"/>
            <w:bottom w:val="nil"/>
            <w:right w:val="nil"/>
          </w:tcBorders>
        </w:tcPr>
        <w:p w14:paraId="513DD80F" w14:textId="77777777" w:rsidR="00315763" w:rsidRDefault="00315763" w:rsidP="00315763">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315763" w:rsidRDefault="00315763" w:rsidP="00315763">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03E9A982" w:rsidR="00315763" w:rsidRPr="0067203A" w:rsidRDefault="0086463F" w:rsidP="00315763">
          <w:pPr>
            <w:pStyle w:val="FirstFooter"/>
            <w:rPr>
              <w:sz w:val="18"/>
              <w:szCs w:val="22"/>
              <w:lang w:val="en-GB"/>
            </w:rPr>
          </w:pPr>
          <w:hyperlink r:id="rId1" w:history="1">
            <w:r w:rsidR="00315763" w:rsidRPr="007B125F">
              <w:rPr>
                <w:rStyle w:val="Hyperlink"/>
                <w:rFonts w:eastAsia="SimSun" w:hint="eastAsia"/>
                <w:sz w:val="18"/>
                <w:szCs w:val="18"/>
                <w:lang w:val="en-US" w:eastAsia="zh-CN"/>
              </w:rPr>
              <w:t>wangke@caict.ac.cn</w:t>
            </w:r>
          </w:hyperlink>
          <w:r w:rsidR="00315763">
            <w:rPr>
              <w:rFonts w:eastAsia="SimSun"/>
              <w:sz w:val="18"/>
              <w:szCs w:val="18"/>
              <w:lang w:val="en-US" w:eastAsia="zh-CN"/>
            </w:rPr>
            <w:t xml:space="preserve"> </w:t>
          </w:r>
        </w:p>
      </w:tc>
    </w:tr>
  </w:tbl>
  <w:p w14:paraId="4B0C440E" w14:textId="77777777" w:rsidR="00CA23BC" w:rsidRDefault="00CA23BC" w:rsidP="00CA23BC">
    <w:pPr>
      <w:pStyle w:val="Footer"/>
      <w:rPr>
        <w:lang w:val="en-US"/>
      </w:rPr>
    </w:pPr>
  </w:p>
  <w:p w14:paraId="40A321D0" w14:textId="08EB6BB4" w:rsidR="00721657" w:rsidRPr="00346B0A" w:rsidRDefault="0086463F" w:rsidP="00E80B77">
    <w:pPr>
      <w:pStyle w:val="Footer"/>
      <w:jc w:val="center"/>
    </w:pPr>
    <w:hyperlink r:id="rId2" w:history="1">
      <w:r w:rsidR="00E80B77" w:rsidRPr="00346B0A">
        <w:rPr>
          <w:rStyle w:val="Hyperlink"/>
          <w:caps w:val="0"/>
          <w:noProof w:val="0"/>
          <w:sz w:val="18"/>
          <w:szCs w:val="18"/>
        </w:rPr>
        <w:t>TDAG</w:t>
      </w:r>
    </w:hyperlink>
    <w:hyperlink r:id="rId3" w:history="1">
      <w:r w:rsidR="00E621E4">
        <w:rPr>
          <w:rStyle w:val="Hyperlink"/>
        </w:rPr>
        <w:t>http://www.itu.int/en/ITU-D/Conferences/TDAG/Pages/default.aspx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A668AB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4401F">
      <w:rPr>
        <w:sz w:val="22"/>
        <w:szCs w:val="22"/>
        <w:lang w:val="de-CH"/>
      </w:rPr>
      <w:t>40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F72"/>
    <w:multiLevelType w:val="hybridMultilevel"/>
    <w:tmpl w:val="2FC01DA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534CC"/>
    <w:multiLevelType w:val="hybridMultilevel"/>
    <w:tmpl w:val="62D85640"/>
    <w:lvl w:ilvl="0" w:tplc="D8AA70EE">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3" w15:restartNumberingAfterBreak="0">
    <w:nsid w:val="138E68D5"/>
    <w:multiLevelType w:val="hybridMultilevel"/>
    <w:tmpl w:val="F2E497F0"/>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389201D3"/>
    <w:multiLevelType w:val="hybridMultilevel"/>
    <w:tmpl w:val="87C64A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47764E21"/>
    <w:multiLevelType w:val="multilevel"/>
    <w:tmpl w:val="47764E21"/>
    <w:lvl w:ilvl="0">
      <w:start w:val="1"/>
      <w:numFmt w:val="decimal"/>
      <w:lvlText w:val="%1."/>
      <w:lvlJc w:val="left"/>
      <w:pPr>
        <w:ind w:left="360" w:hanging="360"/>
      </w:pPr>
    </w:lvl>
    <w:lvl w:ilvl="1">
      <w:start w:val="1"/>
      <w:numFmt w:val="decimal"/>
      <w:isLgl/>
      <w:lvlText w:val="%1.%2"/>
      <w:lvlJc w:val="left"/>
      <w:pPr>
        <w:ind w:left="795" w:hanging="795"/>
      </w:pPr>
    </w:lvl>
    <w:lvl w:ilvl="2">
      <w:start w:val="1"/>
      <w:numFmt w:val="decimal"/>
      <w:isLgl/>
      <w:lvlText w:val="%1.%2.%3"/>
      <w:lvlJc w:val="left"/>
      <w:pPr>
        <w:ind w:left="795" w:hanging="795"/>
      </w:pPr>
    </w:lvl>
    <w:lvl w:ilvl="3">
      <w:start w:val="1"/>
      <w:numFmt w:val="decimal"/>
      <w:isLgl/>
      <w:lvlText w:val="%1.%2.%3.%4"/>
      <w:lvlJc w:val="left"/>
      <w:pPr>
        <w:ind w:left="795" w:hanging="795"/>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E1956B9"/>
    <w:multiLevelType w:val="multilevel"/>
    <w:tmpl w:val="4E1956B9"/>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7B8510B"/>
    <w:multiLevelType w:val="hybridMultilevel"/>
    <w:tmpl w:val="D738FDE4"/>
    <w:lvl w:ilvl="0" w:tplc="24C60C58">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A35208"/>
    <w:multiLevelType w:val="hybridMultilevel"/>
    <w:tmpl w:val="9F0ABE2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
  </w:num>
  <w:num w:numId="3">
    <w:abstractNumId w:val="14"/>
  </w:num>
  <w:num w:numId="4">
    <w:abstractNumId w:val="4"/>
  </w:num>
  <w:num w:numId="5">
    <w:abstractNumId w:val="5"/>
  </w:num>
  <w:num w:numId="6">
    <w:abstractNumId w:val="7"/>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0"/>
  </w:num>
  <w:num w:numId="15">
    <w:abstractNumId w:val="11"/>
  </w:num>
  <w:num w:numId="16">
    <w:abstractNumId w:val="3"/>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33AD"/>
    <w:rsid w:val="002E6963"/>
    <w:rsid w:val="002E6F8F"/>
    <w:rsid w:val="002F05D8"/>
    <w:rsid w:val="002F2DE0"/>
    <w:rsid w:val="002F5E25"/>
    <w:rsid w:val="0030353C"/>
    <w:rsid w:val="00307769"/>
    <w:rsid w:val="003125C3"/>
    <w:rsid w:val="00312AE6"/>
    <w:rsid w:val="00315763"/>
    <w:rsid w:val="00317D1A"/>
    <w:rsid w:val="003211FF"/>
    <w:rsid w:val="003242AB"/>
    <w:rsid w:val="00327247"/>
    <w:rsid w:val="00327A9D"/>
    <w:rsid w:val="0033130E"/>
    <w:rsid w:val="0033269C"/>
    <w:rsid w:val="00346B0A"/>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3A"/>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6463F"/>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37C53"/>
    <w:rsid w:val="00A50CA0"/>
    <w:rsid w:val="00A525CC"/>
    <w:rsid w:val="00A53E7C"/>
    <w:rsid w:val="00A60087"/>
    <w:rsid w:val="00A705E8"/>
    <w:rsid w:val="00A721F4"/>
    <w:rsid w:val="00A85A17"/>
    <w:rsid w:val="00A92CF6"/>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13A61"/>
    <w:rsid w:val="00B23938"/>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4401F"/>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21E4"/>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9BE8DF9"/>
    <w:rsid w:val="0F13CD9E"/>
    <w:rsid w:val="1EDA216F"/>
    <w:rsid w:val="25CFB455"/>
    <w:rsid w:val="3B654FF5"/>
    <w:rsid w:val="4141B838"/>
    <w:rsid w:val="4298C368"/>
    <w:rsid w:val="44F309DE"/>
    <w:rsid w:val="457A81B5"/>
    <w:rsid w:val="4A5C704C"/>
    <w:rsid w:val="4B2BA3C6"/>
    <w:rsid w:val="67CF95F4"/>
    <w:rsid w:val="69AAE022"/>
    <w:rsid w:val="7071741E"/>
    <w:rsid w:val="71EBB894"/>
    <w:rsid w:val="7E94B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2107">
      <w:bodyDiv w:val="1"/>
      <w:marLeft w:val="0"/>
      <w:marRight w:val="0"/>
      <w:marTop w:val="0"/>
      <w:marBottom w:val="0"/>
      <w:divBdr>
        <w:top w:val="none" w:sz="0" w:space="0" w:color="auto"/>
        <w:left w:val="none" w:sz="0" w:space="0" w:color="auto"/>
        <w:bottom w:val="none" w:sz="0" w:space="0" w:color="auto"/>
        <w:right w:val="none" w:sz="0" w:space="0" w:color="auto"/>
      </w:divBdr>
    </w:div>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1548487407">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wangke@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E07B-05E7-4FEB-A050-E330A77E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4647</Characters>
  <Application>Microsoft Office Word</Application>
  <DocSecurity>0</DocSecurity>
  <Lines>38</Lines>
  <Paragraphs>10</Paragraphs>
  <ScaleCrop>false</ScaleCrop>
  <Manager>General Secretariat - Pool</Manager>
  <Company>International Telecommunication Union (ITU)</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2023-06-07T11:38:00Z</dcterms:created>
  <dcterms:modified xsi:type="dcterms:W3CDTF">2023-06-07T11:38:00Z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