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04A4FDA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7E4E08B4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15CF5EF7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225BA4">
              <w:rPr>
                <w:b/>
                <w:bCs/>
                <w:lang w:val="en-US"/>
              </w:rPr>
              <w:t>39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B6EEAAD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225BA4">
              <w:rPr>
                <w:b/>
                <w:bCs/>
                <w:szCs w:val="28"/>
              </w:rPr>
              <w:t>20</w:t>
            </w:r>
            <w:r w:rsidR="00B648C7" w:rsidRPr="00225BA4">
              <w:rPr>
                <w:b/>
                <w:bCs/>
                <w:szCs w:val="28"/>
              </w:rPr>
              <w:t>2</w:t>
            </w:r>
            <w:r w:rsidR="00307769" w:rsidRPr="00225BA4">
              <w:rPr>
                <w:b/>
                <w:bCs/>
                <w:szCs w:val="28"/>
              </w:rPr>
              <w:t>3</w:t>
            </w:r>
            <w:r w:rsidR="00966BA6" w:rsidRPr="00225BA4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225BA4" w:rsidRPr="00225BA4">
              <w:rPr>
                <w:b/>
                <w:bCs/>
                <w:szCs w:val="28"/>
              </w:rPr>
              <w:t>6</w:t>
            </w:r>
            <w:r w:rsidR="00966BA6" w:rsidRPr="00225BA4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225BA4" w:rsidRPr="00225BA4">
              <w:rPr>
                <w:b/>
                <w:bCs/>
                <w:szCs w:val="28"/>
              </w:rPr>
              <w:t>7</w:t>
            </w:r>
            <w:r w:rsidR="00966BA6" w:rsidRPr="00225BA4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2DFEEE52" w:rsidR="00514D2F" w:rsidRPr="007F1CC7" w:rsidRDefault="00966BA6" w:rsidP="00400CCF">
            <w:pPr>
              <w:spacing w:before="0"/>
              <w:rPr>
                <w:szCs w:val="24"/>
              </w:rPr>
            </w:pPr>
            <w:bookmarkStart w:id="3" w:name="_GoBack"/>
            <w:bookmarkEnd w:id="3"/>
            <w:r w:rsidRPr="00152D25">
              <w:rPr>
                <w:rFonts w:hint="eastAsia"/>
                <w:b/>
                <w:lang w:eastAsia="zh-CN"/>
              </w:rPr>
              <w:t>原文：</w:t>
            </w:r>
            <w:r w:rsidR="00152D25" w:rsidRPr="00152D25">
              <w:rPr>
                <w:rFonts w:hint="eastAsia"/>
                <w:b/>
                <w:lang w:eastAsia="zh-CN"/>
              </w:rPr>
              <w:t>英文和中文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3396045" w:rsidR="00A13162" w:rsidRPr="0030353C" w:rsidRDefault="00225BA4" w:rsidP="0030353C">
            <w:pPr>
              <w:pStyle w:val="Source"/>
            </w:pPr>
            <w:bookmarkStart w:id="4" w:name="Source"/>
            <w:bookmarkEnd w:id="4"/>
            <w:r w:rsidRPr="00225BA4">
              <w:rPr>
                <w:rFonts w:hint="eastAsia"/>
                <w:lang w:eastAsia="zh-CN"/>
              </w:rPr>
              <w:t>中华人民共和国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CBA8519" w:rsidR="00AC6F14" w:rsidRPr="0030353C" w:rsidRDefault="00225BA4" w:rsidP="0030353C">
            <w:pPr>
              <w:pStyle w:val="Title1"/>
            </w:pPr>
            <w:bookmarkStart w:id="5" w:name="Title"/>
            <w:bookmarkEnd w:id="5"/>
            <w:r w:rsidRPr="00225BA4">
              <w:rPr>
                <w:rFonts w:hint="eastAsia"/>
                <w:lang w:eastAsia="zh-CN"/>
              </w:rPr>
              <w:t>关于支持落实</w:t>
            </w:r>
            <w:r w:rsidRPr="00225BA4">
              <w:rPr>
                <w:rFonts w:hint="eastAsia"/>
                <w:lang w:eastAsia="zh-CN"/>
              </w:rPr>
              <w:t>PP-22</w:t>
            </w:r>
            <w:r w:rsidRPr="00225BA4">
              <w:rPr>
                <w:rFonts w:hint="eastAsia"/>
                <w:lang w:eastAsia="zh-CN"/>
              </w:rPr>
              <w:t>第</w:t>
            </w:r>
            <w:r w:rsidRPr="00225BA4">
              <w:rPr>
                <w:rFonts w:hint="eastAsia"/>
                <w:lang w:eastAsia="zh-CN"/>
              </w:rPr>
              <w:t>167</w:t>
            </w:r>
            <w:r w:rsidRPr="00225BA4">
              <w:rPr>
                <w:rFonts w:hint="eastAsia"/>
                <w:lang w:eastAsia="zh-CN"/>
              </w:rPr>
              <w:t>号决议的提议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0FB37B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082D7E8" w14:textId="54B30508" w:rsidR="00A721F4" w:rsidRPr="00D9621A" w:rsidRDefault="00225BA4" w:rsidP="00EA0C51">
            <w:pPr>
              <w:spacing w:after="120"/>
              <w:rPr>
                <w:szCs w:val="24"/>
                <w:lang w:eastAsia="zh-CN"/>
              </w:rPr>
            </w:pPr>
            <w:r w:rsidRPr="00225BA4">
              <w:rPr>
                <w:rFonts w:hint="eastAsia"/>
                <w:lang w:eastAsia="zh-CN"/>
              </w:rPr>
              <w:t>我们非常支持</w:t>
            </w:r>
            <w:r w:rsidRPr="00225BA4">
              <w:rPr>
                <w:rFonts w:hint="eastAsia"/>
                <w:lang w:eastAsia="zh-CN"/>
              </w:rPr>
              <w:t>TDAG</w:t>
            </w:r>
            <w:r w:rsidRPr="00225BA4">
              <w:rPr>
                <w:rFonts w:hint="eastAsia"/>
                <w:lang w:eastAsia="zh-CN"/>
              </w:rPr>
              <w:t>推动</w:t>
            </w:r>
            <w:r w:rsidRPr="00225BA4">
              <w:rPr>
                <w:rFonts w:hint="eastAsia"/>
                <w:lang w:eastAsia="zh-CN"/>
              </w:rPr>
              <w:t>PP-22</w:t>
            </w:r>
            <w:r w:rsidRPr="00225BA4">
              <w:rPr>
                <w:rFonts w:hint="eastAsia"/>
                <w:lang w:eastAsia="zh-CN"/>
              </w:rPr>
              <w:t>大会第</w:t>
            </w:r>
            <w:r w:rsidRPr="00225BA4">
              <w:rPr>
                <w:rFonts w:hint="eastAsia"/>
                <w:lang w:eastAsia="zh-CN"/>
              </w:rPr>
              <w:t>167</w:t>
            </w:r>
            <w:r w:rsidRPr="00225BA4">
              <w:rPr>
                <w:rFonts w:hint="eastAsia"/>
                <w:lang w:eastAsia="zh-CN"/>
              </w:rPr>
              <w:t>号关于虚拟会议决议的落实。我们提议</w:t>
            </w:r>
            <w:r w:rsidRPr="00225BA4">
              <w:rPr>
                <w:rFonts w:hint="eastAsia"/>
                <w:lang w:eastAsia="zh-CN"/>
              </w:rPr>
              <w:t>TDAG</w:t>
            </w:r>
            <w:r w:rsidRPr="00225BA4">
              <w:rPr>
                <w:rFonts w:hint="eastAsia"/>
                <w:lang w:eastAsia="zh-CN"/>
              </w:rPr>
              <w:t>广泛听取</w:t>
            </w:r>
            <w:r w:rsidRPr="00225BA4">
              <w:rPr>
                <w:rFonts w:hint="eastAsia"/>
                <w:lang w:eastAsia="zh-CN"/>
              </w:rPr>
              <w:t>ITU-D</w:t>
            </w:r>
            <w:r w:rsidRPr="00225BA4">
              <w:rPr>
                <w:rFonts w:hint="eastAsia"/>
                <w:lang w:eastAsia="zh-CN"/>
              </w:rPr>
              <w:t>各成员国意见，更好地推动虚拟会议规则制订，提升信息化水平，使更多发展中国家有机会参与</w:t>
            </w:r>
            <w:r w:rsidRPr="00225BA4">
              <w:rPr>
                <w:rFonts w:hint="eastAsia"/>
                <w:lang w:eastAsia="zh-CN"/>
              </w:rPr>
              <w:t>ITU-D</w:t>
            </w:r>
            <w:r w:rsidRPr="00225BA4">
              <w:rPr>
                <w:rFonts w:hint="eastAsia"/>
                <w:lang w:eastAsia="zh-CN"/>
              </w:rPr>
              <w:t>会议和活动。</w:t>
            </w:r>
          </w:p>
          <w:p w14:paraId="76A1C541" w14:textId="09B592F8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371956FC" w14:textId="74ECB5AD" w:rsidR="00A721F4" w:rsidRPr="00D9621A" w:rsidRDefault="00225BA4" w:rsidP="00EA0C51">
            <w:pPr>
              <w:spacing w:after="120"/>
              <w:rPr>
                <w:szCs w:val="24"/>
                <w:lang w:eastAsia="zh-CN"/>
              </w:rPr>
            </w:pPr>
            <w:r w:rsidRPr="00225BA4">
              <w:rPr>
                <w:rFonts w:hint="eastAsia"/>
                <w:lang w:eastAsia="zh-CN"/>
              </w:rPr>
              <w:t>请与会代表对文稿进行审议</w:t>
            </w:r>
          </w:p>
          <w:p w14:paraId="622ACB80" w14:textId="50AC12B1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ECDD20E" w14:textId="297DD066" w:rsidR="00A721F4" w:rsidRPr="00D9621A" w:rsidRDefault="00225BA4" w:rsidP="00EA0C51">
            <w:pPr>
              <w:spacing w:after="120"/>
              <w:rPr>
                <w:lang w:eastAsia="zh-CN"/>
              </w:rPr>
            </w:pPr>
            <w:r w:rsidRPr="00225BA4">
              <w:rPr>
                <w:rFonts w:hint="eastAsia"/>
                <w:lang w:eastAsia="zh-CN"/>
              </w:rPr>
              <w:t>PP-22</w:t>
            </w:r>
            <w:r w:rsidRPr="00225BA4">
              <w:rPr>
                <w:rFonts w:hint="eastAsia"/>
                <w:lang w:eastAsia="zh-CN"/>
              </w:rPr>
              <w:t>第</w:t>
            </w:r>
            <w:r w:rsidRPr="00225BA4">
              <w:rPr>
                <w:rFonts w:hint="eastAsia"/>
                <w:lang w:eastAsia="zh-CN"/>
              </w:rPr>
              <w:t>167</w:t>
            </w:r>
          </w:p>
        </w:tc>
      </w:tr>
    </w:tbl>
    <w:p w14:paraId="77CF718B" w14:textId="77777777" w:rsidR="00AC6F14" w:rsidRDefault="00AC6F14" w:rsidP="00EA0C51">
      <w:pPr>
        <w:spacing w:after="120"/>
        <w:rPr>
          <w:lang w:eastAsia="zh-CN"/>
        </w:rPr>
      </w:pPr>
    </w:p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02F3607" w14:textId="77777777" w:rsidR="00225BA4" w:rsidRPr="00225BA4" w:rsidRDefault="00225BA4" w:rsidP="00225BA4">
      <w:pPr>
        <w:pStyle w:val="Heading2"/>
        <w:widowControl w:val="0"/>
        <w:numPr>
          <w:ilvl w:val="0"/>
          <w:numId w:val="2"/>
        </w:numPr>
        <w:tabs>
          <w:tab w:val="left" w:pos="720"/>
        </w:tabs>
        <w:overflowPunct/>
        <w:autoSpaceDE/>
        <w:adjustRightInd/>
        <w:spacing w:before="260" w:after="260" w:line="415" w:lineRule="auto"/>
        <w:jc w:val="both"/>
        <w:textAlignment w:val="auto"/>
        <w:rPr>
          <w:rFonts w:ascii="Times New Roman" w:eastAsiaTheme="majorEastAsia" w:hAnsi="Times New Roman"/>
          <w:bCs/>
          <w:kern w:val="2"/>
          <w:szCs w:val="24"/>
          <w:lang w:val="en-US" w:eastAsia="zh-CN"/>
        </w:rPr>
      </w:pPr>
      <w:r w:rsidRPr="00225BA4">
        <w:rPr>
          <w:rFonts w:ascii="Times New Roman" w:eastAsiaTheme="majorEastAsia" w:hAnsi="Times New Roman" w:hint="eastAsia"/>
          <w:bCs/>
          <w:kern w:val="2"/>
          <w:szCs w:val="24"/>
          <w:lang w:val="en-US" w:eastAsia="zh-CN"/>
        </w:rPr>
        <w:lastRenderedPageBreak/>
        <w:t>背景</w:t>
      </w:r>
    </w:p>
    <w:p w14:paraId="1E387732" w14:textId="77777777" w:rsidR="00225BA4" w:rsidRPr="00225BA4" w:rsidRDefault="00225BA4" w:rsidP="00225BA4">
      <w:pPr>
        <w:pStyle w:val="Default"/>
        <w:spacing w:after="240" w:line="312" w:lineRule="auto"/>
        <w:ind w:firstLineChars="200" w:firstLine="480"/>
        <w:rPr>
          <w:rFonts w:ascii="Times New Roman" w:eastAsiaTheme="minorEastAsia" w:hAnsi="Times New Roman"/>
          <w:color w:val="auto"/>
          <w:sz w:val="24"/>
          <w:szCs w:val="24"/>
        </w:rPr>
      </w:pP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PP-22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第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167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号决议提出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“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国际电联应继续发展其设施和能力，以方便以电子方式组织和召开全虚拟会议和</w:t>
      </w:r>
      <w:proofErr w:type="gramStart"/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可</w:t>
      </w:r>
      <w:proofErr w:type="gramEnd"/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远程参与的国际电联实体会议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”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。我们非常支持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TDAG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推动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该项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决议的落实，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不断提升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虚拟会议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的服务能力。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在新冠疫情期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间，虚拟会议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发挥了重要作用，为各成员国提供了广泛的参会机会，降低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了参加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会议的成本。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进一步推广虚拟会议远程参会，使更多发展中国家有机会参与</w:t>
      </w:r>
      <w:r w:rsidRPr="00225BA4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ITU-D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会议和活动，也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有助于扩大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ITU-D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的影响力。</w:t>
      </w:r>
    </w:p>
    <w:p w14:paraId="77418C08" w14:textId="77777777" w:rsidR="00225BA4" w:rsidRPr="00225BA4" w:rsidRDefault="00225BA4" w:rsidP="00225BA4">
      <w:pPr>
        <w:pStyle w:val="Heading2"/>
        <w:widowControl w:val="0"/>
        <w:numPr>
          <w:ilvl w:val="0"/>
          <w:numId w:val="2"/>
        </w:numPr>
        <w:tabs>
          <w:tab w:val="left" w:pos="720"/>
        </w:tabs>
        <w:overflowPunct/>
        <w:autoSpaceDE/>
        <w:adjustRightInd/>
        <w:spacing w:before="260" w:after="260" w:line="415" w:lineRule="auto"/>
        <w:jc w:val="both"/>
        <w:textAlignment w:val="auto"/>
        <w:rPr>
          <w:rFonts w:ascii="Times New Roman" w:eastAsiaTheme="majorEastAsia" w:hAnsi="Times New Roman"/>
          <w:bCs/>
          <w:kern w:val="2"/>
          <w:szCs w:val="24"/>
          <w:lang w:val="en-US" w:eastAsia="zh-CN"/>
        </w:rPr>
      </w:pPr>
      <w:r w:rsidRPr="00225BA4">
        <w:rPr>
          <w:rFonts w:ascii="Times New Roman" w:eastAsiaTheme="majorEastAsia" w:hAnsi="Times New Roman" w:hint="eastAsia"/>
          <w:bCs/>
          <w:kern w:val="2"/>
          <w:szCs w:val="24"/>
          <w:lang w:val="en-US" w:eastAsia="zh-CN"/>
        </w:rPr>
        <w:t>提议</w:t>
      </w:r>
    </w:p>
    <w:p w14:paraId="28A60B10" w14:textId="77777777" w:rsidR="00225BA4" w:rsidRPr="00225BA4" w:rsidRDefault="00225BA4" w:rsidP="00225BA4">
      <w:pPr>
        <w:pStyle w:val="Default"/>
        <w:spacing w:after="240" w:line="312" w:lineRule="auto"/>
        <w:ind w:firstLineChars="200" w:firstLine="48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根据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PP-22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第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167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号决议，我们提出以下建议：</w:t>
      </w:r>
    </w:p>
    <w:p w14:paraId="05033DE8" w14:textId="77777777" w:rsidR="00225BA4" w:rsidRPr="00225BA4" w:rsidRDefault="00225BA4" w:rsidP="00225BA4">
      <w:pPr>
        <w:pStyle w:val="Default"/>
        <w:spacing w:after="240" w:line="312" w:lineRule="auto"/>
        <w:ind w:firstLineChars="200" w:firstLine="48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1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、支持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ITU-D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关于落实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PP-22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第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167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号决议开展的工作，并围绕虚拟会议规则保持与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TSAG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、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RAG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以及跨部门共同关心问题协调组（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The Inter-Sector Coordination Group,</w:t>
      </w:r>
      <w:r w:rsidRPr="00225BA4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 xml:space="preserve"> 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ISCG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）的合作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与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沟通；</w:t>
      </w:r>
    </w:p>
    <w:p w14:paraId="686A9FA2" w14:textId="77777777" w:rsidR="00225BA4" w:rsidRPr="00225BA4" w:rsidRDefault="00225BA4" w:rsidP="00225BA4">
      <w:pPr>
        <w:pStyle w:val="Default"/>
        <w:spacing w:after="240" w:line="312" w:lineRule="auto"/>
        <w:ind w:firstLineChars="200" w:firstLine="48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2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、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建议在落实</w:t>
      </w:r>
      <w:r w:rsidRPr="00225BA4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167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号决议的过程中，广泛听取</w:t>
      </w: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ITU-D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各成员国意见，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以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更好地推动虚拟会议规则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的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制订，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使虚拟会议系统能够更有效地服务</w:t>
      </w:r>
      <w:proofErr w:type="gramStart"/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于具备</w:t>
      </w:r>
      <w:proofErr w:type="gramEnd"/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不同网络条件的地区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；</w:t>
      </w:r>
    </w:p>
    <w:p w14:paraId="5D7AE616" w14:textId="77777777" w:rsidR="00225BA4" w:rsidRPr="00225BA4" w:rsidRDefault="00225BA4" w:rsidP="00225BA4">
      <w:pPr>
        <w:pStyle w:val="Default"/>
        <w:spacing w:after="240" w:line="312" w:lineRule="auto"/>
        <w:ind w:firstLineChars="200" w:firstLine="480"/>
        <w:jc w:val="both"/>
        <w:rPr>
          <w:rFonts w:ascii="Times New Roman" w:eastAsiaTheme="minorEastAsia" w:hAnsi="Times New Roman"/>
          <w:color w:val="auto"/>
          <w:sz w:val="24"/>
          <w:szCs w:val="24"/>
        </w:rPr>
      </w:pPr>
      <w:r w:rsidRPr="00225BA4">
        <w:rPr>
          <w:rFonts w:ascii="Times New Roman" w:eastAsiaTheme="minorEastAsia" w:hAnsi="Times New Roman"/>
          <w:color w:val="auto"/>
          <w:sz w:val="24"/>
          <w:szCs w:val="24"/>
        </w:rPr>
        <w:t>3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、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建议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推动多样化数字技术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的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使用和推广，帮助发展中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  <w:lang w:val="en-US"/>
        </w:rPr>
        <w:t>国家高效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参与虚拟会议，例如提升移动终端</w:t>
      </w:r>
      <w:r w:rsidRPr="00225BA4">
        <w:rPr>
          <w:rFonts w:ascii="Times New Roman" w:eastAsiaTheme="minorEastAsia" w:hAnsi="Times New Roman"/>
          <w:color w:val="auto"/>
          <w:sz w:val="24"/>
          <w:szCs w:val="24"/>
          <w:lang w:val="en-US"/>
        </w:rPr>
        <w:t>APP</w:t>
      </w:r>
      <w:r w:rsidRPr="00225BA4">
        <w:rPr>
          <w:rFonts w:ascii="Times New Roman" w:eastAsiaTheme="minorEastAsia" w:hAnsi="Times New Roman" w:hint="eastAsia"/>
          <w:color w:val="auto"/>
          <w:sz w:val="24"/>
          <w:szCs w:val="24"/>
        </w:rPr>
        <w:t>的接入体验等。</w:t>
      </w:r>
    </w:p>
    <w:p w14:paraId="7759C759" w14:textId="3043F4B3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Proposal"/>
      <w:bookmarkEnd w:id="6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25BA4" w:rsidRPr="004D495C" w14:paraId="695D1810" w14:textId="77777777" w:rsidTr="00225BA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14DFDCE3" w:rsidR="00225BA4" w:rsidRPr="004D495C" w:rsidRDefault="00225BA4" w:rsidP="00225BA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2A129C70" w:rsidR="00225BA4" w:rsidRPr="004D495C" w:rsidRDefault="00225BA4" w:rsidP="00225BA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5EE5537" w14:textId="2BD2E05F" w:rsidR="00225BA4" w:rsidRPr="00AF7A97" w:rsidRDefault="00225BA4" w:rsidP="00225B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7203A">
            <w:rPr>
              <w:sz w:val="18"/>
              <w:szCs w:val="22"/>
              <w:lang w:val="en-GB"/>
            </w:rPr>
            <w:t xml:space="preserve">Mr </w:t>
          </w:r>
          <w:proofErr w:type="spellStart"/>
          <w:r w:rsidRPr="0067203A">
            <w:rPr>
              <w:sz w:val="18"/>
              <w:szCs w:val="22"/>
              <w:lang w:val="en-GB"/>
            </w:rPr>
            <w:t>Yanbin</w:t>
          </w:r>
          <w:proofErr w:type="spellEnd"/>
          <w:r w:rsidRPr="0067203A">
            <w:rPr>
              <w:sz w:val="18"/>
              <w:szCs w:val="22"/>
              <w:lang w:val="en-GB"/>
            </w:rPr>
            <w:t xml:space="preserve"> Zhang</w:t>
          </w:r>
          <w:r>
            <w:rPr>
              <w:sz w:val="18"/>
              <w:szCs w:val="22"/>
              <w:lang w:val="en-GB"/>
            </w:rPr>
            <w:t>, C</w:t>
          </w:r>
          <w:r w:rsidRPr="0067203A">
            <w:rPr>
              <w:sz w:val="18"/>
              <w:szCs w:val="22"/>
              <w:lang w:val="en-GB"/>
            </w:rPr>
            <w:t>AICT</w:t>
          </w:r>
          <w:r>
            <w:rPr>
              <w:sz w:val="18"/>
              <w:szCs w:val="22"/>
              <w:lang w:val="en-GB"/>
            </w:rPr>
            <w:t xml:space="preserve">, </w:t>
          </w:r>
          <w:r w:rsidRPr="0067203A">
            <w:rPr>
              <w:sz w:val="18"/>
              <w:szCs w:val="22"/>
              <w:lang w:val="en-GB"/>
            </w:rPr>
            <w:t>Ministry of Industry and Information Technology (MIIT)</w:t>
          </w:r>
          <w:r>
            <w:rPr>
              <w:sz w:val="18"/>
              <w:szCs w:val="22"/>
              <w:lang w:val="en-GB"/>
            </w:rPr>
            <w:t xml:space="preserve">, </w:t>
          </w:r>
          <w:r w:rsidRPr="0067203A">
            <w:rPr>
              <w:sz w:val="18"/>
              <w:szCs w:val="22"/>
              <w:lang w:val="en-GB"/>
            </w:rPr>
            <w:t>China (People's Republic of)</w:t>
          </w:r>
        </w:p>
      </w:tc>
      <w:bookmarkStart w:id="7" w:name="OrgName"/>
      <w:bookmarkEnd w:id="7"/>
    </w:tr>
    <w:tr w:rsidR="00225BA4" w:rsidRPr="004D495C" w14:paraId="61167678" w14:textId="77777777" w:rsidTr="00225BA4">
      <w:tc>
        <w:tcPr>
          <w:tcW w:w="1526" w:type="dxa"/>
          <w:shd w:val="clear" w:color="auto" w:fill="auto"/>
        </w:tcPr>
        <w:p w14:paraId="33710823" w14:textId="77777777" w:rsidR="00225BA4" w:rsidRPr="004D495C" w:rsidRDefault="00225BA4" w:rsidP="00225B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3EA6C08" w:rsidR="00225BA4" w:rsidRPr="004D495C" w:rsidRDefault="00225BA4" w:rsidP="00225B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6F43325E" w14:textId="53F6753A" w:rsidR="00225BA4" w:rsidRPr="00AF7A97" w:rsidRDefault="00225BA4" w:rsidP="00225B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7203A">
            <w:rPr>
              <w:sz w:val="18"/>
              <w:szCs w:val="22"/>
            </w:rPr>
            <w:t>+8610 68032074</w:t>
          </w:r>
        </w:p>
      </w:tc>
      <w:bookmarkStart w:id="8" w:name="PhoneNo"/>
      <w:bookmarkEnd w:id="8"/>
    </w:tr>
    <w:tr w:rsidR="00225BA4" w:rsidRPr="004D495C" w14:paraId="0299A231" w14:textId="77777777" w:rsidTr="00225BA4">
      <w:tc>
        <w:tcPr>
          <w:tcW w:w="1526" w:type="dxa"/>
          <w:shd w:val="clear" w:color="auto" w:fill="auto"/>
        </w:tcPr>
        <w:p w14:paraId="35CBC438" w14:textId="77777777" w:rsidR="00225BA4" w:rsidRPr="004D495C" w:rsidRDefault="00225BA4" w:rsidP="00225B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367EADA3" w:rsidR="00225BA4" w:rsidRPr="004D495C" w:rsidRDefault="00225BA4" w:rsidP="00225B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3BC27265" w14:textId="30FC0E4F" w:rsidR="00225BA4" w:rsidRPr="00AF7A97" w:rsidRDefault="00225BA4" w:rsidP="00225B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E95547">
              <w:rPr>
                <w:rStyle w:val="Hyperlink"/>
                <w:sz w:val="18"/>
                <w:szCs w:val="22"/>
              </w:rPr>
              <w:t>zhangyanbin@caict.ac.cn</w:t>
            </w:r>
          </w:hyperlink>
          <w:r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5AEFE7F9" w14:textId="2F0CB09A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152D25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65B2A44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225BA4">
      <w:rPr>
        <w:sz w:val="22"/>
        <w:szCs w:val="22"/>
        <w:lang w:val="de-CH"/>
      </w:rPr>
      <w:t>39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3B73D"/>
    <w:multiLevelType w:val="multilevel"/>
    <w:tmpl w:val="2773B73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795"/>
      </w:pPr>
    </w:lvl>
    <w:lvl w:ilvl="2">
      <w:start w:val="1"/>
      <w:numFmt w:val="decimal"/>
      <w:isLgl/>
      <w:lvlText w:val="%1.%2.%3"/>
      <w:lvlJc w:val="left"/>
      <w:pPr>
        <w:ind w:left="795" w:hanging="795"/>
      </w:pPr>
    </w:lvl>
    <w:lvl w:ilvl="3">
      <w:start w:val="1"/>
      <w:numFmt w:val="decimal"/>
      <w:isLgl/>
      <w:lvlText w:val="%1.%2.%3.%4"/>
      <w:lvlJc w:val="left"/>
      <w:pPr>
        <w:ind w:left="795" w:hanging="795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52D2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5BA4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3DC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F240D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,超链接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Default">
    <w:name w:val="Default"/>
    <w:qFormat/>
    <w:rsid w:val="00225BA4"/>
    <w:rPr>
      <w:rFonts w:ascii="Arial Unicode MS" w:eastAsia="Helvetica" w:hAnsi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zhangyanbin@caict.ac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2AE6-1385-4F21-B721-2AF2D388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6</cp:revision>
  <cp:lastPrinted>2014-11-04T09:22:00Z</cp:lastPrinted>
  <dcterms:created xsi:type="dcterms:W3CDTF">2023-01-13T09:42:00Z</dcterms:created>
  <dcterms:modified xsi:type="dcterms:W3CDTF">2023-06-07T07:33:00Z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