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D660748"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CC2052">
              <w:rPr>
                <w:b/>
                <w:bCs/>
                <w:lang w:val="en-US"/>
              </w:rPr>
              <w:t>3</w:t>
            </w:r>
            <w:r w:rsidR="00F82735">
              <w:rPr>
                <w:b/>
                <w:bCs/>
                <w:lang w:val="en-US"/>
              </w:rPr>
              <w:t>4</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6C556E8B" w:rsidR="00683C32" w:rsidRPr="007F1CC7" w:rsidRDefault="00AD3253" w:rsidP="00B648C7">
            <w:pPr>
              <w:spacing w:before="0"/>
              <w:rPr>
                <w:b/>
                <w:szCs w:val="24"/>
              </w:rPr>
            </w:pPr>
            <w:bookmarkStart w:id="2" w:name="CreationDate"/>
            <w:bookmarkEnd w:id="2"/>
            <w:r>
              <w:rPr>
                <w:b/>
                <w:bCs/>
                <w:szCs w:val="28"/>
              </w:rPr>
              <w:t>2 June</w:t>
            </w:r>
            <w:bookmarkStart w:id="3" w:name="_GoBack"/>
            <w:bookmarkEnd w:id="3"/>
            <w:r w:rsidR="00441D1A">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2EE55F74" w:rsidR="00514D2F" w:rsidRPr="007F1CC7" w:rsidRDefault="0096201B" w:rsidP="00400CCF">
            <w:pPr>
              <w:spacing w:before="0"/>
              <w:rPr>
                <w:szCs w:val="24"/>
              </w:rPr>
            </w:pPr>
            <w:r>
              <w:rPr>
                <w:b/>
              </w:rPr>
              <w:t>Original:</w:t>
            </w:r>
            <w:bookmarkStart w:id="4" w:name="Original"/>
            <w:bookmarkEnd w:id="4"/>
            <w:r w:rsidR="00CE0422">
              <w:rPr>
                <w:b/>
              </w:rPr>
              <w:t xml:space="preserve"> </w:t>
            </w:r>
            <w:r w:rsidR="008A2037">
              <w:rPr>
                <w:b/>
              </w:rPr>
              <w:t xml:space="preserve">English and </w:t>
            </w:r>
            <w:r w:rsidR="001D6061">
              <w:rPr>
                <w:b/>
              </w:rPr>
              <w:t>Russian</w:t>
            </w:r>
          </w:p>
        </w:tc>
      </w:tr>
      <w:tr w:rsidR="00A13162" w14:paraId="31656E31" w14:textId="77777777" w:rsidTr="00107E85">
        <w:trPr>
          <w:cantSplit/>
          <w:trHeight w:val="852"/>
        </w:trPr>
        <w:tc>
          <w:tcPr>
            <w:tcW w:w="9888" w:type="dxa"/>
            <w:gridSpan w:val="2"/>
          </w:tcPr>
          <w:p w14:paraId="512FCA01" w14:textId="01394AE1" w:rsidR="00A13162" w:rsidRPr="0030353C" w:rsidRDefault="00CC2052" w:rsidP="0030353C">
            <w:pPr>
              <w:pStyle w:val="Source"/>
            </w:pPr>
            <w:bookmarkStart w:id="5" w:name="Source"/>
            <w:bookmarkEnd w:id="5"/>
            <w:r>
              <w:t>Russian Federation</w:t>
            </w:r>
          </w:p>
        </w:tc>
      </w:tr>
      <w:tr w:rsidR="00AC6F14" w:rsidRPr="002E6963" w14:paraId="2CBD3A36" w14:textId="77777777" w:rsidTr="00107E85">
        <w:trPr>
          <w:cantSplit/>
        </w:trPr>
        <w:tc>
          <w:tcPr>
            <w:tcW w:w="9888" w:type="dxa"/>
            <w:gridSpan w:val="2"/>
          </w:tcPr>
          <w:p w14:paraId="1B4121DF" w14:textId="15657E02" w:rsidR="00AC6F14" w:rsidRPr="0030353C" w:rsidRDefault="00F82735" w:rsidP="0030353C">
            <w:pPr>
              <w:pStyle w:val="Title1"/>
            </w:pPr>
            <w:bookmarkStart w:id="6" w:name="Title"/>
            <w:bookmarkEnd w:id="6"/>
            <w:r w:rsidRPr="00F82735">
              <w:t>Further actions on intersectoral coordination</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685ECD" w:rsidRDefault="00A721F4" w:rsidP="00F82735">
            <w:pPr>
              <w:spacing w:after="120"/>
              <w:rPr>
                <w:b/>
                <w:bCs/>
                <w:szCs w:val="24"/>
              </w:rPr>
            </w:pPr>
            <w:r w:rsidRPr="00685ECD">
              <w:rPr>
                <w:b/>
                <w:bCs/>
                <w:szCs w:val="24"/>
              </w:rPr>
              <w:t>Summary:</w:t>
            </w:r>
          </w:p>
          <w:p w14:paraId="0C2C0B1F" w14:textId="77777777" w:rsidR="00F82735" w:rsidRDefault="00F82735" w:rsidP="00F82735">
            <w:pPr>
              <w:spacing w:after="120"/>
              <w:rPr>
                <w:rFonts w:ascii="Calibri" w:hAnsi="Calibri"/>
                <w:szCs w:val="24"/>
                <w:lang w:val="ru-RU"/>
              </w:rPr>
            </w:pPr>
            <w:r w:rsidRPr="00F82735">
              <w:rPr>
                <w:rFonts w:ascii="Calibri" w:hAnsi="Calibri"/>
                <w:szCs w:val="24"/>
                <w:lang w:val="ru-RU"/>
              </w:rPr>
              <w:t>This contribution suggests further actions for intersectoral coordination based on the results of stabilization of the mapping tables between ITU Sectors Study Groups aimed at identifying issues of mutual interest.</w:t>
            </w:r>
          </w:p>
          <w:p w14:paraId="76A1C541" w14:textId="659B26CA" w:rsidR="00A721F4" w:rsidRPr="00685ECD" w:rsidRDefault="00A721F4" w:rsidP="00F82735">
            <w:pPr>
              <w:spacing w:after="120"/>
              <w:rPr>
                <w:b/>
                <w:bCs/>
                <w:szCs w:val="24"/>
              </w:rPr>
            </w:pPr>
            <w:r w:rsidRPr="00685ECD">
              <w:rPr>
                <w:b/>
                <w:bCs/>
                <w:szCs w:val="24"/>
              </w:rPr>
              <w:t>Action required:</w:t>
            </w:r>
          </w:p>
          <w:p w14:paraId="4D6AAC39" w14:textId="3EB46BBE" w:rsidR="00685ECD" w:rsidRDefault="00F82735" w:rsidP="00F82735">
            <w:pPr>
              <w:spacing w:after="120"/>
              <w:rPr>
                <w:szCs w:val="24"/>
              </w:rPr>
            </w:pPr>
            <w:r w:rsidRPr="00F82735">
              <w:rPr>
                <w:szCs w:val="24"/>
              </w:rPr>
              <w:t>TDAG is invited to consider this document and provide any additional guidance it deems appropriate.</w:t>
            </w:r>
          </w:p>
          <w:p w14:paraId="622ACB80" w14:textId="79ABC327" w:rsidR="00A721F4" w:rsidRPr="00685ECD" w:rsidRDefault="00A721F4" w:rsidP="00F82735">
            <w:pPr>
              <w:spacing w:after="120"/>
              <w:rPr>
                <w:b/>
                <w:bCs/>
                <w:szCs w:val="24"/>
              </w:rPr>
            </w:pPr>
            <w:r w:rsidRPr="00685ECD">
              <w:rPr>
                <w:b/>
                <w:bCs/>
                <w:szCs w:val="24"/>
              </w:rPr>
              <w:t>References:</w:t>
            </w:r>
          </w:p>
          <w:p w14:paraId="47B31306" w14:textId="45B57836" w:rsidR="00F82735" w:rsidRPr="00D5118A" w:rsidRDefault="00F82735" w:rsidP="00F82735">
            <w:pPr>
              <w:spacing w:after="120"/>
            </w:pPr>
            <w:r w:rsidRPr="00D5118A">
              <w:rPr>
                <w:szCs w:val="24"/>
                <w:lang w:val="en-US"/>
              </w:rPr>
              <w:t xml:space="preserve">Documents </w:t>
            </w:r>
            <w:hyperlink r:id="rId9" w:history="1">
              <w:r w:rsidRPr="00D5118A">
                <w:rPr>
                  <w:rStyle w:val="Hyperlink"/>
                </w:rPr>
                <w:t>ISCG/23-1/7a</w:t>
              </w:r>
            </w:hyperlink>
            <w:r w:rsidRPr="00D5118A">
              <w:t xml:space="preserve"> (Rev.1) and </w:t>
            </w:r>
            <w:hyperlink r:id="rId10" w:history="1">
              <w:r w:rsidRPr="00D5118A">
                <w:rPr>
                  <w:rStyle w:val="Hyperlink"/>
                </w:rPr>
                <w:t>ISCG/23-1/7c</w:t>
              </w:r>
            </w:hyperlink>
            <w:r w:rsidRPr="00D5118A">
              <w:t xml:space="preserve"> (Rev.1)</w:t>
            </w:r>
          </w:p>
          <w:p w14:paraId="3BEDB99A" w14:textId="5DD1906C" w:rsidR="00F82735" w:rsidRPr="00D5118A" w:rsidRDefault="00F82735" w:rsidP="00F82735">
            <w:pPr>
              <w:spacing w:after="120"/>
              <w:rPr>
                <w:szCs w:val="24"/>
              </w:rPr>
            </w:pPr>
            <w:r w:rsidRPr="00D5118A">
              <w:rPr>
                <w:szCs w:val="24"/>
              </w:rPr>
              <w:t>Resolution 191 of the Plenipotentiary conference (PP) (Rev. Bucharest, 2022) “Strategy for the coordination of efforts among the three Sectors of the Union”</w:t>
            </w:r>
          </w:p>
          <w:p w14:paraId="1ECDD20E" w14:textId="4B9E7326" w:rsidR="00A721F4" w:rsidRPr="00685ECD" w:rsidRDefault="00F82735" w:rsidP="00F82735">
            <w:pPr>
              <w:spacing w:after="120"/>
              <w:rPr>
                <w:szCs w:val="24"/>
              </w:rPr>
            </w:pPr>
            <w:r w:rsidRPr="00D5118A">
              <w:rPr>
                <w:szCs w:val="24"/>
              </w:rPr>
              <w:t xml:space="preserve">Resolution 59 of the World Telecommunication Development Conference (WTDC) (Rev. Kigali, 2022) </w:t>
            </w:r>
            <w:r w:rsidRPr="00D5118A">
              <w:rPr>
                <w:szCs w:val="24"/>
                <w:lang w:val="en-US"/>
              </w:rPr>
              <w:t>“Strengthening coordination and cooperation among the three ITU Sectors on matters of mutual interest”</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7" w:name="Proposal"/>
      <w:bookmarkEnd w:id="7"/>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7466995D" w14:textId="1523A4F7" w:rsidR="00F82735" w:rsidRPr="00F82735" w:rsidRDefault="00F82735" w:rsidP="00F82735">
      <w:pPr>
        <w:pStyle w:val="Heading1"/>
        <w:numPr>
          <w:ilvl w:val="0"/>
          <w:numId w:val="11"/>
        </w:numPr>
        <w:spacing w:before="120" w:after="120"/>
        <w:rPr>
          <w:rFonts w:cstheme="minorHAnsi"/>
          <w:sz w:val="24"/>
          <w:szCs w:val="24"/>
        </w:rPr>
      </w:pPr>
      <w:r>
        <w:rPr>
          <w:rFonts w:cstheme="minorHAnsi"/>
          <w:sz w:val="24"/>
          <w:szCs w:val="24"/>
        </w:rPr>
        <w:lastRenderedPageBreak/>
        <w:t>I</w:t>
      </w:r>
      <w:r w:rsidRPr="00F82735">
        <w:rPr>
          <w:rFonts w:cstheme="minorHAnsi"/>
          <w:sz w:val="24"/>
          <w:szCs w:val="24"/>
        </w:rPr>
        <w:t>ntroduction</w:t>
      </w:r>
    </w:p>
    <w:p w14:paraId="1F1675DB" w14:textId="77777777" w:rsidR="00F82735" w:rsidRPr="00F82735" w:rsidRDefault="00F82735" w:rsidP="00F82735">
      <w:pPr>
        <w:spacing w:after="120"/>
        <w:rPr>
          <w:rFonts w:cstheme="minorHAnsi"/>
          <w:szCs w:val="24"/>
        </w:rPr>
      </w:pPr>
      <w:r w:rsidRPr="00F82735">
        <w:rPr>
          <w:rFonts w:cstheme="minorHAnsi"/>
          <w:szCs w:val="24"/>
        </w:rPr>
        <w:t xml:space="preserve">Inter-Sector Coordination Group (ISCG) on issues of mutual interest held its regular meeting on May 2, 2023, during which the mapping tables between ITU Sectors were stabilized after </w:t>
      </w:r>
      <w:r w:rsidRPr="00F82735">
        <w:rPr>
          <w:rFonts w:cstheme="minorHAnsi"/>
          <w:szCs w:val="24"/>
          <w:lang w:val="en-US"/>
        </w:rPr>
        <w:t xml:space="preserve">the </w:t>
      </w:r>
      <w:r w:rsidRPr="00F82735">
        <w:rPr>
          <w:rFonts w:cstheme="minorHAnsi"/>
          <w:szCs w:val="24"/>
        </w:rPr>
        <w:t xml:space="preserve">World Telecommunication Standardization Assembly (WTSA) and the World Telecommunication Development Conference (WTDC) were held in 2022, in particular with regard to the work of ITU-D, Document </w:t>
      </w:r>
      <w:hyperlink r:id="rId11" w:history="1">
        <w:r w:rsidRPr="00F82735">
          <w:rPr>
            <w:rStyle w:val="Hyperlink"/>
            <w:rFonts w:cstheme="minorHAnsi"/>
            <w:szCs w:val="24"/>
          </w:rPr>
          <w:t>ISCG/23-1/7a</w:t>
        </w:r>
      </w:hyperlink>
      <w:r w:rsidRPr="00F82735">
        <w:rPr>
          <w:rFonts w:cstheme="minorHAnsi"/>
          <w:szCs w:val="24"/>
        </w:rPr>
        <w:t xml:space="preserve"> (Rev.1) “Table 1: Mapping of ITU-D SG1 and SG2 Questions to ITU-R Working Parties” and Document </w:t>
      </w:r>
      <w:hyperlink r:id="rId12" w:history="1">
        <w:r w:rsidRPr="00F82735">
          <w:rPr>
            <w:rStyle w:val="Hyperlink"/>
            <w:rFonts w:cstheme="minorHAnsi"/>
            <w:szCs w:val="24"/>
          </w:rPr>
          <w:t>ISCG/23-1/7c</w:t>
        </w:r>
      </w:hyperlink>
      <w:r w:rsidRPr="00F82735">
        <w:rPr>
          <w:rFonts w:cstheme="minorHAnsi"/>
          <w:szCs w:val="24"/>
        </w:rPr>
        <w:t xml:space="preserve"> (Rev.1) “Table 3: Mapping of ITU-D SG1 and SG2 Questions to ITU-T Questions”.</w:t>
      </w:r>
    </w:p>
    <w:p w14:paraId="3BB409C8" w14:textId="77777777" w:rsidR="00F82735" w:rsidRPr="00F82735" w:rsidRDefault="00F82735" w:rsidP="00F82735">
      <w:pPr>
        <w:spacing w:after="120"/>
        <w:rPr>
          <w:rFonts w:cstheme="minorHAnsi"/>
          <w:szCs w:val="24"/>
        </w:rPr>
      </w:pPr>
      <w:r w:rsidRPr="00F82735">
        <w:rPr>
          <w:rFonts w:cstheme="minorHAnsi"/>
          <w:szCs w:val="24"/>
        </w:rPr>
        <w:t>Nowadays Resolution 191 of the Plenipotentiary conference (PP) (Rev. Bucharest, 2022) “Strategy for the coordination of efforts among the three Sectors of the Union” in its operative part invites the Directors of the Radiocommunication Bureau (BR), Telecommunication Standardization Bureau (TSB) and Telecommunication Development Bureau (BDT), as well as Inter-Sectoral Coordination Task Force (ISC-TF) to submit reports to the ISCG and the relevant Sector advisory groups on options for improving cooperation at the secretariat level to ensure that close</w:t>
      </w:r>
      <w:r w:rsidRPr="00F82735">
        <w:rPr>
          <w:rFonts w:cstheme="minorHAnsi"/>
          <w:szCs w:val="24"/>
          <w:lang w:val="en-US"/>
        </w:rPr>
        <w:t xml:space="preserve"> </w:t>
      </w:r>
      <w:r w:rsidRPr="00F82735">
        <w:rPr>
          <w:rFonts w:cstheme="minorHAnsi"/>
          <w:szCs w:val="24"/>
        </w:rPr>
        <w:t>coordination is maximized</w:t>
      </w:r>
      <w:r w:rsidRPr="00F82735">
        <w:rPr>
          <w:rFonts w:cstheme="minorHAnsi"/>
          <w:szCs w:val="24"/>
          <w:lang w:val="en-US"/>
        </w:rPr>
        <w:t xml:space="preserve">, and Resolution 59 of the World Telecommunication Development Conference (WTDC) (Rev. Kigali, 2022) “Strengthening coordination and cooperation among the three ITU Sectors on matters of mutual interest” </w:t>
      </w:r>
      <w:r w:rsidRPr="00F82735">
        <w:rPr>
          <w:rFonts w:cstheme="minorHAnsi"/>
          <w:szCs w:val="24"/>
        </w:rPr>
        <w:t>invites the Director of the BDT, the Director of the BR and the Director of the TSB to submit reports to the relevant Sector advisory groups, including taking an active part in coordination activities within the groups created by these advisory groups, and also instructs the Director of the BDT, in cooperation with the Director of the TSB and the Director of the BR, to submit an annual report to the ITU-D SGs about the latest achievements in the work of the ITU-T and ITU-R Study Groups.</w:t>
      </w:r>
    </w:p>
    <w:p w14:paraId="04E8127B" w14:textId="77777777" w:rsidR="00F82735" w:rsidRPr="00F82735" w:rsidRDefault="00F82735" w:rsidP="00F82735">
      <w:pPr>
        <w:spacing w:after="120"/>
        <w:rPr>
          <w:rFonts w:cstheme="minorHAnsi"/>
          <w:szCs w:val="24"/>
          <w:lang w:val="en-US"/>
        </w:rPr>
      </w:pPr>
      <w:r w:rsidRPr="00F82735">
        <w:rPr>
          <w:rFonts w:cstheme="minorHAnsi"/>
          <w:szCs w:val="24"/>
          <w:lang w:val="en-US"/>
        </w:rPr>
        <w:t xml:space="preserve">Such reports on the latest achievements in the work of the ITU-T and ITU-R </w:t>
      </w:r>
      <w:r w:rsidRPr="00F82735">
        <w:rPr>
          <w:rFonts w:cstheme="minorHAnsi"/>
          <w:szCs w:val="24"/>
        </w:rPr>
        <w:t>Study Groups</w:t>
      </w:r>
      <w:r w:rsidRPr="00F82735">
        <w:rPr>
          <w:rFonts w:cstheme="minorHAnsi"/>
          <w:szCs w:val="24"/>
          <w:lang w:val="en-US"/>
        </w:rPr>
        <w:t xml:space="preserve"> are presented annually at the meetings of the ITU-D SGs, but they do not reflect issues of mutual interest in any way, which makes these reports insufficient from the point of view of intersectoral interaction.</w:t>
      </w:r>
    </w:p>
    <w:p w14:paraId="56199D79" w14:textId="0B659FC3" w:rsidR="00F82735" w:rsidRPr="00F82735" w:rsidRDefault="00F82735" w:rsidP="00F82735">
      <w:pPr>
        <w:pStyle w:val="Heading1"/>
        <w:numPr>
          <w:ilvl w:val="0"/>
          <w:numId w:val="11"/>
        </w:numPr>
        <w:spacing w:before="120" w:after="120"/>
        <w:rPr>
          <w:rFonts w:cstheme="minorHAnsi"/>
          <w:sz w:val="24"/>
          <w:szCs w:val="24"/>
        </w:rPr>
      </w:pPr>
      <w:r w:rsidRPr="00F82735">
        <w:rPr>
          <w:rFonts w:cstheme="minorHAnsi"/>
          <w:sz w:val="24"/>
          <w:szCs w:val="24"/>
        </w:rPr>
        <w:t>Proposals</w:t>
      </w:r>
    </w:p>
    <w:p w14:paraId="2FBB0BEA" w14:textId="77777777" w:rsidR="00F82735" w:rsidRPr="00F82735" w:rsidRDefault="00F82735" w:rsidP="00F82735">
      <w:pPr>
        <w:spacing w:after="120"/>
        <w:rPr>
          <w:rFonts w:cstheme="minorHAnsi"/>
          <w:szCs w:val="24"/>
          <w:lang w:val="en-US"/>
        </w:rPr>
      </w:pPr>
      <w:r w:rsidRPr="00F82735">
        <w:rPr>
          <w:rFonts w:cstheme="minorHAnsi"/>
          <w:szCs w:val="24"/>
          <w:lang w:val="en-US"/>
        </w:rPr>
        <w:t>It is proposed, following the operative part of the WTDC Resolution 59, to inform the ITU-D SGs about the current and completed work of the ITU-R and the ITU-T SGs in close connection with the mapping table between the Questions of the ITU-D Study Groups and the ITU-R Working Parties and the mapping table between the Questions of the ITU-D Study Groups Questions and the ITU-T Study Groups Questions. The following table can serve as an example of the form of such a report:</w:t>
      </w:r>
    </w:p>
    <w:tbl>
      <w:tblPr>
        <w:tblStyle w:val="TableGrid"/>
        <w:tblW w:w="0" w:type="auto"/>
        <w:tblLook w:val="04A0" w:firstRow="1" w:lastRow="0" w:firstColumn="1" w:lastColumn="0" w:noHBand="0" w:noVBand="1"/>
      </w:tblPr>
      <w:tblGrid>
        <w:gridCol w:w="916"/>
        <w:gridCol w:w="1184"/>
        <w:gridCol w:w="2130"/>
        <w:gridCol w:w="916"/>
        <w:gridCol w:w="1184"/>
        <w:gridCol w:w="2111"/>
        <w:gridCol w:w="1188"/>
      </w:tblGrid>
      <w:tr w:rsidR="00F82735" w:rsidRPr="00F82735" w14:paraId="16609969" w14:textId="77777777" w:rsidTr="00D560B4">
        <w:tc>
          <w:tcPr>
            <w:tcW w:w="969" w:type="dxa"/>
          </w:tcPr>
          <w:p w14:paraId="35C4EB7F" w14:textId="77777777" w:rsidR="00F82735" w:rsidRPr="00F82735" w:rsidRDefault="00F82735" w:rsidP="00F82735">
            <w:pPr>
              <w:spacing w:before="40" w:after="40"/>
              <w:rPr>
                <w:rFonts w:cstheme="minorHAnsi"/>
                <w:b/>
                <w:bCs/>
                <w:sz w:val="20"/>
                <w:lang w:val="en-US"/>
              </w:rPr>
            </w:pPr>
            <w:r w:rsidRPr="00F82735">
              <w:rPr>
                <w:rFonts w:cstheme="minorHAnsi"/>
                <w:b/>
                <w:bCs/>
                <w:sz w:val="20"/>
                <w:lang w:val="en-US"/>
              </w:rPr>
              <w:t>ITU-D SG</w:t>
            </w:r>
          </w:p>
        </w:tc>
        <w:tc>
          <w:tcPr>
            <w:tcW w:w="1216" w:type="dxa"/>
          </w:tcPr>
          <w:p w14:paraId="5E8B38A8" w14:textId="77777777" w:rsidR="00F82735" w:rsidRPr="00F82735" w:rsidRDefault="00F82735" w:rsidP="00F82735">
            <w:pPr>
              <w:spacing w:before="40" w:after="40"/>
              <w:rPr>
                <w:rFonts w:cstheme="minorHAnsi"/>
                <w:b/>
                <w:bCs/>
                <w:sz w:val="20"/>
                <w:lang w:val="en-US"/>
              </w:rPr>
            </w:pPr>
            <w:r w:rsidRPr="00F82735">
              <w:rPr>
                <w:rFonts w:cstheme="minorHAnsi"/>
                <w:b/>
                <w:bCs/>
                <w:sz w:val="20"/>
                <w:lang w:val="en-US"/>
              </w:rPr>
              <w:t>ITU-D Question</w:t>
            </w:r>
          </w:p>
        </w:tc>
        <w:tc>
          <w:tcPr>
            <w:tcW w:w="2130" w:type="dxa"/>
          </w:tcPr>
          <w:p w14:paraId="1E0976DA" w14:textId="77777777" w:rsidR="00F82735" w:rsidRPr="00F82735" w:rsidRDefault="00F82735" w:rsidP="00F82735">
            <w:pPr>
              <w:spacing w:before="40" w:after="40"/>
              <w:rPr>
                <w:rFonts w:cstheme="minorHAnsi"/>
                <w:b/>
                <w:bCs/>
                <w:sz w:val="20"/>
                <w:lang w:val="en-US"/>
              </w:rPr>
            </w:pPr>
            <w:r w:rsidRPr="00F82735">
              <w:rPr>
                <w:rFonts w:cstheme="minorHAnsi"/>
                <w:b/>
                <w:bCs/>
                <w:sz w:val="20"/>
                <w:lang w:val="en-US"/>
              </w:rPr>
              <w:t>ITU-D Question Topic</w:t>
            </w:r>
          </w:p>
        </w:tc>
        <w:tc>
          <w:tcPr>
            <w:tcW w:w="970" w:type="dxa"/>
          </w:tcPr>
          <w:p w14:paraId="6C21394C" w14:textId="77777777" w:rsidR="00F82735" w:rsidRPr="00F82735" w:rsidRDefault="00F82735" w:rsidP="00F82735">
            <w:pPr>
              <w:spacing w:before="40" w:after="40"/>
              <w:rPr>
                <w:rFonts w:cstheme="minorHAnsi"/>
                <w:b/>
                <w:bCs/>
                <w:sz w:val="20"/>
                <w:lang w:val="en-US"/>
              </w:rPr>
            </w:pPr>
            <w:r w:rsidRPr="00F82735">
              <w:rPr>
                <w:rFonts w:cstheme="minorHAnsi"/>
                <w:b/>
                <w:bCs/>
                <w:sz w:val="20"/>
                <w:lang w:val="en-US"/>
              </w:rPr>
              <w:t>ITU-T SG</w:t>
            </w:r>
          </w:p>
        </w:tc>
        <w:tc>
          <w:tcPr>
            <w:tcW w:w="1216" w:type="dxa"/>
          </w:tcPr>
          <w:p w14:paraId="51A009FA" w14:textId="77777777" w:rsidR="00F82735" w:rsidRPr="00F82735" w:rsidRDefault="00F82735" w:rsidP="00F82735">
            <w:pPr>
              <w:spacing w:before="40" w:after="40"/>
              <w:rPr>
                <w:rFonts w:cstheme="minorHAnsi"/>
                <w:b/>
                <w:bCs/>
                <w:sz w:val="20"/>
                <w:lang w:val="en-US"/>
              </w:rPr>
            </w:pPr>
            <w:r w:rsidRPr="00F82735">
              <w:rPr>
                <w:rFonts w:cstheme="minorHAnsi"/>
                <w:b/>
                <w:bCs/>
                <w:sz w:val="20"/>
                <w:lang w:val="en-US"/>
              </w:rPr>
              <w:t>ITU-T Question</w:t>
            </w:r>
          </w:p>
        </w:tc>
        <w:tc>
          <w:tcPr>
            <w:tcW w:w="2134" w:type="dxa"/>
          </w:tcPr>
          <w:p w14:paraId="03AB8EEB" w14:textId="77777777" w:rsidR="00F82735" w:rsidRPr="00F82735" w:rsidRDefault="00F82735" w:rsidP="00F82735">
            <w:pPr>
              <w:spacing w:before="40" w:after="40"/>
              <w:rPr>
                <w:rFonts w:cstheme="minorHAnsi"/>
                <w:b/>
                <w:bCs/>
                <w:sz w:val="20"/>
                <w:lang w:val="en-US"/>
              </w:rPr>
            </w:pPr>
            <w:r w:rsidRPr="00F82735">
              <w:rPr>
                <w:rFonts w:cstheme="minorHAnsi"/>
                <w:b/>
                <w:bCs/>
                <w:sz w:val="20"/>
                <w:lang w:val="en-US"/>
              </w:rPr>
              <w:t>Completed studies</w:t>
            </w:r>
          </w:p>
        </w:tc>
        <w:tc>
          <w:tcPr>
            <w:tcW w:w="1220" w:type="dxa"/>
          </w:tcPr>
          <w:p w14:paraId="679691B4" w14:textId="77777777" w:rsidR="00F82735" w:rsidRPr="00F82735" w:rsidRDefault="00F82735" w:rsidP="00F82735">
            <w:pPr>
              <w:spacing w:before="40" w:after="40"/>
              <w:rPr>
                <w:rFonts w:cstheme="minorHAnsi"/>
                <w:b/>
                <w:bCs/>
                <w:sz w:val="20"/>
                <w:lang w:val="en-US"/>
              </w:rPr>
            </w:pPr>
            <w:r w:rsidRPr="00F82735">
              <w:rPr>
                <w:rFonts w:cstheme="minorHAnsi"/>
                <w:b/>
                <w:bCs/>
                <w:sz w:val="20"/>
                <w:lang w:val="en-US"/>
              </w:rPr>
              <w:t>Current research, if available</w:t>
            </w:r>
          </w:p>
        </w:tc>
      </w:tr>
      <w:tr w:rsidR="00F82735" w:rsidRPr="00F82735" w14:paraId="23AA1DE1" w14:textId="77777777" w:rsidTr="00D560B4">
        <w:tc>
          <w:tcPr>
            <w:tcW w:w="969" w:type="dxa"/>
          </w:tcPr>
          <w:p w14:paraId="12E9FDA8" w14:textId="77777777" w:rsidR="00F82735" w:rsidRPr="00F82735" w:rsidRDefault="00F82735" w:rsidP="00F82735">
            <w:pPr>
              <w:spacing w:before="40" w:after="40"/>
              <w:rPr>
                <w:rFonts w:cstheme="minorHAnsi"/>
                <w:sz w:val="20"/>
                <w:lang w:val="en-US"/>
              </w:rPr>
            </w:pPr>
            <w:r w:rsidRPr="00F82735">
              <w:rPr>
                <w:rFonts w:cstheme="minorHAnsi"/>
                <w:sz w:val="20"/>
                <w:lang w:val="en-US"/>
              </w:rPr>
              <w:t>1</w:t>
            </w:r>
          </w:p>
        </w:tc>
        <w:tc>
          <w:tcPr>
            <w:tcW w:w="1216" w:type="dxa"/>
          </w:tcPr>
          <w:p w14:paraId="35B4C576" w14:textId="77777777" w:rsidR="00F82735" w:rsidRPr="00F82735" w:rsidRDefault="00F82735" w:rsidP="00F82735">
            <w:pPr>
              <w:spacing w:before="40" w:after="40"/>
              <w:rPr>
                <w:rFonts w:cstheme="minorHAnsi"/>
                <w:sz w:val="20"/>
                <w:lang w:val="en-US"/>
              </w:rPr>
            </w:pPr>
            <w:r w:rsidRPr="00F82735">
              <w:rPr>
                <w:rFonts w:cstheme="minorHAnsi"/>
                <w:sz w:val="20"/>
                <w:lang w:val="en-US"/>
              </w:rPr>
              <w:t>4/1</w:t>
            </w:r>
          </w:p>
        </w:tc>
        <w:tc>
          <w:tcPr>
            <w:tcW w:w="2130" w:type="dxa"/>
          </w:tcPr>
          <w:p w14:paraId="730818E1" w14:textId="77777777" w:rsidR="00F82735" w:rsidRPr="00F82735" w:rsidRDefault="00F82735" w:rsidP="00F82735">
            <w:pPr>
              <w:spacing w:before="40" w:after="40"/>
              <w:rPr>
                <w:rFonts w:cstheme="minorHAnsi"/>
                <w:sz w:val="20"/>
                <w:lang w:val="en-US"/>
              </w:rPr>
            </w:pPr>
            <w:r w:rsidRPr="00F82735">
              <w:rPr>
                <w:rFonts w:cstheme="minorHAnsi"/>
                <w:color w:val="000000"/>
                <w:sz w:val="20"/>
              </w:rPr>
              <w:t>The impact of infrastructure-sharing (local loop unbundling, tower companies, etc.) on investment cost, provision of telecommunication/ICT services, competition and prices to consumers</w:t>
            </w:r>
          </w:p>
        </w:tc>
        <w:tc>
          <w:tcPr>
            <w:tcW w:w="970" w:type="dxa"/>
          </w:tcPr>
          <w:p w14:paraId="18AF67DA" w14:textId="77777777" w:rsidR="00F82735" w:rsidRPr="00F82735" w:rsidRDefault="00F82735" w:rsidP="00F82735">
            <w:pPr>
              <w:spacing w:before="40" w:after="40"/>
              <w:rPr>
                <w:rFonts w:cstheme="minorHAnsi"/>
                <w:sz w:val="20"/>
                <w:lang w:val="en-US"/>
              </w:rPr>
            </w:pPr>
            <w:r w:rsidRPr="00F82735">
              <w:rPr>
                <w:rFonts w:cstheme="minorHAnsi"/>
                <w:sz w:val="20"/>
                <w:lang w:val="en-US"/>
              </w:rPr>
              <w:t>3</w:t>
            </w:r>
          </w:p>
        </w:tc>
        <w:tc>
          <w:tcPr>
            <w:tcW w:w="1216" w:type="dxa"/>
          </w:tcPr>
          <w:p w14:paraId="1C2FD044" w14:textId="77777777" w:rsidR="00F82735" w:rsidRPr="00F82735" w:rsidRDefault="00F82735" w:rsidP="00F82735">
            <w:pPr>
              <w:spacing w:before="40" w:after="40"/>
              <w:rPr>
                <w:rFonts w:cstheme="minorHAnsi"/>
                <w:sz w:val="20"/>
                <w:lang w:val="en-US"/>
              </w:rPr>
            </w:pPr>
            <w:r w:rsidRPr="00F82735">
              <w:rPr>
                <w:rFonts w:cstheme="minorHAnsi"/>
                <w:sz w:val="20"/>
                <w:lang w:val="en-US"/>
              </w:rPr>
              <w:t>3/3</w:t>
            </w:r>
          </w:p>
        </w:tc>
        <w:tc>
          <w:tcPr>
            <w:tcW w:w="2134" w:type="dxa"/>
          </w:tcPr>
          <w:p w14:paraId="715591C6" w14:textId="77777777" w:rsidR="00F82735" w:rsidRPr="00F82735" w:rsidRDefault="00F82735" w:rsidP="00F82735">
            <w:pPr>
              <w:spacing w:before="40" w:after="40"/>
              <w:rPr>
                <w:rFonts w:cstheme="minorHAnsi"/>
                <w:sz w:val="20"/>
                <w:lang w:val="en-US"/>
              </w:rPr>
            </w:pPr>
            <w:r w:rsidRPr="00F82735">
              <w:rPr>
                <w:rFonts w:cstheme="minorHAnsi"/>
                <w:sz w:val="20"/>
                <w:lang w:val="en-US"/>
              </w:rPr>
              <w:t>ITU-T Recommendation D.264 “Shared uses of telecommunication infrastructure as possible methods for enhancing the efficiency of telecommunications”</w:t>
            </w:r>
          </w:p>
        </w:tc>
        <w:tc>
          <w:tcPr>
            <w:tcW w:w="1220" w:type="dxa"/>
          </w:tcPr>
          <w:p w14:paraId="7AC6474C" w14:textId="77777777" w:rsidR="00F82735" w:rsidRPr="00F82735" w:rsidRDefault="00F82735" w:rsidP="00F82735">
            <w:pPr>
              <w:spacing w:before="40" w:after="40"/>
              <w:rPr>
                <w:rFonts w:cstheme="minorHAnsi"/>
                <w:sz w:val="20"/>
                <w:lang w:val="en-US"/>
              </w:rPr>
            </w:pPr>
            <w:r w:rsidRPr="00F82735">
              <w:rPr>
                <w:rFonts w:cstheme="minorHAnsi"/>
                <w:sz w:val="20"/>
                <w:lang w:val="en-US"/>
              </w:rPr>
              <w:t>-</w:t>
            </w:r>
          </w:p>
        </w:tc>
      </w:tr>
    </w:tbl>
    <w:p w14:paraId="7759C759" w14:textId="601AFC55" w:rsidR="00821996" w:rsidRDefault="003C58BF" w:rsidP="00BA2A30">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82735" w:rsidRPr="00C91B96" w14:paraId="5DAB4AD9" w14:textId="77777777" w:rsidTr="00D560B4">
      <w:tc>
        <w:tcPr>
          <w:tcW w:w="1526" w:type="dxa"/>
          <w:tcBorders>
            <w:top w:val="single" w:sz="4" w:space="0" w:color="000000"/>
          </w:tcBorders>
        </w:tcPr>
        <w:p w14:paraId="34944F44" w14:textId="77777777" w:rsidR="00F82735" w:rsidRPr="00C91B96" w:rsidRDefault="00F82735" w:rsidP="00F82735">
          <w:pPr>
            <w:pStyle w:val="FirstFooter"/>
            <w:tabs>
              <w:tab w:val="left" w:pos="1559"/>
              <w:tab w:val="left" w:pos="3828"/>
            </w:tabs>
            <w:rPr>
              <w:sz w:val="18"/>
              <w:szCs w:val="18"/>
            </w:rPr>
          </w:pPr>
          <w:r w:rsidRPr="00C91B96">
            <w:rPr>
              <w:sz w:val="18"/>
              <w:szCs w:val="18"/>
              <w:lang w:val="en-US"/>
            </w:rPr>
            <w:t>Contact:</w:t>
          </w:r>
        </w:p>
      </w:tc>
      <w:tc>
        <w:tcPr>
          <w:tcW w:w="2410" w:type="dxa"/>
          <w:tcBorders>
            <w:top w:val="single" w:sz="4" w:space="0" w:color="000000"/>
          </w:tcBorders>
        </w:tcPr>
        <w:p w14:paraId="38B1B201" w14:textId="77777777" w:rsidR="00F82735" w:rsidRPr="00C91B96" w:rsidRDefault="00F82735" w:rsidP="00F82735">
          <w:pPr>
            <w:pStyle w:val="FirstFooter"/>
            <w:tabs>
              <w:tab w:val="left" w:pos="2302"/>
            </w:tabs>
            <w:ind w:left="2302" w:hanging="2302"/>
            <w:rPr>
              <w:sz w:val="18"/>
              <w:szCs w:val="18"/>
              <w:lang w:val="en-US"/>
            </w:rPr>
          </w:pPr>
          <w:r w:rsidRPr="00C91B96">
            <w:rPr>
              <w:sz w:val="18"/>
              <w:szCs w:val="18"/>
              <w:lang w:val="en-US"/>
            </w:rPr>
            <w:t>Name/Organization/Entity:</w:t>
          </w:r>
        </w:p>
      </w:tc>
      <w:tc>
        <w:tcPr>
          <w:tcW w:w="5987" w:type="dxa"/>
          <w:tcBorders>
            <w:top w:val="single" w:sz="4" w:space="0" w:color="000000"/>
          </w:tcBorders>
        </w:tcPr>
        <w:p w14:paraId="1406A316" w14:textId="77777777" w:rsidR="00F82735" w:rsidRPr="00C91B96" w:rsidRDefault="00F82735" w:rsidP="00F82735">
          <w:pPr>
            <w:pStyle w:val="FirstFooter"/>
            <w:tabs>
              <w:tab w:val="left" w:pos="2302"/>
            </w:tabs>
            <w:rPr>
              <w:sz w:val="18"/>
              <w:szCs w:val="18"/>
              <w:lang w:val="en-US"/>
            </w:rPr>
          </w:pPr>
          <w:r>
            <w:rPr>
              <w:sz w:val="18"/>
              <w:szCs w:val="18"/>
              <w:lang w:val="en-US"/>
            </w:rPr>
            <w:t>Mr</w:t>
          </w:r>
          <w:r>
            <w:rPr>
              <w:sz w:val="18"/>
              <w:szCs w:val="18"/>
              <w:lang w:val="en-GB"/>
            </w:rPr>
            <w:t xml:space="preserve"> Arseny Plossky, NIIR, Russian Federation</w:t>
          </w:r>
        </w:p>
      </w:tc>
    </w:tr>
    <w:tr w:rsidR="00F82735" w:rsidRPr="00382C3B" w14:paraId="51EAE308" w14:textId="77777777" w:rsidTr="00D560B4">
      <w:tc>
        <w:tcPr>
          <w:tcW w:w="1526" w:type="dxa"/>
        </w:tcPr>
        <w:p w14:paraId="0F634818" w14:textId="77777777" w:rsidR="00F82735" w:rsidRPr="00C91B96" w:rsidRDefault="00F82735" w:rsidP="00F82735">
          <w:pPr>
            <w:pStyle w:val="FirstFooter"/>
            <w:tabs>
              <w:tab w:val="left" w:pos="1559"/>
              <w:tab w:val="left" w:pos="3828"/>
            </w:tabs>
            <w:rPr>
              <w:sz w:val="18"/>
              <w:szCs w:val="18"/>
              <w:lang w:val="en-US"/>
            </w:rPr>
          </w:pPr>
        </w:p>
      </w:tc>
      <w:tc>
        <w:tcPr>
          <w:tcW w:w="2410" w:type="dxa"/>
        </w:tcPr>
        <w:p w14:paraId="6ED16B5A" w14:textId="77777777" w:rsidR="00F82735" w:rsidRPr="00C91B96" w:rsidRDefault="00F82735" w:rsidP="00F82735">
          <w:pPr>
            <w:pStyle w:val="FirstFooter"/>
            <w:tabs>
              <w:tab w:val="left" w:pos="2302"/>
            </w:tabs>
            <w:rPr>
              <w:sz w:val="18"/>
              <w:szCs w:val="18"/>
              <w:lang w:val="en-US"/>
            </w:rPr>
          </w:pPr>
          <w:r w:rsidRPr="00C91B96">
            <w:rPr>
              <w:sz w:val="18"/>
              <w:szCs w:val="18"/>
              <w:lang w:val="en-US"/>
            </w:rPr>
            <w:t>Phone number:</w:t>
          </w:r>
        </w:p>
      </w:tc>
      <w:tc>
        <w:tcPr>
          <w:tcW w:w="5987" w:type="dxa"/>
        </w:tcPr>
        <w:p w14:paraId="73104318" w14:textId="77777777" w:rsidR="00F82735" w:rsidRPr="00382C3B" w:rsidRDefault="00F82735" w:rsidP="00F82735">
          <w:pPr>
            <w:pStyle w:val="FirstFooter"/>
            <w:tabs>
              <w:tab w:val="left" w:pos="2302"/>
            </w:tabs>
            <w:rPr>
              <w:sz w:val="18"/>
              <w:szCs w:val="18"/>
              <w:lang w:val="en-GB"/>
            </w:rPr>
          </w:pPr>
          <w:r>
            <w:rPr>
              <w:rFonts w:cstheme="minorHAnsi"/>
              <w:sz w:val="18"/>
              <w:szCs w:val="18"/>
            </w:rPr>
            <w:t>+</w:t>
          </w:r>
          <w:r w:rsidRPr="00382C3B">
            <w:rPr>
              <w:sz w:val="18"/>
              <w:szCs w:val="18"/>
              <w:lang w:val="en-GB"/>
            </w:rPr>
            <w:t>7</w:t>
          </w:r>
          <w:r>
            <w:rPr>
              <w:sz w:val="18"/>
              <w:szCs w:val="18"/>
              <w:lang w:val="en-GB"/>
            </w:rPr>
            <w:t> </w:t>
          </w:r>
          <w:r w:rsidRPr="00382C3B">
            <w:rPr>
              <w:sz w:val="18"/>
              <w:szCs w:val="18"/>
              <w:lang w:val="en-GB"/>
            </w:rPr>
            <w:t>495</w:t>
          </w:r>
          <w:r>
            <w:rPr>
              <w:sz w:val="18"/>
              <w:szCs w:val="18"/>
              <w:lang w:val="en-GB"/>
            </w:rPr>
            <w:t xml:space="preserve"> </w:t>
          </w:r>
          <w:r w:rsidRPr="00382C3B">
            <w:rPr>
              <w:sz w:val="18"/>
              <w:szCs w:val="18"/>
              <w:lang w:val="en-GB"/>
            </w:rPr>
            <w:t>647</w:t>
          </w:r>
          <w:r>
            <w:rPr>
              <w:sz w:val="18"/>
              <w:szCs w:val="18"/>
              <w:lang w:val="en-GB"/>
            </w:rPr>
            <w:t>1</w:t>
          </w:r>
          <w:r w:rsidRPr="00382C3B">
            <w:rPr>
              <w:sz w:val="18"/>
              <w:szCs w:val="18"/>
              <w:lang w:val="en-GB"/>
            </w:rPr>
            <w:t>777</w:t>
          </w:r>
        </w:p>
      </w:tc>
    </w:tr>
    <w:tr w:rsidR="00F82735" w:rsidRPr="00C91B96" w14:paraId="2A65BF1B" w14:textId="77777777" w:rsidTr="00D560B4">
      <w:trPr>
        <w:trHeight w:val="73"/>
      </w:trPr>
      <w:tc>
        <w:tcPr>
          <w:tcW w:w="1526" w:type="dxa"/>
        </w:tcPr>
        <w:p w14:paraId="3B1498BA" w14:textId="77777777" w:rsidR="00F82735" w:rsidRPr="00C91B96" w:rsidRDefault="00F82735" w:rsidP="00F82735">
          <w:pPr>
            <w:pStyle w:val="FirstFooter"/>
            <w:tabs>
              <w:tab w:val="left" w:pos="1559"/>
              <w:tab w:val="left" w:pos="3828"/>
            </w:tabs>
            <w:rPr>
              <w:sz w:val="18"/>
              <w:szCs w:val="18"/>
              <w:lang w:val="en-US"/>
            </w:rPr>
          </w:pPr>
        </w:p>
      </w:tc>
      <w:tc>
        <w:tcPr>
          <w:tcW w:w="2410" w:type="dxa"/>
        </w:tcPr>
        <w:p w14:paraId="2033E3D9" w14:textId="77777777" w:rsidR="00F82735" w:rsidRPr="00C91B96" w:rsidRDefault="00F82735" w:rsidP="00F82735">
          <w:pPr>
            <w:pStyle w:val="FirstFooter"/>
            <w:tabs>
              <w:tab w:val="left" w:pos="2302"/>
            </w:tabs>
            <w:rPr>
              <w:sz w:val="18"/>
              <w:szCs w:val="18"/>
              <w:lang w:val="en-US"/>
            </w:rPr>
          </w:pPr>
          <w:r w:rsidRPr="00C91B96">
            <w:rPr>
              <w:sz w:val="18"/>
              <w:szCs w:val="18"/>
              <w:lang w:val="en-US"/>
            </w:rPr>
            <w:t>E-mail:</w:t>
          </w:r>
        </w:p>
      </w:tc>
      <w:tc>
        <w:tcPr>
          <w:tcW w:w="5987" w:type="dxa"/>
        </w:tcPr>
        <w:p w14:paraId="01B8D23A" w14:textId="77777777" w:rsidR="00F82735" w:rsidRPr="00C91B96" w:rsidRDefault="00F82735" w:rsidP="00F82735">
          <w:pPr>
            <w:pStyle w:val="FirstFooter"/>
            <w:tabs>
              <w:tab w:val="left" w:pos="2302"/>
            </w:tabs>
            <w:rPr>
              <w:sz w:val="18"/>
              <w:szCs w:val="18"/>
              <w:lang w:val="en-US"/>
            </w:rPr>
          </w:pPr>
          <w:hyperlink r:id="rId1" w:history="1">
            <w:r w:rsidRPr="001C42F0">
              <w:rPr>
                <w:rStyle w:val="Hyperlink"/>
                <w:sz w:val="18"/>
                <w:szCs w:val="18"/>
                <w:lang w:val="en-US"/>
              </w:rPr>
              <w:t>aplossky@gmail.com</w:t>
            </w:r>
          </w:hyperlink>
          <w:r>
            <w:rPr>
              <w:sz w:val="18"/>
              <w:szCs w:val="18"/>
              <w:lang w:val="en-US"/>
            </w:rPr>
            <w:t xml:space="preserve">; </w:t>
          </w:r>
          <w:hyperlink r:id="rId2" w:history="1">
            <w:r w:rsidRPr="001C42F0">
              <w:rPr>
                <w:rStyle w:val="Hyperlink"/>
                <w:sz w:val="18"/>
                <w:szCs w:val="18"/>
                <w:lang w:val="en-US"/>
              </w:rPr>
              <w:t>a.plossky@niir.ru</w:t>
            </w:r>
          </w:hyperlink>
        </w:p>
      </w:tc>
    </w:tr>
  </w:tbl>
  <w:p w14:paraId="1C6145F4" w14:textId="77777777" w:rsidR="00F82735" w:rsidRPr="001B2A7C" w:rsidRDefault="00F82735" w:rsidP="00F82735">
    <w:pPr>
      <w:pStyle w:val="Footer"/>
      <w:rPr>
        <w:lang w:val="en-US"/>
      </w:rPr>
    </w:pPr>
  </w:p>
  <w:p w14:paraId="40A321D0" w14:textId="08EB6BB4" w:rsidR="00721657" w:rsidRPr="00E80B77" w:rsidRDefault="00AD3253" w:rsidP="00E80B77">
    <w:pPr>
      <w:pStyle w:val="Footer"/>
      <w:jc w:val="center"/>
      <w:rPr>
        <w:lang w:val="en-GB"/>
      </w:rPr>
    </w:pPr>
    <w:hyperlink r:id="rId3" w:history="1">
      <w:r w:rsidR="00E80B77">
        <w:rPr>
          <w:rStyle w:val="Hyperlink"/>
          <w:caps w:val="0"/>
          <w:noProof w:val="0"/>
          <w:sz w:val="18"/>
          <w:szCs w:val="18"/>
          <w:lang w:val="en-US"/>
        </w:rPr>
        <w:t>TDAG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DA14D2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CC2052">
      <w:rPr>
        <w:sz w:val="22"/>
        <w:szCs w:val="22"/>
        <w:lang w:val="de-CH"/>
      </w:rPr>
      <w:t>3</w:t>
    </w:r>
    <w:r w:rsidR="00F82735">
      <w:rPr>
        <w:sz w:val="22"/>
        <w:szCs w:val="22"/>
        <w:lang w:val="de-CH"/>
      </w:rPr>
      <w:t>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5D47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442FA"/>
    <w:multiLevelType w:val="hybridMultilevel"/>
    <w:tmpl w:val="50461E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20B68"/>
    <w:multiLevelType w:val="hybridMultilevel"/>
    <w:tmpl w:val="C2B4E6A8"/>
    <w:lvl w:ilvl="0" w:tplc="646AD18E">
      <w:numFmt w:val="bullet"/>
      <w:lvlText w:val="-"/>
      <w:lvlJc w:val="left"/>
      <w:pPr>
        <w:ind w:left="1155" w:hanging="79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3F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CB0F0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C6728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2"/>
  </w:num>
  <w:num w:numId="5">
    <w:abstractNumId w:val="3"/>
  </w:num>
  <w:num w:numId="6">
    <w:abstractNumId w:val="6"/>
  </w:num>
  <w:num w:numId="7">
    <w:abstractNumId w:val="7"/>
  </w:num>
  <w:num w:numId="8">
    <w:abstractNumId w:val="9"/>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13BB"/>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499B"/>
    <w:rsid w:val="001850FE"/>
    <w:rsid w:val="00185135"/>
    <w:rsid w:val="00185AE9"/>
    <w:rsid w:val="0019037C"/>
    <w:rsid w:val="001905A9"/>
    <w:rsid w:val="00191273"/>
    <w:rsid w:val="001942A7"/>
    <w:rsid w:val="0019587B"/>
    <w:rsid w:val="001A163D"/>
    <w:rsid w:val="001A441E"/>
    <w:rsid w:val="001A6733"/>
    <w:rsid w:val="001B357F"/>
    <w:rsid w:val="001C3444"/>
    <w:rsid w:val="001C3702"/>
    <w:rsid w:val="001C4656"/>
    <w:rsid w:val="001C46BC"/>
    <w:rsid w:val="001C4A21"/>
    <w:rsid w:val="001D1E06"/>
    <w:rsid w:val="001D6061"/>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4246"/>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445A"/>
    <w:rsid w:val="00380B71"/>
    <w:rsid w:val="0038365A"/>
    <w:rsid w:val="00386A89"/>
    <w:rsid w:val="0039648E"/>
    <w:rsid w:val="003A28B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21E0D"/>
    <w:rsid w:val="00426764"/>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1D8D"/>
    <w:rsid w:val="00502ABF"/>
    <w:rsid w:val="00504DB0"/>
    <w:rsid w:val="00507C35"/>
    <w:rsid w:val="00510735"/>
    <w:rsid w:val="00514D2F"/>
    <w:rsid w:val="0052314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1C27"/>
    <w:rsid w:val="00671EF6"/>
    <w:rsid w:val="0067205B"/>
    <w:rsid w:val="006748F8"/>
    <w:rsid w:val="00680489"/>
    <w:rsid w:val="00683C32"/>
    <w:rsid w:val="00685ECD"/>
    <w:rsid w:val="00690BB2"/>
    <w:rsid w:val="00693D09"/>
    <w:rsid w:val="006A174F"/>
    <w:rsid w:val="006A6549"/>
    <w:rsid w:val="006A6E37"/>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CE6"/>
    <w:rsid w:val="00787D48"/>
    <w:rsid w:val="00795294"/>
    <w:rsid w:val="007A059A"/>
    <w:rsid w:val="007A4E50"/>
    <w:rsid w:val="007B18A7"/>
    <w:rsid w:val="007B250E"/>
    <w:rsid w:val="007C27FC"/>
    <w:rsid w:val="007C51FF"/>
    <w:rsid w:val="007D039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45C63"/>
    <w:rsid w:val="00852081"/>
    <w:rsid w:val="008626CD"/>
    <w:rsid w:val="00872B6E"/>
    <w:rsid w:val="00874DFD"/>
    <w:rsid w:val="008802F9"/>
    <w:rsid w:val="00883086"/>
    <w:rsid w:val="008879FD"/>
    <w:rsid w:val="00894C37"/>
    <w:rsid w:val="008A00EA"/>
    <w:rsid w:val="008A2037"/>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3253"/>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40BF"/>
    <w:rsid w:val="00CB79C5"/>
    <w:rsid w:val="00CC2052"/>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911DE"/>
    <w:rsid w:val="00D91B97"/>
    <w:rsid w:val="00D93ACC"/>
    <w:rsid w:val="00D93C08"/>
    <w:rsid w:val="00D95DAC"/>
    <w:rsid w:val="00DA0B53"/>
    <w:rsid w:val="00DB1171"/>
    <w:rsid w:val="00DB1519"/>
    <w:rsid w:val="00DB2840"/>
    <w:rsid w:val="00DC1BD3"/>
    <w:rsid w:val="00DC2C1A"/>
    <w:rsid w:val="00DD1CF1"/>
    <w:rsid w:val="00DD66B4"/>
    <w:rsid w:val="00DE1972"/>
    <w:rsid w:val="00DE27AB"/>
    <w:rsid w:val="00DF2AB3"/>
    <w:rsid w:val="00DF7250"/>
    <w:rsid w:val="00E00CAA"/>
    <w:rsid w:val="00E03EBF"/>
    <w:rsid w:val="00E05209"/>
    <w:rsid w:val="00E05AC1"/>
    <w:rsid w:val="00E11BCF"/>
    <w:rsid w:val="00E2258E"/>
    <w:rsid w:val="00E260C2"/>
    <w:rsid w:val="00E32596"/>
    <w:rsid w:val="00E32993"/>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4345"/>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82735"/>
    <w:rsid w:val="00F9211C"/>
    <w:rsid w:val="00FA095D"/>
    <w:rsid w:val="00FA6C8B"/>
    <w:rsid w:val="00FA6CDA"/>
    <w:rsid w:val="00FA7C89"/>
    <w:rsid w:val="00FB4139"/>
    <w:rsid w:val="00FB476E"/>
    <w:rsid w:val="00FC0D90"/>
    <w:rsid w:val="00FC7D8C"/>
    <w:rsid w:val="00FC7DE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general-secretariat/ties/ISCGDocumentLibrary/1st%20Meeting%202023/Table%203-ITU-T%20&amp;%20ITU-D-Apr2023-R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ties/ISCGDocumentLibrary/1st%20Meeting%202023/Table%201-ITU-R%20&amp;%20ITU-D-Apr2023-R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general-secretariat/ties/ISCGDocumentLibrary/1st%20Meeting%202023/Table%203-ITU-T%20&amp;%20ITU-D-Apr2023-R1.docx" TargetMode="External"/><Relationship Id="rId4" Type="http://schemas.openxmlformats.org/officeDocument/2006/relationships/settings" Target="settings.xml"/><Relationship Id="rId9" Type="http://schemas.openxmlformats.org/officeDocument/2006/relationships/hyperlink" Target="https://www.itu.int/en/general-secretariat/ties/ISCGDocumentLibrary/1st%20Meeting%202023/Table%201-ITU-R%20&amp;%20ITU-D-Apr2023-R1.doc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a.plossky@niir.ru" TargetMode="External"/><Relationship Id="rId1" Type="http://schemas.openxmlformats.org/officeDocument/2006/relationships/hyperlink" Target="mailto:aplossky@gmail.com"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CDD8-3F9A-498A-A7A8-2D9E924A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614</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31</cp:revision>
  <cp:lastPrinted>2014-11-04T09:22:00Z</cp:lastPrinted>
  <dcterms:created xsi:type="dcterms:W3CDTF">2023-05-23T12:00:00Z</dcterms:created>
  <dcterms:modified xsi:type="dcterms:W3CDTF">2023-06-02T12:28:00Z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