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3D9045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CC2052">
              <w:rPr>
                <w:b/>
                <w:bCs/>
                <w:lang w:val="en-US"/>
              </w:rPr>
              <w:t>31</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845CA4E" w:rsidR="00683C32" w:rsidRPr="007F1CC7" w:rsidRDefault="00CC2052" w:rsidP="00B648C7">
            <w:pPr>
              <w:spacing w:before="0"/>
              <w:rPr>
                <w:b/>
                <w:szCs w:val="24"/>
              </w:rPr>
            </w:pPr>
            <w:bookmarkStart w:id="2" w:name="CreationDate"/>
            <w:bookmarkEnd w:id="2"/>
            <w:r>
              <w:rPr>
                <w:b/>
                <w:bCs/>
                <w:szCs w:val="28"/>
              </w:rPr>
              <w:t>29</w:t>
            </w:r>
            <w:r w:rsidR="00441D1A">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48DC6D6" w:rsidR="00514D2F" w:rsidRPr="007F1CC7" w:rsidRDefault="0096201B" w:rsidP="00400CCF">
            <w:pPr>
              <w:spacing w:before="0"/>
              <w:rPr>
                <w:szCs w:val="24"/>
              </w:rPr>
            </w:pPr>
            <w:r>
              <w:rPr>
                <w:b/>
              </w:rPr>
              <w:t>Original:</w:t>
            </w:r>
            <w:bookmarkStart w:id="3" w:name="Original"/>
            <w:bookmarkEnd w:id="3"/>
            <w:r w:rsidR="00CE0422">
              <w:rPr>
                <w:b/>
              </w:rPr>
              <w:t xml:space="preserve"> </w:t>
            </w:r>
            <w:r w:rsidR="001D6061">
              <w:rPr>
                <w:b/>
              </w:rPr>
              <w:t>Russian</w:t>
            </w:r>
            <w:bookmarkStart w:id="4" w:name="_GoBack"/>
            <w:bookmarkEnd w:id="4"/>
          </w:p>
        </w:tc>
      </w:tr>
      <w:tr w:rsidR="00A13162" w14:paraId="31656E31" w14:textId="77777777" w:rsidTr="00107E85">
        <w:trPr>
          <w:cantSplit/>
          <w:trHeight w:val="852"/>
        </w:trPr>
        <w:tc>
          <w:tcPr>
            <w:tcW w:w="9888" w:type="dxa"/>
            <w:gridSpan w:val="2"/>
          </w:tcPr>
          <w:p w14:paraId="512FCA01" w14:textId="6936E5EC" w:rsidR="00A13162" w:rsidRPr="0030353C" w:rsidRDefault="00CC2052" w:rsidP="0030353C">
            <w:pPr>
              <w:pStyle w:val="Source"/>
            </w:pPr>
            <w:bookmarkStart w:id="5" w:name="Source"/>
            <w:bookmarkEnd w:id="5"/>
            <w:r>
              <w:t>Russian Federation</w:t>
            </w:r>
            <w:r>
              <w:rPr>
                <w:rStyle w:val="FootnoteReference"/>
              </w:rPr>
              <w:footnoteReference w:id="1"/>
            </w:r>
          </w:p>
        </w:tc>
      </w:tr>
      <w:tr w:rsidR="00AC6F14" w:rsidRPr="002E6963" w14:paraId="2CBD3A36" w14:textId="77777777" w:rsidTr="00107E85">
        <w:trPr>
          <w:cantSplit/>
        </w:trPr>
        <w:tc>
          <w:tcPr>
            <w:tcW w:w="9888" w:type="dxa"/>
            <w:gridSpan w:val="2"/>
          </w:tcPr>
          <w:p w14:paraId="1B4121DF" w14:textId="7773D99B" w:rsidR="00AC6F14" w:rsidRPr="0030353C" w:rsidRDefault="00CB40BF" w:rsidP="0030353C">
            <w:pPr>
              <w:pStyle w:val="Title1"/>
            </w:pPr>
            <w:bookmarkStart w:id="6" w:name="Title"/>
            <w:bookmarkEnd w:id="6"/>
            <w:r w:rsidRPr="00CB40BF">
              <w:t>Streamlining WTDC and Plenipotentiary Conference resolutions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85ECD" w:rsidRDefault="00A721F4" w:rsidP="00B50574">
            <w:pPr>
              <w:spacing w:after="120"/>
              <w:rPr>
                <w:b/>
                <w:bCs/>
                <w:szCs w:val="24"/>
              </w:rPr>
            </w:pPr>
            <w:r w:rsidRPr="00685ECD">
              <w:rPr>
                <w:b/>
                <w:bCs/>
                <w:szCs w:val="24"/>
              </w:rPr>
              <w:t>Summary:</w:t>
            </w:r>
          </w:p>
          <w:p w14:paraId="02035C3A" w14:textId="27679A7D" w:rsidR="00CC2052" w:rsidRPr="00685ECD" w:rsidRDefault="00685ECD" w:rsidP="00CC2052">
            <w:pPr>
              <w:spacing w:after="120"/>
              <w:rPr>
                <w:rFonts w:ascii="Calibri" w:hAnsi="Calibri"/>
                <w:szCs w:val="24"/>
                <w:lang w:eastAsia="en-GB"/>
              </w:rPr>
            </w:pPr>
            <w:r w:rsidRPr="00685ECD">
              <w:rPr>
                <w:rFonts w:ascii="Calibri" w:hAnsi="Calibri"/>
                <w:szCs w:val="24"/>
                <w:lang w:val="ru-RU"/>
              </w:rPr>
              <w:t xml:space="preserve">This contribution </w:t>
            </w:r>
            <w:r w:rsidR="00CC2052" w:rsidRPr="00685ECD">
              <w:rPr>
                <w:rFonts w:ascii="Calibri" w:hAnsi="Calibri"/>
                <w:szCs w:val="24"/>
                <w:lang w:eastAsia="en-GB"/>
              </w:rPr>
              <w:t xml:space="preserve">proposes to define a list of WTDC </w:t>
            </w:r>
            <w:r>
              <w:rPr>
                <w:rFonts w:ascii="Calibri" w:hAnsi="Calibri"/>
                <w:szCs w:val="24"/>
                <w:lang w:eastAsia="en-GB"/>
              </w:rPr>
              <w:t>R</w:t>
            </w:r>
            <w:r w:rsidR="00CC2052" w:rsidRPr="00685ECD">
              <w:rPr>
                <w:rFonts w:ascii="Calibri" w:hAnsi="Calibri"/>
                <w:szCs w:val="24"/>
                <w:lang w:eastAsia="en-GB"/>
              </w:rPr>
              <w:t>esolutions that could be streamlined at WTDC-25 on the basis of the relevant resolutions amended by the Plenipotentiary Conference in 2022.</w:t>
            </w:r>
          </w:p>
          <w:p w14:paraId="76A1C541" w14:textId="101B3FA4" w:rsidR="00A721F4" w:rsidRPr="00685ECD" w:rsidRDefault="00A721F4" w:rsidP="00B50574">
            <w:pPr>
              <w:spacing w:after="120"/>
              <w:rPr>
                <w:b/>
                <w:bCs/>
                <w:szCs w:val="24"/>
              </w:rPr>
            </w:pPr>
            <w:r w:rsidRPr="00685ECD">
              <w:rPr>
                <w:b/>
                <w:bCs/>
                <w:szCs w:val="24"/>
              </w:rPr>
              <w:t>Action required:</w:t>
            </w:r>
          </w:p>
          <w:p w14:paraId="4D6AAC39" w14:textId="77777777" w:rsidR="00685ECD" w:rsidRDefault="00685ECD" w:rsidP="00B50574">
            <w:pPr>
              <w:spacing w:after="120"/>
              <w:rPr>
                <w:szCs w:val="24"/>
              </w:rPr>
            </w:pPr>
            <w:r w:rsidRPr="00685ECD">
              <w:rPr>
                <w:szCs w:val="24"/>
              </w:rPr>
              <w:t>TDAG is invited to consider this document and provide any further guidance as deemed appropriate.</w:t>
            </w:r>
            <w:r>
              <w:rPr>
                <w:szCs w:val="24"/>
              </w:rPr>
              <w:t xml:space="preserve"> </w:t>
            </w:r>
          </w:p>
          <w:p w14:paraId="622ACB80" w14:textId="79ABC327" w:rsidR="00A721F4" w:rsidRPr="00685ECD" w:rsidRDefault="00A721F4" w:rsidP="00B50574">
            <w:pPr>
              <w:spacing w:after="120"/>
              <w:rPr>
                <w:b/>
                <w:bCs/>
                <w:szCs w:val="24"/>
              </w:rPr>
            </w:pPr>
            <w:r w:rsidRPr="00685ECD">
              <w:rPr>
                <w:b/>
                <w:bCs/>
                <w:szCs w:val="24"/>
              </w:rPr>
              <w:t>References:</w:t>
            </w:r>
          </w:p>
          <w:p w14:paraId="1ECDD20E" w14:textId="79F1B964" w:rsidR="00A721F4" w:rsidRPr="00685ECD" w:rsidRDefault="00CC2052" w:rsidP="00B50574">
            <w:pPr>
              <w:spacing w:after="120"/>
              <w:rPr>
                <w:szCs w:val="24"/>
              </w:rPr>
            </w:pPr>
            <w:r w:rsidRPr="00685ECD">
              <w:rPr>
                <w:szCs w:val="24"/>
              </w:rPr>
              <w:t>n/a</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7" w:name="Proposal"/>
      <w:bookmarkEnd w:id="7"/>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579F19B7" w14:textId="1823B4F3" w:rsidR="00CC2052" w:rsidRPr="00CC2052" w:rsidRDefault="00CC2052" w:rsidP="00CC2052">
      <w:pPr>
        <w:pStyle w:val="ListParagraph"/>
        <w:numPr>
          <w:ilvl w:val="0"/>
          <w:numId w:val="6"/>
        </w:numPr>
        <w:spacing w:after="120"/>
        <w:rPr>
          <w:rFonts w:cstheme="minorHAnsi"/>
          <w:b/>
          <w:bCs/>
          <w:szCs w:val="24"/>
          <w:lang w:val="ru-RU"/>
        </w:rPr>
      </w:pPr>
      <w:r w:rsidRPr="00CC2052">
        <w:rPr>
          <w:rFonts w:cstheme="minorHAnsi"/>
          <w:b/>
          <w:bCs/>
          <w:szCs w:val="24"/>
          <w:lang w:val="en"/>
        </w:rPr>
        <w:lastRenderedPageBreak/>
        <w:t>Introduction</w:t>
      </w:r>
    </w:p>
    <w:p w14:paraId="0DAA55B4" w14:textId="77777777" w:rsidR="00CC2052" w:rsidRPr="00CC2052" w:rsidRDefault="00CC2052" w:rsidP="00CC2052">
      <w:pPr>
        <w:spacing w:after="120"/>
        <w:rPr>
          <w:rFonts w:cstheme="minorHAnsi"/>
          <w:szCs w:val="24"/>
          <w:lang w:val="ru-RU"/>
        </w:rPr>
      </w:pPr>
      <w:r w:rsidRPr="00CC2052">
        <w:rPr>
          <w:rFonts w:cstheme="minorHAnsi"/>
          <w:szCs w:val="24"/>
          <w:lang w:val="en"/>
        </w:rPr>
        <w:t>The Plenipotentiary Conference (Bucharest, 2022) welcomed the work carried out in all three Sectors to align PP Sectoral Resolutions with PP Resolutions.</w:t>
      </w:r>
    </w:p>
    <w:p w14:paraId="5AA69429" w14:textId="77777777" w:rsidR="00CC2052" w:rsidRPr="00CC2052" w:rsidRDefault="00CC2052" w:rsidP="00CC2052">
      <w:pPr>
        <w:spacing w:after="120"/>
        <w:rPr>
          <w:rFonts w:cstheme="minorHAnsi"/>
          <w:szCs w:val="24"/>
          <w:lang w:val="ru-RU"/>
        </w:rPr>
      </w:pPr>
      <w:r w:rsidRPr="00CC2052">
        <w:rPr>
          <w:rFonts w:cstheme="minorHAnsi"/>
          <w:szCs w:val="24"/>
          <w:lang w:val="en"/>
        </w:rPr>
        <w:t>A number of WTDC resolutions are directly based on the relevant PP resolutions. In practice, the content of the documents is very close, and a key part of the WTDC resolution is the repetition and/or detailing of the text of the Plenipotentiary Conference resolution.</w:t>
      </w:r>
    </w:p>
    <w:p w14:paraId="438EC475" w14:textId="5958D11F" w:rsidR="00CC2052" w:rsidRPr="00CC2052" w:rsidRDefault="00CC2052" w:rsidP="00CC2052">
      <w:pPr>
        <w:spacing w:after="120"/>
        <w:rPr>
          <w:rFonts w:cstheme="minorHAnsi"/>
          <w:szCs w:val="24"/>
          <w:lang w:val="ru-RU"/>
        </w:rPr>
      </w:pPr>
      <w:r w:rsidRPr="00CC2052">
        <w:rPr>
          <w:rFonts w:cstheme="minorHAnsi"/>
          <w:szCs w:val="24"/>
          <w:lang w:val="en"/>
        </w:rPr>
        <w:t>An example of an approach to streamlining</w:t>
      </w:r>
      <w:r w:rsidR="00523145">
        <w:rPr>
          <w:rFonts w:cstheme="minorHAnsi"/>
          <w:szCs w:val="24"/>
          <w:lang w:val="en"/>
        </w:rPr>
        <w:t xml:space="preserve"> </w:t>
      </w:r>
      <w:r w:rsidRPr="00CC2052">
        <w:rPr>
          <w:rFonts w:cstheme="minorHAnsi"/>
          <w:szCs w:val="24"/>
          <w:lang w:val="en"/>
        </w:rPr>
        <w:t xml:space="preserve">resolutions with a view to sharing responsibilities between PP and WTDC is the revision of the Resolutions on telecommunication/ICT indicators. </w:t>
      </w:r>
    </w:p>
    <w:p w14:paraId="571394FE" w14:textId="40F9CADE" w:rsidR="00CC2052" w:rsidRPr="00CC2052" w:rsidRDefault="00CC2052" w:rsidP="00523145">
      <w:pPr>
        <w:spacing w:after="120"/>
        <w:rPr>
          <w:rFonts w:cstheme="minorHAnsi"/>
          <w:szCs w:val="24"/>
          <w:lang w:val="ru-RU"/>
        </w:rPr>
      </w:pPr>
      <w:r w:rsidRPr="00CC2052">
        <w:rPr>
          <w:rFonts w:cstheme="minorHAnsi"/>
          <w:szCs w:val="24"/>
          <w:lang w:val="en"/>
        </w:rPr>
        <w:t>As a result of WTDC-22 and PP-22, WTDC Resolution 8 on "</w:t>
      </w:r>
      <w:r w:rsidR="00185AE9" w:rsidRPr="00185AE9">
        <w:rPr>
          <w:rFonts w:cstheme="minorHAnsi"/>
          <w:szCs w:val="24"/>
          <w:lang w:val="en"/>
        </w:rPr>
        <w:t>Collection and dissemination of information and statistics</w:t>
      </w:r>
      <w:r w:rsidRPr="00CC2052">
        <w:rPr>
          <w:rFonts w:cstheme="minorHAnsi"/>
          <w:szCs w:val="24"/>
          <w:lang w:val="en"/>
        </w:rPr>
        <w:t>" was aimed at collecting telecommunication/ICT indicators and organizing working bodies for this, and PP Resolution 131 "</w:t>
      </w:r>
      <w:r w:rsidR="00185AE9" w:rsidRPr="00185AE9">
        <w:t>Measuring information and communication technologies to build an integrating and inclusive information society</w:t>
      </w:r>
      <w:r w:rsidRPr="00CC2052">
        <w:rPr>
          <w:rFonts w:cstheme="minorHAnsi"/>
          <w:szCs w:val="24"/>
          <w:lang w:val="en"/>
        </w:rPr>
        <w:t xml:space="preserve">" aimed at developing and supporting ITU statistical products, in particular the ICT Development Index (IDI). </w:t>
      </w:r>
    </w:p>
    <w:p w14:paraId="2547C1F8" w14:textId="4F1D19C8" w:rsidR="00CC2052" w:rsidRPr="00CC2052" w:rsidRDefault="00CC2052" w:rsidP="00CC2052">
      <w:pPr>
        <w:spacing w:after="120"/>
        <w:rPr>
          <w:rFonts w:cstheme="minorHAnsi"/>
          <w:szCs w:val="24"/>
          <w:lang w:val="ru-RU"/>
        </w:rPr>
      </w:pPr>
      <w:r w:rsidRPr="00CC2052">
        <w:rPr>
          <w:rFonts w:cstheme="minorHAnsi"/>
          <w:szCs w:val="24"/>
          <w:lang w:val="en"/>
        </w:rPr>
        <w:t>Examples of resolutions on which further streamlining work can be carried out are given below.</w:t>
      </w:r>
    </w:p>
    <w:tbl>
      <w:tblPr>
        <w:tblStyle w:val="TableGrid"/>
        <w:tblW w:w="5000" w:type="pct"/>
        <w:tblLayout w:type="fixed"/>
        <w:tblLook w:val="04A0" w:firstRow="1" w:lastRow="0" w:firstColumn="1" w:lastColumn="0" w:noHBand="0" w:noVBand="1"/>
      </w:tblPr>
      <w:tblGrid>
        <w:gridCol w:w="4663"/>
        <w:gridCol w:w="4966"/>
      </w:tblGrid>
      <w:tr w:rsidR="00523145" w:rsidRPr="00523145" w14:paraId="593EFD7E" w14:textId="77777777" w:rsidTr="00523145">
        <w:trPr>
          <w:tblHeader/>
        </w:trPr>
        <w:tc>
          <w:tcPr>
            <w:tcW w:w="4531" w:type="dxa"/>
          </w:tcPr>
          <w:p w14:paraId="3A808B2B" w14:textId="596F3DA8" w:rsidR="00523145" w:rsidRPr="00523145" w:rsidRDefault="00523145" w:rsidP="00523145">
            <w:pPr>
              <w:spacing w:before="40" w:after="40"/>
              <w:jc w:val="center"/>
              <w:rPr>
                <w:rFonts w:cstheme="minorHAnsi"/>
                <w:b/>
                <w:bCs/>
                <w:sz w:val="22"/>
                <w:szCs w:val="22"/>
                <w:lang w:val="ru-RU"/>
              </w:rPr>
            </w:pPr>
            <w:r w:rsidRPr="00523145">
              <w:rPr>
                <w:rFonts w:cstheme="minorHAnsi"/>
                <w:b/>
                <w:bCs/>
                <w:sz w:val="22"/>
                <w:szCs w:val="22"/>
                <w:lang w:val="ru-RU"/>
              </w:rPr>
              <w:t>WTDC Resolution</w:t>
            </w:r>
          </w:p>
        </w:tc>
        <w:tc>
          <w:tcPr>
            <w:tcW w:w="4825" w:type="dxa"/>
          </w:tcPr>
          <w:p w14:paraId="7067CD61" w14:textId="7CA8198E" w:rsidR="00523145" w:rsidRPr="0037445A" w:rsidRDefault="00ED4345" w:rsidP="00523145">
            <w:pPr>
              <w:spacing w:before="40" w:after="40"/>
              <w:jc w:val="center"/>
              <w:rPr>
                <w:rFonts w:cstheme="minorHAnsi"/>
                <w:b/>
                <w:bCs/>
                <w:sz w:val="22"/>
                <w:szCs w:val="22"/>
                <w:lang w:val="en-US"/>
              </w:rPr>
            </w:pPr>
            <w:r>
              <w:rPr>
                <w:rFonts w:cstheme="minorHAnsi"/>
                <w:b/>
                <w:bCs/>
                <w:sz w:val="22"/>
                <w:szCs w:val="22"/>
                <w:lang w:val="en-US"/>
              </w:rPr>
              <w:t xml:space="preserve">PP-22 </w:t>
            </w:r>
            <w:r w:rsidR="00523145" w:rsidRPr="00523145">
              <w:rPr>
                <w:rFonts w:cstheme="minorHAnsi"/>
                <w:b/>
                <w:bCs/>
                <w:sz w:val="22"/>
                <w:szCs w:val="22"/>
                <w:lang w:val="ru-RU"/>
              </w:rPr>
              <w:t>Resolution</w:t>
            </w:r>
          </w:p>
        </w:tc>
      </w:tr>
      <w:tr w:rsidR="00523145" w:rsidRPr="00523145" w14:paraId="72B7CDFD" w14:textId="77777777" w:rsidTr="00523145">
        <w:trPr>
          <w:trHeight w:val="660"/>
        </w:trPr>
        <w:tc>
          <w:tcPr>
            <w:tcW w:w="4531" w:type="dxa"/>
          </w:tcPr>
          <w:p w14:paraId="608FC355"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8</w:t>
            </w:r>
          </w:p>
          <w:p w14:paraId="320D4C51" w14:textId="5332A84C"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Collection and dissemination of information and statistics</w:t>
            </w:r>
          </w:p>
        </w:tc>
        <w:tc>
          <w:tcPr>
            <w:tcW w:w="4825" w:type="dxa"/>
          </w:tcPr>
          <w:p w14:paraId="43358DCD"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131</w:t>
            </w:r>
          </w:p>
          <w:p w14:paraId="788DCB29"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Measuring information and communication technologies to build an integrating and inclusive information society</w:t>
            </w:r>
          </w:p>
        </w:tc>
      </w:tr>
      <w:tr w:rsidR="00523145" w:rsidRPr="00523145" w14:paraId="67D1087D" w14:textId="77777777" w:rsidTr="00523145">
        <w:trPr>
          <w:trHeight w:val="660"/>
        </w:trPr>
        <w:tc>
          <w:tcPr>
            <w:tcW w:w="4531" w:type="dxa"/>
            <w:vMerge w:val="restart"/>
          </w:tcPr>
          <w:p w14:paraId="10666AE9" w14:textId="6DB30006"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17</w:t>
            </w:r>
          </w:p>
          <w:p w14:paraId="442013D5"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Implementation of approved recommendations at the national, regional, interregional and global levels</w:t>
            </w:r>
          </w:p>
          <w:p w14:paraId="1DA5AC25" w14:textId="10120399"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Regional Initiatives and cooperation on them</w:t>
            </w:r>
            <w:r w:rsidR="003A28BC">
              <w:rPr>
                <w:rFonts w:cstheme="minorHAnsi"/>
                <w:sz w:val="22"/>
                <w:szCs w:val="22"/>
                <w:lang w:val="ru-RU"/>
              </w:rPr>
              <w:t xml:space="preserve"> </w:t>
            </w:r>
          </w:p>
        </w:tc>
        <w:tc>
          <w:tcPr>
            <w:tcW w:w="4825" w:type="dxa"/>
          </w:tcPr>
          <w:p w14:paraId="77C9D224"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25</w:t>
            </w:r>
          </w:p>
          <w:p w14:paraId="148FB2F4"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Strengthening ITU’s regional presence</w:t>
            </w:r>
          </w:p>
        </w:tc>
      </w:tr>
      <w:tr w:rsidR="00523145" w:rsidRPr="00523145" w14:paraId="319CE914" w14:textId="77777777" w:rsidTr="00523145">
        <w:trPr>
          <w:trHeight w:val="660"/>
        </w:trPr>
        <w:tc>
          <w:tcPr>
            <w:tcW w:w="4531" w:type="dxa"/>
            <w:vMerge/>
          </w:tcPr>
          <w:p w14:paraId="593F990C" w14:textId="77777777" w:rsidR="00523145" w:rsidRPr="00523145" w:rsidRDefault="00523145" w:rsidP="00523145">
            <w:pPr>
              <w:spacing w:before="40" w:after="40"/>
              <w:rPr>
                <w:rFonts w:cstheme="minorHAnsi"/>
                <w:b/>
                <w:bCs/>
                <w:sz w:val="22"/>
                <w:szCs w:val="22"/>
                <w:lang w:val="ru-RU"/>
              </w:rPr>
            </w:pPr>
          </w:p>
        </w:tc>
        <w:tc>
          <w:tcPr>
            <w:tcW w:w="4825" w:type="dxa"/>
          </w:tcPr>
          <w:p w14:paraId="77DF41F0"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135</w:t>
            </w:r>
          </w:p>
          <w:p w14:paraId="4AF1998F"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ITU's role in the durable and sustainable development of telecommunications/information and communication technologies, in providing technical assistance and advice to developing countries and in implementing relevant national, regional and interregional projects</w:t>
            </w:r>
          </w:p>
        </w:tc>
      </w:tr>
      <w:tr w:rsidR="00523145" w:rsidRPr="00523145" w14:paraId="6B86AE12" w14:textId="77777777" w:rsidTr="00523145">
        <w:trPr>
          <w:trHeight w:val="956"/>
        </w:trPr>
        <w:tc>
          <w:tcPr>
            <w:tcW w:w="4531" w:type="dxa"/>
            <w:vMerge/>
          </w:tcPr>
          <w:p w14:paraId="6BA66DD8" w14:textId="77777777" w:rsidR="00523145" w:rsidRPr="00523145" w:rsidRDefault="00523145" w:rsidP="00523145">
            <w:pPr>
              <w:spacing w:before="40" w:after="40"/>
              <w:rPr>
                <w:rFonts w:cstheme="minorHAnsi"/>
                <w:b/>
                <w:bCs/>
                <w:sz w:val="22"/>
                <w:szCs w:val="22"/>
                <w:lang w:val="ru-RU"/>
              </w:rPr>
            </w:pPr>
          </w:p>
        </w:tc>
        <w:tc>
          <w:tcPr>
            <w:tcW w:w="4825" w:type="dxa"/>
          </w:tcPr>
          <w:p w14:paraId="6AD0DF8B" w14:textId="30FB6ADA"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157</w:t>
            </w:r>
          </w:p>
          <w:p w14:paraId="6A1CBCDF"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Strengthening the project execution and monitoring functions in ITU</w:t>
            </w:r>
          </w:p>
        </w:tc>
      </w:tr>
      <w:tr w:rsidR="00523145" w:rsidRPr="00523145" w14:paraId="5913DD8E" w14:textId="77777777" w:rsidTr="00523145">
        <w:tc>
          <w:tcPr>
            <w:tcW w:w="4531" w:type="dxa"/>
          </w:tcPr>
          <w:p w14:paraId="28D0DA6F"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20</w:t>
            </w:r>
          </w:p>
          <w:p w14:paraId="32E88EF0" w14:textId="262D3FF5"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Non-discriminatory access to modern telecommunication/information and communication technology facilities, services and related applications</w:t>
            </w:r>
          </w:p>
        </w:tc>
        <w:tc>
          <w:tcPr>
            <w:tcW w:w="4825" w:type="dxa"/>
          </w:tcPr>
          <w:p w14:paraId="1EC060BC"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64</w:t>
            </w:r>
          </w:p>
          <w:p w14:paraId="554BD414"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Non-discriminatory access to telecommunication/information and communication technology facilities, services and applications, including applied research and transfer of technology, and e-meetings, on mutually agreed terms</w:t>
            </w:r>
          </w:p>
        </w:tc>
      </w:tr>
      <w:tr w:rsidR="00523145" w:rsidRPr="00523145" w14:paraId="40DF0C71" w14:textId="77777777" w:rsidTr="00523145">
        <w:tc>
          <w:tcPr>
            <w:tcW w:w="4531" w:type="dxa"/>
          </w:tcPr>
          <w:p w14:paraId="6A2765B4"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22</w:t>
            </w:r>
          </w:p>
          <w:p w14:paraId="0475916C"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Alternative calling procedures on international telecommunication networks and identification of origin in providing international telecommunication services</w:t>
            </w:r>
          </w:p>
        </w:tc>
        <w:tc>
          <w:tcPr>
            <w:tcW w:w="4825" w:type="dxa"/>
          </w:tcPr>
          <w:p w14:paraId="2D588658"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21</w:t>
            </w:r>
          </w:p>
          <w:p w14:paraId="3826BAF5"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Measures concerning alternative calling procedures on international telecommunication networks</w:t>
            </w:r>
          </w:p>
        </w:tc>
      </w:tr>
      <w:tr w:rsidR="00523145" w:rsidRPr="00523145" w14:paraId="3531CAEB" w14:textId="77777777" w:rsidTr="00523145">
        <w:trPr>
          <w:trHeight w:val="284"/>
        </w:trPr>
        <w:tc>
          <w:tcPr>
            <w:tcW w:w="4531" w:type="dxa"/>
            <w:vMerge w:val="restart"/>
          </w:tcPr>
          <w:p w14:paraId="47ED10CF" w14:textId="77777777" w:rsidR="00523145" w:rsidRPr="00523145" w:rsidRDefault="00523145" w:rsidP="00523145">
            <w:pPr>
              <w:keepNext/>
              <w:spacing w:before="40" w:after="40"/>
              <w:rPr>
                <w:rFonts w:cstheme="minorHAnsi"/>
                <w:b/>
                <w:bCs/>
                <w:sz w:val="22"/>
                <w:szCs w:val="22"/>
                <w:lang w:val="ru-RU"/>
              </w:rPr>
            </w:pPr>
            <w:r w:rsidRPr="00523145">
              <w:rPr>
                <w:rFonts w:cstheme="minorHAnsi"/>
                <w:b/>
                <w:bCs/>
                <w:sz w:val="22"/>
                <w:szCs w:val="22"/>
                <w:lang w:val="ru-RU"/>
              </w:rPr>
              <w:lastRenderedPageBreak/>
              <w:t>Resolution 23</w:t>
            </w:r>
          </w:p>
          <w:p w14:paraId="6BA7FD30" w14:textId="1B9D2BE7" w:rsidR="00523145" w:rsidRPr="00523145" w:rsidRDefault="00523145" w:rsidP="00523145">
            <w:pPr>
              <w:keepNext/>
              <w:spacing w:before="40" w:after="40"/>
              <w:rPr>
                <w:rFonts w:cstheme="minorHAnsi"/>
                <w:bCs/>
                <w:sz w:val="22"/>
                <w:szCs w:val="22"/>
                <w:lang w:val="ru-RU"/>
              </w:rPr>
            </w:pPr>
            <w:r w:rsidRPr="00523145">
              <w:rPr>
                <w:rFonts w:cstheme="minorHAnsi"/>
                <w:bCs/>
                <w:sz w:val="22"/>
                <w:szCs w:val="22"/>
                <w:lang w:val="ru-RU"/>
              </w:rPr>
              <w:t>Internet access and availability for developing countries and charging principles for international Internet connection</w:t>
            </w:r>
          </w:p>
        </w:tc>
        <w:tc>
          <w:tcPr>
            <w:tcW w:w="4825" w:type="dxa"/>
          </w:tcPr>
          <w:p w14:paraId="26A91DCA" w14:textId="77777777" w:rsidR="00523145" w:rsidRPr="00523145" w:rsidRDefault="00523145" w:rsidP="00523145">
            <w:pPr>
              <w:keepNext/>
              <w:spacing w:before="40" w:after="40"/>
              <w:rPr>
                <w:rFonts w:cstheme="minorHAnsi"/>
                <w:b/>
                <w:bCs/>
                <w:sz w:val="22"/>
                <w:szCs w:val="22"/>
                <w:lang w:val="ru-RU"/>
              </w:rPr>
            </w:pPr>
            <w:r w:rsidRPr="00523145">
              <w:rPr>
                <w:rFonts w:cstheme="minorHAnsi"/>
                <w:b/>
                <w:bCs/>
                <w:sz w:val="22"/>
                <w:szCs w:val="22"/>
                <w:lang w:val="ru-RU"/>
              </w:rPr>
              <w:t>Resolution 64</w:t>
            </w:r>
          </w:p>
          <w:p w14:paraId="40E891E5" w14:textId="77777777" w:rsidR="00523145" w:rsidRPr="00523145" w:rsidRDefault="00523145" w:rsidP="00523145">
            <w:pPr>
              <w:keepNext/>
              <w:spacing w:before="40" w:after="40"/>
              <w:rPr>
                <w:rFonts w:cstheme="minorHAnsi"/>
                <w:sz w:val="22"/>
                <w:szCs w:val="22"/>
                <w:lang w:val="ru-RU"/>
              </w:rPr>
            </w:pPr>
            <w:r w:rsidRPr="00523145">
              <w:rPr>
                <w:rFonts w:cstheme="minorHAnsi"/>
                <w:bCs/>
                <w:sz w:val="22"/>
                <w:szCs w:val="22"/>
                <w:lang w:val="ru-RU"/>
              </w:rPr>
              <w:t>Non-discriminatory access to telecommunication/information and communication technology facilities, services and applications, including applied research and transfer of technology, and e-meetings, on mutually agreed terms</w:t>
            </w:r>
          </w:p>
        </w:tc>
      </w:tr>
      <w:tr w:rsidR="00523145" w:rsidRPr="00523145" w14:paraId="58FDABA7" w14:textId="77777777" w:rsidTr="00523145">
        <w:trPr>
          <w:trHeight w:val="699"/>
        </w:trPr>
        <w:tc>
          <w:tcPr>
            <w:tcW w:w="4531" w:type="dxa"/>
            <w:vMerge/>
          </w:tcPr>
          <w:p w14:paraId="52427336" w14:textId="77777777" w:rsidR="00523145" w:rsidRPr="00523145" w:rsidRDefault="00523145" w:rsidP="00523145">
            <w:pPr>
              <w:spacing w:before="40" w:after="40"/>
              <w:rPr>
                <w:rFonts w:cstheme="minorHAnsi"/>
                <w:b/>
                <w:bCs/>
                <w:sz w:val="22"/>
                <w:szCs w:val="22"/>
                <w:lang w:val="ru-RU"/>
              </w:rPr>
            </w:pPr>
          </w:p>
        </w:tc>
        <w:tc>
          <w:tcPr>
            <w:tcW w:w="4825" w:type="dxa"/>
          </w:tcPr>
          <w:p w14:paraId="5A4AB04A"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101</w:t>
            </w:r>
          </w:p>
          <w:p w14:paraId="7E59E045" w14:textId="77777777" w:rsidR="00523145" w:rsidRPr="00523145" w:rsidRDefault="00523145" w:rsidP="00523145">
            <w:pPr>
              <w:spacing w:before="40" w:after="40"/>
              <w:rPr>
                <w:rFonts w:cstheme="minorHAnsi"/>
                <w:sz w:val="22"/>
                <w:szCs w:val="22"/>
                <w:lang w:val="ru-RU"/>
              </w:rPr>
            </w:pPr>
            <w:r w:rsidRPr="00523145">
              <w:rPr>
                <w:rFonts w:cstheme="minorHAnsi"/>
                <w:bCs/>
                <w:sz w:val="22"/>
                <w:szCs w:val="22"/>
                <w:lang w:val="ru-RU"/>
              </w:rPr>
              <w:t>Report on the implementation of the strategic plan and activities of the Union</w:t>
            </w:r>
          </w:p>
        </w:tc>
      </w:tr>
      <w:tr w:rsidR="00523145" w:rsidRPr="00523145" w14:paraId="2ECAA60B" w14:textId="77777777" w:rsidTr="00523145">
        <w:tc>
          <w:tcPr>
            <w:tcW w:w="4531" w:type="dxa"/>
          </w:tcPr>
          <w:p w14:paraId="16AF17C9"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30</w:t>
            </w:r>
          </w:p>
          <w:p w14:paraId="563045FF" w14:textId="77777777" w:rsidR="00523145" w:rsidRPr="00523145" w:rsidRDefault="00523145" w:rsidP="00523145">
            <w:pPr>
              <w:pStyle w:val="Restitle"/>
              <w:spacing w:before="40" w:after="40"/>
              <w:jc w:val="left"/>
              <w:rPr>
                <w:rFonts w:cstheme="minorHAnsi"/>
                <w:b w:val="0"/>
                <w:bCs/>
                <w:sz w:val="22"/>
                <w:szCs w:val="22"/>
                <w:lang w:val="ru-RU"/>
              </w:rPr>
            </w:pPr>
            <w:r w:rsidRPr="00523145">
              <w:rPr>
                <w:rFonts w:cstheme="minorHAnsi"/>
                <w:b w:val="0"/>
                <w:bCs/>
                <w:sz w:val="22"/>
                <w:szCs w:val="22"/>
                <w:lang w:val="ru-RU"/>
              </w:rPr>
              <w:t>Role of the ITU Telecommunication Development Sector in implementing the outcomes of the World Summit on the Information Society</w:t>
            </w:r>
          </w:p>
          <w:p w14:paraId="14FA2886" w14:textId="77777777" w:rsidR="00523145" w:rsidRPr="00523145" w:rsidRDefault="00523145" w:rsidP="00523145">
            <w:pPr>
              <w:pStyle w:val="Restitle"/>
              <w:spacing w:before="40" w:after="40"/>
              <w:jc w:val="left"/>
              <w:rPr>
                <w:rFonts w:cstheme="minorHAnsi"/>
                <w:sz w:val="22"/>
                <w:szCs w:val="22"/>
                <w:lang w:val="ru-RU"/>
              </w:rPr>
            </w:pPr>
            <w:r w:rsidRPr="00523145">
              <w:rPr>
                <w:rFonts w:cstheme="minorHAnsi"/>
                <w:b w:val="0"/>
                <w:bCs/>
                <w:sz w:val="22"/>
                <w:szCs w:val="22"/>
                <w:lang w:val="ru-RU"/>
              </w:rPr>
              <w:t>and the 2030 Agenda for Sustainable Development</w:t>
            </w:r>
            <w:r w:rsidRPr="00523145">
              <w:rPr>
                <w:rFonts w:cstheme="minorHAnsi"/>
                <w:sz w:val="22"/>
                <w:szCs w:val="22"/>
                <w:lang w:val="ru-RU"/>
              </w:rPr>
              <w:t xml:space="preserve"> </w:t>
            </w:r>
          </w:p>
        </w:tc>
        <w:tc>
          <w:tcPr>
            <w:tcW w:w="4825" w:type="dxa"/>
          </w:tcPr>
          <w:p w14:paraId="5BF14AD6"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140</w:t>
            </w:r>
          </w:p>
          <w:p w14:paraId="52D0C962" w14:textId="77777777" w:rsidR="00523145" w:rsidRPr="00523145" w:rsidRDefault="00523145" w:rsidP="00523145">
            <w:pPr>
              <w:pStyle w:val="Restitle"/>
              <w:spacing w:before="40" w:after="40"/>
              <w:jc w:val="left"/>
              <w:rPr>
                <w:rFonts w:cstheme="minorHAnsi"/>
                <w:b w:val="0"/>
                <w:bCs/>
                <w:sz w:val="22"/>
                <w:szCs w:val="22"/>
                <w:lang w:val="ru-RU"/>
              </w:rPr>
            </w:pPr>
            <w:r w:rsidRPr="00523145">
              <w:rPr>
                <w:rFonts w:cstheme="minorHAnsi"/>
                <w:b w:val="0"/>
                <w:bCs/>
                <w:sz w:val="22"/>
                <w:szCs w:val="22"/>
                <w:lang w:val="ru-RU"/>
              </w:rPr>
              <w:t>ITU's role in implementing the outcomes of the World Summit on the Information Society and the 2030 Agenda for Sustainable Development and in their follow-up and review</w:t>
            </w:r>
          </w:p>
        </w:tc>
      </w:tr>
      <w:tr w:rsidR="00523145" w:rsidRPr="00523145" w14:paraId="071F2327" w14:textId="77777777" w:rsidTr="00523145">
        <w:trPr>
          <w:trHeight w:val="1780"/>
        </w:trPr>
        <w:tc>
          <w:tcPr>
            <w:tcW w:w="4531" w:type="dxa"/>
          </w:tcPr>
          <w:p w14:paraId="2F50CDFC"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34</w:t>
            </w:r>
          </w:p>
          <w:p w14:paraId="49FB1C28"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The role of telecommunications/information and communication technology in disaster preparedness, early warning, rescue, mitigation, relief and response</w:t>
            </w:r>
          </w:p>
        </w:tc>
        <w:tc>
          <w:tcPr>
            <w:tcW w:w="4825" w:type="dxa"/>
          </w:tcPr>
          <w:p w14:paraId="4173FBAE"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136</w:t>
            </w:r>
          </w:p>
          <w:p w14:paraId="198B1130"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The use of telecommunications/information and communication technologies for humanitarian assistance and for monitoring and management in emergency and disaster situations, including health- related emergencies, for early warning, prevention, mitigation and relief</w:t>
            </w:r>
          </w:p>
        </w:tc>
      </w:tr>
      <w:tr w:rsidR="00523145" w:rsidRPr="00523145" w14:paraId="69337F31" w14:textId="77777777" w:rsidTr="00523145">
        <w:trPr>
          <w:trHeight w:val="818"/>
        </w:trPr>
        <w:tc>
          <w:tcPr>
            <w:tcW w:w="4531" w:type="dxa"/>
            <w:vMerge w:val="restart"/>
          </w:tcPr>
          <w:p w14:paraId="509431EF"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37</w:t>
            </w:r>
          </w:p>
          <w:p w14:paraId="604C8274"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Bridging the digital divide</w:t>
            </w:r>
          </w:p>
        </w:tc>
        <w:tc>
          <w:tcPr>
            <w:tcW w:w="4825" w:type="dxa"/>
          </w:tcPr>
          <w:p w14:paraId="723573CE"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123</w:t>
            </w:r>
          </w:p>
          <w:p w14:paraId="07A8939C"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Bridging the standardization gap between developing and developed countries</w:t>
            </w:r>
          </w:p>
        </w:tc>
      </w:tr>
      <w:tr w:rsidR="00523145" w:rsidRPr="00523145" w14:paraId="27987085" w14:textId="77777777" w:rsidTr="00523145">
        <w:trPr>
          <w:trHeight w:val="640"/>
        </w:trPr>
        <w:tc>
          <w:tcPr>
            <w:tcW w:w="4531" w:type="dxa"/>
            <w:vMerge/>
          </w:tcPr>
          <w:p w14:paraId="77A36B7D" w14:textId="77777777" w:rsidR="00523145" w:rsidRPr="00523145" w:rsidRDefault="00523145" w:rsidP="00523145">
            <w:pPr>
              <w:spacing w:before="40" w:after="40"/>
              <w:rPr>
                <w:rFonts w:cstheme="minorHAnsi"/>
                <w:b/>
                <w:bCs/>
                <w:sz w:val="22"/>
                <w:szCs w:val="22"/>
                <w:lang w:val="ru-RU"/>
              </w:rPr>
            </w:pPr>
          </w:p>
        </w:tc>
        <w:tc>
          <w:tcPr>
            <w:tcW w:w="4825" w:type="dxa"/>
          </w:tcPr>
          <w:p w14:paraId="535FA1CE" w14:textId="15BA4672"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139</w:t>
            </w:r>
          </w:p>
          <w:p w14:paraId="16CF3E5F"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Use of telecommunications/ICTs to bridge the digital divide and build an inclusive information society</w:t>
            </w:r>
          </w:p>
        </w:tc>
      </w:tr>
      <w:tr w:rsidR="00523145" w:rsidRPr="00523145" w14:paraId="45F3FF0F" w14:textId="77777777" w:rsidTr="00523145">
        <w:trPr>
          <w:trHeight w:val="1680"/>
        </w:trPr>
        <w:tc>
          <w:tcPr>
            <w:tcW w:w="4531" w:type="dxa"/>
          </w:tcPr>
          <w:p w14:paraId="1E216606" w14:textId="17C25818"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w:t>
            </w:r>
            <w:r w:rsidRPr="00523145">
              <w:rPr>
                <w:rStyle w:val="Strong"/>
                <w:rFonts w:cstheme="minorHAnsi"/>
                <w:color w:val="444444"/>
                <w:sz w:val="22"/>
                <w:szCs w:val="22"/>
                <w:bdr w:val="none" w:sz="0" w:space="0" w:color="auto" w:frame="1"/>
                <w:shd w:val="clear" w:color="auto" w:fill="FFFFFF"/>
                <w:lang w:val="ru-RU"/>
              </w:rPr>
              <w:t xml:space="preserve"> </w:t>
            </w:r>
            <w:r w:rsidRPr="00523145">
              <w:rPr>
                <w:rFonts w:cstheme="minorHAnsi"/>
                <w:b/>
                <w:bCs/>
                <w:sz w:val="22"/>
                <w:szCs w:val="22"/>
                <w:lang w:val="ru-RU"/>
              </w:rPr>
              <w:t>45</w:t>
            </w:r>
          </w:p>
          <w:p w14:paraId="0253C781" w14:textId="77777777" w:rsidR="00523145" w:rsidRPr="00523145" w:rsidRDefault="00523145" w:rsidP="00523145">
            <w:pPr>
              <w:pStyle w:val="Restitle"/>
              <w:spacing w:before="40" w:after="40"/>
              <w:jc w:val="left"/>
              <w:rPr>
                <w:rFonts w:cstheme="minorHAnsi"/>
                <w:b w:val="0"/>
                <w:bCs/>
                <w:sz w:val="22"/>
                <w:szCs w:val="22"/>
                <w:lang w:val="ru-RU"/>
              </w:rPr>
            </w:pPr>
            <w:r w:rsidRPr="00523145">
              <w:rPr>
                <w:rFonts w:cstheme="minorHAnsi"/>
                <w:b w:val="0"/>
                <w:bCs/>
                <w:sz w:val="22"/>
                <w:szCs w:val="22"/>
                <w:lang w:val="ru-RU"/>
              </w:rPr>
              <w:t>Mechanisms for enhancing cooperation on cybersecurity, including countering and combating spam</w:t>
            </w:r>
          </w:p>
        </w:tc>
        <w:tc>
          <w:tcPr>
            <w:tcW w:w="4825" w:type="dxa"/>
          </w:tcPr>
          <w:p w14:paraId="631952BD"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130</w:t>
            </w:r>
          </w:p>
          <w:p w14:paraId="5D880350"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Strengthening the role of ITU in building confidence and security in the use of information and communication technologies</w:t>
            </w:r>
          </w:p>
        </w:tc>
      </w:tr>
      <w:tr w:rsidR="00523145" w:rsidRPr="00523145" w14:paraId="7AABBE57" w14:textId="77777777" w:rsidTr="00523145">
        <w:tc>
          <w:tcPr>
            <w:tcW w:w="4531" w:type="dxa"/>
          </w:tcPr>
          <w:p w14:paraId="3C8CCAFA" w14:textId="49750ACE"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47</w:t>
            </w:r>
          </w:p>
          <w:p w14:paraId="00539B36"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Enhancement of knowledge and effective application</w:t>
            </w:r>
          </w:p>
          <w:p w14:paraId="2276178C" w14:textId="6692BC85"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ITU Recommendations in developing countries, including conformance and interoperability testing of systems manufactured on the basis of ITU Recommendations</w:t>
            </w:r>
            <w:r w:rsidR="003A28BC">
              <w:rPr>
                <w:rFonts w:cstheme="minorHAnsi"/>
                <w:sz w:val="22"/>
                <w:szCs w:val="22"/>
                <w:lang w:val="ru-RU"/>
              </w:rPr>
              <w:t xml:space="preserve"> </w:t>
            </w:r>
          </w:p>
        </w:tc>
        <w:tc>
          <w:tcPr>
            <w:tcW w:w="4825" w:type="dxa"/>
          </w:tcPr>
          <w:p w14:paraId="277220CA" w14:textId="049959C3"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177</w:t>
            </w:r>
          </w:p>
          <w:p w14:paraId="6060BFD2" w14:textId="77777777" w:rsidR="00523145" w:rsidRPr="00523145" w:rsidRDefault="00523145" w:rsidP="00523145">
            <w:pPr>
              <w:spacing w:before="40" w:after="40"/>
              <w:rPr>
                <w:rFonts w:cstheme="minorHAnsi"/>
                <w:b/>
                <w:bCs/>
                <w:sz w:val="22"/>
                <w:szCs w:val="22"/>
                <w:lang w:val="ru-RU"/>
              </w:rPr>
            </w:pPr>
            <w:r w:rsidRPr="00523145">
              <w:rPr>
                <w:rFonts w:cstheme="minorHAnsi"/>
                <w:sz w:val="22"/>
                <w:szCs w:val="22"/>
                <w:lang w:val="ru-RU"/>
              </w:rPr>
              <w:t>Conformance and interoperability</w:t>
            </w:r>
            <w:r w:rsidRPr="00523145">
              <w:rPr>
                <w:rFonts w:cstheme="minorHAnsi"/>
                <w:b/>
                <w:bCs/>
                <w:sz w:val="22"/>
                <w:szCs w:val="22"/>
                <w:lang w:val="ru-RU"/>
              </w:rPr>
              <w:t xml:space="preserve"> </w:t>
            </w:r>
          </w:p>
        </w:tc>
      </w:tr>
      <w:tr w:rsidR="00523145" w:rsidRPr="00523145" w14:paraId="19599090" w14:textId="77777777" w:rsidTr="00523145">
        <w:tc>
          <w:tcPr>
            <w:tcW w:w="4531" w:type="dxa"/>
          </w:tcPr>
          <w:p w14:paraId="29B214C1"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48</w:t>
            </w:r>
          </w:p>
          <w:p w14:paraId="2FD30169"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Strengthening cooperation among regulators</w:t>
            </w:r>
          </w:p>
          <w:p w14:paraId="469159EB" w14:textId="76428D7A"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in the field of telecommunications</w:t>
            </w:r>
            <w:r w:rsidR="003A28BC">
              <w:rPr>
                <w:rFonts w:cstheme="minorHAnsi"/>
                <w:sz w:val="22"/>
                <w:szCs w:val="22"/>
                <w:lang w:val="ru-RU"/>
              </w:rPr>
              <w:t xml:space="preserve"> </w:t>
            </w:r>
          </w:p>
        </w:tc>
        <w:tc>
          <w:tcPr>
            <w:tcW w:w="4825" w:type="dxa"/>
          </w:tcPr>
          <w:p w14:paraId="51335640"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138</w:t>
            </w:r>
          </w:p>
          <w:p w14:paraId="3980B2D6"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Global Symposium for Regulators</w:t>
            </w:r>
          </w:p>
        </w:tc>
      </w:tr>
      <w:tr w:rsidR="00523145" w:rsidRPr="00523145" w14:paraId="2CA75937" w14:textId="77777777" w:rsidTr="00523145">
        <w:tc>
          <w:tcPr>
            <w:tcW w:w="4531" w:type="dxa"/>
          </w:tcPr>
          <w:p w14:paraId="1C0BAF78" w14:textId="577347E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lastRenderedPageBreak/>
              <w:t>Resolution 55</w:t>
            </w:r>
          </w:p>
          <w:p w14:paraId="07574931"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b/>
                <w:bCs/>
                <w:sz w:val="22"/>
                <w:szCs w:val="22"/>
                <w:lang w:val="ru-RU"/>
              </w:rPr>
            </w:pPr>
            <w:r w:rsidRPr="00523145">
              <w:rPr>
                <w:rFonts w:cstheme="minorHAnsi"/>
                <w:sz w:val="22"/>
                <w:szCs w:val="22"/>
                <w:lang w:val="ru-RU"/>
              </w:rPr>
              <w:t>Mainstreaming a gender perspective in ITU activities for the empowerment of women through telecommunications/ICTs</w:t>
            </w:r>
          </w:p>
        </w:tc>
        <w:tc>
          <w:tcPr>
            <w:tcW w:w="4825" w:type="dxa"/>
          </w:tcPr>
          <w:p w14:paraId="3A9F91ED"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70</w:t>
            </w:r>
          </w:p>
          <w:p w14:paraId="16AE029F" w14:textId="46182B00"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Mainstreaming a gender perspective in ITU and promotion of gender equality and the empowerment of women and girls through telecommunications/ICTs</w:t>
            </w:r>
            <w:r w:rsidR="003A28BC">
              <w:rPr>
                <w:rFonts w:cstheme="minorHAnsi"/>
                <w:sz w:val="22"/>
                <w:szCs w:val="22"/>
                <w:lang w:val="ru-RU"/>
              </w:rPr>
              <w:t xml:space="preserve"> </w:t>
            </w:r>
          </w:p>
        </w:tc>
      </w:tr>
      <w:tr w:rsidR="00523145" w:rsidRPr="00523145" w14:paraId="5C65C889" w14:textId="77777777" w:rsidTr="00523145">
        <w:tc>
          <w:tcPr>
            <w:tcW w:w="4531" w:type="dxa"/>
          </w:tcPr>
          <w:p w14:paraId="2B166973" w14:textId="1F0C526F" w:rsidR="00523145" w:rsidRPr="00523145" w:rsidRDefault="00523145" w:rsidP="00523145">
            <w:pPr>
              <w:pStyle w:val="Restitle"/>
              <w:spacing w:before="40" w:after="40"/>
              <w:jc w:val="left"/>
              <w:rPr>
                <w:rFonts w:cstheme="minorHAnsi"/>
                <w:bCs/>
                <w:sz w:val="22"/>
                <w:szCs w:val="22"/>
                <w:lang w:val="ru-RU"/>
              </w:rPr>
            </w:pPr>
            <w:r w:rsidRPr="00523145">
              <w:rPr>
                <w:rFonts w:cstheme="minorHAnsi"/>
                <w:bCs/>
                <w:sz w:val="22"/>
                <w:szCs w:val="22"/>
                <w:lang w:val="ru-RU"/>
              </w:rPr>
              <w:t>Resolution 58</w:t>
            </w:r>
          </w:p>
          <w:p w14:paraId="15D82BC9" w14:textId="4D05DEEF"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bCs/>
                <w:sz w:val="22"/>
                <w:szCs w:val="22"/>
                <w:lang w:val="ru-RU"/>
              </w:rPr>
            </w:pPr>
            <w:r w:rsidRPr="00523145">
              <w:rPr>
                <w:rFonts w:cstheme="minorHAnsi"/>
                <w:sz w:val="22"/>
                <w:szCs w:val="22"/>
                <w:lang w:val="ru-RU"/>
              </w:rPr>
              <w:t>Telecommunication/information and communication technology accessibility for persons with disabilities and persons with specific needs</w:t>
            </w:r>
            <w:r w:rsidR="003A28BC">
              <w:rPr>
                <w:rFonts w:cstheme="minorHAnsi"/>
                <w:sz w:val="22"/>
                <w:szCs w:val="22"/>
                <w:lang w:val="ru-RU"/>
              </w:rPr>
              <w:t xml:space="preserve"> </w:t>
            </w:r>
          </w:p>
        </w:tc>
        <w:tc>
          <w:tcPr>
            <w:tcW w:w="4825" w:type="dxa"/>
          </w:tcPr>
          <w:p w14:paraId="21146AAE"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175</w:t>
            </w:r>
          </w:p>
          <w:p w14:paraId="274D5294" w14:textId="77777777" w:rsidR="00523145" w:rsidRPr="00523145" w:rsidRDefault="00523145" w:rsidP="00523145">
            <w:pPr>
              <w:pStyle w:val="Restitle"/>
              <w:spacing w:before="40" w:after="40"/>
              <w:jc w:val="left"/>
              <w:rPr>
                <w:rFonts w:eastAsiaTheme="minorEastAsia" w:cstheme="minorHAnsi"/>
                <w:b w:val="0"/>
                <w:sz w:val="22"/>
                <w:szCs w:val="22"/>
                <w:lang w:val="ru-RU" w:eastAsia="ko-KR"/>
              </w:rPr>
            </w:pPr>
            <w:r w:rsidRPr="00523145">
              <w:rPr>
                <w:rFonts w:cstheme="minorHAnsi"/>
                <w:b w:val="0"/>
                <w:bCs/>
                <w:sz w:val="22"/>
                <w:szCs w:val="22"/>
                <w:lang w:val="ru-RU"/>
              </w:rPr>
              <w:t>Telecommunication/information and communication technology accessibility for persons with disabilities and persons with specific needs</w:t>
            </w:r>
          </w:p>
        </w:tc>
      </w:tr>
      <w:tr w:rsidR="00523145" w:rsidRPr="00523145" w14:paraId="479135D2" w14:textId="77777777" w:rsidTr="00523145">
        <w:tc>
          <w:tcPr>
            <w:tcW w:w="4531" w:type="dxa"/>
          </w:tcPr>
          <w:p w14:paraId="47CB28A1" w14:textId="6DB049CE" w:rsidR="00523145" w:rsidRPr="00523145" w:rsidRDefault="00523145" w:rsidP="00523145">
            <w:pPr>
              <w:pStyle w:val="Restitle"/>
              <w:spacing w:before="40" w:after="40"/>
              <w:jc w:val="left"/>
              <w:rPr>
                <w:rFonts w:cstheme="minorHAnsi"/>
                <w:bCs/>
                <w:sz w:val="22"/>
                <w:szCs w:val="22"/>
                <w:lang w:val="ru-RU"/>
              </w:rPr>
            </w:pPr>
            <w:r w:rsidRPr="00523145">
              <w:rPr>
                <w:rFonts w:cstheme="minorHAnsi"/>
                <w:bCs/>
                <w:sz w:val="22"/>
                <w:szCs w:val="22"/>
                <w:lang w:val="ru-RU"/>
              </w:rPr>
              <w:t>Resolution 59</w:t>
            </w:r>
          </w:p>
          <w:p w14:paraId="57E281CD"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Strengthening coordination and cooperation among the three ITU Sectors on matters of mutual interest</w:t>
            </w:r>
          </w:p>
        </w:tc>
        <w:tc>
          <w:tcPr>
            <w:tcW w:w="4825" w:type="dxa"/>
          </w:tcPr>
          <w:p w14:paraId="279A8318" w14:textId="773D466B"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191</w:t>
            </w:r>
          </w:p>
          <w:p w14:paraId="6DA3FF97" w14:textId="77777777"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Strategy for the coordination of efforts among the three Sectors of the Union</w:t>
            </w:r>
            <w:r w:rsidRPr="00523145">
              <w:rPr>
                <w:rFonts w:cstheme="minorHAnsi"/>
                <w:b/>
                <w:bCs/>
                <w:sz w:val="22"/>
                <w:szCs w:val="22"/>
                <w:lang w:val="ru-RU"/>
              </w:rPr>
              <w:t xml:space="preserve"> </w:t>
            </w:r>
          </w:p>
        </w:tc>
      </w:tr>
      <w:tr w:rsidR="00523145" w:rsidRPr="00523145" w14:paraId="0C03ABE7" w14:textId="77777777" w:rsidTr="00523145">
        <w:tc>
          <w:tcPr>
            <w:tcW w:w="4531" w:type="dxa"/>
          </w:tcPr>
          <w:p w14:paraId="28CA9DC5" w14:textId="338FEAE0"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63</w:t>
            </w:r>
          </w:p>
          <w:p w14:paraId="0013584D"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Internet Protocol address allocation and facilitating the transition to and deployment of IP version 6</w:t>
            </w:r>
          </w:p>
          <w:p w14:paraId="099B600B" w14:textId="75774743"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Implementation in developing countries</w:t>
            </w:r>
          </w:p>
        </w:tc>
        <w:tc>
          <w:tcPr>
            <w:tcW w:w="4825" w:type="dxa"/>
          </w:tcPr>
          <w:p w14:paraId="28C037B1"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180</w:t>
            </w:r>
          </w:p>
          <w:p w14:paraId="40B572D8" w14:textId="217E224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 xml:space="preserve">Facilitating the deployment of Internet Protocol version 6 </w:t>
            </w:r>
          </w:p>
        </w:tc>
      </w:tr>
      <w:tr w:rsidR="00523145" w:rsidRPr="00523145" w14:paraId="3A30663B" w14:textId="77777777" w:rsidTr="00523145">
        <w:tc>
          <w:tcPr>
            <w:tcW w:w="4531" w:type="dxa"/>
          </w:tcPr>
          <w:p w14:paraId="03E671D2"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64</w:t>
            </w:r>
          </w:p>
          <w:p w14:paraId="3AA941E8"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Service users/consumers protection and support</w:t>
            </w:r>
          </w:p>
          <w:p w14:paraId="0F65496E" w14:textId="405E1C7A"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communication technology exhibitions and forums</w:t>
            </w:r>
          </w:p>
        </w:tc>
        <w:tc>
          <w:tcPr>
            <w:tcW w:w="4825" w:type="dxa"/>
          </w:tcPr>
          <w:p w14:paraId="3BBEB02B"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196</w:t>
            </w:r>
          </w:p>
          <w:p w14:paraId="4BA9550B" w14:textId="498DC764"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sz w:val="22"/>
                <w:szCs w:val="22"/>
                <w:lang w:val="ru-RU"/>
              </w:rPr>
            </w:pPr>
            <w:r w:rsidRPr="00523145">
              <w:rPr>
                <w:rFonts w:cstheme="minorHAnsi"/>
                <w:sz w:val="22"/>
                <w:szCs w:val="22"/>
                <w:lang w:val="ru-RU"/>
              </w:rPr>
              <w:t>Protecting telecommunication service users/consumers</w:t>
            </w:r>
          </w:p>
        </w:tc>
      </w:tr>
      <w:tr w:rsidR="00523145" w:rsidRPr="00523145" w14:paraId="35BFFE47" w14:textId="77777777" w:rsidTr="00523145">
        <w:tc>
          <w:tcPr>
            <w:tcW w:w="4531" w:type="dxa"/>
          </w:tcPr>
          <w:p w14:paraId="6DCEBA1A" w14:textId="779F3E7D"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66</w:t>
            </w:r>
          </w:p>
          <w:p w14:paraId="2EC65B07" w14:textId="23697443" w:rsidR="00523145" w:rsidRPr="00523145" w:rsidRDefault="00523145" w:rsidP="00523145">
            <w:pPr>
              <w:spacing w:before="40" w:after="40"/>
              <w:rPr>
                <w:rFonts w:cstheme="minorHAnsi"/>
                <w:sz w:val="22"/>
                <w:szCs w:val="22"/>
                <w:lang w:val="ru-RU"/>
              </w:rPr>
            </w:pPr>
            <w:r w:rsidRPr="00523145">
              <w:rPr>
                <w:rFonts w:cstheme="minorHAnsi"/>
                <w:sz w:val="22"/>
                <w:szCs w:val="22"/>
                <w:lang w:val="ru-RU"/>
              </w:rPr>
              <w:t>Information and communication technologies, the environment, climate change and circular economy</w:t>
            </w:r>
            <w:r w:rsidR="003A28BC">
              <w:rPr>
                <w:rFonts w:cstheme="minorHAnsi"/>
                <w:sz w:val="22"/>
                <w:szCs w:val="22"/>
                <w:lang w:val="ru-RU"/>
              </w:rPr>
              <w:t xml:space="preserve"> </w:t>
            </w:r>
          </w:p>
        </w:tc>
        <w:tc>
          <w:tcPr>
            <w:tcW w:w="4825" w:type="dxa"/>
          </w:tcPr>
          <w:p w14:paraId="0A9EDE75" w14:textId="6A7FF2AD"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182</w:t>
            </w:r>
          </w:p>
          <w:p w14:paraId="0BC8E9DA" w14:textId="77777777" w:rsidR="00523145" w:rsidRPr="00523145" w:rsidRDefault="00523145" w:rsidP="00523145">
            <w:pPr>
              <w:pStyle w:val="Restitle"/>
              <w:spacing w:before="40" w:after="40"/>
              <w:jc w:val="left"/>
              <w:rPr>
                <w:rFonts w:eastAsiaTheme="minorEastAsia" w:cstheme="minorHAnsi"/>
                <w:b w:val="0"/>
                <w:bCs/>
                <w:sz w:val="22"/>
                <w:szCs w:val="22"/>
                <w:lang w:val="ru-RU" w:eastAsia="ko-KR"/>
              </w:rPr>
            </w:pPr>
            <w:r w:rsidRPr="00523145">
              <w:rPr>
                <w:rFonts w:cstheme="minorHAnsi"/>
                <w:b w:val="0"/>
                <w:bCs/>
                <w:sz w:val="22"/>
                <w:szCs w:val="22"/>
                <w:lang w:val="ru-RU"/>
              </w:rPr>
              <w:t>The role of telecommunications/information and communication technologies in regard to climate change and the protection of the environment</w:t>
            </w:r>
          </w:p>
        </w:tc>
      </w:tr>
      <w:tr w:rsidR="00523145" w:rsidRPr="00523145" w14:paraId="70F6D9F9" w14:textId="77777777" w:rsidTr="00523145">
        <w:tc>
          <w:tcPr>
            <w:tcW w:w="4531" w:type="dxa"/>
          </w:tcPr>
          <w:p w14:paraId="218AB878" w14:textId="3E33855A"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67</w:t>
            </w:r>
          </w:p>
          <w:p w14:paraId="61D3A2CB" w14:textId="77777777" w:rsidR="00523145" w:rsidRPr="00523145" w:rsidRDefault="00523145" w:rsidP="00523145">
            <w:pPr>
              <w:spacing w:before="40" w:after="40"/>
              <w:rPr>
                <w:rFonts w:cstheme="minorHAnsi"/>
                <w:sz w:val="22"/>
                <w:szCs w:val="22"/>
                <w:lang w:val="ru-RU" w:eastAsia="ko-KR"/>
              </w:rPr>
            </w:pPr>
            <w:r w:rsidRPr="00523145">
              <w:rPr>
                <w:rFonts w:cstheme="minorHAnsi"/>
                <w:bCs/>
                <w:sz w:val="22"/>
                <w:szCs w:val="22"/>
                <w:lang w:val="ru-RU"/>
              </w:rPr>
              <w:t>The role of the ITU Telecommunication Development Sector in child online protection</w:t>
            </w:r>
            <w:r w:rsidRPr="00523145">
              <w:rPr>
                <w:rFonts w:cstheme="minorHAnsi"/>
                <w:sz w:val="22"/>
                <w:szCs w:val="22"/>
                <w:lang w:val="ru-RU" w:eastAsia="ko-KR"/>
              </w:rPr>
              <w:t xml:space="preserve"> </w:t>
            </w:r>
          </w:p>
        </w:tc>
        <w:tc>
          <w:tcPr>
            <w:tcW w:w="4825" w:type="dxa"/>
          </w:tcPr>
          <w:p w14:paraId="0F191F5D" w14:textId="079A1C12"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179</w:t>
            </w:r>
          </w:p>
          <w:p w14:paraId="51D4EF8D" w14:textId="77777777" w:rsidR="00523145" w:rsidRPr="00523145" w:rsidRDefault="00523145" w:rsidP="00523145">
            <w:pPr>
              <w:spacing w:before="40" w:after="40"/>
              <w:rPr>
                <w:rFonts w:cstheme="minorHAnsi"/>
                <w:sz w:val="22"/>
                <w:szCs w:val="22"/>
                <w:lang w:val="ru-RU" w:eastAsia="ko-KR"/>
              </w:rPr>
            </w:pPr>
            <w:r w:rsidRPr="00523145">
              <w:rPr>
                <w:rFonts w:cstheme="minorHAnsi"/>
                <w:bCs/>
                <w:sz w:val="22"/>
                <w:szCs w:val="22"/>
                <w:lang w:val="ru-RU"/>
              </w:rPr>
              <w:t>ITU’s role in child online protection</w:t>
            </w:r>
          </w:p>
        </w:tc>
      </w:tr>
      <w:tr w:rsidR="00523145" w:rsidRPr="00523145" w14:paraId="023137AF" w14:textId="77777777" w:rsidTr="00523145">
        <w:tc>
          <w:tcPr>
            <w:tcW w:w="4531" w:type="dxa"/>
          </w:tcPr>
          <w:p w14:paraId="491518EC"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76</w:t>
            </w:r>
          </w:p>
          <w:p w14:paraId="4969EC20"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Promoting information and communication technologies among young women and men for social and economic empowerment</w:t>
            </w:r>
          </w:p>
        </w:tc>
        <w:tc>
          <w:tcPr>
            <w:tcW w:w="4825" w:type="dxa"/>
          </w:tcPr>
          <w:p w14:paraId="7F947205"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198</w:t>
            </w:r>
          </w:p>
          <w:p w14:paraId="4ADC5838" w14:textId="72EA1DB1" w:rsidR="00523145" w:rsidRPr="00523145" w:rsidRDefault="00523145" w:rsidP="00523145">
            <w:pPr>
              <w:spacing w:before="40" w:after="40"/>
              <w:rPr>
                <w:rFonts w:cstheme="minorHAnsi"/>
                <w:bCs/>
                <w:sz w:val="22"/>
                <w:szCs w:val="22"/>
                <w:lang w:val="ru-RU"/>
              </w:rPr>
            </w:pPr>
            <w:r w:rsidRPr="00523145">
              <w:rPr>
                <w:rFonts w:cstheme="minorHAnsi"/>
                <w:bCs/>
                <w:sz w:val="22"/>
                <w:szCs w:val="22"/>
                <w:lang w:val="ru-RU"/>
              </w:rPr>
              <w:t>Empowerment of youth through telecommunication/information and communication technology</w:t>
            </w:r>
          </w:p>
        </w:tc>
      </w:tr>
      <w:tr w:rsidR="00523145" w:rsidRPr="00523145" w14:paraId="3215D93B" w14:textId="77777777" w:rsidTr="00523145">
        <w:tc>
          <w:tcPr>
            <w:tcW w:w="4531" w:type="dxa"/>
          </w:tcPr>
          <w:p w14:paraId="3531F829"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77</w:t>
            </w:r>
          </w:p>
          <w:p w14:paraId="590A1097"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Broadband technology and applications for greater growth and development of telecommunication/information and communication services and broadband connectivity</w:t>
            </w:r>
          </w:p>
        </w:tc>
        <w:tc>
          <w:tcPr>
            <w:tcW w:w="4825" w:type="dxa"/>
          </w:tcPr>
          <w:p w14:paraId="722B5D93"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203</w:t>
            </w:r>
          </w:p>
          <w:p w14:paraId="04B1BFC0"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Connectivity to broadband networks</w:t>
            </w:r>
          </w:p>
        </w:tc>
      </w:tr>
      <w:tr w:rsidR="00523145" w:rsidRPr="00523145" w14:paraId="62C51172" w14:textId="77777777" w:rsidTr="00523145">
        <w:tc>
          <w:tcPr>
            <w:tcW w:w="4531" w:type="dxa"/>
          </w:tcPr>
          <w:p w14:paraId="0B3B73EB" w14:textId="04197734" w:rsidR="00523145" w:rsidRPr="00523145" w:rsidRDefault="00523145" w:rsidP="00845C63">
            <w:pPr>
              <w:keepNext/>
              <w:spacing w:before="40" w:after="40"/>
              <w:rPr>
                <w:rFonts w:cstheme="minorHAnsi"/>
                <w:b/>
                <w:bCs/>
                <w:sz w:val="22"/>
                <w:szCs w:val="22"/>
                <w:lang w:val="ru-RU"/>
              </w:rPr>
            </w:pPr>
            <w:r w:rsidRPr="00523145">
              <w:rPr>
                <w:rFonts w:cstheme="minorHAnsi"/>
                <w:b/>
                <w:bCs/>
                <w:sz w:val="22"/>
                <w:szCs w:val="22"/>
                <w:lang w:val="ru-RU"/>
              </w:rPr>
              <w:lastRenderedPageBreak/>
              <w:t>Resolution 79</w:t>
            </w:r>
          </w:p>
          <w:p w14:paraId="02DABCCA" w14:textId="77777777" w:rsidR="00523145" w:rsidRPr="00523145" w:rsidRDefault="00523145" w:rsidP="00845C63">
            <w:pPr>
              <w:keepNext/>
              <w:spacing w:before="40" w:after="40"/>
              <w:rPr>
                <w:rFonts w:cstheme="minorHAnsi"/>
                <w:b/>
                <w:bCs/>
                <w:sz w:val="22"/>
                <w:szCs w:val="22"/>
                <w:lang w:val="ru-RU"/>
              </w:rPr>
            </w:pPr>
            <w:r w:rsidRPr="00523145">
              <w:rPr>
                <w:rFonts w:cstheme="minorHAnsi"/>
                <w:bCs/>
                <w:sz w:val="22"/>
                <w:szCs w:val="22"/>
                <w:lang w:val="ru-RU"/>
              </w:rPr>
              <w:t>The role of telecommunications/information and communication technologies in combating and dealing with counterfeit and tampered telecommunication/ information and communication devices</w:t>
            </w:r>
          </w:p>
        </w:tc>
        <w:tc>
          <w:tcPr>
            <w:tcW w:w="4825" w:type="dxa"/>
          </w:tcPr>
          <w:p w14:paraId="1C8950A0" w14:textId="4BF7475A" w:rsidR="00523145" w:rsidRPr="00523145" w:rsidRDefault="00523145" w:rsidP="00845C63">
            <w:pPr>
              <w:keepNext/>
              <w:spacing w:before="40" w:after="40"/>
              <w:rPr>
                <w:rFonts w:cstheme="minorHAnsi"/>
                <w:b/>
                <w:bCs/>
                <w:sz w:val="22"/>
                <w:szCs w:val="22"/>
                <w:lang w:val="ru-RU"/>
              </w:rPr>
            </w:pPr>
            <w:r w:rsidRPr="00523145">
              <w:rPr>
                <w:rFonts w:cstheme="minorHAnsi"/>
                <w:b/>
                <w:bCs/>
                <w:sz w:val="22"/>
                <w:szCs w:val="22"/>
                <w:lang w:val="ru-RU"/>
              </w:rPr>
              <w:t>Resolution 188</w:t>
            </w:r>
          </w:p>
          <w:p w14:paraId="5AE6C94A" w14:textId="77777777" w:rsidR="00523145" w:rsidRPr="00523145" w:rsidRDefault="00523145" w:rsidP="00845C63">
            <w:pPr>
              <w:keepNext/>
              <w:spacing w:before="40" w:after="40"/>
              <w:rPr>
                <w:rFonts w:cstheme="minorHAnsi"/>
                <w:b/>
                <w:bCs/>
                <w:sz w:val="22"/>
                <w:szCs w:val="22"/>
                <w:lang w:val="ru-RU"/>
              </w:rPr>
            </w:pPr>
            <w:r w:rsidRPr="00523145">
              <w:rPr>
                <w:rFonts w:cstheme="minorHAnsi"/>
                <w:bCs/>
                <w:sz w:val="22"/>
                <w:szCs w:val="22"/>
                <w:lang w:val="ru-RU"/>
              </w:rPr>
              <w:t>Combating counterfeit and tampered telecommunication/information and communication technology devices</w:t>
            </w:r>
          </w:p>
        </w:tc>
      </w:tr>
      <w:tr w:rsidR="00523145" w:rsidRPr="00523145" w14:paraId="51D01076" w14:textId="77777777" w:rsidTr="00523145">
        <w:tc>
          <w:tcPr>
            <w:tcW w:w="4531" w:type="dxa"/>
          </w:tcPr>
          <w:p w14:paraId="3D3B1C07"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82</w:t>
            </w:r>
          </w:p>
          <w:p w14:paraId="1FAF1BAD"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bCs/>
                <w:sz w:val="22"/>
                <w:szCs w:val="22"/>
                <w:lang w:val="ru-RU"/>
              </w:rPr>
            </w:pPr>
            <w:r w:rsidRPr="00523145">
              <w:rPr>
                <w:rFonts w:cstheme="minorHAnsi"/>
                <w:bCs/>
                <w:sz w:val="22"/>
                <w:szCs w:val="22"/>
                <w:lang w:val="ru-RU"/>
              </w:rPr>
              <w:t>Preserving and promoting multilingualism on the Internet</w:t>
            </w:r>
          </w:p>
          <w:p w14:paraId="1BC57B3D"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for an inclusive information society</w:t>
            </w:r>
          </w:p>
        </w:tc>
        <w:tc>
          <w:tcPr>
            <w:tcW w:w="4825" w:type="dxa"/>
          </w:tcPr>
          <w:p w14:paraId="0215A044" w14:textId="51ADE672"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133</w:t>
            </w:r>
          </w:p>
          <w:p w14:paraId="12B200A9" w14:textId="77777777" w:rsidR="00523145" w:rsidRPr="00523145" w:rsidRDefault="00523145" w:rsidP="00523145">
            <w:pPr>
              <w:tabs>
                <w:tab w:val="clear" w:pos="794"/>
                <w:tab w:val="clear" w:pos="1191"/>
                <w:tab w:val="clear" w:pos="1588"/>
                <w:tab w:val="clear" w:pos="1985"/>
              </w:tabs>
              <w:overflowPunct/>
              <w:spacing w:before="40" w:after="40"/>
              <w:textAlignment w:val="auto"/>
              <w:rPr>
                <w:rFonts w:cstheme="minorHAnsi"/>
                <w:b/>
                <w:bCs/>
                <w:sz w:val="22"/>
                <w:szCs w:val="22"/>
                <w:lang w:val="ru-RU"/>
              </w:rPr>
            </w:pPr>
            <w:r w:rsidRPr="00523145">
              <w:rPr>
                <w:rFonts w:cstheme="minorHAnsi"/>
                <w:bCs/>
                <w:sz w:val="22"/>
                <w:szCs w:val="22"/>
                <w:lang w:val="ru-RU"/>
              </w:rPr>
              <w:t>Role of administrations of Member States in the management of internationalized (multilingual) domain names</w:t>
            </w:r>
          </w:p>
        </w:tc>
      </w:tr>
      <w:tr w:rsidR="00523145" w:rsidRPr="00523145" w14:paraId="5093CFE9" w14:textId="77777777" w:rsidTr="00523145">
        <w:tc>
          <w:tcPr>
            <w:tcW w:w="4531" w:type="dxa"/>
          </w:tcPr>
          <w:p w14:paraId="36147122"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84</w:t>
            </w:r>
          </w:p>
          <w:p w14:paraId="4944FF44" w14:textId="77777777" w:rsidR="00523145" w:rsidRPr="00523145" w:rsidRDefault="00523145" w:rsidP="00523145">
            <w:pPr>
              <w:spacing w:before="40" w:after="40"/>
              <w:rPr>
                <w:rFonts w:cstheme="minorHAnsi"/>
                <w:sz w:val="22"/>
                <w:szCs w:val="22"/>
                <w:lang w:val="ru-RU"/>
              </w:rPr>
            </w:pPr>
            <w:r w:rsidRPr="00523145">
              <w:rPr>
                <w:rFonts w:cstheme="minorHAnsi"/>
                <w:bCs/>
                <w:sz w:val="22"/>
                <w:szCs w:val="22"/>
                <w:lang w:val="ru-RU"/>
              </w:rPr>
              <w:t>Combating mobile telecommunication device theft</w:t>
            </w:r>
          </w:p>
        </w:tc>
        <w:tc>
          <w:tcPr>
            <w:tcW w:w="4825" w:type="dxa"/>
          </w:tcPr>
          <w:p w14:paraId="7701AC57" w14:textId="176E96E2"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189</w:t>
            </w:r>
          </w:p>
          <w:p w14:paraId="163D813D" w14:textId="77777777" w:rsidR="00523145" w:rsidRPr="00523145" w:rsidRDefault="00523145" w:rsidP="00523145">
            <w:pPr>
              <w:spacing w:before="40" w:after="40"/>
              <w:rPr>
                <w:rFonts w:cstheme="minorHAnsi"/>
                <w:sz w:val="22"/>
                <w:szCs w:val="22"/>
                <w:lang w:val="ru-RU"/>
              </w:rPr>
            </w:pPr>
            <w:r w:rsidRPr="00523145">
              <w:rPr>
                <w:rFonts w:cstheme="minorHAnsi"/>
                <w:bCs/>
                <w:sz w:val="22"/>
                <w:szCs w:val="22"/>
                <w:lang w:val="ru-RU"/>
              </w:rPr>
              <w:t>Assisting Member States to combat and deter mobile device theft</w:t>
            </w:r>
          </w:p>
        </w:tc>
      </w:tr>
      <w:tr w:rsidR="00523145" w:rsidRPr="00523145" w14:paraId="09F305DB" w14:textId="77777777" w:rsidTr="00523145">
        <w:tc>
          <w:tcPr>
            <w:tcW w:w="4531" w:type="dxa"/>
          </w:tcPr>
          <w:p w14:paraId="519BF3D0" w14:textId="77777777" w:rsidR="00523145" w:rsidRPr="00523145" w:rsidRDefault="00523145" w:rsidP="00523145">
            <w:pPr>
              <w:spacing w:before="40" w:after="40"/>
              <w:rPr>
                <w:rFonts w:cstheme="minorHAnsi"/>
                <w:sz w:val="22"/>
                <w:szCs w:val="22"/>
                <w:lang w:val="ru-RU" w:eastAsia="ko-KR"/>
              </w:rPr>
            </w:pPr>
            <w:r w:rsidRPr="00523145">
              <w:rPr>
                <w:rFonts w:cstheme="minorHAnsi"/>
                <w:b/>
                <w:bCs/>
                <w:sz w:val="22"/>
                <w:szCs w:val="22"/>
                <w:lang w:val="ru-RU"/>
              </w:rPr>
              <w:t>Resolution 85</w:t>
            </w:r>
          </w:p>
          <w:p w14:paraId="66E5480E"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Facilitating the Internet of Things and smart sustainable cities and communities for global development</w:t>
            </w:r>
          </w:p>
        </w:tc>
        <w:tc>
          <w:tcPr>
            <w:tcW w:w="4825" w:type="dxa"/>
          </w:tcPr>
          <w:p w14:paraId="050A2498"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197</w:t>
            </w:r>
          </w:p>
          <w:p w14:paraId="712A9715"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Facilitating the Internet of Things and smart sustainable cities and communities</w:t>
            </w:r>
            <w:r w:rsidRPr="00523145">
              <w:rPr>
                <w:rFonts w:cstheme="minorHAnsi"/>
                <w:b/>
                <w:bCs/>
                <w:sz w:val="22"/>
                <w:szCs w:val="22"/>
                <w:lang w:val="ru-RU"/>
              </w:rPr>
              <w:t xml:space="preserve"> </w:t>
            </w:r>
          </w:p>
        </w:tc>
      </w:tr>
      <w:tr w:rsidR="00523145" w:rsidRPr="00523145" w14:paraId="2DBB57AB" w14:textId="77777777" w:rsidTr="00523145">
        <w:tc>
          <w:tcPr>
            <w:tcW w:w="4531" w:type="dxa"/>
          </w:tcPr>
          <w:p w14:paraId="4B345489" w14:textId="77777777" w:rsidR="00523145" w:rsidRPr="00523145" w:rsidRDefault="00523145" w:rsidP="00523145">
            <w:pPr>
              <w:spacing w:before="40" w:after="40"/>
              <w:rPr>
                <w:rFonts w:cstheme="minorHAnsi"/>
                <w:b/>
                <w:bCs/>
                <w:sz w:val="22"/>
                <w:szCs w:val="22"/>
                <w:lang w:val="ru-RU"/>
              </w:rPr>
            </w:pPr>
            <w:r w:rsidRPr="00523145">
              <w:rPr>
                <w:rFonts w:cstheme="minorHAnsi"/>
                <w:b/>
                <w:bCs/>
                <w:sz w:val="22"/>
                <w:szCs w:val="22"/>
                <w:lang w:val="ru-RU"/>
              </w:rPr>
              <w:t>Resolution 90</w:t>
            </w:r>
          </w:p>
          <w:p w14:paraId="319BEB87"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Foster telecommunication/ICT-centric entrepreneurship and digital innovation ecosystems for sustainable digital development</w:t>
            </w:r>
          </w:p>
        </w:tc>
        <w:tc>
          <w:tcPr>
            <w:tcW w:w="4825" w:type="dxa"/>
          </w:tcPr>
          <w:p w14:paraId="45A77920" w14:textId="74F7636B" w:rsidR="00523145" w:rsidRPr="00523145" w:rsidRDefault="00523145" w:rsidP="00523145">
            <w:pPr>
              <w:tabs>
                <w:tab w:val="clear" w:pos="794"/>
                <w:tab w:val="clear" w:pos="1191"/>
                <w:tab w:val="clear" w:pos="1588"/>
                <w:tab w:val="clear" w:pos="1985"/>
              </w:tabs>
              <w:overflowPunct/>
              <w:spacing w:before="40" w:after="40"/>
              <w:textAlignment w:val="auto"/>
              <w:rPr>
                <w:rFonts w:eastAsiaTheme="minorHAnsi" w:cstheme="minorHAnsi"/>
                <w:b/>
                <w:bCs/>
                <w:sz w:val="22"/>
                <w:szCs w:val="22"/>
                <w:lang w:val="ru-RU"/>
              </w:rPr>
            </w:pPr>
            <w:r w:rsidRPr="00523145">
              <w:rPr>
                <w:rFonts w:cstheme="minorHAnsi"/>
                <w:b/>
                <w:bCs/>
                <w:sz w:val="22"/>
                <w:szCs w:val="22"/>
                <w:lang w:val="ru-RU"/>
              </w:rPr>
              <w:t>Resolution</w:t>
            </w:r>
            <w:r w:rsidRPr="00523145">
              <w:rPr>
                <w:rFonts w:eastAsiaTheme="minorHAnsi" w:cstheme="minorHAnsi"/>
                <w:b/>
                <w:bCs/>
                <w:sz w:val="22"/>
                <w:szCs w:val="22"/>
                <w:lang w:val="ru-RU"/>
              </w:rPr>
              <w:t xml:space="preserve"> 205</w:t>
            </w:r>
          </w:p>
          <w:p w14:paraId="44DEADB8" w14:textId="77777777" w:rsidR="00523145" w:rsidRPr="00523145" w:rsidRDefault="00523145" w:rsidP="00523145">
            <w:pPr>
              <w:spacing w:before="40" w:after="40"/>
              <w:rPr>
                <w:rFonts w:cstheme="minorHAnsi"/>
                <w:b/>
                <w:bCs/>
                <w:sz w:val="22"/>
                <w:szCs w:val="22"/>
                <w:lang w:val="ru-RU"/>
              </w:rPr>
            </w:pPr>
            <w:r w:rsidRPr="00523145">
              <w:rPr>
                <w:rFonts w:cstheme="minorHAnsi"/>
                <w:bCs/>
                <w:sz w:val="22"/>
                <w:szCs w:val="22"/>
                <w:lang w:val="ru-RU"/>
              </w:rPr>
              <w:t>ITU's role in fostering telecommunication/information and communication technology-centric innovation to support the digital economy and society</w:t>
            </w:r>
          </w:p>
        </w:tc>
      </w:tr>
    </w:tbl>
    <w:p w14:paraId="3D4A9036" w14:textId="4C91CE04" w:rsidR="00CC2052" w:rsidRPr="00CC2052" w:rsidRDefault="00CC2052" w:rsidP="00CC2052">
      <w:pPr>
        <w:pStyle w:val="ListParagraph"/>
        <w:numPr>
          <w:ilvl w:val="0"/>
          <w:numId w:val="6"/>
        </w:numPr>
        <w:spacing w:after="120"/>
        <w:rPr>
          <w:rFonts w:cstheme="minorHAnsi"/>
          <w:b/>
          <w:bCs/>
          <w:szCs w:val="24"/>
          <w:lang w:val="en"/>
        </w:rPr>
      </w:pPr>
      <w:r w:rsidRPr="00CC2052">
        <w:rPr>
          <w:rFonts w:cstheme="minorHAnsi"/>
          <w:b/>
          <w:bCs/>
          <w:szCs w:val="24"/>
          <w:lang w:val="en"/>
        </w:rPr>
        <w:t>Proposals</w:t>
      </w:r>
    </w:p>
    <w:p w14:paraId="708B2A3A" w14:textId="77777777" w:rsidR="00CC2052" w:rsidRPr="00CC2052" w:rsidRDefault="00CC2052" w:rsidP="00CC2052">
      <w:pPr>
        <w:spacing w:after="120"/>
        <w:rPr>
          <w:rFonts w:cstheme="minorHAnsi"/>
          <w:szCs w:val="24"/>
          <w:lang w:val="ru-RU"/>
        </w:rPr>
      </w:pPr>
      <w:r w:rsidRPr="00CC2052">
        <w:rPr>
          <w:rFonts w:cstheme="minorHAnsi"/>
          <w:szCs w:val="24"/>
          <w:lang w:val="en"/>
        </w:rPr>
        <w:t>2.1 Continue the work of TDAG to streamline the WTDC Resolutions and the Plenipotentiary Conference, focusing on the separation of the tasks of WTDC and PP resolutions on similar topics.</w:t>
      </w:r>
    </w:p>
    <w:p w14:paraId="25DFDF45" w14:textId="336CA654" w:rsidR="00CC2052" w:rsidRPr="003A28BC" w:rsidRDefault="00CC2052" w:rsidP="00CC2052">
      <w:pPr>
        <w:spacing w:after="120"/>
        <w:rPr>
          <w:rFonts w:cstheme="minorHAnsi"/>
          <w:szCs w:val="24"/>
          <w:lang w:val="en"/>
        </w:rPr>
      </w:pPr>
      <w:r w:rsidRPr="00CC2052">
        <w:rPr>
          <w:rFonts w:cstheme="minorHAnsi"/>
          <w:szCs w:val="24"/>
          <w:lang w:val="en"/>
        </w:rPr>
        <w:t>2.2 Based on the results of PP-22, with the assistance of the BDT Secretariat, review and identify specific ITU-D mandates contained in the PP-22 outcomes, including those not reflected in the relevant WTDC resolutions.</w:t>
      </w:r>
      <w:r w:rsidR="003A28BC">
        <w:rPr>
          <w:rFonts w:cstheme="minorHAnsi"/>
          <w:szCs w:val="24"/>
          <w:lang w:val="en"/>
        </w:rPr>
        <w:t xml:space="preserve"> </w:t>
      </w:r>
      <w:r w:rsidRPr="00CC2052">
        <w:rPr>
          <w:rFonts w:cstheme="minorHAnsi"/>
          <w:szCs w:val="24"/>
          <w:lang w:val="en"/>
        </w:rPr>
        <w:t>On the basis of this analysis,</w:t>
      </w:r>
      <w:r w:rsidR="003A28BC">
        <w:rPr>
          <w:rFonts w:cstheme="minorHAnsi"/>
          <w:szCs w:val="24"/>
          <w:lang w:val="en"/>
        </w:rPr>
        <w:t xml:space="preserve"> </w:t>
      </w:r>
      <w:r w:rsidRPr="00CC2052">
        <w:rPr>
          <w:rFonts w:cstheme="minorHAnsi"/>
          <w:szCs w:val="24"/>
          <w:lang w:val="en"/>
        </w:rPr>
        <w:t>prepare proposals for revision</w:t>
      </w:r>
      <w:r>
        <w:rPr>
          <w:rFonts w:cstheme="minorHAnsi"/>
          <w:szCs w:val="24"/>
          <w:lang w:val="en"/>
        </w:rPr>
        <w:t xml:space="preserve"> </w:t>
      </w:r>
      <w:r w:rsidRPr="00CC2052">
        <w:rPr>
          <w:rFonts w:cstheme="minorHAnsi"/>
          <w:szCs w:val="24"/>
          <w:lang w:val="en"/>
        </w:rPr>
        <w:t>of the WTDC resolution with</w:t>
      </w:r>
      <w:r w:rsidR="003A28BC">
        <w:rPr>
          <w:rFonts w:cstheme="minorHAnsi"/>
          <w:szCs w:val="24"/>
          <w:lang w:val="en"/>
        </w:rPr>
        <w:t xml:space="preserve"> </w:t>
      </w:r>
      <w:r w:rsidRPr="00CC2052">
        <w:rPr>
          <w:rFonts w:cstheme="minorHAnsi"/>
          <w:szCs w:val="24"/>
          <w:lang w:val="en"/>
        </w:rPr>
        <w:t>a view to simplifying them by referring to the relevant PP resolution and defining specific instructions to the Sector on this issue, or by deleting the WTDC resolution with the relevant requirements reflected in another WTDC resolution, if necessary.</w:t>
      </w:r>
    </w:p>
    <w:p w14:paraId="7759C759" w14:textId="0393C461" w:rsidR="00821996" w:rsidRDefault="003C58BF" w:rsidP="00BA2A30">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4071B" w14:textId="77777777" w:rsidR="00426764" w:rsidRDefault="0042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E3B7" w14:textId="77777777" w:rsidR="00426764" w:rsidRDefault="0042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440E" w14:textId="77777777" w:rsidR="00CA23BC" w:rsidRDefault="00CA23BC" w:rsidP="00CA23BC">
    <w:pPr>
      <w:pStyle w:val="Footer"/>
      <w:rPr>
        <w:lang w:val="en-US"/>
      </w:rPr>
    </w:pPr>
  </w:p>
  <w:p w14:paraId="40A321D0" w14:textId="08EB6BB4" w:rsidR="00721657" w:rsidRPr="00E80B77" w:rsidRDefault="001D6061" w:rsidP="00E80B77">
    <w:pPr>
      <w:pStyle w:val="Footer"/>
      <w:jc w:val="center"/>
      <w:rPr>
        <w:lang w:val="en-GB"/>
      </w:rPr>
    </w:pPr>
    <w:hyperlink r:id="rId1" w:history="1">
      <w:r w:rsidR="00E80B77">
        <w:rPr>
          <w:rStyle w:val="Hyperlink"/>
          <w:caps w:val="0"/>
          <w:noProof w:val="0"/>
          <w:sz w:val="18"/>
          <w:szCs w:val="18"/>
          <w:lang w:val="en-US"/>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7A1F6F50" w14:textId="3090B381" w:rsidR="00CC2052" w:rsidRPr="00CC2052" w:rsidRDefault="00CC2052" w:rsidP="00CC2052">
      <w:pPr>
        <w:pStyle w:val="FootnoteText"/>
        <w:spacing w:before="0"/>
        <w:ind w:left="0" w:firstLine="0"/>
        <w:rPr>
          <w:sz w:val="20"/>
          <w:lang w:val="ru-RU"/>
        </w:rPr>
      </w:pPr>
      <w:r w:rsidRPr="00CC2052">
        <w:rPr>
          <w:rStyle w:val="FootnoteReference"/>
          <w:sz w:val="20"/>
        </w:rPr>
        <w:footnoteRef/>
      </w:r>
      <w:r w:rsidRPr="00CC2052">
        <w:rPr>
          <w:sz w:val="20"/>
          <w:lang w:val="en"/>
        </w:rPr>
        <w:t xml:space="preserve"> This contribution was agreed at the meeting of the Working Group on Work with the ITU RCC Commission for the Coordination of International Collaborations 20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2918" w14:textId="77777777" w:rsidR="00426764" w:rsidRDefault="0042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57D62D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CC2052">
      <w:rPr>
        <w:sz w:val="22"/>
        <w:szCs w:val="22"/>
        <w:lang w:val="de-CH"/>
      </w:rPr>
      <w:t>31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8A77" w14:textId="77777777" w:rsidR="00426764" w:rsidRDefault="0042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E3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99B"/>
    <w:rsid w:val="001850FE"/>
    <w:rsid w:val="00185135"/>
    <w:rsid w:val="00185AE9"/>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6061"/>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445A"/>
    <w:rsid w:val="00380B71"/>
    <w:rsid w:val="0038365A"/>
    <w:rsid w:val="00386A89"/>
    <w:rsid w:val="0039648E"/>
    <w:rsid w:val="003A28B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26764"/>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1D8D"/>
    <w:rsid w:val="00502ABF"/>
    <w:rsid w:val="00504DB0"/>
    <w:rsid w:val="00507C35"/>
    <w:rsid w:val="00510735"/>
    <w:rsid w:val="00514D2F"/>
    <w:rsid w:val="0052314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1C27"/>
    <w:rsid w:val="00671EF6"/>
    <w:rsid w:val="0067205B"/>
    <w:rsid w:val="006748F8"/>
    <w:rsid w:val="00680489"/>
    <w:rsid w:val="00683C32"/>
    <w:rsid w:val="00685ECD"/>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45C63"/>
    <w:rsid w:val="00852081"/>
    <w:rsid w:val="008626CD"/>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40BF"/>
    <w:rsid w:val="00CB79C5"/>
    <w:rsid w:val="00CC2052"/>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4345"/>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05A0-84F8-4F85-89D4-8CE2EB4E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1218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17</cp:revision>
  <cp:lastPrinted>2014-11-04T09:22:00Z</cp:lastPrinted>
  <dcterms:created xsi:type="dcterms:W3CDTF">2023-05-23T12:00:00Z</dcterms:created>
  <dcterms:modified xsi:type="dcterms:W3CDTF">2023-05-29T12:55:00Z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