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66C4C" w14:paraId="3F0E9EC4" w14:textId="77777777" w:rsidTr="00952667">
        <w:trPr>
          <w:cantSplit/>
          <w:trHeight w:val="1134"/>
        </w:trPr>
        <w:tc>
          <w:tcPr>
            <w:tcW w:w="6379" w:type="dxa"/>
          </w:tcPr>
          <w:p w14:paraId="68FE8375" w14:textId="60D4E501" w:rsidR="00307769" w:rsidRPr="00A66C4C" w:rsidRDefault="001011EB" w:rsidP="00307769">
            <w:pPr>
              <w:tabs>
                <w:tab w:val="clear" w:pos="1191"/>
                <w:tab w:val="clear" w:pos="1588"/>
                <w:tab w:val="clear" w:pos="1985"/>
              </w:tabs>
              <w:ind w:left="34"/>
              <w:rPr>
                <w:b/>
                <w:bCs/>
                <w:sz w:val="32"/>
                <w:szCs w:val="32"/>
                <w:lang w:val="fr-FR"/>
              </w:rPr>
            </w:pPr>
            <w:r w:rsidRPr="00A66C4C">
              <w:rPr>
                <w:b/>
                <w:bCs/>
                <w:sz w:val="32"/>
                <w:szCs w:val="32"/>
                <w:lang w:val="fr-FR"/>
              </w:rPr>
              <w:t xml:space="preserve">Groupe consultatif pour le développement </w:t>
            </w:r>
            <w:r w:rsidR="00307769" w:rsidRPr="00A66C4C">
              <w:rPr>
                <w:b/>
                <w:bCs/>
                <w:sz w:val="32"/>
                <w:szCs w:val="32"/>
                <w:lang w:val="fr-FR"/>
              </w:rPr>
              <w:br/>
            </w:r>
            <w:r w:rsidRPr="00A66C4C">
              <w:rPr>
                <w:b/>
                <w:bCs/>
                <w:sz w:val="32"/>
                <w:szCs w:val="32"/>
                <w:lang w:val="fr-FR"/>
              </w:rPr>
              <w:t>des télécommunications (GCDT</w:t>
            </w:r>
            <w:r w:rsidR="00307769" w:rsidRPr="00A66C4C">
              <w:rPr>
                <w:b/>
                <w:bCs/>
                <w:sz w:val="32"/>
                <w:szCs w:val="32"/>
                <w:lang w:val="fr-FR"/>
              </w:rPr>
              <w:t>)</w:t>
            </w:r>
          </w:p>
          <w:p w14:paraId="5F5F590A" w14:textId="0A20C9ED" w:rsidR="00307769" w:rsidRPr="00A66C4C" w:rsidRDefault="00307769" w:rsidP="001011EB">
            <w:pPr>
              <w:tabs>
                <w:tab w:val="clear" w:pos="1191"/>
                <w:tab w:val="clear" w:pos="1588"/>
                <w:tab w:val="clear" w:pos="1985"/>
              </w:tabs>
              <w:spacing w:after="120"/>
              <w:ind w:left="34"/>
              <w:rPr>
                <w:rFonts w:ascii="Verdana" w:hAnsi="Verdana"/>
                <w:sz w:val="28"/>
                <w:szCs w:val="28"/>
                <w:lang w:val="fr-FR"/>
              </w:rPr>
            </w:pPr>
            <w:r w:rsidRPr="00A66C4C">
              <w:rPr>
                <w:b/>
                <w:bCs/>
                <w:sz w:val="26"/>
                <w:szCs w:val="26"/>
                <w:lang w:val="fr-FR"/>
              </w:rPr>
              <w:t>30</w:t>
            </w:r>
            <w:r w:rsidR="001011EB" w:rsidRPr="00A66C4C">
              <w:rPr>
                <w:b/>
                <w:bCs/>
                <w:sz w:val="26"/>
                <w:szCs w:val="26"/>
                <w:lang w:val="fr-FR"/>
              </w:rPr>
              <w:t>ème réunion</w:t>
            </w:r>
            <w:r w:rsidRPr="00A66C4C">
              <w:rPr>
                <w:b/>
                <w:bCs/>
                <w:sz w:val="26"/>
                <w:szCs w:val="26"/>
                <w:lang w:val="fr-FR"/>
              </w:rPr>
              <w:t xml:space="preserve">, </w:t>
            </w:r>
            <w:r w:rsidR="001011EB" w:rsidRPr="00A66C4C">
              <w:rPr>
                <w:b/>
                <w:bCs/>
                <w:sz w:val="26"/>
                <w:szCs w:val="26"/>
                <w:lang w:val="fr-FR"/>
              </w:rPr>
              <w:t>Genève</w:t>
            </w:r>
            <w:r w:rsidRPr="00A66C4C">
              <w:rPr>
                <w:b/>
                <w:bCs/>
                <w:sz w:val="26"/>
                <w:szCs w:val="26"/>
                <w:lang w:val="fr-FR"/>
              </w:rPr>
              <w:t xml:space="preserve"> </w:t>
            </w:r>
            <w:r w:rsidR="001011EB" w:rsidRPr="00A66C4C">
              <w:rPr>
                <w:b/>
                <w:bCs/>
                <w:sz w:val="26"/>
                <w:szCs w:val="26"/>
                <w:lang w:val="fr-FR"/>
              </w:rPr>
              <w:t>(Suisse)</w:t>
            </w:r>
            <w:r w:rsidRPr="00A66C4C">
              <w:rPr>
                <w:b/>
                <w:bCs/>
                <w:sz w:val="26"/>
                <w:szCs w:val="26"/>
                <w:lang w:val="fr-FR"/>
              </w:rPr>
              <w:t xml:space="preserve">, 19-23 </w:t>
            </w:r>
            <w:r w:rsidR="001011EB" w:rsidRPr="00A66C4C">
              <w:rPr>
                <w:b/>
                <w:bCs/>
                <w:sz w:val="26"/>
                <w:szCs w:val="26"/>
                <w:lang w:val="fr-FR"/>
              </w:rPr>
              <w:t>juin</w:t>
            </w:r>
            <w:r w:rsidRPr="00A66C4C">
              <w:rPr>
                <w:b/>
                <w:bCs/>
                <w:sz w:val="26"/>
                <w:szCs w:val="26"/>
                <w:lang w:val="fr-FR"/>
              </w:rPr>
              <w:t xml:space="preserve"> 2023</w:t>
            </w:r>
          </w:p>
        </w:tc>
        <w:tc>
          <w:tcPr>
            <w:tcW w:w="3509" w:type="dxa"/>
          </w:tcPr>
          <w:p w14:paraId="67E7B4C4" w14:textId="0F52E4CC" w:rsidR="00307769" w:rsidRPr="00A66C4C" w:rsidRDefault="00307769" w:rsidP="00952667">
            <w:pPr>
              <w:spacing w:after="120"/>
              <w:ind w:right="142"/>
              <w:jc w:val="right"/>
              <w:rPr>
                <w:lang w:val="fr-FR"/>
              </w:rPr>
            </w:pPr>
            <w:r w:rsidRPr="00A66C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66C4C" w14:paraId="3C13197B" w14:textId="77777777" w:rsidTr="0009076F">
        <w:trPr>
          <w:cantSplit/>
        </w:trPr>
        <w:tc>
          <w:tcPr>
            <w:tcW w:w="6379" w:type="dxa"/>
            <w:tcBorders>
              <w:top w:val="single" w:sz="12" w:space="0" w:color="auto"/>
            </w:tcBorders>
          </w:tcPr>
          <w:p w14:paraId="2EED9DB2" w14:textId="77777777" w:rsidR="00683C32" w:rsidRPr="00A66C4C"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66C4C" w:rsidRDefault="00683C32" w:rsidP="00107E85">
            <w:pPr>
              <w:spacing w:before="0"/>
              <w:rPr>
                <w:b/>
                <w:bCs/>
                <w:sz w:val="20"/>
                <w:lang w:val="fr-FR"/>
              </w:rPr>
            </w:pPr>
          </w:p>
        </w:tc>
      </w:tr>
      <w:tr w:rsidR="00683C32" w:rsidRPr="00A66C4C" w14:paraId="0BB3FBC4" w14:textId="77777777" w:rsidTr="0009076F">
        <w:trPr>
          <w:cantSplit/>
        </w:trPr>
        <w:tc>
          <w:tcPr>
            <w:tcW w:w="6379" w:type="dxa"/>
          </w:tcPr>
          <w:p w14:paraId="43C54B3D" w14:textId="77777777" w:rsidR="00683C32" w:rsidRPr="00A66C4C" w:rsidRDefault="00683C32" w:rsidP="00400CCF">
            <w:pPr>
              <w:pStyle w:val="Committee"/>
              <w:spacing w:before="0"/>
              <w:rPr>
                <w:b w:val="0"/>
                <w:szCs w:val="24"/>
                <w:lang w:val="fr-FR"/>
              </w:rPr>
            </w:pPr>
          </w:p>
        </w:tc>
        <w:tc>
          <w:tcPr>
            <w:tcW w:w="3509" w:type="dxa"/>
          </w:tcPr>
          <w:p w14:paraId="02E44EE9" w14:textId="50CB6597" w:rsidR="00683C32" w:rsidRPr="00A66C4C" w:rsidRDefault="0096201B" w:rsidP="00E25345">
            <w:pPr>
              <w:spacing w:before="0"/>
              <w:jc w:val="both"/>
              <w:rPr>
                <w:bCs/>
                <w:szCs w:val="24"/>
                <w:lang w:val="fr-FR"/>
              </w:rPr>
            </w:pPr>
            <w:r w:rsidRPr="00A66C4C">
              <w:rPr>
                <w:b/>
                <w:bCs/>
                <w:lang w:val="fr-FR"/>
              </w:rPr>
              <w:t xml:space="preserve">Document </w:t>
            </w:r>
            <w:bookmarkStart w:id="0" w:name="DocRef1"/>
            <w:bookmarkEnd w:id="0"/>
            <w:r w:rsidRPr="00A66C4C">
              <w:rPr>
                <w:b/>
                <w:bCs/>
                <w:lang w:val="fr-FR"/>
              </w:rPr>
              <w:t>TDAG</w:t>
            </w:r>
            <w:r w:rsidR="003242AB" w:rsidRPr="00A66C4C">
              <w:rPr>
                <w:b/>
                <w:bCs/>
                <w:lang w:val="fr-FR"/>
              </w:rPr>
              <w:t>-</w:t>
            </w:r>
            <w:r w:rsidR="00B648C7" w:rsidRPr="00A66C4C">
              <w:rPr>
                <w:b/>
                <w:bCs/>
                <w:lang w:val="fr-FR"/>
              </w:rPr>
              <w:t>2</w:t>
            </w:r>
            <w:bookmarkStart w:id="1" w:name="DocNo1"/>
            <w:bookmarkEnd w:id="1"/>
            <w:r w:rsidR="00307769" w:rsidRPr="00A66C4C">
              <w:rPr>
                <w:b/>
                <w:bCs/>
                <w:lang w:val="fr-FR"/>
              </w:rPr>
              <w:t>3</w:t>
            </w:r>
            <w:r w:rsidR="0009076F" w:rsidRPr="00A66C4C">
              <w:rPr>
                <w:b/>
                <w:bCs/>
                <w:lang w:val="fr-FR"/>
              </w:rPr>
              <w:t>/</w:t>
            </w:r>
            <w:r w:rsidR="00BE6BFD">
              <w:rPr>
                <w:b/>
                <w:bCs/>
                <w:lang w:val="fr-FR"/>
              </w:rPr>
              <w:t>30</w:t>
            </w:r>
            <w:r w:rsidRPr="00A66C4C">
              <w:rPr>
                <w:b/>
                <w:bCs/>
                <w:lang w:val="fr-FR"/>
              </w:rPr>
              <w:t>-</w:t>
            </w:r>
            <w:r w:rsidR="00E25345" w:rsidRPr="00A66C4C">
              <w:rPr>
                <w:b/>
                <w:bCs/>
                <w:lang w:val="fr-FR"/>
              </w:rPr>
              <w:t>F</w:t>
            </w:r>
          </w:p>
        </w:tc>
      </w:tr>
      <w:tr w:rsidR="00683C32" w:rsidRPr="00A66C4C" w14:paraId="24D04936" w14:textId="77777777" w:rsidTr="0009076F">
        <w:trPr>
          <w:cantSplit/>
        </w:trPr>
        <w:tc>
          <w:tcPr>
            <w:tcW w:w="6379" w:type="dxa"/>
          </w:tcPr>
          <w:p w14:paraId="12CE4DBF" w14:textId="77777777" w:rsidR="00683C32" w:rsidRPr="00A66C4C" w:rsidRDefault="00683C32" w:rsidP="00400CCF">
            <w:pPr>
              <w:spacing w:before="0"/>
              <w:rPr>
                <w:b/>
                <w:bCs/>
                <w:smallCaps/>
                <w:szCs w:val="24"/>
                <w:lang w:val="fr-FR"/>
              </w:rPr>
            </w:pPr>
          </w:p>
        </w:tc>
        <w:tc>
          <w:tcPr>
            <w:tcW w:w="3509" w:type="dxa"/>
          </w:tcPr>
          <w:p w14:paraId="0F89640F" w14:textId="2AE72B60" w:rsidR="00683C32" w:rsidRPr="00A66C4C" w:rsidRDefault="00BE6BFD" w:rsidP="00B648C7">
            <w:pPr>
              <w:spacing w:before="0"/>
              <w:rPr>
                <w:b/>
                <w:szCs w:val="24"/>
                <w:lang w:val="fr-FR"/>
              </w:rPr>
            </w:pPr>
            <w:bookmarkStart w:id="2" w:name="CreationDate"/>
            <w:bookmarkEnd w:id="2"/>
            <w:r>
              <w:rPr>
                <w:b/>
                <w:bCs/>
                <w:szCs w:val="28"/>
                <w:lang w:val="fr-FR"/>
              </w:rPr>
              <w:t>19 mai 2023</w:t>
            </w:r>
          </w:p>
        </w:tc>
      </w:tr>
      <w:tr w:rsidR="00683C32" w:rsidRPr="00A66C4C" w14:paraId="7B96545F" w14:textId="77777777" w:rsidTr="0009076F">
        <w:trPr>
          <w:cantSplit/>
        </w:trPr>
        <w:tc>
          <w:tcPr>
            <w:tcW w:w="6379" w:type="dxa"/>
          </w:tcPr>
          <w:p w14:paraId="65956FD3" w14:textId="77777777" w:rsidR="00683C32" w:rsidRPr="00A66C4C" w:rsidRDefault="00683C32" w:rsidP="00400CCF">
            <w:pPr>
              <w:spacing w:before="0"/>
              <w:rPr>
                <w:b/>
                <w:bCs/>
                <w:smallCaps/>
                <w:szCs w:val="24"/>
                <w:lang w:val="fr-FR"/>
              </w:rPr>
            </w:pPr>
          </w:p>
        </w:tc>
        <w:tc>
          <w:tcPr>
            <w:tcW w:w="3509" w:type="dxa"/>
          </w:tcPr>
          <w:p w14:paraId="30EFD39F" w14:textId="46E0B671" w:rsidR="00514D2F" w:rsidRPr="00A66C4C" w:rsidRDefault="0096201B" w:rsidP="001011EB">
            <w:pPr>
              <w:spacing w:before="0"/>
              <w:rPr>
                <w:szCs w:val="24"/>
                <w:lang w:val="fr-FR"/>
              </w:rPr>
            </w:pPr>
            <w:r w:rsidRPr="00A66C4C">
              <w:rPr>
                <w:b/>
                <w:lang w:val="fr-FR"/>
              </w:rPr>
              <w:t>Original:</w:t>
            </w:r>
            <w:bookmarkStart w:id="3" w:name="Original"/>
            <w:bookmarkEnd w:id="3"/>
            <w:r w:rsidR="00CE0422" w:rsidRPr="00A66C4C">
              <w:rPr>
                <w:b/>
                <w:lang w:val="fr-FR"/>
              </w:rPr>
              <w:t xml:space="preserve"> </w:t>
            </w:r>
            <w:r w:rsidR="00BE6BFD">
              <w:rPr>
                <w:b/>
                <w:lang w:val="fr-FR"/>
              </w:rPr>
              <w:t>français</w:t>
            </w:r>
          </w:p>
        </w:tc>
      </w:tr>
      <w:tr w:rsidR="00A13162" w:rsidRPr="00A66C4C" w14:paraId="31656E31" w14:textId="77777777" w:rsidTr="00107E85">
        <w:trPr>
          <w:cantSplit/>
          <w:trHeight w:val="852"/>
        </w:trPr>
        <w:tc>
          <w:tcPr>
            <w:tcW w:w="9888" w:type="dxa"/>
            <w:gridSpan w:val="2"/>
          </w:tcPr>
          <w:p w14:paraId="512FCA01" w14:textId="59164427" w:rsidR="00A13162" w:rsidRPr="00A66C4C" w:rsidRDefault="00BE6BFD" w:rsidP="0030353C">
            <w:pPr>
              <w:pStyle w:val="Source"/>
              <w:rPr>
                <w:lang w:val="fr-FR"/>
              </w:rPr>
            </w:pPr>
            <w:bookmarkStart w:id="4" w:name="Source"/>
            <w:bookmarkEnd w:id="4"/>
            <w:r>
              <w:rPr>
                <w:lang w:val="fr-FR"/>
              </w:rPr>
              <w:t>Comores</w:t>
            </w:r>
          </w:p>
        </w:tc>
      </w:tr>
      <w:tr w:rsidR="00AC6F14" w:rsidRPr="00615C48" w14:paraId="2CBD3A36" w14:textId="77777777" w:rsidTr="00107E85">
        <w:trPr>
          <w:cantSplit/>
        </w:trPr>
        <w:tc>
          <w:tcPr>
            <w:tcW w:w="9888" w:type="dxa"/>
            <w:gridSpan w:val="2"/>
          </w:tcPr>
          <w:p w14:paraId="1B4121DF" w14:textId="3CCC8B2D" w:rsidR="00AC6F14" w:rsidRPr="00A66C4C" w:rsidRDefault="00BE6BFD" w:rsidP="001011EB">
            <w:pPr>
              <w:pStyle w:val="Title1"/>
              <w:rPr>
                <w:lang w:val="fr-FR"/>
              </w:rPr>
            </w:pPr>
            <w:bookmarkStart w:id="5" w:name="Title"/>
            <w:bookmarkEnd w:id="5"/>
            <w:r>
              <w:rPr>
                <w:lang w:val="fr-FR"/>
              </w:rPr>
              <w:t>M</w:t>
            </w:r>
            <w:r w:rsidRPr="00BE6BFD">
              <w:rPr>
                <w:lang w:val="fr-FR"/>
              </w:rPr>
              <w:t>ise en place d'un observatoire du numérique en Union des Comores</w:t>
            </w:r>
          </w:p>
        </w:tc>
      </w:tr>
      <w:tr w:rsidR="00A721F4" w:rsidRPr="00615C48" w14:paraId="23A30231" w14:textId="77777777" w:rsidTr="00A721F4">
        <w:trPr>
          <w:cantSplit/>
        </w:trPr>
        <w:tc>
          <w:tcPr>
            <w:tcW w:w="9888" w:type="dxa"/>
            <w:gridSpan w:val="2"/>
            <w:tcBorders>
              <w:bottom w:val="single" w:sz="4" w:space="0" w:color="auto"/>
            </w:tcBorders>
          </w:tcPr>
          <w:p w14:paraId="726EE70E" w14:textId="77777777" w:rsidR="00A721F4" w:rsidRPr="00A66C4C" w:rsidRDefault="00A721F4" w:rsidP="0030353C">
            <w:pPr>
              <w:rPr>
                <w:lang w:val="fr-FR"/>
              </w:rPr>
            </w:pPr>
          </w:p>
        </w:tc>
      </w:tr>
      <w:tr w:rsidR="00A721F4" w:rsidRPr="00BE6BF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66C4C" w:rsidRDefault="001011EB" w:rsidP="00EA0C51">
            <w:pPr>
              <w:spacing w:after="120"/>
              <w:rPr>
                <w:b/>
                <w:bCs/>
                <w:szCs w:val="24"/>
                <w:lang w:val="fr-FR"/>
              </w:rPr>
            </w:pPr>
            <w:r w:rsidRPr="00A66C4C">
              <w:rPr>
                <w:b/>
                <w:bCs/>
                <w:szCs w:val="24"/>
                <w:lang w:val="fr-FR"/>
              </w:rPr>
              <w:t>Résumé</w:t>
            </w:r>
            <w:r w:rsidR="00A721F4" w:rsidRPr="00A66C4C">
              <w:rPr>
                <w:b/>
                <w:bCs/>
                <w:szCs w:val="24"/>
                <w:lang w:val="fr-FR"/>
              </w:rPr>
              <w:t>:</w:t>
            </w:r>
          </w:p>
          <w:p w14:paraId="6EF066C5" w14:textId="7BF08111" w:rsidR="00BE6BFD" w:rsidRDefault="00BE6BFD" w:rsidP="00EA0C51">
            <w:pPr>
              <w:spacing w:after="120"/>
              <w:rPr>
                <w:lang w:val="fr-FR"/>
              </w:rPr>
            </w:pPr>
            <w:r w:rsidRPr="00BE6BFD">
              <w:rPr>
                <w:lang w:val="fr-FR"/>
              </w:rPr>
              <w:t xml:space="preserve">La collecte, l’analyse et la diffusion des données statistiques et indicateurs TIC, demeurent le meilleur instrument pour mesurer les tendances sur les évolutions du numérique d’un pays. Les Comores ont fait ce choix, en se dotant d’un « observatoire du numérique » dont la structure et le choix du contenu satisfont, à la fois aux résolutions de l’UIT, notamment, la Résolution 8 (Rév. Kigali, 2022), aux exigences règlementaires des Comores mais aussi, aux sollicitations des organes régionaux, sous régionaux et internationaux (Banque Mondiale, UAT, SADC, COMESA, et COI). L’Observatoire des Comores est structuré de manière à produire un large éventail d’indicateurs (réseau, trafic, accès, usages, finances, e-business …etc.). Malgré les incessants rappels faits par l’ANRTIC aux acteurs sur la fourniture des données, ces derniers expriment des réserves quant à la confidentialité. L’insuffisance des moyens pour conduire des enquêtes est une source d’handicap supplémentaire. Ces contraintes demeurent et perturbent le bon fonctionnement du processus allant de la collecte à la diffusion. Le rapport su Secrétaire Général sur mise en œuvre de la </w:t>
            </w:r>
            <w:r w:rsidR="00C46F22">
              <w:rPr>
                <w:lang w:val="fr-FR"/>
              </w:rPr>
              <w:t>R</w:t>
            </w:r>
            <w:r w:rsidR="00C46F22" w:rsidRPr="00BE6BFD">
              <w:rPr>
                <w:lang w:val="fr-FR"/>
              </w:rPr>
              <w:t xml:space="preserve">ésolution </w:t>
            </w:r>
            <w:r w:rsidRPr="00BE6BFD">
              <w:rPr>
                <w:lang w:val="fr-FR"/>
              </w:rPr>
              <w:t>131 (Ré. Dubaï, 2018), recommande le renforcement des équipes dédiées au travaux statistiques et cela pourrait parallèlement bénéfice aux Eta</w:t>
            </w:r>
            <w:r w:rsidR="00C46F22">
              <w:rPr>
                <w:lang w:val="fr-FR"/>
              </w:rPr>
              <w:t>t</w:t>
            </w:r>
            <w:r w:rsidRPr="00BE6BFD">
              <w:rPr>
                <w:lang w:val="fr-FR"/>
              </w:rPr>
              <w:t xml:space="preserve">s </w:t>
            </w:r>
            <w:r w:rsidR="00C46F22">
              <w:rPr>
                <w:lang w:val="fr-FR"/>
              </w:rPr>
              <w:t>M</w:t>
            </w:r>
            <w:r w:rsidR="00C46F22" w:rsidRPr="00BE6BFD">
              <w:rPr>
                <w:lang w:val="fr-FR"/>
              </w:rPr>
              <w:t>embres</w:t>
            </w:r>
            <w:r w:rsidRPr="00BE6BFD">
              <w:rPr>
                <w:lang w:val="fr-FR"/>
              </w:rPr>
              <w:t>, à travers la l’accroissement des assistances techniques.</w:t>
            </w:r>
          </w:p>
          <w:p w14:paraId="76A1C541" w14:textId="4BA408BF" w:rsidR="00A721F4" w:rsidRPr="00A66C4C" w:rsidRDefault="001011EB" w:rsidP="00EA0C51">
            <w:pPr>
              <w:spacing w:after="120"/>
              <w:rPr>
                <w:b/>
                <w:bCs/>
                <w:szCs w:val="24"/>
                <w:lang w:val="fr-FR"/>
              </w:rPr>
            </w:pPr>
            <w:r w:rsidRPr="00A66C4C">
              <w:rPr>
                <w:b/>
                <w:bCs/>
                <w:lang w:val="fr-FR"/>
              </w:rPr>
              <w:t>Suite à donner</w:t>
            </w:r>
            <w:r w:rsidR="00A721F4" w:rsidRPr="00A66C4C">
              <w:rPr>
                <w:b/>
                <w:bCs/>
                <w:lang w:val="fr-FR"/>
              </w:rPr>
              <w:t>:</w:t>
            </w:r>
          </w:p>
          <w:p w14:paraId="29357D84" w14:textId="77777777" w:rsidR="00357B82" w:rsidRDefault="00357B82" w:rsidP="00EA0C51">
            <w:pPr>
              <w:spacing w:after="120"/>
              <w:rPr>
                <w:lang w:val="fr-FR"/>
              </w:rPr>
            </w:pPr>
            <w:r w:rsidRPr="001C55CB">
              <w:rPr>
                <w:lang w:val="fr-FR"/>
              </w:rPr>
              <w:t>Le GCDT est invité à prendre note du présent document et à fournir les orientations qu'il jugera nécessaires.</w:t>
            </w:r>
          </w:p>
          <w:p w14:paraId="622ACB80" w14:textId="64B25A0C" w:rsidR="00A721F4" w:rsidRPr="00A66C4C" w:rsidRDefault="00A721F4" w:rsidP="00EA0C51">
            <w:pPr>
              <w:spacing w:after="120"/>
              <w:rPr>
                <w:b/>
                <w:bCs/>
                <w:szCs w:val="24"/>
                <w:lang w:val="fr-FR"/>
              </w:rPr>
            </w:pPr>
            <w:r w:rsidRPr="00A66C4C">
              <w:rPr>
                <w:b/>
                <w:bCs/>
                <w:szCs w:val="24"/>
                <w:lang w:val="fr-FR"/>
              </w:rPr>
              <w:t>R</w:t>
            </w:r>
            <w:r w:rsidR="001011EB" w:rsidRPr="00A66C4C">
              <w:rPr>
                <w:b/>
                <w:bCs/>
                <w:szCs w:val="24"/>
                <w:lang w:val="fr-FR"/>
              </w:rPr>
              <w:t>é</w:t>
            </w:r>
            <w:r w:rsidRPr="00A66C4C">
              <w:rPr>
                <w:b/>
                <w:bCs/>
                <w:szCs w:val="24"/>
                <w:lang w:val="fr-FR"/>
              </w:rPr>
              <w:t>f</w:t>
            </w:r>
            <w:r w:rsidR="001011EB" w:rsidRPr="00A66C4C">
              <w:rPr>
                <w:b/>
                <w:bCs/>
                <w:szCs w:val="24"/>
                <w:lang w:val="fr-FR"/>
              </w:rPr>
              <w:t>é</w:t>
            </w:r>
            <w:r w:rsidRPr="00A66C4C">
              <w:rPr>
                <w:b/>
                <w:bCs/>
                <w:szCs w:val="24"/>
                <w:lang w:val="fr-FR"/>
              </w:rPr>
              <w:t>rences:</w:t>
            </w:r>
          </w:p>
          <w:p w14:paraId="1ECDD20E" w14:textId="2C3B3674" w:rsidR="00A721F4" w:rsidRPr="00A66C4C" w:rsidRDefault="00BE6BFD" w:rsidP="00EA0C51">
            <w:pPr>
              <w:spacing w:after="120"/>
              <w:rPr>
                <w:lang w:val="fr-FR"/>
              </w:rPr>
            </w:pPr>
            <w:r w:rsidRPr="00BE6BFD">
              <w:rPr>
                <w:lang w:val="fr-FR"/>
              </w:rPr>
              <w:t>C19/10F, CMDT Résolution 8 (Rév. Kigal</w:t>
            </w:r>
            <w:r>
              <w:rPr>
                <w:lang w:val="fr-FR"/>
              </w:rPr>
              <w:t>i)</w:t>
            </w:r>
          </w:p>
        </w:tc>
      </w:tr>
    </w:tbl>
    <w:p w14:paraId="77CF718B" w14:textId="77777777" w:rsidR="00AC6F14" w:rsidRPr="00A66C4C" w:rsidRDefault="00AC6F14" w:rsidP="00EA0C51">
      <w:pPr>
        <w:spacing w:after="120"/>
        <w:rPr>
          <w:lang w:val="fr-FR"/>
        </w:rPr>
      </w:pPr>
    </w:p>
    <w:p w14:paraId="5B29B2A3" w14:textId="77777777" w:rsidR="00923CF1" w:rsidRPr="00A66C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66C4C">
        <w:rPr>
          <w:lang w:val="fr-FR"/>
        </w:rPr>
        <w:br w:type="page"/>
      </w:r>
    </w:p>
    <w:p w14:paraId="0B2C99FD" w14:textId="77777777" w:rsidR="00E32863" w:rsidRPr="00E32863" w:rsidRDefault="00E32863" w:rsidP="00E32863">
      <w:pPr>
        <w:pStyle w:val="ListParagraph"/>
        <w:numPr>
          <w:ilvl w:val="0"/>
          <w:numId w:val="3"/>
        </w:numPr>
        <w:spacing w:after="120"/>
        <w:contextualSpacing w:val="0"/>
        <w:jc w:val="both"/>
        <w:rPr>
          <w:rFonts w:cstheme="minorHAnsi"/>
          <w:b/>
          <w:szCs w:val="24"/>
          <w:lang w:val="fr-FR"/>
        </w:rPr>
      </w:pPr>
      <w:bookmarkStart w:id="6" w:name="Proposal"/>
      <w:bookmarkEnd w:id="6"/>
      <w:r w:rsidRPr="00E32863">
        <w:rPr>
          <w:rFonts w:cstheme="minorHAnsi"/>
          <w:b/>
          <w:szCs w:val="24"/>
          <w:lang w:val="fr-FR"/>
        </w:rPr>
        <w:lastRenderedPageBreak/>
        <w:t>Introduction</w:t>
      </w:r>
    </w:p>
    <w:p w14:paraId="491C232D" w14:textId="7777777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Les Comores ont été longtemps très peu évoquées, parfois absentes des études ou analyses relatives aux comparaisons internationales sur les données statistiques ou indicateurs TIC.</w:t>
      </w:r>
    </w:p>
    <w:p w14:paraId="577E4BE4" w14:textId="7777777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Ce phénomène était lié à l’inexistence d’une plateforme centralisé, capable de collecter, d’analyser et de publier des indicateurs pertinents et crédibles. A cela s’ajoutait une difficulté supplémentaire, qui persiste jusqu’aujourd’hui et qui se caractérise par la réticence des acteurs du secteur, particulièrement, les opérateurs, à mettre à disposition les données nécessaires à l’appréciation des évolutions du marché des télécommunications et du secteur en général.</w:t>
      </w:r>
    </w:p>
    <w:p w14:paraId="23323BCD" w14:textId="77777777" w:rsidR="00E32863" w:rsidRPr="00E32863" w:rsidRDefault="00E32863" w:rsidP="00E32863">
      <w:pPr>
        <w:spacing w:after="120"/>
        <w:rPr>
          <w:rFonts w:cstheme="minorHAnsi"/>
          <w:i/>
          <w:szCs w:val="24"/>
          <w:lang w:val="fr-FR"/>
        </w:rPr>
      </w:pPr>
      <w:r w:rsidRPr="00E32863">
        <w:rPr>
          <w:rStyle w:val="fontstyle31"/>
          <w:rFonts w:asciiTheme="minorHAnsi" w:hAnsiTheme="minorHAnsi" w:cstheme="minorHAnsi"/>
          <w:lang w:val="fr-FR"/>
        </w:rPr>
        <w:t xml:space="preserve">Conformément aux considérations soulevées par la Résolution 8 </w:t>
      </w:r>
      <w:r w:rsidRPr="00E32863">
        <w:rPr>
          <w:rStyle w:val="fontstyle01"/>
          <w:rFonts w:asciiTheme="minorHAnsi" w:hAnsiTheme="minorHAnsi" w:cstheme="minorHAnsi"/>
          <w:sz w:val="24"/>
          <w:szCs w:val="24"/>
          <w:lang w:val="fr-FR"/>
        </w:rPr>
        <w:t>(Rév. Kigali, 2022) : intitulée </w:t>
      </w:r>
      <w:r w:rsidRPr="00E32863">
        <w:rPr>
          <w:rFonts w:cstheme="minorHAnsi"/>
          <w:szCs w:val="24"/>
          <w:lang w:val="fr-FR"/>
        </w:rPr>
        <w:t xml:space="preserve">: </w:t>
      </w:r>
      <w:r w:rsidRPr="00E32863">
        <w:rPr>
          <w:rStyle w:val="fontstyle21"/>
          <w:rFonts w:asciiTheme="minorHAnsi" w:hAnsiTheme="minorHAnsi" w:cstheme="minorHAnsi"/>
          <w:sz w:val="24"/>
          <w:szCs w:val="24"/>
          <w:lang w:val="fr-FR"/>
        </w:rPr>
        <w:t xml:space="preserve">Collecte et diffusion d'informations et de statistiques selon lequel </w:t>
      </w:r>
      <w:r w:rsidRPr="00E32863">
        <w:rPr>
          <w:rStyle w:val="fontstyle21"/>
          <w:rFonts w:asciiTheme="minorHAnsi" w:hAnsiTheme="minorHAnsi" w:cstheme="minorHAnsi"/>
          <w:i/>
          <w:sz w:val="24"/>
          <w:szCs w:val="24"/>
          <w:lang w:val="fr-FR"/>
        </w:rPr>
        <w:t xml:space="preserve">« </w:t>
      </w:r>
      <w:r w:rsidRPr="00E32863">
        <w:rPr>
          <w:rStyle w:val="fontstyle01"/>
          <w:rFonts w:asciiTheme="minorHAnsi" w:hAnsiTheme="minorHAnsi" w:cstheme="minorHAnsi"/>
          <w:i/>
          <w:sz w:val="24"/>
          <w:szCs w:val="24"/>
          <w:lang w:val="fr-FR"/>
        </w:rPr>
        <w:t>de nombreuses organisations régionales et internationales utilisent les statistiques</w:t>
      </w:r>
      <w:r w:rsidRPr="00E32863">
        <w:rPr>
          <w:rFonts w:cstheme="minorHAnsi"/>
          <w:i/>
          <w:szCs w:val="24"/>
          <w:lang w:val="fr-FR"/>
        </w:rPr>
        <w:t xml:space="preserve"> </w:t>
      </w:r>
      <w:r w:rsidRPr="00E32863">
        <w:rPr>
          <w:rStyle w:val="fontstyle01"/>
          <w:rFonts w:asciiTheme="minorHAnsi" w:hAnsiTheme="minorHAnsi" w:cstheme="minorHAnsi"/>
          <w:i/>
          <w:sz w:val="24"/>
          <w:szCs w:val="24"/>
          <w:lang w:val="fr-FR"/>
        </w:rPr>
        <w:t>établies et publiées par l'Union et s'appuient sur ces statistiques pour leurs indicateurs et leurs</w:t>
      </w:r>
      <w:r w:rsidRPr="00E32863">
        <w:rPr>
          <w:rFonts w:cstheme="minorHAnsi"/>
          <w:i/>
          <w:szCs w:val="24"/>
          <w:lang w:val="fr-FR"/>
        </w:rPr>
        <w:t xml:space="preserve"> </w:t>
      </w:r>
      <w:r w:rsidRPr="00E32863">
        <w:rPr>
          <w:rStyle w:val="fontstyle01"/>
          <w:rFonts w:asciiTheme="minorHAnsi" w:hAnsiTheme="minorHAnsi" w:cstheme="minorHAnsi"/>
          <w:i/>
          <w:sz w:val="24"/>
          <w:szCs w:val="24"/>
          <w:lang w:val="fr-FR"/>
        </w:rPr>
        <w:t>rapports »</w:t>
      </w:r>
      <w:r w:rsidRPr="00E32863">
        <w:rPr>
          <w:rStyle w:val="FootnoteReference"/>
          <w:rFonts w:cstheme="minorHAnsi"/>
          <w:i/>
          <w:szCs w:val="18"/>
          <w:lang w:val="fr-FR"/>
        </w:rPr>
        <w:footnoteReference w:id="1"/>
      </w:r>
    </w:p>
    <w:p w14:paraId="592CF65F" w14:textId="06819B0F"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Partant de cette considération, aujourd’hui l’Union des Comores est résolument engagée à faire connaitre ses tendances dans le développement des TIC et ce, en vue de pouvoir s’évaluer et se comparer aux autres pays. Les sollicitations à fournir des données TIC, viennent de toute part. En marge des questionnaires régulièrement transmis à l’ANRTIC par l’ITU et auxquelles, nous y veillons à répondre, des instances régionales et sous régionales dont les Comores sont membres, UAT (Union Africaine des Télécommunications), la SADC (Communauté de développement de l'Afrique australe)</w:t>
      </w:r>
      <w:r w:rsidRPr="00E32863">
        <w:rPr>
          <w:rFonts w:cstheme="minorHAnsi"/>
          <w:color w:val="000000" w:themeColor="text1"/>
          <w:szCs w:val="24"/>
          <w:shd w:val="clear" w:color="auto" w:fill="FFFFFF"/>
          <w:lang w:val="fr-FR"/>
        </w:rPr>
        <w:t>, le COMESA (The Common Market for Eastern and Southern Africa), COI (Commission de l’Océan Indien) réclament à leur tour, des informations relatives à l’environnement des TIC.</w:t>
      </w:r>
    </w:p>
    <w:p w14:paraId="2CF47E9E" w14:textId="7777777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 xml:space="preserve">Toutefois, aucun des acteurs majeurs ou instances de décisions du secteur, ne s’était jusqu’à une date récente, doté d’une plateforme accomplie, pouvant réunir autant d’informations sur les indicateurs TIC. </w:t>
      </w:r>
    </w:p>
    <w:p w14:paraId="3AAA40A6" w14:textId="7AB08C2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L’ANRTIC, en tant qu’instance de régulation du numérique et comme la plupart de ses homologues, s’est désormais doté d’un instrument – Observatoire du Numérique – capable de collecter des données diverses et variées du secteur.</w:t>
      </w:r>
      <w:r w:rsidR="00DB1A63">
        <w:rPr>
          <w:rFonts w:cstheme="minorHAnsi"/>
          <w:color w:val="000000" w:themeColor="text1"/>
          <w:szCs w:val="24"/>
          <w:lang w:val="fr-FR"/>
        </w:rPr>
        <w:t xml:space="preserve"> </w:t>
      </w:r>
      <w:r w:rsidRPr="00E32863">
        <w:rPr>
          <w:rFonts w:cstheme="minorHAnsi"/>
          <w:color w:val="000000" w:themeColor="text1"/>
          <w:szCs w:val="24"/>
          <w:lang w:val="fr-FR"/>
        </w:rPr>
        <w:t>Des données sur le déploiement des infrastructures, l’évolution des accès, les trafics supportés, leur qualité, leurs prix, la situation financière du secteur, ainsi que l’appropriation des services numériques par la société et l’économie.</w:t>
      </w:r>
      <w:r w:rsidR="00DB1A63">
        <w:rPr>
          <w:rFonts w:cstheme="minorHAnsi"/>
          <w:color w:val="000000" w:themeColor="text1"/>
          <w:szCs w:val="24"/>
          <w:lang w:val="fr-FR"/>
        </w:rPr>
        <w:t xml:space="preserve"> </w:t>
      </w:r>
    </w:p>
    <w:p w14:paraId="307F048F" w14:textId="7B9AB987" w:rsidR="00E32863" w:rsidRPr="00E32863" w:rsidRDefault="00E32863" w:rsidP="00E32863">
      <w:pPr>
        <w:spacing w:after="120"/>
        <w:rPr>
          <w:rFonts w:cstheme="minorHAnsi"/>
          <w:color w:val="000000" w:themeColor="text1"/>
          <w:szCs w:val="24"/>
          <w:lang w:val="fr-FR"/>
        </w:rPr>
      </w:pPr>
      <w:r w:rsidRPr="00E32863">
        <w:rPr>
          <w:rStyle w:val="fontstyle01"/>
          <w:rFonts w:asciiTheme="minorHAnsi" w:hAnsiTheme="minorHAnsi" w:cstheme="minorHAnsi"/>
          <w:sz w:val="24"/>
          <w:szCs w:val="24"/>
          <w:lang w:val="fr-FR"/>
        </w:rPr>
        <w:t>L'ANRTIC souhaite ainsi se servir de cet observatoire du numérique pour combler son retard et être capable de fournir une large gamme d’indicateurs de qualité. Ces indicateurs constituent une base essentielle d’aide à la décision, à l’orientation des politiques publiques, notamment en matière d’investissement.</w:t>
      </w:r>
    </w:p>
    <w:p w14:paraId="13DEBD24" w14:textId="77777777" w:rsidR="00E32863" w:rsidRPr="00E32863" w:rsidRDefault="00E32863" w:rsidP="00E32863">
      <w:pPr>
        <w:pStyle w:val="ListParagraph"/>
        <w:numPr>
          <w:ilvl w:val="0"/>
          <w:numId w:val="3"/>
        </w:numPr>
        <w:spacing w:after="120"/>
        <w:contextualSpacing w:val="0"/>
        <w:rPr>
          <w:rFonts w:cstheme="minorHAnsi"/>
          <w:b/>
          <w:color w:val="000000" w:themeColor="text1"/>
          <w:szCs w:val="24"/>
          <w:lang w:val="fr-FR"/>
        </w:rPr>
      </w:pPr>
      <w:r w:rsidRPr="00E32863">
        <w:rPr>
          <w:rFonts w:cstheme="minorHAnsi"/>
          <w:b/>
          <w:color w:val="000000" w:themeColor="text1"/>
          <w:szCs w:val="24"/>
          <w:lang w:val="fr-FR"/>
        </w:rPr>
        <w:t xml:space="preserve">Contexte de la mise en place de « l’observatoire du numérique » en Union des Comores </w:t>
      </w:r>
    </w:p>
    <w:p w14:paraId="2F039282" w14:textId="77777777" w:rsidR="00E32863" w:rsidRPr="00E32863" w:rsidRDefault="00E32863" w:rsidP="00E32863">
      <w:pPr>
        <w:tabs>
          <w:tab w:val="clear" w:pos="794"/>
          <w:tab w:val="clear" w:pos="1191"/>
          <w:tab w:val="clear" w:pos="1588"/>
          <w:tab w:val="clear" w:pos="1985"/>
        </w:tabs>
        <w:overflowPunct/>
        <w:autoSpaceDE/>
        <w:autoSpaceDN/>
        <w:adjustRightInd/>
        <w:spacing w:after="120"/>
        <w:textAlignment w:val="auto"/>
        <w:rPr>
          <w:rFonts w:cstheme="minorHAnsi"/>
          <w:szCs w:val="24"/>
          <w:lang w:val="fr-FR" w:eastAsia="fr-FR"/>
        </w:rPr>
      </w:pPr>
      <w:r w:rsidRPr="00E32863">
        <w:rPr>
          <w:rFonts w:cstheme="minorHAnsi"/>
          <w:color w:val="000000" w:themeColor="text1"/>
          <w:szCs w:val="24"/>
          <w:lang w:val="fr-FR"/>
        </w:rPr>
        <w:t xml:space="preserve">Dans l’élan des réformes engagées dans le secteur des TIC en Union des Comores depuis quelques années et surtout, la nécessité de disposer d’informations pertinents et fiables pour évaluer leurs impacts socioéconomiques, l’ANRTIC a sollicité en 2019, le projet RCIP4 de la Banque Mondiale, d’effectuer une étude sur la collecte et l’analyse des données du secteur dans la perspective de se doter d’un instrument de mesure unique dédié aux informations du secteur. Au-delà de cette initiative, la démarche est cohérente à la mise en œuvre de la règlementation comorienne car, </w:t>
      </w:r>
      <w:r w:rsidRPr="00E32863">
        <w:rPr>
          <w:rFonts w:cstheme="minorHAnsi"/>
          <w:color w:val="000000"/>
          <w:szCs w:val="24"/>
          <w:lang w:val="fr-FR" w:eastAsia="fr-FR"/>
        </w:rPr>
        <w:t xml:space="preserve">la </w:t>
      </w:r>
      <w:r w:rsidRPr="00E32863">
        <w:rPr>
          <w:rFonts w:cstheme="minorHAnsi"/>
          <w:color w:val="000000"/>
          <w:szCs w:val="24"/>
          <w:lang w:val="fr-FR" w:eastAsia="fr-FR"/>
        </w:rPr>
        <w:lastRenderedPageBreak/>
        <w:t xml:space="preserve">loi 14-031 du 17 mars 2014, cite parmi les missions dévolues à l’ANRTIC, l’obligation </w:t>
      </w:r>
      <w:r w:rsidRPr="00E32863">
        <w:rPr>
          <w:rFonts w:cstheme="minorHAnsi"/>
          <w:i/>
          <w:color w:val="000000"/>
          <w:szCs w:val="24"/>
          <w:lang w:val="fr-FR" w:eastAsia="fr-FR"/>
        </w:rPr>
        <w:t>« de créer et rendre disponible une base de données sur les technologies de l'information et de la communication en Union des Comores »</w:t>
      </w:r>
      <w:r w:rsidRPr="00E32863">
        <w:rPr>
          <w:rStyle w:val="FootnoteReference"/>
          <w:rFonts w:cstheme="minorHAnsi"/>
          <w:i/>
          <w:szCs w:val="18"/>
          <w:lang w:val="fr-FR" w:eastAsia="fr-FR"/>
        </w:rPr>
        <w:footnoteReference w:id="2"/>
      </w:r>
      <w:r w:rsidRPr="00E32863">
        <w:rPr>
          <w:rFonts w:cstheme="minorHAnsi"/>
          <w:i/>
          <w:color w:val="000000"/>
          <w:szCs w:val="24"/>
          <w:lang w:val="fr-FR" w:eastAsia="fr-FR"/>
        </w:rPr>
        <w:t>.</w:t>
      </w:r>
    </w:p>
    <w:p w14:paraId="37185A32" w14:textId="7777777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 xml:space="preserve">Ce travail conduit par le Professeur émérite de Paris Saclay, Laurent GILLE, en collaboration avec les équipes de l’ANRTIC, a duré 2 ans (2019 et 2020) et a débouché sur la création de l’Observatoire du Numérique, qui permet au régulateur d’avoir une large visibilité de l’environnement global du secteur. L’Observatoire du Numérique comorien se veut ambitieux en raison de son périmètre d’étude et le choix des indicateurs. En marge du marché des télécommunications, l’Observatoire du Numérique inclut les usages y compris, la monnaie électronique. Les TIC, aujourd’hui perçues comme un vecteur de développement, doivent couvrir dans ses analyses, un spectre plus large d’indicateurs. </w:t>
      </w:r>
    </w:p>
    <w:p w14:paraId="3C490941" w14:textId="77777777" w:rsidR="00E32863" w:rsidRPr="00E32863" w:rsidRDefault="00E32863" w:rsidP="00E32863">
      <w:pPr>
        <w:pStyle w:val="ListParagraph"/>
        <w:numPr>
          <w:ilvl w:val="0"/>
          <w:numId w:val="3"/>
        </w:numPr>
        <w:spacing w:after="120"/>
        <w:contextualSpacing w:val="0"/>
        <w:rPr>
          <w:rFonts w:cstheme="minorHAnsi"/>
          <w:b/>
          <w:color w:val="000000" w:themeColor="text1"/>
          <w:szCs w:val="24"/>
          <w:lang w:val="fr-FR"/>
        </w:rPr>
      </w:pPr>
      <w:r w:rsidRPr="00E32863">
        <w:rPr>
          <w:rFonts w:cstheme="minorHAnsi"/>
          <w:b/>
          <w:color w:val="000000" w:themeColor="text1"/>
          <w:szCs w:val="24"/>
          <w:lang w:val="fr-FR"/>
        </w:rPr>
        <w:t xml:space="preserve">Structure de l’Observatoire du Numérique en Union des Comores </w:t>
      </w:r>
    </w:p>
    <w:p w14:paraId="58F4DB54" w14:textId="77777777" w:rsidR="00E32863" w:rsidRPr="00E32863" w:rsidRDefault="00E32863" w:rsidP="00E32863">
      <w:pPr>
        <w:spacing w:after="120"/>
        <w:rPr>
          <w:rFonts w:cstheme="minorHAnsi"/>
          <w:color w:val="000000" w:themeColor="text1"/>
          <w:szCs w:val="24"/>
          <w:lang w:val="fr-FR"/>
        </w:rPr>
      </w:pPr>
      <w:r w:rsidRPr="00E32863">
        <w:rPr>
          <w:rFonts w:cstheme="minorHAnsi"/>
          <w:color w:val="000000" w:themeColor="text1"/>
          <w:szCs w:val="24"/>
          <w:lang w:val="fr-FR"/>
        </w:rPr>
        <w:t>L’observatoire est exclusivement élaboré sous un format Excel et livré avec un guide de production des données. Il est conçu et structuré avec 12 niveaux d’indicateurs :</w:t>
      </w:r>
    </w:p>
    <w:p w14:paraId="448F01C1"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Les indices synthétiques : produits généralement par les institutions internationales pour apprécier le niveau de transformation et servent d’outil de comparaison. </w:t>
      </w:r>
    </w:p>
    <w:p w14:paraId="3D431398"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Les indicateurs démographiques et macroéconomique : ces indicateurs constituent le dénominateur pour calculer les taux sur les contributions du numérique dans le pays. </w:t>
      </w:r>
    </w:p>
    <w:p w14:paraId="515376D3" w14:textId="3C672FFC"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sur les ressources règlementaires</w:t>
      </w:r>
      <w:r>
        <w:rPr>
          <w:rFonts w:cstheme="minorHAnsi"/>
          <w:color w:val="000000" w:themeColor="text1"/>
          <w:szCs w:val="24"/>
          <w:lang w:val="fr-FR"/>
        </w:rPr>
        <w:t xml:space="preserve"> </w:t>
      </w:r>
      <w:r w:rsidRPr="00E32863">
        <w:rPr>
          <w:rFonts w:cstheme="minorHAnsi"/>
          <w:color w:val="000000" w:themeColor="text1"/>
          <w:szCs w:val="24"/>
          <w:lang w:val="fr-FR"/>
        </w:rPr>
        <w:t>: permet de mesurer le degré de mise en œuvre de la loi à travers les ressources attribuées (autorisations, licences ressources rares</w:t>
      </w:r>
      <w:r>
        <w:rPr>
          <w:rFonts w:cstheme="minorHAnsi"/>
          <w:color w:val="000000" w:themeColor="text1"/>
          <w:szCs w:val="24"/>
          <w:lang w:val="fr-FR"/>
        </w:rPr>
        <w:t>, e</w:t>
      </w:r>
      <w:r w:rsidRPr="00E32863">
        <w:rPr>
          <w:rFonts w:cstheme="minorHAnsi"/>
          <w:color w:val="000000" w:themeColor="text1"/>
          <w:szCs w:val="24"/>
          <w:lang w:val="fr-FR"/>
        </w:rPr>
        <w:t>tc.)</w:t>
      </w:r>
      <w:r>
        <w:rPr>
          <w:rFonts w:cstheme="minorHAnsi"/>
          <w:color w:val="000000" w:themeColor="text1"/>
          <w:szCs w:val="24"/>
          <w:lang w:val="fr-FR"/>
        </w:rPr>
        <w:t>.</w:t>
      </w:r>
    </w:p>
    <w:p w14:paraId="0A0256DF"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de réseau : les produits et services sont fournis à partir des infrastructures et il est donc nécessaire d’apprécier son niveau de développement.</w:t>
      </w:r>
    </w:p>
    <w:p w14:paraId="16CB50CD" w14:textId="6DDA2549"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d’accès aux réseaux</w:t>
      </w:r>
      <w:r>
        <w:rPr>
          <w:rFonts w:cstheme="minorHAnsi"/>
          <w:color w:val="000000" w:themeColor="text1"/>
          <w:szCs w:val="24"/>
          <w:lang w:val="fr-FR"/>
        </w:rPr>
        <w:t xml:space="preserve"> </w:t>
      </w:r>
      <w:r w:rsidRPr="00E32863">
        <w:rPr>
          <w:rFonts w:cstheme="minorHAnsi"/>
          <w:color w:val="000000" w:themeColor="text1"/>
          <w:szCs w:val="24"/>
          <w:lang w:val="fr-FR"/>
        </w:rPr>
        <w:t>: sont nécessaires pour apprécier le degré de couverture à l’échelle nationale ainsi que les usages qui en sont faits.</w:t>
      </w:r>
    </w:p>
    <w:p w14:paraId="10E78D43"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de trafics : la progression du trafic renseigne parallèlement l’évolution du numérique sous les angles économique et social du pays</w:t>
      </w:r>
    </w:p>
    <w:p w14:paraId="1E22ED14"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de la qualité de service : sont des paramètres importants pour apprécier les niveaux de satisfaction de la population sur les produits et services fournis par les opérateurs.</w:t>
      </w:r>
    </w:p>
    <w:p w14:paraId="3CEDD269"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Les indicateurs sur les tarifs : sont également nécessaires pour mesurer et apprécier le rapport entre la part budgétaire engagée par les usagers et les services. </w:t>
      </w:r>
    </w:p>
    <w:p w14:paraId="0AADDE30" w14:textId="2AF0FE3C"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sur les finances : permettent d’apprécier la valeur réelle produite par le secteur dans le pays et la transformation économique induite.</w:t>
      </w:r>
    </w:p>
    <w:p w14:paraId="4B319B52"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Les indicateurs sur les usages : caractérisent la manière dont les usages évoluent et structurent la demande. </w:t>
      </w:r>
    </w:p>
    <w:p w14:paraId="4920885B"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sur la transformation numérique des entreprises : le e-Business permet d’apprécier l’impact du numérique dans le système productif.</w:t>
      </w:r>
    </w:p>
    <w:p w14:paraId="001BF6A9"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Les indicateurs sur la finance électronique : la monnaie électronique est désormais considérée comme un indicateur à part entière de mesure de la transformation numérique de l’économie.</w:t>
      </w:r>
    </w:p>
    <w:p w14:paraId="4BD25E93" w14:textId="77777777" w:rsidR="00E32863" w:rsidRPr="00E32863" w:rsidRDefault="00E32863" w:rsidP="00E32863">
      <w:pPr>
        <w:spacing w:before="60" w:after="60"/>
        <w:rPr>
          <w:rFonts w:cstheme="minorHAnsi"/>
          <w:color w:val="000000" w:themeColor="text1"/>
          <w:szCs w:val="24"/>
          <w:lang w:val="fr-FR"/>
        </w:rPr>
      </w:pPr>
      <w:r w:rsidRPr="00E32863">
        <w:rPr>
          <w:rFonts w:cstheme="minorHAnsi"/>
          <w:color w:val="000000" w:themeColor="text1"/>
          <w:szCs w:val="24"/>
          <w:lang w:val="fr-FR"/>
        </w:rPr>
        <w:t>Cette structure n’est pas exhaustive car, selon les besoins et le rythme des évolutions, d’autres indicateurs peuvent venir s’y greffer à l’avenir. En marge de la structure, l’Observatoire est accompagné d’autres documents essentiels comme :</w:t>
      </w:r>
    </w:p>
    <w:p w14:paraId="60831B8C" w14:textId="77777777" w:rsidR="00E32863" w:rsidRPr="00E32863" w:rsidRDefault="00E32863" w:rsidP="00E32863">
      <w:pPr>
        <w:pStyle w:val="ListParagraph"/>
        <w:numPr>
          <w:ilvl w:val="0"/>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Un référentiel précisant pour chaque indicateur, sa définition, ses caractéristiques et sa portée. </w:t>
      </w:r>
    </w:p>
    <w:p w14:paraId="21F7261B" w14:textId="77777777" w:rsidR="00E32863" w:rsidRDefault="00E32863" w:rsidP="00E32863">
      <w:pPr>
        <w:pStyle w:val="ListParagraph"/>
        <w:numPr>
          <w:ilvl w:val="1"/>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 xml:space="preserve">Un rapport annuel qui fournit les principales leçons tirées des analyses effectuées à partir des informations collectées. L’agencement du rapport est réalisé selon l’ordre et les rubriques des indicateurs. </w:t>
      </w:r>
    </w:p>
    <w:p w14:paraId="291721C5" w14:textId="4973B807" w:rsidR="00E32863" w:rsidRPr="00E32863" w:rsidRDefault="00E32863" w:rsidP="00E32863">
      <w:pPr>
        <w:pStyle w:val="ListParagraph"/>
        <w:numPr>
          <w:ilvl w:val="1"/>
          <w:numId w:val="5"/>
        </w:numPr>
        <w:spacing w:before="60" w:after="60"/>
        <w:ind w:left="357" w:hanging="357"/>
        <w:contextualSpacing w:val="0"/>
        <w:rPr>
          <w:rFonts w:cstheme="minorHAnsi"/>
          <w:color w:val="000000" w:themeColor="text1"/>
          <w:szCs w:val="24"/>
          <w:lang w:val="fr-FR"/>
        </w:rPr>
      </w:pPr>
      <w:r w:rsidRPr="00E32863">
        <w:rPr>
          <w:rFonts w:cstheme="minorHAnsi"/>
          <w:color w:val="000000" w:themeColor="text1"/>
          <w:szCs w:val="24"/>
          <w:lang w:val="fr-FR"/>
        </w:rPr>
        <w:t>Un premier rapport produit avec l’aide de Laurent GILLE, a été publié en 2021 et couvre la période 2016</w:t>
      </w:r>
      <w:r w:rsidR="001579CB">
        <w:rPr>
          <w:rFonts w:cstheme="minorHAnsi"/>
          <w:color w:val="000000" w:themeColor="text1"/>
          <w:szCs w:val="24"/>
          <w:lang w:val="fr-FR"/>
        </w:rPr>
        <w:t>-</w:t>
      </w:r>
      <w:bookmarkStart w:id="7" w:name="_GoBack"/>
      <w:bookmarkEnd w:id="7"/>
      <w:r w:rsidRPr="00E32863">
        <w:rPr>
          <w:rFonts w:cstheme="minorHAnsi"/>
          <w:color w:val="000000" w:themeColor="text1"/>
          <w:szCs w:val="24"/>
          <w:lang w:val="fr-FR"/>
        </w:rPr>
        <w:t>2020.</w:t>
      </w:r>
    </w:p>
    <w:p w14:paraId="77774E3E" w14:textId="77777777" w:rsidR="00E32863" w:rsidRPr="00E32863" w:rsidRDefault="00E32863" w:rsidP="00E32863">
      <w:pPr>
        <w:pStyle w:val="ListParagraph"/>
        <w:numPr>
          <w:ilvl w:val="0"/>
          <w:numId w:val="3"/>
        </w:numPr>
        <w:spacing w:after="120"/>
        <w:contextualSpacing w:val="0"/>
        <w:rPr>
          <w:rFonts w:cstheme="minorHAnsi"/>
          <w:b/>
          <w:color w:val="000000" w:themeColor="text1"/>
          <w:szCs w:val="24"/>
          <w:lang w:val="fr-FR"/>
        </w:rPr>
      </w:pPr>
      <w:r w:rsidRPr="00E32863">
        <w:rPr>
          <w:rFonts w:cstheme="minorHAnsi"/>
          <w:b/>
          <w:color w:val="000000" w:themeColor="text1"/>
          <w:szCs w:val="24"/>
          <w:lang w:val="fr-FR"/>
        </w:rPr>
        <w:t>Planning de production et acteurs concernés par la collecte des données</w:t>
      </w:r>
      <w:r w:rsidRPr="00E32863">
        <w:rPr>
          <w:rStyle w:val="FootnoteReference"/>
          <w:rFonts w:cstheme="minorHAnsi"/>
          <w:b/>
          <w:color w:val="000000" w:themeColor="text1"/>
          <w:szCs w:val="18"/>
          <w:lang w:val="fr-FR"/>
        </w:rPr>
        <w:footnoteReference w:id="3"/>
      </w:r>
    </w:p>
    <w:p w14:paraId="37018BE6" w14:textId="45754B14" w:rsidR="00E32863" w:rsidRPr="00E32863" w:rsidRDefault="00E32863" w:rsidP="00E32863">
      <w:pPr>
        <w:spacing w:after="120"/>
        <w:rPr>
          <w:rFonts w:cstheme="minorHAnsi"/>
          <w:szCs w:val="24"/>
          <w:lang w:val="fr-FR"/>
        </w:rPr>
      </w:pPr>
      <w:r w:rsidRPr="00E32863">
        <w:rPr>
          <w:rFonts w:cstheme="minorHAnsi"/>
          <w:szCs w:val="24"/>
          <w:lang w:val="fr-FR"/>
        </w:rPr>
        <w:t>La matrice de l’observatoire est accompagnée d’un planning de production qui respecte les délais de remise des rapports annuels, notamment des opérateurs. Ces derniers constituent des sources nécessaires à l’alimentation de l’observatoire. En marge des opérateurs, d’autres acteurs comme la BCC (Banque Centrale des Comores), l’INSEED (institut Nationale des statistiques), l’AGID (Administration des Impôts)</w:t>
      </w:r>
      <w:r w:rsidR="00C46F22">
        <w:rPr>
          <w:rFonts w:cstheme="minorHAnsi"/>
          <w:szCs w:val="24"/>
          <w:lang w:val="fr-FR"/>
        </w:rPr>
        <w:t>,</w:t>
      </w:r>
      <w:r w:rsidR="00DB1A63">
        <w:rPr>
          <w:rFonts w:cstheme="minorHAnsi"/>
          <w:szCs w:val="24"/>
          <w:lang w:val="fr-FR"/>
        </w:rPr>
        <w:t xml:space="preserve"> </w:t>
      </w:r>
      <w:r w:rsidRPr="00E32863">
        <w:rPr>
          <w:rFonts w:cstheme="minorHAnsi"/>
          <w:szCs w:val="24"/>
          <w:lang w:val="fr-FR"/>
        </w:rPr>
        <w:t>etc. Ces organes mettent à disposition de l’observatoire, des informations d’ordre macroéconomiques permettant ainsi d’apprécier les contributions du numérique sur l’ensemble de l’économie nationale.</w:t>
      </w:r>
    </w:p>
    <w:p w14:paraId="5160B545" w14:textId="77777777" w:rsidR="00E32863" w:rsidRPr="00E32863" w:rsidRDefault="00E32863" w:rsidP="00E32863">
      <w:pPr>
        <w:pStyle w:val="ListParagraph"/>
        <w:numPr>
          <w:ilvl w:val="0"/>
          <w:numId w:val="3"/>
        </w:numPr>
        <w:spacing w:after="120"/>
        <w:contextualSpacing w:val="0"/>
        <w:rPr>
          <w:rFonts w:cstheme="minorHAnsi"/>
          <w:b/>
          <w:szCs w:val="24"/>
          <w:lang w:val="fr-FR"/>
        </w:rPr>
      </w:pPr>
      <w:r w:rsidRPr="00E32863">
        <w:rPr>
          <w:rFonts w:cstheme="minorHAnsi"/>
          <w:b/>
          <w:szCs w:val="24"/>
          <w:lang w:val="fr-FR"/>
        </w:rPr>
        <w:t>Les contraintes de production et de publication</w:t>
      </w:r>
    </w:p>
    <w:p w14:paraId="0616F32F" w14:textId="77777777"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FR"/>
        </w:rPr>
      </w:pPr>
      <w:r w:rsidRPr="00E32863">
        <w:rPr>
          <w:rFonts w:cstheme="minorHAnsi"/>
          <w:szCs w:val="24"/>
          <w:lang w:val="fr-FR"/>
        </w:rPr>
        <w:t xml:space="preserve">Depuis la parution en 2021 du premier rapport de l’observatoire du numérique, l’ANRTIC se trouve confronté à une triple contrainte liée aux comportements des acteurs du secteur, particulièrement les opérateurs de réseaux de télécommunications, aux moyens à mettre en œuvre pour collecter les informations et aux compétences générales. </w:t>
      </w:r>
    </w:p>
    <w:p w14:paraId="397C00C1" w14:textId="77777777"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FR"/>
        </w:rPr>
      </w:pPr>
      <w:r w:rsidRPr="00E32863">
        <w:rPr>
          <w:rFonts w:cstheme="minorHAnsi"/>
          <w:szCs w:val="24"/>
          <w:lang w:val="fr-FR"/>
        </w:rPr>
        <w:t xml:space="preserve">S’agissant des opérateurs et ce, malgré les dispositions règlementaires exigeant la fourniture des données du secteur, ils font souvent valoir l’idée de confidentialité des informations transmis au régulateur. Il est précisé et catégorisé trois types d’informations protégées dont la publication requiert des autorisations. Les informations relatives à la sûreté de l’Etat, celles protégées par les droits d’auteurs et celles protégées par le secret des affaires. Le régulateur a toujours fait preuve de confidentialité dans la détention et la conservation des données mises à sa disposition toutefois, la confiance a du mal s’établir. </w:t>
      </w:r>
    </w:p>
    <w:p w14:paraId="6535CC2B" w14:textId="4395A767"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FR"/>
        </w:rPr>
      </w:pPr>
      <w:r w:rsidRPr="00E32863">
        <w:rPr>
          <w:rFonts w:cstheme="minorHAnsi"/>
          <w:szCs w:val="24"/>
          <w:lang w:val="fr-FR"/>
        </w:rPr>
        <w:t>Certaines informations nécessitent la mise à disposition de fonds, notamment, les enquêtes de terrain conduites par le régulateur pour les usages ou pour les mesures de la QoS - qualité de service. Pour cette activité, l’ANRTIC s’est récemment doté d’un « drive test » pour effectuer les mesures élémentaires. Toutefois, il n’est pas exclu d’acquérir à l’avenir, des équipements plus performants.</w:t>
      </w:r>
      <w:r w:rsidR="00DB1A63">
        <w:rPr>
          <w:rFonts w:cstheme="minorHAnsi"/>
          <w:szCs w:val="24"/>
          <w:lang w:val="fr-FR"/>
        </w:rPr>
        <w:t xml:space="preserve"> </w:t>
      </w:r>
    </w:p>
    <w:p w14:paraId="5BE68894" w14:textId="6ED88668"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FR"/>
        </w:rPr>
      </w:pPr>
      <w:r w:rsidRPr="00E32863">
        <w:rPr>
          <w:rFonts w:cstheme="minorHAnsi"/>
          <w:szCs w:val="24"/>
          <w:lang w:val="fr-FR"/>
        </w:rPr>
        <w:t>Dans un souci de maintenir et mieux ravitailler l’observatoire en données fiables et assurer la publication régulière des rapports, il est également nécessaire de renforcer les capacités des cadres de l’ANRTIC en charge de cet outil.</w:t>
      </w:r>
    </w:p>
    <w:p w14:paraId="36127261" w14:textId="77777777"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FR"/>
        </w:rPr>
      </w:pPr>
      <w:r w:rsidRPr="00E32863">
        <w:rPr>
          <w:rFonts w:cstheme="minorHAnsi"/>
          <w:szCs w:val="24"/>
          <w:lang w:val="fr-FR"/>
        </w:rPr>
        <w:t xml:space="preserve">Parmi les recommandations faites aux Etas membres, figure en bonne place, les efforts </w:t>
      </w:r>
      <w:r w:rsidRPr="00E32863">
        <w:rPr>
          <w:rFonts w:cstheme="minorHAnsi"/>
          <w:i/>
          <w:szCs w:val="24"/>
          <w:lang w:val="fr-FR"/>
        </w:rPr>
        <w:t>« </w:t>
      </w:r>
      <w:r w:rsidRPr="00E32863">
        <w:rPr>
          <w:rStyle w:val="fontstyle01"/>
          <w:rFonts w:asciiTheme="minorHAnsi" w:hAnsiTheme="minorHAnsi" w:cstheme="minorHAnsi"/>
          <w:i/>
          <w:sz w:val="24"/>
          <w:szCs w:val="24"/>
          <w:lang w:val="fr-FR"/>
        </w:rPr>
        <w:t>d'harmoniser les méthodes afférentes à leurs systèmes nationaux de</w:t>
      </w:r>
      <w:r w:rsidRPr="00E32863">
        <w:rPr>
          <w:rFonts w:cstheme="minorHAnsi"/>
          <w:i/>
          <w:szCs w:val="24"/>
          <w:lang w:val="fr-FR"/>
        </w:rPr>
        <w:t xml:space="preserve"> </w:t>
      </w:r>
      <w:r w:rsidRPr="00E32863">
        <w:rPr>
          <w:rStyle w:val="fontstyle01"/>
          <w:rFonts w:asciiTheme="minorHAnsi" w:hAnsiTheme="minorHAnsi" w:cstheme="minorHAnsi"/>
          <w:i/>
          <w:sz w:val="24"/>
          <w:szCs w:val="24"/>
          <w:lang w:val="fr-FR"/>
        </w:rPr>
        <w:t>collecte de données statistiques avec celles qui sont utilisées au niveau international</w:t>
      </w:r>
      <w:r w:rsidRPr="00E32863">
        <w:rPr>
          <w:rFonts w:cstheme="minorHAnsi"/>
          <w:i/>
          <w:szCs w:val="24"/>
          <w:lang w:val="fr-FR"/>
        </w:rPr>
        <w:t> »</w:t>
      </w:r>
      <w:r w:rsidRPr="00E32863">
        <w:rPr>
          <w:rStyle w:val="FootnoteReference"/>
          <w:rFonts w:cstheme="minorHAnsi"/>
          <w:i/>
          <w:szCs w:val="18"/>
          <w:lang w:val="fr-FR"/>
        </w:rPr>
        <w:footnoteReference w:id="4"/>
      </w:r>
      <w:r w:rsidRPr="00E32863">
        <w:rPr>
          <w:rFonts w:cstheme="minorHAnsi"/>
          <w:i/>
          <w:szCs w:val="24"/>
          <w:lang w:val="fr-FR"/>
        </w:rPr>
        <w:t>.</w:t>
      </w:r>
      <w:r w:rsidRPr="00E32863">
        <w:rPr>
          <w:rFonts w:cstheme="minorHAnsi"/>
          <w:szCs w:val="24"/>
          <w:lang w:val="fr-FR"/>
        </w:rPr>
        <w:t xml:space="preserve"> De ce point de vue, l’Union des Comores entend mener un travail d’ajustement de la base de données des indicateurs pour répondre aux demandes formulées par les organes régionaux et internationaux. </w:t>
      </w:r>
    </w:p>
    <w:p w14:paraId="7CBABA31" w14:textId="404E70BB" w:rsidR="00E32863" w:rsidRPr="00E32863" w:rsidRDefault="00E32863" w:rsidP="00E32863">
      <w:pPr>
        <w:tabs>
          <w:tab w:val="clear" w:pos="794"/>
          <w:tab w:val="clear" w:pos="1191"/>
          <w:tab w:val="clear" w:pos="1588"/>
          <w:tab w:val="clear" w:pos="1985"/>
          <w:tab w:val="left" w:pos="3090"/>
        </w:tabs>
        <w:spacing w:after="120"/>
        <w:rPr>
          <w:rFonts w:cstheme="minorHAnsi"/>
          <w:b/>
          <w:szCs w:val="24"/>
          <w:lang w:val="fr-FR"/>
        </w:rPr>
      </w:pPr>
      <w:r w:rsidRPr="00E32863">
        <w:rPr>
          <w:rFonts w:cstheme="minorHAnsi"/>
          <w:b/>
          <w:szCs w:val="24"/>
          <w:lang w:val="fr-FR"/>
        </w:rPr>
        <w:t>Conclusion</w:t>
      </w:r>
    </w:p>
    <w:p w14:paraId="2285EA88" w14:textId="3FCE193B" w:rsidR="00E32863" w:rsidRPr="00E32863" w:rsidRDefault="00E32863" w:rsidP="00E32863">
      <w:pPr>
        <w:tabs>
          <w:tab w:val="clear" w:pos="794"/>
          <w:tab w:val="clear" w:pos="1191"/>
          <w:tab w:val="clear" w:pos="1588"/>
          <w:tab w:val="clear" w:pos="1985"/>
          <w:tab w:val="left" w:pos="3090"/>
        </w:tabs>
        <w:spacing w:after="120"/>
        <w:rPr>
          <w:rFonts w:cstheme="minorHAnsi"/>
          <w:szCs w:val="24"/>
          <w:lang w:val="fr-CH"/>
        </w:rPr>
      </w:pPr>
      <w:r w:rsidRPr="00E32863">
        <w:rPr>
          <w:rFonts w:cstheme="minorHAnsi"/>
          <w:szCs w:val="24"/>
          <w:lang w:val="fr-FR"/>
        </w:rPr>
        <w:t xml:space="preserve">Dans un souci d’évaluer et mesurer les traits de la société de l’information et conformément à la Résolution </w:t>
      </w:r>
      <w:r w:rsidRPr="00E32863">
        <w:rPr>
          <w:rStyle w:val="fontstyle01"/>
          <w:rFonts w:asciiTheme="minorHAnsi" w:hAnsiTheme="minorHAnsi" w:cstheme="minorHAnsi"/>
          <w:sz w:val="24"/>
          <w:szCs w:val="24"/>
          <w:lang w:val="fr-FR"/>
        </w:rPr>
        <w:t>8 (Rév. Kigali, 2022)</w:t>
      </w:r>
      <w:r w:rsidRPr="00E32863">
        <w:rPr>
          <w:rFonts w:cstheme="minorHAnsi"/>
          <w:szCs w:val="24"/>
          <w:lang w:val="fr-FR"/>
        </w:rPr>
        <w:t>, les Comores ont fourni leur part d’efforts, en mettant en place un Observatoire du Numérique. Un instrument de collecte, d’analyse et de publication d’indicateurs TIC. Ces derniers sont utiles pour assoir les orientations de politique sectorielle et faire figurer les Comores dans les rangs qui leur conviennent à l’échelle régional, sous régional et international. Des contraintes nées de la réticence des acteurs à fournir des informations, des moyens à mettre en œuvre pour conduire des enquêtes demeurent.</w:t>
      </w:r>
      <w:r w:rsidR="00DB1A63">
        <w:rPr>
          <w:rFonts w:cstheme="minorHAnsi"/>
          <w:szCs w:val="24"/>
          <w:lang w:val="fr-FR"/>
        </w:rPr>
        <w:t xml:space="preserve"> </w:t>
      </w:r>
      <w:r w:rsidRPr="00E32863">
        <w:rPr>
          <w:rFonts w:cstheme="minorHAnsi"/>
          <w:szCs w:val="24"/>
          <w:lang w:val="fr-FR"/>
        </w:rPr>
        <w:t xml:space="preserve">Au regard des chiffres fournis par le rapport du Secrétaire Général sur la mise en œuvre de la </w:t>
      </w:r>
      <w:r w:rsidRPr="00E32863">
        <w:rPr>
          <w:rFonts w:cstheme="minorHAnsi"/>
          <w:i/>
          <w:szCs w:val="24"/>
          <w:lang w:val="fr-FR"/>
        </w:rPr>
        <w:t>Résolution 131 (Rév. Dubaï, 2018)</w:t>
      </w:r>
      <w:r w:rsidRPr="00E32863">
        <w:rPr>
          <w:rStyle w:val="FootnoteReference"/>
          <w:rFonts w:cstheme="minorHAnsi"/>
          <w:i/>
          <w:sz w:val="24"/>
          <w:szCs w:val="24"/>
          <w:lang w:val="fr-FR"/>
        </w:rPr>
        <w:footnoteReference w:id="5"/>
      </w:r>
      <w:r w:rsidRPr="00E32863">
        <w:rPr>
          <w:rFonts w:cstheme="minorHAnsi"/>
          <w:szCs w:val="24"/>
          <w:lang w:val="fr-FR"/>
        </w:rPr>
        <w:t xml:space="preserve"> de la Conférence de plénipotentiaires, qui fait état d’une faible mobilisation des ressources humaines par l’UIT, quant aux travaux pour les données statistiques (0,9% pour l’UIT conte 7,9% pour le FMI – nombre des fonctionnaires chargé des statistiques sur le nombre total des fonctionnaires). Il est donc recommandé d’apporter des appuis supplémentaires pour renforcer cette activité au sein de l’UIT.</w:t>
      </w:r>
      <w:r w:rsidR="00DB1A63">
        <w:rPr>
          <w:rFonts w:cstheme="minorHAnsi"/>
          <w:szCs w:val="24"/>
          <w:lang w:val="fr-FR"/>
        </w:rPr>
        <w:t xml:space="preserve"> </w:t>
      </w:r>
      <w:r w:rsidRPr="00E32863">
        <w:rPr>
          <w:rFonts w:cstheme="minorHAnsi"/>
          <w:szCs w:val="24"/>
          <w:lang w:val="fr-FR"/>
        </w:rPr>
        <w:t xml:space="preserve">Cette initiative pourrait bénéficier également aux Etats </w:t>
      </w:r>
      <w:r w:rsidR="00C46F22">
        <w:rPr>
          <w:rFonts w:cstheme="minorHAnsi"/>
          <w:szCs w:val="24"/>
          <w:lang w:val="fr-FR"/>
        </w:rPr>
        <w:t>M</w:t>
      </w:r>
      <w:r w:rsidR="00C46F22" w:rsidRPr="00E32863">
        <w:rPr>
          <w:rFonts w:cstheme="minorHAnsi"/>
          <w:szCs w:val="24"/>
          <w:lang w:val="fr-FR"/>
        </w:rPr>
        <w:t>embres</w:t>
      </w:r>
      <w:r w:rsidRPr="00E32863">
        <w:rPr>
          <w:rFonts w:cstheme="minorHAnsi"/>
          <w:szCs w:val="24"/>
          <w:lang w:val="fr-FR"/>
        </w:rPr>
        <w:t>, notamment, les pays en développement qui, faute d’expertise sur la question, pourraient se voir assister techniquement.</w:t>
      </w:r>
      <w:r w:rsidR="00DB1A63">
        <w:rPr>
          <w:rFonts w:cstheme="minorHAnsi"/>
          <w:szCs w:val="24"/>
          <w:lang w:val="fr-FR"/>
        </w:rPr>
        <w:t xml:space="preserve"> </w:t>
      </w:r>
    </w:p>
    <w:p w14:paraId="0BCDB879" w14:textId="77777777" w:rsidR="00E32863" w:rsidRDefault="00E32863">
      <w:pPr>
        <w:tabs>
          <w:tab w:val="clear" w:pos="794"/>
          <w:tab w:val="clear" w:pos="1191"/>
          <w:tab w:val="clear" w:pos="1588"/>
          <w:tab w:val="clear" w:pos="1985"/>
        </w:tabs>
        <w:overflowPunct/>
        <w:autoSpaceDE/>
        <w:autoSpaceDN/>
        <w:adjustRightInd/>
        <w:spacing w:before="0"/>
        <w:textAlignment w:val="auto"/>
        <w:rPr>
          <w:rFonts w:ascii="Times New Roman" w:hAnsi="Times New Roman"/>
          <w:b/>
          <w:szCs w:val="24"/>
          <w:lang w:val="fr-FR"/>
        </w:rPr>
      </w:pPr>
      <w:r>
        <w:rPr>
          <w:rFonts w:ascii="Times New Roman" w:hAnsi="Times New Roman"/>
          <w:b/>
          <w:szCs w:val="24"/>
          <w:lang w:val="fr-FR"/>
        </w:rPr>
        <w:br w:type="page"/>
      </w:r>
    </w:p>
    <w:p w14:paraId="3E6D4494" w14:textId="03A92A70" w:rsidR="00E32863" w:rsidRPr="00E32863" w:rsidRDefault="00E32863" w:rsidP="00B00305">
      <w:pPr>
        <w:tabs>
          <w:tab w:val="clear" w:pos="794"/>
          <w:tab w:val="clear" w:pos="1191"/>
          <w:tab w:val="clear" w:pos="1588"/>
          <w:tab w:val="clear" w:pos="1985"/>
          <w:tab w:val="left" w:pos="3090"/>
        </w:tabs>
        <w:spacing w:after="120"/>
        <w:jc w:val="center"/>
        <w:rPr>
          <w:rFonts w:cstheme="minorHAnsi"/>
          <w:b/>
          <w:szCs w:val="24"/>
          <w:lang w:val="fr-FR"/>
        </w:rPr>
      </w:pPr>
      <w:r w:rsidRPr="00E32863">
        <w:rPr>
          <w:rFonts w:cstheme="minorHAnsi"/>
          <w:b/>
          <w:szCs w:val="24"/>
          <w:lang w:val="fr-FR"/>
        </w:rPr>
        <w:t>ANNEXE 1</w:t>
      </w:r>
    </w:p>
    <w:p w14:paraId="00ECB6E4" w14:textId="77777777" w:rsidR="00E32863" w:rsidRPr="00E32863" w:rsidRDefault="00E32863" w:rsidP="00B00305">
      <w:pPr>
        <w:tabs>
          <w:tab w:val="clear" w:pos="794"/>
          <w:tab w:val="clear" w:pos="1191"/>
          <w:tab w:val="clear" w:pos="1588"/>
          <w:tab w:val="clear" w:pos="1985"/>
          <w:tab w:val="left" w:pos="3090"/>
        </w:tabs>
        <w:spacing w:after="120"/>
        <w:jc w:val="center"/>
        <w:rPr>
          <w:rFonts w:cstheme="minorHAnsi"/>
          <w:b/>
          <w:szCs w:val="24"/>
          <w:lang w:val="fr-FR"/>
        </w:rPr>
      </w:pPr>
      <w:r w:rsidRPr="00E32863">
        <w:rPr>
          <w:rFonts w:cstheme="minorHAnsi"/>
          <w:b/>
          <w:szCs w:val="24"/>
          <w:lang w:val="fr-FR"/>
        </w:rPr>
        <w:t>Calendrier de collecte, de mise à jour, de rédaction et publication des rapports</w:t>
      </w:r>
    </w:p>
    <w:tbl>
      <w:tblPr>
        <w:tblStyle w:val="TableGrid0"/>
        <w:tblW w:w="10206" w:type="dxa"/>
        <w:tblInd w:w="138" w:type="dxa"/>
        <w:tblCellMar>
          <w:top w:w="45" w:type="dxa"/>
          <w:right w:w="14" w:type="dxa"/>
        </w:tblCellMar>
        <w:tblLook w:val="04A0" w:firstRow="1" w:lastRow="0" w:firstColumn="1" w:lastColumn="0" w:noHBand="0" w:noVBand="1"/>
      </w:tblPr>
      <w:tblGrid>
        <w:gridCol w:w="1985"/>
        <w:gridCol w:w="1134"/>
        <w:gridCol w:w="34"/>
        <w:gridCol w:w="1100"/>
        <w:gridCol w:w="992"/>
        <w:gridCol w:w="992"/>
        <w:gridCol w:w="993"/>
        <w:gridCol w:w="992"/>
        <w:gridCol w:w="992"/>
        <w:gridCol w:w="992"/>
      </w:tblGrid>
      <w:tr w:rsidR="00E32863" w:rsidRPr="00E32863" w14:paraId="4510C1A1" w14:textId="77777777" w:rsidTr="00E6598D">
        <w:trPr>
          <w:trHeight w:val="280"/>
        </w:trPr>
        <w:tc>
          <w:tcPr>
            <w:tcW w:w="1985" w:type="dxa"/>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349161ED" w14:textId="77777777" w:rsidR="00E32863" w:rsidRPr="00E32863" w:rsidRDefault="00E32863" w:rsidP="00E32863">
            <w:pPr>
              <w:spacing w:before="40" w:after="40"/>
              <w:ind w:left="108"/>
              <w:jc w:val="center"/>
              <w:rPr>
                <w:rFonts w:cstheme="minorHAnsi"/>
                <w:sz w:val="22"/>
                <w:lang w:val="fr-FR"/>
              </w:rPr>
            </w:pPr>
          </w:p>
        </w:tc>
        <w:tc>
          <w:tcPr>
            <w:tcW w:w="1134" w:type="dxa"/>
            <w:tcBorders>
              <w:top w:val="single" w:sz="3" w:space="0" w:color="000000"/>
              <w:left w:val="single" w:sz="3" w:space="0" w:color="000000"/>
              <w:bottom w:val="single" w:sz="3" w:space="0" w:color="000000"/>
              <w:right w:val="nil"/>
            </w:tcBorders>
            <w:shd w:val="clear" w:color="auto" w:fill="548DD4" w:themeFill="text2" w:themeFillTint="99"/>
          </w:tcPr>
          <w:p w14:paraId="48669475" w14:textId="77777777" w:rsidR="00E32863" w:rsidRPr="00E32863" w:rsidRDefault="00E32863" w:rsidP="00E32863">
            <w:pPr>
              <w:spacing w:before="40" w:after="40"/>
              <w:jc w:val="center"/>
              <w:rPr>
                <w:rFonts w:cstheme="minorHAnsi"/>
                <w:color w:val="FFFFFF" w:themeColor="background1"/>
                <w:sz w:val="22"/>
                <w:lang w:val="fr-FR"/>
              </w:rPr>
            </w:pPr>
          </w:p>
        </w:tc>
        <w:tc>
          <w:tcPr>
            <w:tcW w:w="1134" w:type="dxa"/>
            <w:gridSpan w:val="2"/>
            <w:tcBorders>
              <w:top w:val="single" w:sz="3" w:space="0" w:color="000000"/>
              <w:left w:val="nil"/>
              <w:bottom w:val="single" w:sz="3" w:space="0" w:color="000000"/>
              <w:right w:val="single" w:sz="3" w:space="0" w:color="000000"/>
            </w:tcBorders>
            <w:shd w:val="clear" w:color="auto" w:fill="548DD4" w:themeFill="text2" w:themeFillTint="99"/>
          </w:tcPr>
          <w:p w14:paraId="225A160C" w14:textId="77777777" w:rsidR="00E32863" w:rsidRPr="00E32863" w:rsidRDefault="00E32863" w:rsidP="00615C48">
            <w:pPr>
              <w:spacing w:before="40" w:after="40"/>
              <w:jc w:val="center"/>
              <w:rPr>
                <w:rFonts w:cstheme="minorHAnsi"/>
                <w:color w:val="FFFFFF" w:themeColor="background1"/>
                <w:sz w:val="22"/>
                <w:lang w:val="fr-FR"/>
              </w:rPr>
            </w:pPr>
            <w:r w:rsidRPr="00E32863">
              <w:rPr>
                <w:rFonts w:cstheme="minorHAnsi"/>
                <w:color w:val="FFFFFF" w:themeColor="background1"/>
                <w:sz w:val="22"/>
                <w:lang w:val="fr-FR"/>
              </w:rPr>
              <w:t>T1</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750C9BBB" w14:textId="77777777" w:rsidR="00E32863" w:rsidRPr="00E32863" w:rsidRDefault="00E32863" w:rsidP="00E32863">
            <w:pPr>
              <w:spacing w:before="40" w:after="40"/>
              <w:ind w:left="16"/>
              <w:jc w:val="center"/>
              <w:rPr>
                <w:rFonts w:cstheme="minorHAnsi"/>
                <w:color w:val="FFFFFF" w:themeColor="background1"/>
                <w:sz w:val="22"/>
                <w:lang w:val="fr-FR"/>
              </w:rPr>
            </w:pPr>
            <w:r w:rsidRPr="00E32863">
              <w:rPr>
                <w:rFonts w:cstheme="minorHAnsi"/>
                <w:color w:val="FFFFFF" w:themeColor="background1"/>
                <w:sz w:val="22"/>
                <w:lang w:val="fr-FR"/>
              </w:rPr>
              <w:t>T2</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7FBF38CF" w14:textId="77777777" w:rsidR="00E32863" w:rsidRPr="00E32863" w:rsidRDefault="00E32863" w:rsidP="00E32863">
            <w:pPr>
              <w:spacing w:before="40" w:after="40"/>
              <w:ind w:left="13"/>
              <w:jc w:val="center"/>
              <w:rPr>
                <w:rFonts w:cstheme="minorHAnsi"/>
                <w:color w:val="FFFFFF" w:themeColor="background1"/>
                <w:sz w:val="22"/>
                <w:lang w:val="fr-FR"/>
              </w:rPr>
            </w:pPr>
            <w:r w:rsidRPr="00E32863">
              <w:rPr>
                <w:rFonts w:cstheme="minorHAnsi"/>
                <w:color w:val="FFFFFF" w:themeColor="background1"/>
                <w:sz w:val="22"/>
                <w:lang w:val="fr-FR"/>
              </w:rPr>
              <w:t>T3</w:t>
            </w:r>
          </w:p>
        </w:tc>
        <w:tc>
          <w:tcPr>
            <w:tcW w:w="1984" w:type="dxa"/>
            <w:gridSpan w:val="2"/>
            <w:tcBorders>
              <w:top w:val="single" w:sz="3" w:space="0" w:color="000000"/>
              <w:left w:val="single" w:sz="3" w:space="0" w:color="000000"/>
              <w:bottom w:val="single" w:sz="3" w:space="0" w:color="000000"/>
              <w:right w:val="single" w:sz="3" w:space="0" w:color="000000"/>
            </w:tcBorders>
            <w:shd w:val="clear" w:color="auto" w:fill="548DD4" w:themeFill="text2" w:themeFillTint="99"/>
          </w:tcPr>
          <w:p w14:paraId="65F36258" w14:textId="77777777" w:rsidR="00E32863" w:rsidRPr="00E32863" w:rsidRDefault="00E32863" w:rsidP="00E32863">
            <w:pPr>
              <w:spacing w:before="40" w:after="40"/>
              <w:ind w:left="19"/>
              <w:jc w:val="center"/>
              <w:rPr>
                <w:rFonts w:cstheme="minorHAnsi"/>
                <w:color w:val="FFFFFF" w:themeColor="background1"/>
                <w:sz w:val="22"/>
                <w:lang w:val="fr-FR"/>
              </w:rPr>
            </w:pPr>
            <w:r w:rsidRPr="00E32863">
              <w:rPr>
                <w:rFonts w:cstheme="minorHAnsi"/>
                <w:color w:val="FFFFFF" w:themeColor="background1"/>
                <w:sz w:val="22"/>
                <w:lang w:val="fr-FR"/>
              </w:rPr>
              <w:t>T4</w:t>
            </w:r>
          </w:p>
        </w:tc>
      </w:tr>
      <w:tr w:rsidR="00E32863" w:rsidRPr="00E32863" w14:paraId="73D4B0E8" w14:textId="77777777" w:rsidTr="00E6598D">
        <w:trPr>
          <w:trHeight w:val="282"/>
        </w:trPr>
        <w:tc>
          <w:tcPr>
            <w:tcW w:w="1985" w:type="dxa"/>
            <w:tcBorders>
              <w:top w:val="single" w:sz="3" w:space="0" w:color="000000"/>
              <w:left w:val="single" w:sz="3" w:space="0" w:color="000000"/>
              <w:bottom w:val="single" w:sz="3" w:space="0" w:color="000000"/>
              <w:right w:val="single" w:sz="3" w:space="0" w:color="000000"/>
            </w:tcBorders>
          </w:tcPr>
          <w:p w14:paraId="2EE11A67" w14:textId="77777777" w:rsidR="00E32863" w:rsidRPr="00E32863" w:rsidRDefault="00E32863" w:rsidP="00E32863">
            <w:pPr>
              <w:spacing w:before="40" w:after="40"/>
              <w:ind w:left="108"/>
              <w:jc w:val="center"/>
              <w:rPr>
                <w:rFonts w:cstheme="minorHAnsi"/>
                <w:sz w:val="22"/>
                <w:lang w:val="fr-FR"/>
              </w:rPr>
            </w:pPr>
          </w:p>
        </w:tc>
        <w:tc>
          <w:tcPr>
            <w:tcW w:w="1134" w:type="dxa"/>
            <w:tcBorders>
              <w:top w:val="single" w:sz="3" w:space="0" w:color="000000"/>
              <w:left w:val="single" w:sz="3" w:space="0" w:color="000000"/>
              <w:bottom w:val="single" w:sz="3" w:space="0" w:color="000000"/>
              <w:right w:val="nil"/>
            </w:tcBorders>
          </w:tcPr>
          <w:p w14:paraId="0CBE9DE3" w14:textId="27F3E281" w:rsidR="00E32863" w:rsidRPr="00E32863" w:rsidRDefault="00E32863" w:rsidP="00E32863">
            <w:pPr>
              <w:tabs>
                <w:tab w:val="clear" w:pos="794"/>
                <w:tab w:val="left" w:pos="700"/>
              </w:tabs>
              <w:spacing w:before="40" w:after="40"/>
              <w:ind w:left="125"/>
              <w:jc w:val="center"/>
              <w:rPr>
                <w:rFonts w:cstheme="minorHAnsi"/>
                <w:sz w:val="22"/>
              </w:rPr>
            </w:pPr>
            <w:r w:rsidRPr="00E32863">
              <w:rPr>
                <w:rFonts w:cstheme="minorHAnsi"/>
                <w:sz w:val="22"/>
                <w:lang w:val="fr-FR"/>
              </w:rPr>
              <w:t>T1</w:t>
            </w:r>
            <w:r w:rsidRPr="00E32863">
              <w:rPr>
                <w:rFonts w:cstheme="minorHAnsi"/>
                <w:sz w:val="22"/>
              </w:rPr>
              <w:t>/1</w:t>
            </w:r>
          </w:p>
        </w:tc>
        <w:tc>
          <w:tcPr>
            <w:tcW w:w="34" w:type="dxa"/>
            <w:tcBorders>
              <w:top w:val="single" w:sz="3" w:space="0" w:color="000000"/>
              <w:left w:val="nil"/>
              <w:bottom w:val="single" w:sz="3" w:space="0" w:color="000000"/>
              <w:right w:val="single" w:sz="3" w:space="0" w:color="000000"/>
            </w:tcBorders>
          </w:tcPr>
          <w:p w14:paraId="07BBD759"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4C41288E" w14:textId="77777777" w:rsidR="00E32863" w:rsidRPr="00E32863" w:rsidRDefault="00E32863" w:rsidP="00E32863">
            <w:pPr>
              <w:spacing w:before="40" w:after="40"/>
              <w:ind w:left="15"/>
              <w:jc w:val="center"/>
              <w:rPr>
                <w:rFonts w:cstheme="minorHAnsi"/>
                <w:sz w:val="22"/>
              </w:rPr>
            </w:pPr>
            <w:r w:rsidRPr="00E32863">
              <w:rPr>
                <w:rFonts w:cstheme="minorHAnsi"/>
                <w:sz w:val="22"/>
              </w:rPr>
              <w:t>T1/2</w:t>
            </w:r>
          </w:p>
        </w:tc>
        <w:tc>
          <w:tcPr>
            <w:tcW w:w="992" w:type="dxa"/>
            <w:tcBorders>
              <w:top w:val="single" w:sz="3" w:space="0" w:color="000000"/>
              <w:left w:val="single" w:sz="3" w:space="0" w:color="000000"/>
              <w:bottom w:val="single" w:sz="3" w:space="0" w:color="000000"/>
              <w:right w:val="single" w:sz="3" w:space="0" w:color="000000"/>
            </w:tcBorders>
          </w:tcPr>
          <w:p w14:paraId="7ABDA467" w14:textId="77777777" w:rsidR="00E32863" w:rsidRPr="00E32863" w:rsidRDefault="00E32863" w:rsidP="00E32863">
            <w:pPr>
              <w:spacing w:before="40" w:after="40"/>
              <w:ind w:left="11"/>
              <w:jc w:val="center"/>
              <w:rPr>
                <w:rFonts w:cstheme="minorHAnsi"/>
                <w:sz w:val="22"/>
              </w:rPr>
            </w:pPr>
            <w:r w:rsidRPr="00E32863">
              <w:rPr>
                <w:rFonts w:cstheme="minorHAnsi"/>
                <w:sz w:val="22"/>
              </w:rPr>
              <w:t>T2/1</w:t>
            </w:r>
          </w:p>
        </w:tc>
        <w:tc>
          <w:tcPr>
            <w:tcW w:w="992" w:type="dxa"/>
            <w:tcBorders>
              <w:top w:val="single" w:sz="3" w:space="0" w:color="000000"/>
              <w:left w:val="single" w:sz="3" w:space="0" w:color="000000"/>
              <w:bottom w:val="single" w:sz="3" w:space="0" w:color="000000"/>
              <w:right w:val="single" w:sz="3" w:space="0" w:color="000000"/>
            </w:tcBorders>
          </w:tcPr>
          <w:p w14:paraId="5858F4EF" w14:textId="77777777" w:rsidR="00E32863" w:rsidRPr="00E32863" w:rsidRDefault="00E32863" w:rsidP="00E32863">
            <w:pPr>
              <w:spacing w:before="40" w:after="40"/>
              <w:jc w:val="center"/>
              <w:rPr>
                <w:rFonts w:cstheme="minorHAnsi"/>
                <w:sz w:val="22"/>
              </w:rPr>
            </w:pPr>
            <w:r w:rsidRPr="00E32863">
              <w:rPr>
                <w:rFonts w:cstheme="minorHAnsi"/>
                <w:sz w:val="22"/>
              </w:rPr>
              <w:t>T2/2</w:t>
            </w:r>
          </w:p>
        </w:tc>
        <w:tc>
          <w:tcPr>
            <w:tcW w:w="993" w:type="dxa"/>
            <w:tcBorders>
              <w:top w:val="single" w:sz="3" w:space="0" w:color="000000"/>
              <w:left w:val="single" w:sz="3" w:space="0" w:color="000000"/>
              <w:bottom w:val="single" w:sz="3" w:space="0" w:color="000000"/>
              <w:right w:val="single" w:sz="3" w:space="0" w:color="000000"/>
            </w:tcBorders>
          </w:tcPr>
          <w:p w14:paraId="67B955DB" w14:textId="77777777" w:rsidR="00E32863" w:rsidRPr="00E32863" w:rsidRDefault="00E32863" w:rsidP="00E32863">
            <w:pPr>
              <w:spacing w:before="40" w:after="40"/>
              <w:ind w:left="18"/>
              <w:jc w:val="center"/>
              <w:rPr>
                <w:rFonts w:cstheme="minorHAnsi"/>
                <w:sz w:val="22"/>
              </w:rPr>
            </w:pPr>
            <w:r w:rsidRPr="00E32863">
              <w:rPr>
                <w:rFonts w:cstheme="minorHAnsi"/>
                <w:sz w:val="22"/>
              </w:rPr>
              <w:t>T3/1</w:t>
            </w:r>
          </w:p>
        </w:tc>
        <w:tc>
          <w:tcPr>
            <w:tcW w:w="992" w:type="dxa"/>
            <w:tcBorders>
              <w:top w:val="single" w:sz="3" w:space="0" w:color="000000"/>
              <w:left w:val="single" w:sz="3" w:space="0" w:color="000000"/>
              <w:bottom w:val="single" w:sz="3" w:space="0" w:color="000000"/>
              <w:right w:val="single" w:sz="3" w:space="0" w:color="000000"/>
            </w:tcBorders>
          </w:tcPr>
          <w:p w14:paraId="4C1F9504" w14:textId="77777777" w:rsidR="00E32863" w:rsidRPr="00E32863" w:rsidRDefault="00E32863" w:rsidP="00E32863">
            <w:pPr>
              <w:spacing w:before="40" w:after="40"/>
              <w:ind w:left="16"/>
              <w:jc w:val="center"/>
              <w:rPr>
                <w:rFonts w:cstheme="minorHAnsi"/>
                <w:sz w:val="22"/>
              </w:rPr>
            </w:pPr>
            <w:r w:rsidRPr="00E32863">
              <w:rPr>
                <w:rFonts w:cstheme="minorHAnsi"/>
                <w:sz w:val="22"/>
              </w:rPr>
              <w:t>T3/2</w:t>
            </w:r>
          </w:p>
        </w:tc>
        <w:tc>
          <w:tcPr>
            <w:tcW w:w="992" w:type="dxa"/>
            <w:tcBorders>
              <w:top w:val="single" w:sz="3" w:space="0" w:color="000000"/>
              <w:left w:val="single" w:sz="3" w:space="0" w:color="000000"/>
              <w:bottom w:val="single" w:sz="3" w:space="0" w:color="000000"/>
              <w:right w:val="single" w:sz="3" w:space="0" w:color="000000"/>
            </w:tcBorders>
          </w:tcPr>
          <w:p w14:paraId="72A487DA" w14:textId="77777777" w:rsidR="00E32863" w:rsidRPr="00E32863" w:rsidRDefault="00E32863" w:rsidP="00E32863">
            <w:pPr>
              <w:spacing w:before="40" w:after="40"/>
              <w:ind w:left="14"/>
              <w:jc w:val="center"/>
              <w:rPr>
                <w:rFonts w:cstheme="minorHAnsi"/>
                <w:sz w:val="22"/>
              </w:rPr>
            </w:pPr>
            <w:r w:rsidRPr="00E32863">
              <w:rPr>
                <w:rFonts w:cstheme="minorHAnsi"/>
                <w:sz w:val="22"/>
              </w:rPr>
              <w:t>T4/1</w:t>
            </w:r>
          </w:p>
        </w:tc>
        <w:tc>
          <w:tcPr>
            <w:tcW w:w="992" w:type="dxa"/>
            <w:tcBorders>
              <w:top w:val="single" w:sz="3" w:space="0" w:color="000000"/>
              <w:left w:val="single" w:sz="3" w:space="0" w:color="000000"/>
              <w:bottom w:val="single" w:sz="3" w:space="0" w:color="000000"/>
              <w:right w:val="single" w:sz="3" w:space="0" w:color="000000"/>
            </w:tcBorders>
          </w:tcPr>
          <w:p w14:paraId="2CFCA863" w14:textId="77777777" w:rsidR="00E32863" w:rsidRPr="00E32863" w:rsidRDefault="00E32863" w:rsidP="00E32863">
            <w:pPr>
              <w:spacing w:before="40" w:after="40"/>
              <w:ind w:left="14"/>
              <w:jc w:val="center"/>
              <w:rPr>
                <w:rFonts w:cstheme="minorHAnsi"/>
                <w:sz w:val="22"/>
              </w:rPr>
            </w:pPr>
            <w:r w:rsidRPr="00E32863">
              <w:rPr>
                <w:rFonts w:cstheme="minorHAnsi"/>
                <w:sz w:val="22"/>
              </w:rPr>
              <w:t>T4/2</w:t>
            </w:r>
          </w:p>
        </w:tc>
      </w:tr>
      <w:tr w:rsidR="00E32863" w:rsidRPr="00E32863" w14:paraId="129D82DD" w14:textId="77777777" w:rsidTr="00E6598D">
        <w:trPr>
          <w:trHeight w:val="567"/>
        </w:trPr>
        <w:tc>
          <w:tcPr>
            <w:tcW w:w="1985" w:type="dxa"/>
            <w:tcBorders>
              <w:top w:val="single" w:sz="3" w:space="0" w:color="000000"/>
              <w:left w:val="single" w:sz="3" w:space="0" w:color="000000"/>
              <w:bottom w:val="single" w:sz="3" w:space="0" w:color="000000"/>
              <w:right w:val="single" w:sz="3" w:space="0" w:color="000000"/>
            </w:tcBorders>
          </w:tcPr>
          <w:p w14:paraId="5AEFE5D3" w14:textId="7139B70F" w:rsidR="00E32863" w:rsidRPr="00E32863" w:rsidRDefault="00E32863" w:rsidP="009A5233">
            <w:pPr>
              <w:spacing w:before="40" w:after="40"/>
              <w:ind w:left="108"/>
              <w:rPr>
                <w:rFonts w:cstheme="minorHAnsi"/>
                <w:sz w:val="22"/>
                <w:lang w:val="fr-FR"/>
              </w:rPr>
            </w:pPr>
            <w:r w:rsidRPr="00E32863">
              <w:rPr>
                <w:rFonts w:cstheme="minorHAnsi"/>
                <w:sz w:val="22"/>
                <w:lang w:val="fr-FR"/>
              </w:rPr>
              <w:t>Collecte données</w:t>
            </w:r>
            <w:r w:rsidR="009A5233">
              <w:rPr>
                <w:rFonts w:cstheme="minorHAnsi"/>
                <w:sz w:val="22"/>
                <w:lang w:val="fr-FR"/>
              </w:rPr>
              <w:t xml:space="preserve"> </w:t>
            </w:r>
            <w:r w:rsidRPr="00E32863">
              <w:rPr>
                <w:rFonts w:cstheme="minorHAnsi"/>
                <w:sz w:val="22"/>
                <w:lang w:val="fr-FR"/>
              </w:rPr>
              <w:t>trimestrielles</w:t>
            </w:r>
          </w:p>
        </w:tc>
        <w:tc>
          <w:tcPr>
            <w:tcW w:w="1134" w:type="dxa"/>
            <w:tcBorders>
              <w:top w:val="single" w:sz="3" w:space="0" w:color="000000"/>
              <w:left w:val="single" w:sz="3" w:space="0" w:color="000000"/>
              <w:bottom w:val="single" w:sz="3" w:space="0" w:color="000000"/>
              <w:right w:val="nil"/>
            </w:tcBorders>
            <w:shd w:val="clear" w:color="auto" w:fill="D9D9D9"/>
          </w:tcPr>
          <w:p w14:paraId="4050AFB6" w14:textId="04A03D75" w:rsidR="00E32863" w:rsidRPr="00E32863" w:rsidRDefault="00E32863" w:rsidP="00E32863">
            <w:pPr>
              <w:spacing w:before="40" w:after="40"/>
              <w:jc w:val="center"/>
              <w:rPr>
                <w:rFonts w:cstheme="minorHAnsi"/>
                <w:sz w:val="22"/>
              </w:rPr>
            </w:pPr>
            <w:r w:rsidRPr="00E32863">
              <w:rPr>
                <w:rFonts w:cstheme="minorHAnsi"/>
                <w:sz w:val="22"/>
              </w:rPr>
              <w:t>T4 n-1</w:t>
            </w:r>
          </w:p>
        </w:tc>
        <w:tc>
          <w:tcPr>
            <w:tcW w:w="34" w:type="dxa"/>
            <w:tcBorders>
              <w:top w:val="single" w:sz="3" w:space="0" w:color="000000"/>
              <w:left w:val="nil"/>
              <w:bottom w:val="single" w:sz="3" w:space="0" w:color="000000"/>
              <w:right w:val="single" w:sz="3" w:space="0" w:color="000000"/>
            </w:tcBorders>
            <w:shd w:val="clear" w:color="auto" w:fill="D9D9D9"/>
          </w:tcPr>
          <w:p w14:paraId="7271ADB5"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0E21FBBB"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8C2FBE4" w14:textId="77777777" w:rsidR="00E32863" w:rsidRPr="00E32863" w:rsidRDefault="00E32863" w:rsidP="00E32863">
            <w:pPr>
              <w:spacing w:before="40" w:after="40"/>
              <w:ind w:left="7"/>
              <w:jc w:val="center"/>
              <w:rPr>
                <w:rFonts w:cstheme="minorHAnsi"/>
                <w:sz w:val="22"/>
              </w:rPr>
            </w:pPr>
            <w:r w:rsidRPr="00E32863">
              <w:rPr>
                <w:rFonts w:cstheme="minorHAnsi"/>
                <w:sz w:val="22"/>
              </w:rPr>
              <w:t>T1</w:t>
            </w:r>
          </w:p>
        </w:tc>
        <w:tc>
          <w:tcPr>
            <w:tcW w:w="992" w:type="dxa"/>
            <w:tcBorders>
              <w:top w:val="single" w:sz="3" w:space="0" w:color="000000"/>
              <w:left w:val="single" w:sz="3" w:space="0" w:color="000000"/>
              <w:bottom w:val="single" w:sz="3" w:space="0" w:color="000000"/>
              <w:right w:val="single" w:sz="3" w:space="0" w:color="000000"/>
            </w:tcBorders>
          </w:tcPr>
          <w:p w14:paraId="7B463430"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4F4D17E3" w14:textId="77777777" w:rsidR="00E32863" w:rsidRPr="00E32863" w:rsidRDefault="00E32863" w:rsidP="00E32863">
            <w:pPr>
              <w:spacing w:before="40" w:after="40"/>
              <w:ind w:left="13"/>
              <w:jc w:val="center"/>
              <w:rPr>
                <w:rFonts w:cstheme="minorHAnsi"/>
                <w:sz w:val="22"/>
              </w:rPr>
            </w:pPr>
            <w:r w:rsidRPr="00E32863">
              <w:rPr>
                <w:rFonts w:cstheme="minorHAnsi"/>
                <w:sz w:val="22"/>
              </w:rPr>
              <w:t>T2</w:t>
            </w:r>
          </w:p>
        </w:tc>
        <w:tc>
          <w:tcPr>
            <w:tcW w:w="992" w:type="dxa"/>
            <w:tcBorders>
              <w:top w:val="single" w:sz="3" w:space="0" w:color="000000"/>
              <w:left w:val="single" w:sz="3" w:space="0" w:color="000000"/>
              <w:bottom w:val="single" w:sz="3" w:space="0" w:color="000000"/>
              <w:right w:val="single" w:sz="3" w:space="0" w:color="000000"/>
            </w:tcBorders>
          </w:tcPr>
          <w:p w14:paraId="5B9A4272"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7F3E73B" w14:textId="77777777" w:rsidR="00E32863" w:rsidRPr="00E32863" w:rsidRDefault="00E32863" w:rsidP="00E32863">
            <w:pPr>
              <w:spacing w:before="40" w:after="40"/>
              <w:jc w:val="center"/>
              <w:rPr>
                <w:rFonts w:cstheme="minorHAnsi"/>
                <w:sz w:val="22"/>
              </w:rPr>
            </w:pPr>
            <w:r w:rsidRPr="00E32863">
              <w:rPr>
                <w:rFonts w:cstheme="minorHAnsi"/>
                <w:sz w:val="22"/>
              </w:rPr>
              <w:t>T3</w:t>
            </w:r>
          </w:p>
        </w:tc>
        <w:tc>
          <w:tcPr>
            <w:tcW w:w="992" w:type="dxa"/>
            <w:tcBorders>
              <w:top w:val="single" w:sz="3" w:space="0" w:color="000000"/>
              <w:left w:val="single" w:sz="3" w:space="0" w:color="000000"/>
              <w:bottom w:val="single" w:sz="3" w:space="0" w:color="000000"/>
              <w:right w:val="single" w:sz="3" w:space="0" w:color="000000"/>
            </w:tcBorders>
          </w:tcPr>
          <w:p w14:paraId="72FA97C6" w14:textId="77777777" w:rsidR="00E32863" w:rsidRPr="00E32863" w:rsidRDefault="00E32863" w:rsidP="00E32863">
            <w:pPr>
              <w:spacing w:before="40" w:after="40"/>
              <w:ind w:left="65"/>
              <w:jc w:val="center"/>
              <w:rPr>
                <w:rFonts w:cstheme="minorHAnsi"/>
                <w:sz w:val="22"/>
              </w:rPr>
            </w:pPr>
          </w:p>
        </w:tc>
      </w:tr>
      <w:tr w:rsidR="00E32863" w:rsidRPr="00E32863" w14:paraId="2ED66866" w14:textId="77777777" w:rsidTr="00E6598D">
        <w:trPr>
          <w:trHeight w:val="364"/>
        </w:trPr>
        <w:tc>
          <w:tcPr>
            <w:tcW w:w="1985" w:type="dxa"/>
            <w:tcBorders>
              <w:top w:val="single" w:sz="3" w:space="0" w:color="000000"/>
              <w:left w:val="single" w:sz="3" w:space="0" w:color="000000"/>
              <w:bottom w:val="single" w:sz="3" w:space="0" w:color="000000"/>
              <w:right w:val="single" w:sz="3" w:space="0" w:color="000000"/>
            </w:tcBorders>
          </w:tcPr>
          <w:p w14:paraId="3FB21C8C"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MAJ classeur</w:t>
            </w:r>
          </w:p>
        </w:tc>
        <w:tc>
          <w:tcPr>
            <w:tcW w:w="1134" w:type="dxa"/>
            <w:tcBorders>
              <w:top w:val="single" w:sz="3" w:space="0" w:color="000000"/>
              <w:left w:val="single" w:sz="3" w:space="0" w:color="000000"/>
              <w:bottom w:val="single" w:sz="3" w:space="0" w:color="000000"/>
              <w:right w:val="nil"/>
            </w:tcBorders>
          </w:tcPr>
          <w:p w14:paraId="2EFDEC8B"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5E68677C"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6656FBD4" w14:textId="77777777" w:rsidR="00E32863" w:rsidRPr="00E32863" w:rsidRDefault="00E32863" w:rsidP="00E32863">
            <w:pPr>
              <w:spacing w:before="40" w:after="40"/>
              <w:ind w:left="108"/>
              <w:jc w:val="center"/>
              <w:rPr>
                <w:rFonts w:cstheme="minorHAnsi"/>
                <w:sz w:val="22"/>
              </w:rPr>
            </w:pPr>
            <w:r w:rsidRPr="00E32863">
              <w:rPr>
                <w:rFonts w:cstheme="minorHAnsi"/>
                <w:sz w:val="22"/>
              </w:rPr>
              <w:t>T4 n-1</w:t>
            </w:r>
          </w:p>
        </w:tc>
        <w:tc>
          <w:tcPr>
            <w:tcW w:w="992" w:type="dxa"/>
            <w:tcBorders>
              <w:top w:val="single" w:sz="3" w:space="0" w:color="000000"/>
              <w:left w:val="single" w:sz="3" w:space="0" w:color="000000"/>
              <w:bottom w:val="single" w:sz="3" w:space="0" w:color="000000"/>
              <w:right w:val="single" w:sz="3" w:space="0" w:color="000000"/>
            </w:tcBorders>
          </w:tcPr>
          <w:p w14:paraId="3207D08E" w14:textId="77777777" w:rsidR="00E32863" w:rsidRPr="00E32863" w:rsidRDefault="00E32863" w:rsidP="00E32863">
            <w:pPr>
              <w:spacing w:before="40" w:after="40"/>
              <w:ind w:left="108"/>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70D89792" w14:textId="77777777" w:rsidR="00E32863" w:rsidRPr="00E32863" w:rsidRDefault="00E32863" w:rsidP="00E32863">
            <w:pPr>
              <w:spacing w:before="40" w:after="40"/>
              <w:jc w:val="center"/>
              <w:rPr>
                <w:rFonts w:cstheme="minorHAnsi"/>
                <w:sz w:val="22"/>
              </w:rPr>
            </w:pPr>
            <w:r w:rsidRPr="00E32863">
              <w:rPr>
                <w:rFonts w:cstheme="minorHAnsi"/>
                <w:sz w:val="22"/>
              </w:rPr>
              <w:t>T1</w:t>
            </w:r>
          </w:p>
        </w:tc>
        <w:tc>
          <w:tcPr>
            <w:tcW w:w="993" w:type="dxa"/>
            <w:tcBorders>
              <w:top w:val="single" w:sz="3" w:space="0" w:color="000000"/>
              <w:left w:val="single" w:sz="3" w:space="0" w:color="000000"/>
              <w:bottom w:val="single" w:sz="3" w:space="0" w:color="000000"/>
              <w:right w:val="single" w:sz="3" w:space="0" w:color="000000"/>
            </w:tcBorders>
          </w:tcPr>
          <w:p w14:paraId="403BC0E3" w14:textId="77777777" w:rsidR="00E32863" w:rsidRPr="00E32863" w:rsidRDefault="00E32863" w:rsidP="00E32863">
            <w:pPr>
              <w:spacing w:before="40" w:after="40"/>
              <w:ind w:left="11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F63A040" w14:textId="77777777" w:rsidR="00E32863" w:rsidRPr="00E32863" w:rsidRDefault="00E32863" w:rsidP="00E32863">
            <w:pPr>
              <w:spacing w:before="40" w:after="40"/>
              <w:jc w:val="center"/>
              <w:rPr>
                <w:rFonts w:cstheme="minorHAnsi"/>
                <w:sz w:val="22"/>
              </w:rPr>
            </w:pPr>
            <w:r w:rsidRPr="00E32863">
              <w:rPr>
                <w:rFonts w:cstheme="minorHAnsi"/>
                <w:sz w:val="22"/>
              </w:rPr>
              <w:t>T2</w:t>
            </w:r>
          </w:p>
        </w:tc>
        <w:tc>
          <w:tcPr>
            <w:tcW w:w="992" w:type="dxa"/>
            <w:tcBorders>
              <w:top w:val="single" w:sz="3" w:space="0" w:color="000000"/>
              <w:left w:val="single" w:sz="3" w:space="0" w:color="000000"/>
              <w:bottom w:val="single" w:sz="3" w:space="0" w:color="000000"/>
              <w:right w:val="single" w:sz="3" w:space="0" w:color="000000"/>
            </w:tcBorders>
          </w:tcPr>
          <w:p w14:paraId="3C07A4A5" w14:textId="77777777" w:rsidR="00E32863" w:rsidRPr="00E32863" w:rsidRDefault="00E32863" w:rsidP="00E32863">
            <w:pPr>
              <w:spacing w:before="40" w:after="40"/>
              <w:ind w:left="108"/>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0C442F47" w14:textId="77777777" w:rsidR="00E32863" w:rsidRPr="00E32863" w:rsidRDefault="00E32863" w:rsidP="00E32863">
            <w:pPr>
              <w:spacing w:before="40" w:after="40"/>
              <w:jc w:val="center"/>
              <w:rPr>
                <w:rFonts w:cstheme="minorHAnsi"/>
                <w:sz w:val="22"/>
              </w:rPr>
            </w:pPr>
            <w:r w:rsidRPr="00E32863">
              <w:rPr>
                <w:rFonts w:cstheme="minorHAnsi"/>
                <w:sz w:val="22"/>
              </w:rPr>
              <w:t>T3</w:t>
            </w:r>
          </w:p>
        </w:tc>
      </w:tr>
      <w:tr w:rsidR="00E32863" w:rsidRPr="00E32863" w14:paraId="180DCD65" w14:textId="77777777" w:rsidTr="00E6598D">
        <w:trPr>
          <w:trHeight w:val="279"/>
        </w:trPr>
        <w:tc>
          <w:tcPr>
            <w:tcW w:w="1985" w:type="dxa"/>
            <w:tcBorders>
              <w:top w:val="single" w:sz="3" w:space="0" w:color="000000"/>
              <w:left w:val="single" w:sz="3" w:space="0" w:color="000000"/>
              <w:bottom w:val="single" w:sz="3" w:space="0" w:color="000000"/>
              <w:right w:val="single" w:sz="3" w:space="0" w:color="000000"/>
            </w:tcBorders>
          </w:tcPr>
          <w:p w14:paraId="726FCDF8"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Publication classeur</w:t>
            </w:r>
          </w:p>
        </w:tc>
        <w:tc>
          <w:tcPr>
            <w:tcW w:w="1134" w:type="dxa"/>
            <w:tcBorders>
              <w:top w:val="single" w:sz="3" w:space="0" w:color="000000"/>
              <w:left w:val="single" w:sz="3" w:space="0" w:color="000000"/>
              <w:bottom w:val="single" w:sz="3" w:space="0" w:color="000000"/>
              <w:right w:val="nil"/>
            </w:tcBorders>
          </w:tcPr>
          <w:p w14:paraId="463D96C8"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43CE61E1"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5F8DCBCE" w14:textId="77777777" w:rsidR="00E32863" w:rsidRPr="00E32863" w:rsidRDefault="00E32863" w:rsidP="00E32863">
            <w:pPr>
              <w:spacing w:before="40" w:after="40"/>
              <w:jc w:val="center"/>
              <w:rPr>
                <w:rFonts w:cstheme="minorHAnsi"/>
                <w:sz w:val="22"/>
              </w:rPr>
            </w:pPr>
            <w:r w:rsidRPr="00E32863">
              <w:rPr>
                <w:rFonts w:cstheme="minorHAnsi"/>
                <w:sz w:val="22"/>
              </w:rPr>
              <w:t>T4</w:t>
            </w:r>
          </w:p>
        </w:tc>
        <w:tc>
          <w:tcPr>
            <w:tcW w:w="992" w:type="dxa"/>
            <w:tcBorders>
              <w:top w:val="single" w:sz="3" w:space="0" w:color="000000"/>
              <w:left w:val="single" w:sz="3" w:space="0" w:color="000000"/>
              <w:bottom w:val="single" w:sz="3" w:space="0" w:color="000000"/>
              <w:right w:val="single" w:sz="3" w:space="0" w:color="000000"/>
            </w:tcBorders>
          </w:tcPr>
          <w:p w14:paraId="5DD07A39"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1EDB520" w14:textId="77777777" w:rsidR="00E32863" w:rsidRPr="00E32863" w:rsidRDefault="00E32863" w:rsidP="00E32863">
            <w:pPr>
              <w:spacing w:before="40" w:after="40"/>
              <w:jc w:val="center"/>
              <w:rPr>
                <w:rFonts w:cstheme="minorHAnsi"/>
                <w:sz w:val="22"/>
              </w:rPr>
            </w:pPr>
            <w:r w:rsidRPr="00E32863">
              <w:rPr>
                <w:rFonts w:cstheme="minorHAnsi"/>
                <w:sz w:val="22"/>
              </w:rPr>
              <w:t>T1</w:t>
            </w:r>
          </w:p>
        </w:tc>
        <w:tc>
          <w:tcPr>
            <w:tcW w:w="993" w:type="dxa"/>
            <w:tcBorders>
              <w:top w:val="single" w:sz="3" w:space="0" w:color="000000"/>
              <w:left w:val="single" w:sz="3" w:space="0" w:color="000000"/>
              <w:bottom w:val="single" w:sz="3" w:space="0" w:color="000000"/>
              <w:right w:val="single" w:sz="3" w:space="0" w:color="000000"/>
            </w:tcBorders>
          </w:tcPr>
          <w:p w14:paraId="374A4CFD"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87860E0" w14:textId="77777777" w:rsidR="00E32863" w:rsidRPr="00E32863" w:rsidRDefault="00E32863" w:rsidP="00E32863">
            <w:pPr>
              <w:spacing w:before="40" w:after="40"/>
              <w:jc w:val="center"/>
              <w:rPr>
                <w:rFonts w:cstheme="minorHAnsi"/>
                <w:sz w:val="22"/>
              </w:rPr>
            </w:pPr>
            <w:r w:rsidRPr="00E32863">
              <w:rPr>
                <w:rFonts w:cstheme="minorHAnsi"/>
                <w:sz w:val="22"/>
              </w:rPr>
              <w:t>T2</w:t>
            </w:r>
          </w:p>
        </w:tc>
        <w:tc>
          <w:tcPr>
            <w:tcW w:w="992" w:type="dxa"/>
            <w:tcBorders>
              <w:top w:val="single" w:sz="3" w:space="0" w:color="000000"/>
              <w:left w:val="single" w:sz="3" w:space="0" w:color="000000"/>
              <w:bottom w:val="single" w:sz="3" w:space="0" w:color="000000"/>
              <w:right w:val="single" w:sz="3" w:space="0" w:color="000000"/>
            </w:tcBorders>
          </w:tcPr>
          <w:p w14:paraId="7D29387B" w14:textId="77777777" w:rsidR="00E32863" w:rsidRPr="00E32863" w:rsidRDefault="00E32863" w:rsidP="00E32863">
            <w:pPr>
              <w:spacing w:before="40" w:after="40"/>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168AEFC" w14:textId="77777777" w:rsidR="00E32863" w:rsidRPr="00E32863" w:rsidRDefault="00E32863" w:rsidP="00E32863">
            <w:pPr>
              <w:spacing w:before="40" w:after="40"/>
              <w:jc w:val="center"/>
              <w:rPr>
                <w:rFonts w:cstheme="minorHAnsi"/>
                <w:sz w:val="22"/>
              </w:rPr>
            </w:pPr>
            <w:r w:rsidRPr="00E32863">
              <w:rPr>
                <w:rFonts w:cstheme="minorHAnsi"/>
                <w:sz w:val="22"/>
              </w:rPr>
              <w:t>T3</w:t>
            </w:r>
          </w:p>
        </w:tc>
      </w:tr>
      <w:tr w:rsidR="00E32863" w:rsidRPr="00E32863" w14:paraId="321C0D6D" w14:textId="77777777" w:rsidTr="00E6598D">
        <w:trPr>
          <w:trHeight w:val="621"/>
        </w:trPr>
        <w:tc>
          <w:tcPr>
            <w:tcW w:w="1985" w:type="dxa"/>
            <w:tcBorders>
              <w:top w:val="single" w:sz="3" w:space="0" w:color="000000"/>
              <w:left w:val="single" w:sz="3" w:space="0" w:color="000000"/>
              <w:bottom w:val="single" w:sz="3" w:space="0" w:color="000000"/>
              <w:right w:val="single" w:sz="3" w:space="0" w:color="000000"/>
            </w:tcBorders>
          </w:tcPr>
          <w:p w14:paraId="648D58FB"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Collecte données annuelles</w:t>
            </w:r>
          </w:p>
        </w:tc>
        <w:tc>
          <w:tcPr>
            <w:tcW w:w="1134" w:type="dxa"/>
            <w:tcBorders>
              <w:top w:val="single" w:sz="3" w:space="0" w:color="000000"/>
              <w:left w:val="single" w:sz="3" w:space="0" w:color="000000"/>
              <w:bottom w:val="single" w:sz="3" w:space="0" w:color="000000"/>
              <w:right w:val="nil"/>
            </w:tcBorders>
          </w:tcPr>
          <w:p w14:paraId="1D9B855B"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7257A44F"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7476A01"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79BA7337" w14:textId="77777777" w:rsidR="00E32863" w:rsidRPr="00E32863" w:rsidRDefault="00E32863" w:rsidP="00E32863">
            <w:pPr>
              <w:spacing w:before="40" w:after="40"/>
              <w:ind w:left="11"/>
              <w:jc w:val="center"/>
              <w:rPr>
                <w:rFonts w:cstheme="minorHAnsi"/>
                <w:sz w:val="22"/>
              </w:rPr>
            </w:pPr>
            <w:r w:rsidRPr="00E32863">
              <w:rPr>
                <w:rFonts w:cstheme="minorHAnsi"/>
                <w:sz w:val="22"/>
              </w:rPr>
              <w:t>n-1</w:t>
            </w:r>
          </w:p>
        </w:tc>
        <w:tc>
          <w:tcPr>
            <w:tcW w:w="992" w:type="dxa"/>
            <w:tcBorders>
              <w:top w:val="single" w:sz="3" w:space="0" w:color="000000"/>
              <w:left w:val="single" w:sz="3" w:space="0" w:color="000000"/>
              <w:bottom w:val="single" w:sz="3" w:space="0" w:color="000000"/>
              <w:right w:val="single" w:sz="3" w:space="0" w:color="000000"/>
            </w:tcBorders>
          </w:tcPr>
          <w:p w14:paraId="00E2F06F"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tcPr>
          <w:p w14:paraId="1D2E71B9"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9CD7DCF"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B6024A2"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326A466A" w14:textId="77777777" w:rsidR="00E32863" w:rsidRPr="00E32863" w:rsidRDefault="00E32863" w:rsidP="00E32863">
            <w:pPr>
              <w:spacing w:before="40" w:after="40"/>
              <w:ind w:left="65"/>
              <w:jc w:val="center"/>
              <w:rPr>
                <w:rFonts w:cstheme="minorHAnsi"/>
                <w:sz w:val="22"/>
              </w:rPr>
            </w:pPr>
          </w:p>
        </w:tc>
      </w:tr>
      <w:tr w:rsidR="00E32863" w:rsidRPr="00E32863" w14:paraId="025F46DC" w14:textId="77777777" w:rsidTr="00E6598D">
        <w:trPr>
          <w:trHeight w:val="375"/>
        </w:trPr>
        <w:tc>
          <w:tcPr>
            <w:tcW w:w="1985" w:type="dxa"/>
            <w:tcBorders>
              <w:top w:val="single" w:sz="3" w:space="0" w:color="000000"/>
              <w:left w:val="single" w:sz="3" w:space="0" w:color="000000"/>
              <w:bottom w:val="single" w:sz="3" w:space="0" w:color="000000"/>
              <w:right w:val="single" w:sz="3" w:space="0" w:color="000000"/>
            </w:tcBorders>
          </w:tcPr>
          <w:p w14:paraId="793BDBEC"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Maj classeur</w:t>
            </w:r>
          </w:p>
        </w:tc>
        <w:tc>
          <w:tcPr>
            <w:tcW w:w="1134" w:type="dxa"/>
            <w:tcBorders>
              <w:top w:val="single" w:sz="3" w:space="0" w:color="000000"/>
              <w:left w:val="single" w:sz="3" w:space="0" w:color="000000"/>
              <w:bottom w:val="single" w:sz="3" w:space="0" w:color="000000"/>
              <w:right w:val="nil"/>
            </w:tcBorders>
          </w:tcPr>
          <w:p w14:paraId="0870D7F6"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6C19A925"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F7AD3CC"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61C0D8E"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4D40CF43" w14:textId="77777777" w:rsidR="00E32863" w:rsidRPr="00E32863" w:rsidRDefault="00E32863" w:rsidP="00E32863">
            <w:pPr>
              <w:spacing w:before="40" w:after="40"/>
              <w:jc w:val="center"/>
              <w:rPr>
                <w:rFonts w:cstheme="minorHAnsi"/>
                <w:sz w:val="22"/>
              </w:rPr>
            </w:pPr>
            <w:r w:rsidRPr="00E32863">
              <w:rPr>
                <w:rFonts w:cstheme="minorHAnsi"/>
                <w:sz w:val="22"/>
              </w:rPr>
              <w:t>n-1</w:t>
            </w:r>
          </w:p>
        </w:tc>
        <w:tc>
          <w:tcPr>
            <w:tcW w:w="993" w:type="dxa"/>
            <w:tcBorders>
              <w:top w:val="single" w:sz="3" w:space="0" w:color="000000"/>
              <w:left w:val="single" w:sz="3" w:space="0" w:color="000000"/>
              <w:bottom w:val="single" w:sz="3" w:space="0" w:color="000000"/>
              <w:right w:val="single" w:sz="3" w:space="0" w:color="000000"/>
            </w:tcBorders>
          </w:tcPr>
          <w:p w14:paraId="4A5C0C8A"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4859E3BF"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3B82F984"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AAB22B5" w14:textId="77777777" w:rsidR="00E32863" w:rsidRPr="00E32863" w:rsidRDefault="00E32863" w:rsidP="00E32863">
            <w:pPr>
              <w:spacing w:before="40" w:after="40"/>
              <w:ind w:left="65"/>
              <w:jc w:val="center"/>
              <w:rPr>
                <w:rFonts w:cstheme="minorHAnsi"/>
                <w:sz w:val="22"/>
              </w:rPr>
            </w:pPr>
          </w:p>
        </w:tc>
      </w:tr>
      <w:tr w:rsidR="00E32863" w:rsidRPr="00E32863" w14:paraId="3134A430" w14:textId="77777777" w:rsidTr="00DB1A63">
        <w:trPr>
          <w:trHeight w:val="370"/>
        </w:trPr>
        <w:tc>
          <w:tcPr>
            <w:tcW w:w="1985" w:type="dxa"/>
            <w:tcBorders>
              <w:top w:val="single" w:sz="3" w:space="0" w:color="000000"/>
              <w:left w:val="single" w:sz="3" w:space="0" w:color="000000"/>
              <w:bottom w:val="single" w:sz="3" w:space="0" w:color="000000"/>
              <w:right w:val="single" w:sz="3" w:space="0" w:color="000000"/>
            </w:tcBorders>
          </w:tcPr>
          <w:p w14:paraId="1C2E15E1"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Rédaction rapport</w:t>
            </w:r>
          </w:p>
        </w:tc>
        <w:tc>
          <w:tcPr>
            <w:tcW w:w="1134" w:type="dxa"/>
            <w:tcBorders>
              <w:top w:val="single" w:sz="3" w:space="0" w:color="000000"/>
              <w:left w:val="single" w:sz="3" w:space="0" w:color="000000"/>
              <w:bottom w:val="single" w:sz="3" w:space="0" w:color="000000"/>
              <w:right w:val="nil"/>
            </w:tcBorders>
          </w:tcPr>
          <w:p w14:paraId="2F0A15CF"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30F3721A"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066D295D"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4D88710"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1C24615" w14:textId="77777777" w:rsidR="00E32863" w:rsidRPr="00E32863" w:rsidRDefault="00E32863" w:rsidP="00E32863">
            <w:pPr>
              <w:spacing w:before="40" w:after="40"/>
              <w:ind w:left="6"/>
              <w:jc w:val="center"/>
              <w:rPr>
                <w:rFonts w:cstheme="minorHAnsi"/>
                <w:sz w:val="22"/>
              </w:rPr>
            </w:pPr>
            <w:r w:rsidRPr="00E32863">
              <w:rPr>
                <w:rFonts w:cstheme="minorHAnsi"/>
                <w:sz w:val="22"/>
              </w:rPr>
              <w:t>n</w:t>
            </w:r>
          </w:p>
        </w:tc>
        <w:tc>
          <w:tcPr>
            <w:tcW w:w="993" w:type="dxa"/>
            <w:tcBorders>
              <w:top w:val="single" w:sz="3" w:space="0" w:color="000000"/>
              <w:left w:val="single" w:sz="3" w:space="0" w:color="000000"/>
              <w:bottom w:val="single" w:sz="3" w:space="0" w:color="000000"/>
              <w:right w:val="single" w:sz="3" w:space="0" w:color="000000"/>
            </w:tcBorders>
          </w:tcPr>
          <w:p w14:paraId="3507623B"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75039A9"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5BC10C7E"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1809209B" w14:textId="77777777" w:rsidR="00E32863" w:rsidRPr="00E32863" w:rsidRDefault="00E32863" w:rsidP="00E32863">
            <w:pPr>
              <w:spacing w:before="40" w:after="40"/>
              <w:ind w:left="65"/>
              <w:jc w:val="center"/>
              <w:rPr>
                <w:rFonts w:cstheme="minorHAnsi"/>
                <w:sz w:val="22"/>
              </w:rPr>
            </w:pPr>
          </w:p>
        </w:tc>
      </w:tr>
      <w:tr w:rsidR="00E32863" w:rsidRPr="00E32863" w14:paraId="5FB2954F" w14:textId="77777777" w:rsidTr="00E6598D">
        <w:trPr>
          <w:trHeight w:val="280"/>
        </w:trPr>
        <w:tc>
          <w:tcPr>
            <w:tcW w:w="1985" w:type="dxa"/>
            <w:tcBorders>
              <w:top w:val="single" w:sz="3" w:space="0" w:color="000000"/>
              <w:left w:val="single" w:sz="3" w:space="0" w:color="000000"/>
              <w:bottom w:val="single" w:sz="3" w:space="0" w:color="000000"/>
              <w:right w:val="single" w:sz="3" w:space="0" w:color="000000"/>
            </w:tcBorders>
          </w:tcPr>
          <w:p w14:paraId="4B8BA306"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Publication rapport</w:t>
            </w:r>
          </w:p>
        </w:tc>
        <w:tc>
          <w:tcPr>
            <w:tcW w:w="1134" w:type="dxa"/>
            <w:tcBorders>
              <w:top w:val="single" w:sz="3" w:space="0" w:color="000000"/>
              <w:left w:val="single" w:sz="3" w:space="0" w:color="000000"/>
              <w:bottom w:val="single" w:sz="3" w:space="0" w:color="000000"/>
              <w:right w:val="nil"/>
            </w:tcBorders>
          </w:tcPr>
          <w:p w14:paraId="46F9F200"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tcPr>
          <w:p w14:paraId="7DC5B526"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tcPr>
          <w:p w14:paraId="24C37A21"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7A30F942"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43D75ECC"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385CA1D6" w14:textId="77777777" w:rsidR="00E32863" w:rsidRPr="00E32863" w:rsidRDefault="00E32863" w:rsidP="00E32863">
            <w:pPr>
              <w:spacing w:before="40" w:after="40"/>
              <w:ind w:left="13"/>
              <w:jc w:val="center"/>
              <w:rPr>
                <w:rFonts w:cstheme="minorHAnsi"/>
                <w:sz w:val="22"/>
              </w:rPr>
            </w:pPr>
            <w:r w:rsidRPr="00E32863">
              <w:rPr>
                <w:rFonts w:cstheme="minorHAnsi"/>
                <w:sz w:val="22"/>
              </w:rPr>
              <w:t>n</w:t>
            </w:r>
          </w:p>
        </w:tc>
        <w:tc>
          <w:tcPr>
            <w:tcW w:w="992" w:type="dxa"/>
            <w:tcBorders>
              <w:top w:val="single" w:sz="3" w:space="0" w:color="000000"/>
              <w:left w:val="single" w:sz="3" w:space="0" w:color="000000"/>
              <w:bottom w:val="single" w:sz="3" w:space="0" w:color="000000"/>
              <w:right w:val="single" w:sz="3" w:space="0" w:color="000000"/>
            </w:tcBorders>
          </w:tcPr>
          <w:p w14:paraId="54B94D88"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63E03C7C"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tcPr>
          <w:p w14:paraId="2C7D5856" w14:textId="77777777" w:rsidR="00E32863" w:rsidRPr="00E32863" w:rsidRDefault="00E32863" w:rsidP="00E32863">
            <w:pPr>
              <w:spacing w:before="40" w:after="40"/>
              <w:ind w:left="65"/>
              <w:jc w:val="center"/>
              <w:rPr>
                <w:rFonts w:cstheme="minorHAnsi"/>
                <w:sz w:val="22"/>
              </w:rPr>
            </w:pPr>
          </w:p>
        </w:tc>
      </w:tr>
      <w:tr w:rsidR="00E32863" w:rsidRPr="00E32863" w14:paraId="5255F9C1" w14:textId="77777777" w:rsidTr="00E6598D">
        <w:trPr>
          <w:trHeight w:val="542"/>
        </w:trPr>
        <w:tc>
          <w:tcPr>
            <w:tcW w:w="1985" w:type="dxa"/>
            <w:tcBorders>
              <w:top w:val="single" w:sz="3" w:space="0" w:color="000000"/>
              <w:left w:val="single" w:sz="3" w:space="0" w:color="000000"/>
              <w:bottom w:val="single" w:sz="3" w:space="0" w:color="000000"/>
              <w:right w:val="single" w:sz="3" w:space="0" w:color="000000"/>
            </w:tcBorders>
          </w:tcPr>
          <w:p w14:paraId="6116EF22" w14:textId="77777777" w:rsidR="00E32863" w:rsidRPr="00E32863" w:rsidRDefault="00E32863" w:rsidP="00B00305">
            <w:pPr>
              <w:spacing w:before="40" w:after="40"/>
              <w:ind w:left="108"/>
              <w:rPr>
                <w:rFonts w:cstheme="minorHAnsi"/>
                <w:sz w:val="22"/>
                <w:lang w:val="fr-FR"/>
              </w:rPr>
            </w:pPr>
            <w:r w:rsidRPr="00E32863">
              <w:rPr>
                <w:rFonts w:cstheme="minorHAnsi"/>
                <w:sz w:val="22"/>
                <w:lang w:val="fr-FR"/>
              </w:rPr>
              <w:t>Veille indices globaux</w:t>
            </w:r>
          </w:p>
        </w:tc>
        <w:tc>
          <w:tcPr>
            <w:tcW w:w="1134" w:type="dxa"/>
            <w:tcBorders>
              <w:top w:val="single" w:sz="3" w:space="0" w:color="000000"/>
              <w:left w:val="single" w:sz="3" w:space="0" w:color="000000"/>
              <w:bottom w:val="single" w:sz="3" w:space="0" w:color="000000"/>
              <w:right w:val="nil"/>
            </w:tcBorders>
            <w:shd w:val="clear" w:color="auto" w:fill="D9D9D9"/>
          </w:tcPr>
          <w:p w14:paraId="47E0D9B9" w14:textId="77777777" w:rsidR="00E32863" w:rsidRPr="00E32863" w:rsidRDefault="00E32863" w:rsidP="00E32863">
            <w:pPr>
              <w:spacing w:before="40" w:after="40"/>
              <w:ind w:left="175"/>
              <w:jc w:val="center"/>
              <w:rPr>
                <w:rFonts w:cstheme="minorHAnsi"/>
                <w:sz w:val="22"/>
              </w:rPr>
            </w:pPr>
          </w:p>
        </w:tc>
        <w:tc>
          <w:tcPr>
            <w:tcW w:w="34" w:type="dxa"/>
            <w:tcBorders>
              <w:top w:val="single" w:sz="3" w:space="0" w:color="000000"/>
              <w:left w:val="nil"/>
              <w:bottom w:val="single" w:sz="3" w:space="0" w:color="000000"/>
              <w:right w:val="single" w:sz="3" w:space="0" w:color="000000"/>
            </w:tcBorders>
            <w:shd w:val="clear" w:color="auto" w:fill="D9D9D9"/>
          </w:tcPr>
          <w:p w14:paraId="180D570A" w14:textId="77777777" w:rsidR="00E32863" w:rsidRPr="00E32863" w:rsidRDefault="00E32863" w:rsidP="00E32863">
            <w:pPr>
              <w:spacing w:before="40" w:after="40"/>
              <w:jc w:val="center"/>
              <w:rPr>
                <w:rFonts w:cstheme="minorHAnsi"/>
                <w:sz w:val="22"/>
              </w:rPr>
            </w:pPr>
          </w:p>
        </w:tc>
        <w:tc>
          <w:tcPr>
            <w:tcW w:w="1100" w:type="dxa"/>
            <w:tcBorders>
              <w:top w:val="single" w:sz="3" w:space="0" w:color="000000"/>
              <w:left w:val="single" w:sz="3" w:space="0" w:color="000000"/>
              <w:bottom w:val="single" w:sz="3" w:space="0" w:color="000000"/>
              <w:right w:val="single" w:sz="3" w:space="0" w:color="000000"/>
            </w:tcBorders>
            <w:shd w:val="clear" w:color="auto" w:fill="D9D9D9"/>
          </w:tcPr>
          <w:p w14:paraId="52D0E363"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32B0351E" w14:textId="77777777" w:rsidR="00E32863" w:rsidRPr="00E32863" w:rsidRDefault="00E32863" w:rsidP="00E32863">
            <w:pPr>
              <w:spacing w:before="40" w:after="40"/>
              <w:ind w:left="62"/>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2CF285CF" w14:textId="77777777" w:rsidR="00E32863" w:rsidRPr="00E32863" w:rsidRDefault="00E32863" w:rsidP="00E32863">
            <w:pPr>
              <w:spacing w:before="40" w:after="40"/>
              <w:ind w:left="60"/>
              <w:jc w:val="center"/>
              <w:rPr>
                <w:rFonts w:cstheme="minorHAnsi"/>
                <w:sz w:val="22"/>
              </w:rPr>
            </w:pPr>
          </w:p>
        </w:tc>
        <w:tc>
          <w:tcPr>
            <w:tcW w:w="993" w:type="dxa"/>
            <w:tcBorders>
              <w:top w:val="single" w:sz="3" w:space="0" w:color="000000"/>
              <w:left w:val="single" w:sz="3" w:space="0" w:color="000000"/>
              <w:bottom w:val="single" w:sz="3" w:space="0" w:color="000000"/>
              <w:right w:val="single" w:sz="3" w:space="0" w:color="000000"/>
            </w:tcBorders>
            <w:shd w:val="clear" w:color="auto" w:fill="D9D9D9"/>
          </w:tcPr>
          <w:p w14:paraId="6F041BBB" w14:textId="77777777" w:rsidR="00E32863" w:rsidRPr="00E32863" w:rsidRDefault="00E32863" w:rsidP="00E32863">
            <w:pPr>
              <w:spacing w:before="40" w:after="40"/>
              <w:ind w:left="69"/>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0BA8C45B" w14:textId="77777777" w:rsidR="00E32863" w:rsidRPr="00E32863" w:rsidRDefault="00E32863" w:rsidP="00E32863">
            <w:pPr>
              <w:spacing w:before="40" w:after="40"/>
              <w:ind w:left="66"/>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64818E6E" w14:textId="77777777" w:rsidR="00E32863" w:rsidRPr="00E32863" w:rsidRDefault="00E32863" w:rsidP="00E32863">
            <w:pPr>
              <w:spacing w:before="40" w:after="40"/>
              <w:ind w:left="65"/>
              <w:jc w:val="center"/>
              <w:rPr>
                <w:rFonts w:cstheme="minorHAnsi"/>
                <w:sz w:val="22"/>
              </w:rPr>
            </w:pPr>
          </w:p>
        </w:tc>
        <w:tc>
          <w:tcPr>
            <w:tcW w:w="992" w:type="dxa"/>
            <w:tcBorders>
              <w:top w:val="single" w:sz="3" w:space="0" w:color="000000"/>
              <w:left w:val="single" w:sz="3" w:space="0" w:color="000000"/>
              <w:bottom w:val="single" w:sz="3" w:space="0" w:color="000000"/>
              <w:right w:val="single" w:sz="3" w:space="0" w:color="000000"/>
            </w:tcBorders>
            <w:shd w:val="clear" w:color="auto" w:fill="D9D9D9"/>
          </w:tcPr>
          <w:p w14:paraId="5941F4B7" w14:textId="77777777" w:rsidR="00E32863" w:rsidRPr="00E32863" w:rsidRDefault="00E32863" w:rsidP="00E32863">
            <w:pPr>
              <w:spacing w:before="40" w:after="40"/>
              <w:ind w:left="65"/>
              <w:jc w:val="center"/>
              <w:rPr>
                <w:rFonts w:cstheme="minorHAnsi"/>
                <w:sz w:val="22"/>
              </w:rPr>
            </w:pPr>
          </w:p>
        </w:tc>
      </w:tr>
    </w:tbl>
    <w:p w14:paraId="62C60E7E" w14:textId="77777777" w:rsidR="00E32863" w:rsidRDefault="00E32863" w:rsidP="00E32863">
      <w:pPr>
        <w:tabs>
          <w:tab w:val="clear" w:pos="794"/>
          <w:tab w:val="clear" w:pos="1191"/>
          <w:tab w:val="clear" w:pos="1588"/>
          <w:tab w:val="clear" w:pos="1985"/>
          <w:tab w:val="left" w:pos="3090"/>
        </w:tabs>
        <w:jc w:val="center"/>
        <w:rPr>
          <w:rFonts w:ascii="Times New Roman" w:hAnsi="Times New Roman"/>
          <w:b/>
          <w:szCs w:val="24"/>
          <w:lang w:val="fr-FR"/>
        </w:rPr>
      </w:pPr>
    </w:p>
    <w:p w14:paraId="670A1A40" w14:textId="77777777" w:rsidR="00E32863" w:rsidRDefault="00E32863">
      <w:pPr>
        <w:tabs>
          <w:tab w:val="clear" w:pos="794"/>
          <w:tab w:val="clear" w:pos="1191"/>
          <w:tab w:val="clear" w:pos="1588"/>
          <w:tab w:val="clear" w:pos="1985"/>
        </w:tabs>
        <w:overflowPunct/>
        <w:autoSpaceDE/>
        <w:autoSpaceDN/>
        <w:adjustRightInd/>
        <w:spacing w:before="0"/>
        <w:textAlignment w:val="auto"/>
        <w:rPr>
          <w:rFonts w:ascii="Times New Roman" w:hAnsi="Times New Roman"/>
          <w:b/>
          <w:szCs w:val="24"/>
          <w:lang w:val="fr-FR"/>
        </w:rPr>
      </w:pPr>
      <w:r>
        <w:rPr>
          <w:rFonts w:ascii="Times New Roman" w:hAnsi="Times New Roman"/>
          <w:b/>
          <w:szCs w:val="24"/>
          <w:lang w:val="fr-FR"/>
        </w:rPr>
        <w:br w:type="page"/>
      </w:r>
    </w:p>
    <w:p w14:paraId="5EF311CA" w14:textId="18C5D14A" w:rsidR="00E32863" w:rsidRPr="00E32863" w:rsidRDefault="00E32863" w:rsidP="00E32863">
      <w:pPr>
        <w:tabs>
          <w:tab w:val="clear" w:pos="794"/>
          <w:tab w:val="clear" w:pos="1191"/>
          <w:tab w:val="clear" w:pos="1588"/>
          <w:tab w:val="clear" w:pos="1985"/>
          <w:tab w:val="left" w:pos="3090"/>
        </w:tabs>
        <w:spacing w:after="120"/>
        <w:jc w:val="center"/>
        <w:rPr>
          <w:rFonts w:cstheme="minorHAnsi"/>
          <w:szCs w:val="24"/>
          <w:lang w:val="fr-FR"/>
        </w:rPr>
      </w:pPr>
      <w:r w:rsidRPr="00E32863">
        <w:rPr>
          <w:rFonts w:cstheme="minorHAnsi"/>
          <w:b/>
          <w:szCs w:val="24"/>
          <w:lang w:val="fr-FR"/>
        </w:rPr>
        <w:t>ANNEXE 2</w:t>
      </w:r>
    </w:p>
    <w:tbl>
      <w:tblPr>
        <w:tblStyle w:val="TableGrid0"/>
        <w:tblW w:w="9323" w:type="dxa"/>
        <w:tblInd w:w="-105" w:type="dxa"/>
        <w:tblCellMar>
          <w:top w:w="45" w:type="dxa"/>
          <w:left w:w="105" w:type="dxa"/>
          <w:right w:w="76" w:type="dxa"/>
        </w:tblCellMar>
        <w:tblLook w:val="04A0" w:firstRow="1" w:lastRow="0" w:firstColumn="1" w:lastColumn="0" w:noHBand="0" w:noVBand="1"/>
      </w:tblPr>
      <w:tblGrid>
        <w:gridCol w:w="4468"/>
        <w:gridCol w:w="453"/>
        <w:gridCol w:w="471"/>
        <w:gridCol w:w="346"/>
        <w:gridCol w:w="471"/>
        <w:gridCol w:w="404"/>
        <w:gridCol w:w="388"/>
        <w:gridCol w:w="388"/>
        <w:gridCol w:w="389"/>
        <w:gridCol w:w="384"/>
        <w:gridCol w:w="386"/>
        <w:gridCol w:w="388"/>
        <w:gridCol w:w="387"/>
      </w:tblGrid>
      <w:tr w:rsidR="00E32863" w:rsidRPr="00E32863" w14:paraId="3BEF0F77"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shd w:val="clear" w:color="auto" w:fill="D9D9D9"/>
          </w:tcPr>
          <w:p w14:paraId="2DFE48B4" w14:textId="77777777" w:rsidR="00E32863" w:rsidRPr="00E32863" w:rsidRDefault="00E32863" w:rsidP="00C168A4">
            <w:pPr>
              <w:spacing w:before="40" w:after="40"/>
              <w:rPr>
                <w:rFonts w:cstheme="minorHAnsi"/>
                <w:sz w:val="22"/>
              </w:rPr>
            </w:pPr>
          </w:p>
        </w:tc>
        <w:tc>
          <w:tcPr>
            <w:tcW w:w="453" w:type="dxa"/>
            <w:tcBorders>
              <w:top w:val="single" w:sz="3" w:space="0" w:color="000000"/>
              <w:left w:val="single" w:sz="3" w:space="0" w:color="000000"/>
              <w:bottom w:val="single" w:sz="3" w:space="0" w:color="000000"/>
              <w:right w:val="single" w:sz="3" w:space="0" w:color="000000"/>
            </w:tcBorders>
            <w:shd w:val="clear" w:color="auto" w:fill="D9D9D9"/>
          </w:tcPr>
          <w:p w14:paraId="0F37DE76" w14:textId="77777777" w:rsidR="00E32863" w:rsidRPr="00E32863" w:rsidRDefault="00E32863" w:rsidP="00C168A4">
            <w:pPr>
              <w:spacing w:before="40" w:after="40"/>
              <w:ind w:left="21"/>
              <w:rPr>
                <w:rFonts w:cstheme="minorHAnsi"/>
                <w:sz w:val="22"/>
              </w:rPr>
            </w:pPr>
            <w:r w:rsidRPr="00E32863">
              <w:rPr>
                <w:rFonts w:cstheme="minorHAnsi"/>
                <w:sz w:val="22"/>
              </w:rPr>
              <w:t xml:space="preserve">A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6D5E09C4" w14:textId="77777777" w:rsidR="00E32863" w:rsidRPr="00E32863" w:rsidRDefault="00E32863" w:rsidP="00C168A4">
            <w:pPr>
              <w:spacing w:before="40" w:after="40"/>
              <w:ind w:left="29"/>
              <w:rPr>
                <w:rFonts w:cstheme="minorHAnsi"/>
                <w:sz w:val="22"/>
              </w:rPr>
            </w:pPr>
            <w:r w:rsidRPr="00E32863">
              <w:rPr>
                <w:rFonts w:cstheme="minorHAnsi"/>
                <w:sz w:val="22"/>
              </w:rPr>
              <w:t xml:space="preserve">B </w:t>
            </w:r>
          </w:p>
        </w:tc>
        <w:tc>
          <w:tcPr>
            <w:tcW w:w="346" w:type="dxa"/>
            <w:tcBorders>
              <w:top w:val="single" w:sz="3" w:space="0" w:color="000000"/>
              <w:left w:val="single" w:sz="3" w:space="0" w:color="000000"/>
              <w:bottom w:val="single" w:sz="3" w:space="0" w:color="000000"/>
              <w:right w:val="single" w:sz="3" w:space="0" w:color="000000"/>
            </w:tcBorders>
            <w:shd w:val="clear" w:color="auto" w:fill="D9D9D9"/>
          </w:tcPr>
          <w:p w14:paraId="4BA9872F" w14:textId="77777777" w:rsidR="00E32863" w:rsidRPr="00E32863" w:rsidRDefault="00E32863" w:rsidP="00C168A4">
            <w:pPr>
              <w:spacing w:before="40" w:after="40"/>
              <w:ind w:left="31"/>
              <w:rPr>
                <w:rFonts w:cstheme="minorHAnsi"/>
                <w:sz w:val="22"/>
              </w:rPr>
            </w:pPr>
            <w:r w:rsidRPr="00E32863">
              <w:rPr>
                <w:rFonts w:cstheme="minorHAnsi"/>
                <w:sz w:val="22"/>
              </w:rPr>
              <w:t xml:space="preserve">C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41B3EDF7" w14:textId="77777777" w:rsidR="00E32863" w:rsidRPr="00E32863" w:rsidRDefault="00E32863" w:rsidP="00C168A4">
            <w:pPr>
              <w:spacing w:before="40" w:after="40"/>
              <w:ind w:left="21"/>
              <w:rPr>
                <w:rFonts w:cstheme="minorHAnsi"/>
                <w:sz w:val="22"/>
              </w:rPr>
            </w:pPr>
            <w:r w:rsidRPr="00E32863">
              <w:rPr>
                <w:rFonts w:cstheme="minorHAnsi"/>
                <w:sz w:val="22"/>
              </w:rPr>
              <w:t xml:space="preserve">D </w:t>
            </w:r>
          </w:p>
        </w:tc>
        <w:tc>
          <w:tcPr>
            <w:tcW w:w="404" w:type="dxa"/>
            <w:tcBorders>
              <w:top w:val="single" w:sz="3" w:space="0" w:color="000000"/>
              <w:left w:val="single" w:sz="3" w:space="0" w:color="000000"/>
              <w:bottom w:val="single" w:sz="3" w:space="0" w:color="000000"/>
              <w:right w:val="single" w:sz="3" w:space="0" w:color="000000"/>
            </w:tcBorders>
            <w:shd w:val="clear" w:color="auto" w:fill="D9D9D9"/>
          </w:tcPr>
          <w:p w14:paraId="2EBCF90B" w14:textId="77777777" w:rsidR="00E32863" w:rsidRPr="00E32863" w:rsidRDefault="00E32863" w:rsidP="00C168A4">
            <w:pPr>
              <w:spacing w:before="40" w:after="40"/>
              <w:ind w:left="35"/>
              <w:rPr>
                <w:rFonts w:cstheme="minorHAnsi"/>
                <w:sz w:val="22"/>
              </w:rPr>
            </w:pPr>
            <w:r w:rsidRPr="00E32863">
              <w:rPr>
                <w:rFonts w:cstheme="minorHAnsi"/>
                <w:sz w:val="22"/>
              </w:rPr>
              <w:t xml:space="preserve">E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22AAEC72" w14:textId="77777777" w:rsidR="00E32863" w:rsidRPr="00E32863" w:rsidRDefault="00E32863" w:rsidP="00C168A4">
            <w:pPr>
              <w:spacing w:before="40" w:after="40"/>
              <w:ind w:left="41"/>
              <w:rPr>
                <w:rFonts w:cstheme="minorHAnsi"/>
                <w:sz w:val="22"/>
              </w:rPr>
            </w:pPr>
            <w:r w:rsidRPr="00E32863">
              <w:rPr>
                <w:rFonts w:cstheme="minorHAnsi"/>
                <w:sz w:val="22"/>
              </w:rPr>
              <w:t xml:space="preserve">F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123D95E7" w14:textId="77777777" w:rsidR="00E32863" w:rsidRPr="00E32863" w:rsidRDefault="00E32863" w:rsidP="00C168A4">
            <w:pPr>
              <w:spacing w:before="40" w:after="40"/>
              <w:ind w:left="19"/>
              <w:rPr>
                <w:rFonts w:cstheme="minorHAnsi"/>
                <w:sz w:val="22"/>
              </w:rPr>
            </w:pPr>
            <w:r w:rsidRPr="00E32863">
              <w:rPr>
                <w:rFonts w:cstheme="minorHAnsi"/>
                <w:sz w:val="22"/>
              </w:rPr>
              <w:t xml:space="preserve">G </w:t>
            </w:r>
          </w:p>
        </w:tc>
        <w:tc>
          <w:tcPr>
            <w:tcW w:w="389" w:type="dxa"/>
            <w:tcBorders>
              <w:top w:val="single" w:sz="3" w:space="0" w:color="000000"/>
              <w:left w:val="single" w:sz="3" w:space="0" w:color="000000"/>
              <w:bottom w:val="single" w:sz="3" w:space="0" w:color="000000"/>
              <w:right w:val="single" w:sz="3" w:space="0" w:color="000000"/>
            </w:tcBorders>
            <w:shd w:val="clear" w:color="auto" w:fill="D9D9D9"/>
          </w:tcPr>
          <w:p w14:paraId="5FAC7324" w14:textId="77777777" w:rsidR="00E32863" w:rsidRPr="00E32863" w:rsidRDefault="00E32863" w:rsidP="00C168A4">
            <w:pPr>
              <w:spacing w:before="40" w:after="40"/>
              <w:ind w:left="18"/>
              <w:rPr>
                <w:rFonts w:cstheme="minorHAnsi"/>
                <w:sz w:val="22"/>
              </w:rPr>
            </w:pPr>
            <w:r w:rsidRPr="00E32863">
              <w:rPr>
                <w:rFonts w:cstheme="minorHAnsi"/>
                <w:sz w:val="22"/>
              </w:rPr>
              <w:t xml:space="preserve">H </w:t>
            </w:r>
          </w:p>
        </w:tc>
        <w:tc>
          <w:tcPr>
            <w:tcW w:w="384" w:type="dxa"/>
            <w:tcBorders>
              <w:top w:val="single" w:sz="3" w:space="0" w:color="000000"/>
              <w:left w:val="single" w:sz="3" w:space="0" w:color="000000"/>
              <w:bottom w:val="single" w:sz="3" w:space="0" w:color="000000"/>
              <w:right w:val="single" w:sz="3" w:space="0" w:color="000000"/>
            </w:tcBorders>
            <w:shd w:val="clear" w:color="auto" w:fill="D9D9D9"/>
          </w:tcPr>
          <w:p w14:paraId="75CA1D11" w14:textId="77777777" w:rsidR="00E32863" w:rsidRPr="00E32863" w:rsidRDefault="00E32863" w:rsidP="00C168A4">
            <w:pPr>
              <w:spacing w:before="40" w:after="40"/>
              <w:jc w:val="center"/>
              <w:rPr>
                <w:rFonts w:cstheme="minorHAnsi"/>
                <w:sz w:val="22"/>
              </w:rPr>
            </w:pPr>
            <w:r w:rsidRPr="00E32863">
              <w:rPr>
                <w:rFonts w:cstheme="minorHAnsi"/>
                <w:sz w:val="22"/>
              </w:rPr>
              <w:t xml:space="preserve">I </w:t>
            </w:r>
          </w:p>
        </w:tc>
        <w:tc>
          <w:tcPr>
            <w:tcW w:w="386" w:type="dxa"/>
            <w:tcBorders>
              <w:top w:val="single" w:sz="3" w:space="0" w:color="000000"/>
              <w:left w:val="single" w:sz="3" w:space="0" w:color="000000"/>
              <w:bottom w:val="single" w:sz="3" w:space="0" w:color="000000"/>
              <w:right w:val="single" w:sz="3" w:space="0" w:color="000000"/>
            </w:tcBorders>
            <w:shd w:val="clear" w:color="auto" w:fill="D9D9D9"/>
          </w:tcPr>
          <w:p w14:paraId="65CA1214" w14:textId="77777777" w:rsidR="00E32863" w:rsidRPr="00E32863" w:rsidRDefault="00E32863" w:rsidP="00C168A4">
            <w:pPr>
              <w:spacing w:before="40" w:after="40"/>
              <w:jc w:val="center"/>
              <w:rPr>
                <w:rFonts w:cstheme="minorHAnsi"/>
                <w:sz w:val="22"/>
              </w:rPr>
            </w:pPr>
            <w:r w:rsidRPr="00E32863">
              <w:rPr>
                <w:rFonts w:cstheme="minorHAnsi"/>
                <w:sz w:val="22"/>
              </w:rPr>
              <w:t xml:space="preserve">J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142481AE" w14:textId="77777777" w:rsidR="00E32863" w:rsidRPr="00E32863" w:rsidRDefault="00E32863" w:rsidP="00C168A4">
            <w:pPr>
              <w:spacing w:before="40" w:after="40"/>
              <w:ind w:left="31"/>
              <w:rPr>
                <w:rFonts w:cstheme="minorHAnsi"/>
                <w:sz w:val="22"/>
              </w:rPr>
            </w:pPr>
            <w:r w:rsidRPr="00E32863">
              <w:rPr>
                <w:rFonts w:cstheme="minorHAnsi"/>
                <w:sz w:val="22"/>
              </w:rPr>
              <w:t xml:space="preserve">K </w:t>
            </w:r>
          </w:p>
        </w:tc>
        <w:tc>
          <w:tcPr>
            <w:tcW w:w="387" w:type="dxa"/>
            <w:tcBorders>
              <w:top w:val="single" w:sz="3" w:space="0" w:color="000000"/>
              <w:left w:val="single" w:sz="3" w:space="0" w:color="000000"/>
              <w:bottom w:val="single" w:sz="3" w:space="0" w:color="000000"/>
              <w:right w:val="single" w:sz="3" w:space="0" w:color="000000"/>
            </w:tcBorders>
            <w:shd w:val="clear" w:color="auto" w:fill="D9D9D9"/>
          </w:tcPr>
          <w:p w14:paraId="578F9FB7" w14:textId="77777777" w:rsidR="00E32863" w:rsidRPr="00E32863" w:rsidRDefault="00E32863" w:rsidP="00C168A4">
            <w:pPr>
              <w:spacing w:before="40" w:after="40"/>
              <w:jc w:val="center"/>
              <w:rPr>
                <w:rFonts w:cstheme="minorHAnsi"/>
                <w:sz w:val="22"/>
              </w:rPr>
            </w:pPr>
            <w:r w:rsidRPr="00E32863">
              <w:rPr>
                <w:rFonts w:cstheme="minorHAnsi"/>
                <w:sz w:val="22"/>
              </w:rPr>
              <w:t xml:space="preserve">L </w:t>
            </w:r>
          </w:p>
        </w:tc>
      </w:tr>
      <w:tr w:rsidR="00E32863" w:rsidRPr="00E32863" w14:paraId="518A473D" w14:textId="77777777" w:rsidTr="00E6598D">
        <w:trPr>
          <w:trHeight w:val="239"/>
        </w:trPr>
        <w:tc>
          <w:tcPr>
            <w:tcW w:w="4468" w:type="dxa"/>
            <w:tcBorders>
              <w:top w:val="single" w:sz="3" w:space="0" w:color="000000"/>
              <w:left w:val="single" w:sz="3" w:space="0" w:color="000000"/>
              <w:bottom w:val="single" w:sz="3" w:space="0" w:color="000000"/>
              <w:right w:val="single" w:sz="3" w:space="0" w:color="000000"/>
            </w:tcBorders>
          </w:tcPr>
          <w:p w14:paraId="5D3115DB" w14:textId="52452A95" w:rsidR="00E32863" w:rsidRPr="00E32863" w:rsidRDefault="00E32863" w:rsidP="00C168A4">
            <w:pPr>
              <w:spacing w:before="40" w:after="40"/>
              <w:rPr>
                <w:rFonts w:cstheme="minorHAnsi"/>
                <w:sz w:val="22"/>
              </w:rPr>
            </w:pPr>
            <w:r w:rsidRPr="00E32863">
              <w:rPr>
                <w:rFonts w:cstheme="minorHAnsi"/>
                <w:sz w:val="22"/>
              </w:rPr>
              <w:t>UIT</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3F20534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6282AD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DFFE4E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CFD3C3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9FD1DE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E71A2D3"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806C6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1CC10B4"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0CA975F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C1FAE38"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66B863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2609659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633728BB"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40DBC7A7" w14:textId="68B85D31" w:rsidR="00E32863" w:rsidRPr="00E32863" w:rsidRDefault="00E32863" w:rsidP="00C168A4">
            <w:pPr>
              <w:spacing w:before="40" w:after="40"/>
              <w:rPr>
                <w:rFonts w:cstheme="minorHAnsi"/>
                <w:sz w:val="22"/>
              </w:rPr>
            </w:pPr>
            <w:r w:rsidRPr="00E32863">
              <w:rPr>
                <w:rFonts w:cstheme="minorHAnsi"/>
                <w:sz w:val="22"/>
              </w:rPr>
              <w:t>Banque Mond</w:t>
            </w:r>
            <w:r w:rsidR="00615C48">
              <w:rPr>
                <w:rFonts w:cstheme="minorHAnsi"/>
                <w:sz w:val="22"/>
              </w:rPr>
              <w:t>i</w:t>
            </w:r>
            <w:r w:rsidRPr="00E32863">
              <w:rPr>
                <w:rFonts w:cstheme="minorHAnsi"/>
                <w:sz w:val="22"/>
              </w:rPr>
              <w:t xml:space="preserve">ale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4A87190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FFC000"/>
          </w:tcPr>
          <w:p w14:paraId="3BD6EBD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3F2284F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A53430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74055B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A24267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7E481C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454051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65319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CF779BA"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D05A8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D236DC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AA980BE" w14:textId="77777777" w:rsidTr="00E6598D">
        <w:trPr>
          <w:trHeight w:val="281"/>
        </w:trPr>
        <w:tc>
          <w:tcPr>
            <w:tcW w:w="4468" w:type="dxa"/>
            <w:tcBorders>
              <w:top w:val="single" w:sz="3" w:space="0" w:color="000000"/>
              <w:left w:val="single" w:sz="3" w:space="0" w:color="000000"/>
              <w:bottom w:val="single" w:sz="3" w:space="0" w:color="000000"/>
              <w:right w:val="single" w:sz="3" w:space="0" w:color="000000"/>
            </w:tcBorders>
          </w:tcPr>
          <w:p w14:paraId="56228C09" w14:textId="77777777" w:rsidR="00E32863" w:rsidRPr="00E32863" w:rsidRDefault="00E32863" w:rsidP="00C168A4">
            <w:pPr>
              <w:spacing w:before="40" w:after="40"/>
              <w:rPr>
                <w:rFonts w:cstheme="minorHAnsi"/>
                <w:sz w:val="22"/>
              </w:rPr>
            </w:pPr>
            <w:r w:rsidRPr="00E32863">
              <w:rPr>
                <w:rFonts w:cstheme="minorHAnsi"/>
                <w:sz w:val="22"/>
              </w:rPr>
              <w:t xml:space="preserve">GSMA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06632A0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54F686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265949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E02DFF1"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F55EE1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E9C353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9B2235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4201DE6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CBCDDC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494A0B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4E55CC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E24F3CB"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5E47DDE"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53BCFC99" w14:textId="77777777" w:rsidR="00E32863" w:rsidRPr="00E32863" w:rsidRDefault="00E32863" w:rsidP="00C168A4">
            <w:pPr>
              <w:spacing w:before="40" w:after="40"/>
              <w:rPr>
                <w:rFonts w:cstheme="minorHAnsi"/>
                <w:sz w:val="22"/>
              </w:rPr>
            </w:pPr>
            <w:r w:rsidRPr="00E32863">
              <w:rPr>
                <w:rFonts w:cstheme="minorHAnsi"/>
                <w:sz w:val="22"/>
              </w:rPr>
              <w:t xml:space="preserve">ONU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143351ED"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FDAAA7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2CB82D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467F8A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3BB0A7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98E45D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21AEAB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DAAD6CD"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DFF676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A2E36FA"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9FFF1E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AEF358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48E2C32C"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29BD659F" w14:textId="77777777" w:rsidR="00E32863" w:rsidRPr="00E32863" w:rsidRDefault="00E32863" w:rsidP="00C168A4">
            <w:pPr>
              <w:spacing w:before="40" w:after="40"/>
              <w:rPr>
                <w:rFonts w:cstheme="minorHAnsi"/>
                <w:sz w:val="22"/>
              </w:rPr>
            </w:pPr>
            <w:r w:rsidRPr="00E32863">
              <w:rPr>
                <w:rFonts w:cstheme="minorHAnsi"/>
                <w:sz w:val="22"/>
              </w:rPr>
              <w:t xml:space="preserve">WEF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61F05289"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B9B407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6E03ED6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7B6F3F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30BA0E1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CBB6D82"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D64F64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54A05B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3C9652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039EA0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8D2C64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090CBE07"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2C3B108"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3E664467" w14:textId="77777777" w:rsidR="00E32863" w:rsidRPr="00E32863" w:rsidRDefault="00E32863" w:rsidP="00C168A4">
            <w:pPr>
              <w:spacing w:before="40" w:after="40"/>
              <w:rPr>
                <w:rFonts w:cstheme="minorHAnsi"/>
                <w:sz w:val="22"/>
              </w:rPr>
            </w:pPr>
            <w:r w:rsidRPr="00E32863">
              <w:rPr>
                <w:rFonts w:cstheme="minorHAnsi"/>
                <w:sz w:val="22"/>
              </w:rPr>
              <w:t xml:space="preserve">A4AI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745AFFF4"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21A19F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E6403E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DF6C4E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7EEDBC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16AEC39"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DF4F7EE"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39D872A1"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FB2519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6F11C85"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ADFEE2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BC07E8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0AB0E785"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286B3029" w14:textId="77777777" w:rsidR="00E32863" w:rsidRPr="00E32863" w:rsidRDefault="00E32863" w:rsidP="00C168A4">
            <w:pPr>
              <w:spacing w:before="40" w:after="40"/>
              <w:rPr>
                <w:rFonts w:cstheme="minorHAnsi"/>
                <w:sz w:val="22"/>
              </w:rPr>
            </w:pPr>
            <w:r w:rsidRPr="00E32863">
              <w:rPr>
                <w:rFonts w:cstheme="minorHAnsi"/>
                <w:sz w:val="22"/>
              </w:rPr>
              <w:t xml:space="preserve">M-Lab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33236DD6"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1398C8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47D0CC1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0327F46"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C49700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5AAC7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996D30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A2A9B2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F8FA27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45904B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61633D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CCEF59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5667F994"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3FAE933C" w14:textId="77777777" w:rsidR="00E32863" w:rsidRPr="00E32863" w:rsidRDefault="00E32863" w:rsidP="00C168A4">
            <w:pPr>
              <w:spacing w:before="40" w:after="40"/>
              <w:rPr>
                <w:rFonts w:cstheme="minorHAnsi"/>
                <w:sz w:val="22"/>
              </w:rPr>
            </w:pPr>
            <w:r w:rsidRPr="00E32863">
              <w:rPr>
                <w:rFonts w:cstheme="minorHAnsi"/>
                <w:sz w:val="22"/>
              </w:rPr>
              <w:t xml:space="preserve">Cable.co.uk </w:t>
            </w:r>
          </w:p>
        </w:tc>
        <w:tc>
          <w:tcPr>
            <w:tcW w:w="453" w:type="dxa"/>
            <w:tcBorders>
              <w:top w:val="single" w:sz="3" w:space="0" w:color="000000"/>
              <w:left w:val="single" w:sz="3" w:space="0" w:color="000000"/>
              <w:bottom w:val="single" w:sz="3" w:space="0" w:color="000000"/>
              <w:right w:val="single" w:sz="3" w:space="0" w:color="000000"/>
            </w:tcBorders>
            <w:shd w:val="clear" w:color="auto" w:fill="FFC000"/>
          </w:tcPr>
          <w:p w14:paraId="27534E4C"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41EF89D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D88850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1963472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0ADDAE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8B3455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078767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864CAD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4DC70C6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834758E"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F8EBF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6246EFB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6CA81766"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6DDE8D63" w14:textId="77777777" w:rsidR="00E32863" w:rsidRPr="00E32863" w:rsidRDefault="00E32863" w:rsidP="00C168A4">
            <w:pPr>
              <w:spacing w:before="40" w:after="40"/>
              <w:rPr>
                <w:rFonts w:cstheme="minorHAnsi"/>
                <w:sz w:val="22"/>
              </w:rPr>
            </w:pPr>
            <w:r w:rsidRPr="00E32863">
              <w:rPr>
                <w:rFonts w:cstheme="minorHAnsi"/>
                <w:sz w:val="22"/>
              </w:rPr>
              <w:t xml:space="preserve">INSEED </w:t>
            </w:r>
          </w:p>
        </w:tc>
        <w:tc>
          <w:tcPr>
            <w:tcW w:w="453" w:type="dxa"/>
            <w:tcBorders>
              <w:top w:val="single" w:sz="3" w:space="0" w:color="000000"/>
              <w:left w:val="single" w:sz="3" w:space="0" w:color="000000"/>
              <w:bottom w:val="single" w:sz="3" w:space="0" w:color="000000"/>
              <w:right w:val="single" w:sz="3" w:space="0" w:color="000000"/>
            </w:tcBorders>
          </w:tcPr>
          <w:p w14:paraId="0DE2FB04"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57C4793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276BAFC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943ACA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64444FF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BBBF4B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4A80FB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E6F7CEE"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361878B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63DB346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6B7566C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2" w:space="0" w:color="92D050"/>
              <w:right w:val="single" w:sz="3" w:space="0" w:color="000000"/>
            </w:tcBorders>
          </w:tcPr>
          <w:p w14:paraId="11F4853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442E4EAC" w14:textId="77777777" w:rsidTr="00E6598D">
        <w:trPr>
          <w:trHeight w:val="274"/>
        </w:trPr>
        <w:tc>
          <w:tcPr>
            <w:tcW w:w="4468" w:type="dxa"/>
            <w:tcBorders>
              <w:top w:val="single" w:sz="3" w:space="0" w:color="000000"/>
              <w:left w:val="single" w:sz="3" w:space="0" w:color="000000"/>
              <w:bottom w:val="single" w:sz="3" w:space="0" w:color="000000"/>
              <w:right w:val="single" w:sz="3" w:space="0" w:color="000000"/>
            </w:tcBorders>
          </w:tcPr>
          <w:p w14:paraId="0796A4A3" w14:textId="77777777" w:rsidR="00E32863" w:rsidRPr="00E32863" w:rsidRDefault="00E32863" w:rsidP="00C168A4">
            <w:pPr>
              <w:spacing w:before="40" w:after="40"/>
              <w:rPr>
                <w:rFonts w:cstheme="minorHAnsi"/>
                <w:sz w:val="22"/>
              </w:rPr>
            </w:pPr>
            <w:r w:rsidRPr="00E32863">
              <w:rPr>
                <w:rFonts w:cstheme="minorHAnsi"/>
                <w:sz w:val="22"/>
              </w:rPr>
              <w:t xml:space="preserve">BCC </w:t>
            </w:r>
          </w:p>
        </w:tc>
        <w:tc>
          <w:tcPr>
            <w:tcW w:w="453" w:type="dxa"/>
            <w:tcBorders>
              <w:top w:val="single" w:sz="3" w:space="0" w:color="000000"/>
              <w:left w:val="single" w:sz="3" w:space="0" w:color="000000"/>
              <w:bottom w:val="single" w:sz="3" w:space="0" w:color="000000"/>
              <w:right w:val="single" w:sz="3" w:space="0" w:color="000000"/>
            </w:tcBorders>
          </w:tcPr>
          <w:p w14:paraId="3936A90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00FE502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375591E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8CB2B6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54DD81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6683FA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85FAEB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9BE2DF1"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6FF56EB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5A609A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DCC052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2" w:space="0" w:color="92D050"/>
              <w:left w:val="single" w:sz="3" w:space="0" w:color="000000"/>
              <w:bottom w:val="single" w:sz="3" w:space="0" w:color="000000"/>
              <w:right w:val="single" w:sz="3" w:space="0" w:color="000000"/>
            </w:tcBorders>
            <w:shd w:val="clear" w:color="auto" w:fill="92D050"/>
          </w:tcPr>
          <w:p w14:paraId="56EFAF8B"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572427F8"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3F8CFAE5" w14:textId="77777777" w:rsidR="00E32863" w:rsidRPr="00E32863" w:rsidRDefault="00E32863" w:rsidP="00C168A4">
            <w:pPr>
              <w:spacing w:before="40" w:after="40"/>
              <w:rPr>
                <w:rFonts w:cstheme="minorHAnsi"/>
                <w:sz w:val="22"/>
              </w:rPr>
            </w:pPr>
            <w:r w:rsidRPr="00E32863">
              <w:rPr>
                <w:rFonts w:cstheme="minorHAnsi"/>
                <w:sz w:val="22"/>
              </w:rPr>
              <w:t xml:space="preserve">ANRTIC </w:t>
            </w:r>
          </w:p>
        </w:tc>
        <w:tc>
          <w:tcPr>
            <w:tcW w:w="453" w:type="dxa"/>
            <w:tcBorders>
              <w:top w:val="single" w:sz="3" w:space="0" w:color="000000"/>
              <w:left w:val="single" w:sz="3" w:space="0" w:color="000000"/>
              <w:bottom w:val="single" w:sz="3" w:space="0" w:color="000000"/>
              <w:right w:val="single" w:sz="3" w:space="0" w:color="000000"/>
            </w:tcBorders>
          </w:tcPr>
          <w:p w14:paraId="1E81F7F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B11765E"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shd w:val="clear" w:color="auto" w:fill="92D050"/>
          </w:tcPr>
          <w:p w14:paraId="67F6FF9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9B81F0C"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778BC50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811B9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B0C83CD"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A292F88"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7911492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730215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C7C5EE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4A526CC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019EAE9" w14:textId="77777777" w:rsidTr="00E6598D">
        <w:trPr>
          <w:trHeight w:val="282"/>
        </w:trPr>
        <w:tc>
          <w:tcPr>
            <w:tcW w:w="4468" w:type="dxa"/>
            <w:tcBorders>
              <w:top w:val="single" w:sz="3" w:space="0" w:color="000000"/>
              <w:left w:val="single" w:sz="3" w:space="0" w:color="000000"/>
              <w:bottom w:val="single" w:sz="3" w:space="0" w:color="000000"/>
              <w:right w:val="single" w:sz="3" w:space="0" w:color="000000"/>
            </w:tcBorders>
          </w:tcPr>
          <w:p w14:paraId="211E43D7" w14:textId="77777777" w:rsidR="00E32863" w:rsidRPr="00E32863" w:rsidRDefault="00E32863" w:rsidP="00C168A4">
            <w:pPr>
              <w:spacing w:before="40" w:after="40"/>
              <w:rPr>
                <w:rFonts w:cstheme="minorHAnsi"/>
                <w:sz w:val="22"/>
              </w:rPr>
            </w:pPr>
            <w:r w:rsidRPr="00E32863">
              <w:rPr>
                <w:rFonts w:cstheme="minorHAnsi"/>
                <w:sz w:val="22"/>
              </w:rPr>
              <w:t xml:space="preserve">AFRINIC </w:t>
            </w:r>
          </w:p>
        </w:tc>
        <w:tc>
          <w:tcPr>
            <w:tcW w:w="453" w:type="dxa"/>
            <w:tcBorders>
              <w:top w:val="single" w:sz="3" w:space="0" w:color="000000"/>
              <w:left w:val="single" w:sz="3" w:space="0" w:color="000000"/>
              <w:bottom w:val="single" w:sz="3" w:space="0" w:color="000000"/>
              <w:right w:val="single" w:sz="3" w:space="0" w:color="000000"/>
            </w:tcBorders>
          </w:tcPr>
          <w:p w14:paraId="211D546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D3C410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shd w:val="clear" w:color="auto" w:fill="FFC000"/>
          </w:tcPr>
          <w:p w14:paraId="0B9746D8"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458580D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2DACB70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5F6A292"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1C78DC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0F9639B3"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1130430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0387089B"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E61DF3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BBD816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92F4CA0" w14:textId="77777777" w:rsidTr="00E6598D">
        <w:trPr>
          <w:trHeight w:val="273"/>
        </w:trPr>
        <w:tc>
          <w:tcPr>
            <w:tcW w:w="4468" w:type="dxa"/>
            <w:tcBorders>
              <w:top w:val="single" w:sz="3" w:space="0" w:color="000000"/>
              <w:left w:val="single" w:sz="3" w:space="0" w:color="000000"/>
              <w:bottom w:val="single" w:sz="3" w:space="0" w:color="000000"/>
              <w:right w:val="single" w:sz="3" w:space="0" w:color="000000"/>
            </w:tcBorders>
          </w:tcPr>
          <w:p w14:paraId="2D55EA13" w14:textId="77777777" w:rsidR="00E32863" w:rsidRPr="00E32863" w:rsidRDefault="00E32863" w:rsidP="00C168A4">
            <w:pPr>
              <w:spacing w:before="40" w:after="40"/>
              <w:rPr>
                <w:rFonts w:cstheme="minorHAnsi"/>
                <w:sz w:val="22"/>
              </w:rPr>
            </w:pPr>
            <w:r w:rsidRPr="00E32863">
              <w:rPr>
                <w:rFonts w:cstheme="minorHAnsi"/>
                <w:sz w:val="22"/>
              </w:rPr>
              <w:t xml:space="preserve">Comoros Telecom </w:t>
            </w:r>
          </w:p>
        </w:tc>
        <w:tc>
          <w:tcPr>
            <w:tcW w:w="453" w:type="dxa"/>
            <w:tcBorders>
              <w:top w:val="single" w:sz="3" w:space="0" w:color="000000"/>
              <w:left w:val="single" w:sz="3" w:space="0" w:color="000000"/>
              <w:bottom w:val="single" w:sz="3" w:space="0" w:color="000000"/>
              <w:right w:val="single" w:sz="3" w:space="0" w:color="000000"/>
            </w:tcBorders>
          </w:tcPr>
          <w:p w14:paraId="5401B77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60E72A0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F44A01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26BF7A9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1ACF991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29313989"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6079145C"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200EF43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78BC10A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61D7269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5EF4B2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18225BFA"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C092287" w14:textId="77777777" w:rsidTr="00E6598D">
        <w:trPr>
          <w:trHeight w:val="278"/>
        </w:trPr>
        <w:tc>
          <w:tcPr>
            <w:tcW w:w="4468" w:type="dxa"/>
            <w:tcBorders>
              <w:top w:val="single" w:sz="3" w:space="0" w:color="000000"/>
              <w:left w:val="single" w:sz="3" w:space="0" w:color="000000"/>
              <w:bottom w:val="single" w:sz="3" w:space="0" w:color="000000"/>
              <w:right w:val="single" w:sz="3" w:space="0" w:color="000000"/>
            </w:tcBorders>
            <w:shd w:val="clear" w:color="auto" w:fill="D9D9D9"/>
          </w:tcPr>
          <w:p w14:paraId="269B88EB" w14:textId="23D5EB3B" w:rsidR="00E32863" w:rsidRPr="00E32863" w:rsidRDefault="00E32863" w:rsidP="00C168A4">
            <w:pPr>
              <w:spacing w:before="40" w:after="40"/>
              <w:rPr>
                <w:rFonts w:cstheme="minorHAnsi"/>
                <w:sz w:val="22"/>
              </w:rPr>
            </w:pPr>
          </w:p>
        </w:tc>
        <w:tc>
          <w:tcPr>
            <w:tcW w:w="453" w:type="dxa"/>
            <w:tcBorders>
              <w:top w:val="single" w:sz="3" w:space="0" w:color="000000"/>
              <w:left w:val="single" w:sz="3" w:space="0" w:color="000000"/>
              <w:bottom w:val="single" w:sz="3" w:space="0" w:color="000000"/>
              <w:right w:val="single" w:sz="3" w:space="0" w:color="000000"/>
            </w:tcBorders>
            <w:shd w:val="clear" w:color="auto" w:fill="D9D9D9"/>
          </w:tcPr>
          <w:p w14:paraId="37E05D56" w14:textId="77777777" w:rsidR="00E32863" w:rsidRPr="00E32863" w:rsidRDefault="00E32863" w:rsidP="00C168A4">
            <w:pPr>
              <w:spacing w:before="40" w:after="40"/>
              <w:ind w:left="21"/>
              <w:rPr>
                <w:rFonts w:cstheme="minorHAnsi"/>
                <w:sz w:val="22"/>
              </w:rPr>
            </w:pPr>
            <w:r w:rsidRPr="00E32863">
              <w:rPr>
                <w:rFonts w:cstheme="minorHAnsi"/>
                <w:sz w:val="22"/>
              </w:rPr>
              <w:t xml:space="preserve">A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35698E66" w14:textId="77777777" w:rsidR="00E32863" w:rsidRPr="00E32863" w:rsidRDefault="00E32863" w:rsidP="00C168A4">
            <w:pPr>
              <w:spacing w:before="40" w:after="40"/>
              <w:ind w:left="29"/>
              <w:rPr>
                <w:rFonts w:cstheme="minorHAnsi"/>
                <w:sz w:val="22"/>
              </w:rPr>
            </w:pPr>
            <w:r w:rsidRPr="00E32863">
              <w:rPr>
                <w:rFonts w:cstheme="minorHAnsi"/>
                <w:sz w:val="22"/>
              </w:rPr>
              <w:t xml:space="preserve">B </w:t>
            </w:r>
          </w:p>
        </w:tc>
        <w:tc>
          <w:tcPr>
            <w:tcW w:w="346" w:type="dxa"/>
            <w:tcBorders>
              <w:top w:val="single" w:sz="3" w:space="0" w:color="000000"/>
              <w:left w:val="single" w:sz="3" w:space="0" w:color="000000"/>
              <w:bottom w:val="single" w:sz="3" w:space="0" w:color="000000"/>
              <w:right w:val="single" w:sz="3" w:space="0" w:color="000000"/>
            </w:tcBorders>
            <w:shd w:val="clear" w:color="auto" w:fill="D9D9D9"/>
          </w:tcPr>
          <w:p w14:paraId="2D88B6F2" w14:textId="77777777" w:rsidR="00E32863" w:rsidRPr="00E32863" w:rsidRDefault="00E32863" w:rsidP="00C168A4">
            <w:pPr>
              <w:spacing w:before="40" w:after="40"/>
              <w:ind w:left="31"/>
              <w:rPr>
                <w:rFonts w:cstheme="minorHAnsi"/>
                <w:sz w:val="22"/>
              </w:rPr>
            </w:pPr>
            <w:r w:rsidRPr="00E32863">
              <w:rPr>
                <w:rFonts w:cstheme="minorHAnsi"/>
                <w:sz w:val="22"/>
              </w:rPr>
              <w:t xml:space="preserve">C </w:t>
            </w:r>
          </w:p>
        </w:tc>
        <w:tc>
          <w:tcPr>
            <w:tcW w:w="471" w:type="dxa"/>
            <w:tcBorders>
              <w:top w:val="single" w:sz="3" w:space="0" w:color="000000"/>
              <w:left w:val="single" w:sz="3" w:space="0" w:color="000000"/>
              <w:bottom w:val="single" w:sz="3" w:space="0" w:color="000000"/>
              <w:right w:val="single" w:sz="3" w:space="0" w:color="000000"/>
            </w:tcBorders>
            <w:shd w:val="clear" w:color="auto" w:fill="D9D9D9"/>
          </w:tcPr>
          <w:p w14:paraId="70DF3E39" w14:textId="77777777" w:rsidR="00E32863" w:rsidRPr="00E32863" w:rsidRDefault="00E32863" w:rsidP="00C168A4">
            <w:pPr>
              <w:spacing w:before="40" w:after="40"/>
              <w:ind w:left="21"/>
              <w:rPr>
                <w:rFonts w:cstheme="minorHAnsi"/>
                <w:sz w:val="22"/>
              </w:rPr>
            </w:pPr>
            <w:r w:rsidRPr="00E32863">
              <w:rPr>
                <w:rFonts w:cstheme="minorHAnsi"/>
                <w:sz w:val="22"/>
              </w:rPr>
              <w:t xml:space="preserve">D </w:t>
            </w:r>
          </w:p>
        </w:tc>
        <w:tc>
          <w:tcPr>
            <w:tcW w:w="404" w:type="dxa"/>
            <w:tcBorders>
              <w:top w:val="single" w:sz="3" w:space="0" w:color="000000"/>
              <w:left w:val="single" w:sz="3" w:space="0" w:color="000000"/>
              <w:bottom w:val="single" w:sz="3" w:space="0" w:color="000000"/>
              <w:right w:val="single" w:sz="3" w:space="0" w:color="000000"/>
            </w:tcBorders>
            <w:shd w:val="clear" w:color="auto" w:fill="D9D9D9"/>
          </w:tcPr>
          <w:p w14:paraId="3F630885" w14:textId="77777777" w:rsidR="00E32863" w:rsidRPr="00E32863" w:rsidRDefault="00E32863" w:rsidP="00C168A4">
            <w:pPr>
              <w:spacing w:before="40" w:after="40"/>
              <w:ind w:left="35"/>
              <w:rPr>
                <w:rFonts w:cstheme="minorHAnsi"/>
                <w:sz w:val="22"/>
              </w:rPr>
            </w:pPr>
            <w:r w:rsidRPr="00E32863">
              <w:rPr>
                <w:rFonts w:cstheme="minorHAnsi"/>
                <w:sz w:val="22"/>
              </w:rPr>
              <w:t xml:space="preserve">E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554A9AE0" w14:textId="77777777" w:rsidR="00E32863" w:rsidRPr="00E32863" w:rsidRDefault="00E32863" w:rsidP="00C168A4">
            <w:pPr>
              <w:spacing w:before="40" w:after="40"/>
              <w:ind w:left="41"/>
              <w:rPr>
                <w:rFonts w:cstheme="minorHAnsi"/>
                <w:sz w:val="22"/>
              </w:rPr>
            </w:pPr>
            <w:r w:rsidRPr="00E32863">
              <w:rPr>
                <w:rFonts w:cstheme="minorHAnsi"/>
                <w:sz w:val="22"/>
              </w:rPr>
              <w:t xml:space="preserve">F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2A2464EF" w14:textId="77777777" w:rsidR="00E32863" w:rsidRPr="00E32863" w:rsidRDefault="00E32863" w:rsidP="00C168A4">
            <w:pPr>
              <w:spacing w:before="40" w:after="40"/>
              <w:ind w:left="19"/>
              <w:rPr>
                <w:rFonts w:cstheme="minorHAnsi"/>
                <w:sz w:val="22"/>
              </w:rPr>
            </w:pPr>
            <w:r w:rsidRPr="00E32863">
              <w:rPr>
                <w:rFonts w:cstheme="minorHAnsi"/>
                <w:sz w:val="22"/>
              </w:rPr>
              <w:t xml:space="preserve">G </w:t>
            </w:r>
          </w:p>
        </w:tc>
        <w:tc>
          <w:tcPr>
            <w:tcW w:w="389" w:type="dxa"/>
            <w:tcBorders>
              <w:top w:val="single" w:sz="3" w:space="0" w:color="000000"/>
              <w:left w:val="single" w:sz="3" w:space="0" w:color="000000"/>
              <w:bottom w:val="single" w:sz="3" w:space="0" w:color="000000"/>
              <w:right w:val="single" w:sz="3" w:space="0" w:color="000000"/>
            </w:tcBorders>
            <w:shd w:val="clear" w:color="auto" w:fill="D9D9D9"/>
          </w:tcPr>
          <w:p w14:paraId="5140EB55" w14:textId="77777777" w:rsidR="00E32863" w:rsidRPr="00E32863" w:rsidRDefault="00E32863" w:rsidP="00C168A4">
            <w:pPr>
              <w:spacing w:before="40" w:after="40"/>
              <w:ind w:left="18"/>
              <w:rPr>
                <w:rFonts w:cstheme="minorHAnsi"/>
                <w:sz w:val="22"/>
              </w:rPr>
            </w:pPr>
            <w:r w:rsidRPr="00E32863">
              <w:rPr>
                <w:rFonts w:cstheme="minorHAnsi"/>
                <w:sz w:val="22"/>
              </w:rPr>
              <w:t xml:space="preserve">H </w:t>
            </w:r>
          </w:p>
        </w:tc>
        <w:tc>
          <w:tcPr>
            <w:tcW w:w="384" w:type="dxa"/>
            <w:tcBorders>
              <w:top w:val="single" w:sz="3" w:space="0" w:color="000000"/>
              <w:left w:val="single" w:sz="3" w:space="0" w:color="000000"/>
              <w:bottom w:val="single" w:sz="3" w:space="0" w:color="000000"/>
              <w:right w:val="single" w:sz="3" w:space="0" w:color="000000"/>
            </w:tcBorders>
            <w:shd w:val="clear" w:color="auto" w:fill="D9D9D9"/>
          </w:tcPr>
          <w:p w14:paraId="4290F2CC" w14:textId="77777777" w:rsidR="00E32863" w:rsidRPr="00E32863" w:rsidRDefault="00E32863" w:rsidP="00C168A4">
            <w:pPr>
              <w:spacing w:before="40" w:after="40"/>
              <w:jc w:val="center"/>
              <w:rPr>
                <w:rFonts w:cstheme="minorHAnsi"/>
                <w:sz w:val="22"/>
              </w:rPr>
            </w:pPr>
            <w:r w:rsidRPr="00E32863">
              <w:rPr>
                <w:rFonts w:cstheme="minorHAnsi"/>
                <w:sz w:val="22"/>
              </w:rPr>
              <w:t xml:space="preserve">I </w:t>
            </w:r>
          </w:p>
        </w:tc>
        <w:tc>
          <w:tcPr>
            <w:tcW w:w="386" w:type="dxa"/>
            <w:tcBorders>
              <w:top w:val="single" w:sz="3" w:space="0" w:color="000000"/>
              <w:left w:val="single" w:sz="3" w:space="0" w:color="000000"/>
              <w:bottom w:val="single" w:sz="3" w:space="0" w:color="000000"/>
              <w:right w:val="single" w:sz="3" w:space="0" w:color="000000"/>
            </w:tcBorders>
            <w:shd w:val="clear" w:color="auto" w:fill="D9D9D9"/>
          </w:tcPr>
          <w:p w14:paraId="4DBF4A8F" w14:textId="77777777" w:rsidR="00E32863" w:rsidRPr="00E32863" w:rsidRDefault="00E32863" w:rsidP="00C168A4">
            <w:pPr>
              <w:spacing w:before="40" w:after="40"/>
              <w:jc w:val="center"/>
              <w:rPr>
                <w:rFonts w:cstheme="minorHAnsi"/>
                <w:sz w:val="22"/>
              </w:rPr>
            </w:pPr>
            <w:r w:rsidRPr="00E32863">
              <w:rPr>
                <w:rFonts w:cstheme="minorHAnsi"/>
                <w:sz w:val="22"/>
              </w:rPr>
              <w:t xml:space="preserve">J </w:t>
            </w:r>
          </w:p>
        </w:tc>
        <w:tc>
          <w:tcPr>
            <w:tcW w:w="388" w:type="dxa"/>
            <w:tcBorders>
              <w:top w:val="single" w:sz="3" w:space="0" w:color="000000"/>
              <w:left w:val="single" w:sz="3" w:space="0" w:color="000000"/>
              <w:bottom w:val="single" w:sz="3" w:space="0" w:color="000000"/>
              <w:right w:val="single" w:sz="3" w:space="0" w:color="000000"/>
            </w:tcBorders>
            <w:shd w:val="clear" w:color="auto" w:fill="D9D9D9"/>
          </w:tcPr>
          <w:p w14:paraId="3E9C309B" w14:textId="77777777" w:rsidR="00E32863" w:rsidRPr="00E32863" w:rsidRDefault="00E32863" w:rsidP="00C168A4">
            <w:pPr>
              <w:spacing w:before="40" w:after="40"/>
              <w:ind w:left="31"/>
              <w:rPr>
                <w:rFonts w:cstheme="minorHAnsi"/>
                <w:sz w:val="22"/>
              </w:rPr>
            </w:pPr>
            <w:r w:rsidRPr="00E32863">
              <w:rPr>
                <w:rFonts w:cstheme="minorHAnsi"/>
                <w:sz w:val="22"/>
              </w:rPr>
              <w:t xml:space="preserve">K </w:t>
            </w:r>
          </w:p>
        </w:tc>
        <w:tc>
          <w:tcPr>
            <w:tcW w:w="387" w:type="dxa"/>
            <w:tcBorders>
              <w:top w:val="single" w:sz="3" w:space="0" w:color="000000"/>
              <w:left w:val="single" w:sz="3" w:space="0" w:color="000000"/>
              <w:bottom w:val="single" w:sz="3" w:space="0" w:color="000000"/>
              <w:right w:val="single" w:sz="3" w:space="0" w:color="000000"/>
            </w:tcBorders>
            <w:shd w:val="clear" w:color="auto" w:fill="D9D9D9"/>
          </w:tcPr>
          <w:p w14:paraId="0901904A" w14:textId="77777777" w:rsidR="00E32863" w:rsidRPr="00E32863" w:rsidRDefault="00E32863" w:rsidP="00C168A4">
            <w:pPr>
              <w:spacing w:before="40" w:after="40"/>
              <w:jc w:val="center"/>
              <w:rPr>
                <w:rFonts w:cstheme="minorHAnsi"/>
                <w:sz w:val="22"/>
              </w:rPr>
            </w:pPr>
            <w:r w:rsidRPr="00E32863">
              <w:rPr>
                <w:rFonts w:cstheme="minorHAnsi"/>
                <w:sz w:val="22"/>
              </w:rPr>
              <w:t xml:space="preserve">L </w:t>
            </w:r>
          </w:p>
        </w:tc>
      </w:tr>
      <w:tr w:rsidR="00E32863" w:rsidRPr="00E32863" w14:paraId="1DFC3925"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257E5F00" w14:textId="77777777" w:rsidR="00E32863" w:rsidRPr="00E32863" w:rsidRDefault="00E32863" w:rsidP="00C168A4">
            <w:pPr>
              <w:spacing w:before="40" w:after="40"/>
              <w:rPr>
                <w:rFonts w:cstheme="minorHAnsi"/>
                <w:sz w:val="22"/>
                <w:lang w:val="fr-FR"/>
              </w:rPr>
            </w:pPr>
            <w:r w:rsidRPr="00E32863">
              <w:rPr>
                <w:rFonts w:cstheme="minorHAnsi"/>
                <w:sz w:val="22"/>
                <w:lang w:val="fr-FR"/>
              </w:rPr>
              <w:t xml:space="preserve">Telma Comores </w:t>
            </w:r>
          </w:p>
        </w:tc>
        <w:tc>
          <w:tcPr>
            <w:tcW w:w="453" w:type="dxa"/>
            <w:tcBorders>
              <w:top w:val="single" w:sz="3" w:space="0" w:color="000000"/>
              <w:left w:val="single" w:sz="3" w:space="0" w:color="000000"/>
              <w:bottom w:val="single" w:sz="3" w:space="0" w:color="000000"/>
              <w:right w:val="single" w:sz="3" w:space="0" w:color="000000"/>
            </w:tcBorders>
          </w:tcPr>
          <w:p w14:paraId="7C0F413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044C57F"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19598B1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1B3A48ED"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260C75D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471115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7578F7D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3CC7FDB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5F5C576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shd w:val="clear" w:color="auto" w:fill="92D050"/>
          </w:tcPr>
          <w:p w14:paraId="7490E32D"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568255D"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76E4FE8"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753EF137" w14:textId="77777777" w:rsidTr="00E6598D">
        <w:trPr>
          <w:trHeight w:val="277"/>
        </w:trPr>
        <w:tc>
          <w:tcPr>
            <w:tcW w:w="4468" w:type="dxa"/>
            <w:tcBorders>
              <w:top w:val="single" w:sz="3" w:space="0" w:color="000000"/>
              <w:left w:val="single" w:sz="3" w:space="0" w:color="000000"/>
              <w:bottom w:val="single" w:sz="3" w:space="0" w:color="000000"/>
              <w:right w:val="single" w:sz="3" w:space="0" w:color="000000"/>
            </w:tcBorders>
          </w:tcPr>
          <w:p w14:paraId="70290D51" w14:textId="77777777" w:rsidR="00E32863" w:rsidRPr="00E32863" w:rsidRDefault="00E32863" w:rsidP="00C168A4">
            <w:pPr>
              <w:spacing w:before="40" w:after="40"/>
              <w:rPr>
                <w:rFonts w:cstheme="minorHAnsi"/>
                <w:sz w:val="22"/>
                <w:lang w:val="fr-FR"/>
              </w:rPr>
            </w:pPr>
            <w:r w:rsidRPr="00E32863">
              <w:rPr>
                <w:rFonts w:cstheme="minorHAnsi"/>
                <w:sz w:val="22"/>
                <w:lang w:val="fr-FR"/>
              </w:rPr>
              <w:t xml:space="preserve">Comores Câbles </w:t>
            </w:r>
          </w:p>
        </w:tc>
        <w:tc>
          <w:tcPr>
            <w:tcW w:w="453" w:type="dxa"/>
            <w:tcBorders>
              <w:top w:val="single" w:sz="3" w:space="0" w:color="000000"/>
              <w:left w:val="single" w:sz="3" w:space="0" w:color="000000"/>
              <w:bottom w:val="single" w:sz="3" w:space="0" w:color="000000"/>
              <w:right w:val="single" w:sz="3" w:space="0" w:color="000000"/>
            </w:tcBorders>
          </w:tcPr>
          <w:p w14:paraId="71F0C43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CA3C86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24BABDF"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5C0D7A67"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0C1DACF2"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980662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7DDACBE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4DCCC3BE"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437E28A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59EAD706"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147F62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60BAB1AC"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251E7F2F" w14:textId="77777777" w:rsidTr="00E6598D">
        <w:trPr>
          <w:trHeight w:val="279"/>
        </w:trPr>
        <w:tc>
          <w:tcPr>
            <w:tcW w:w="4468" w:type="dxa"/>
            <w:tcBorders>
              <w:top w:val="single" w:sz="3" w:space="0" w:color="000000"/>
              <w:left w:val="single" w:sz="3" w:space="0" w:color="000000"/>
              <w:bottom w:val="single" w:sz="3" w:space="0" w:color="000000"/>
              <w:right w:val="single" w:sz="3" w:space="0" w:color="000000"/>
            </w:tcBorders>
          </w:tcPr>
          <w:p w14:paraId="0AB8D41A" w14:textId="77777777" w:rsidR="00E32863" w:rsidRPr="00E32863" w:rsidRDefault="00E32863" w:rsidP="00C168A4">
            <w:pPr>
              <w:spacing w:before="40" w:after="40"/>
              <w:rPr>
                <w:rFonts w:cstheme="minorHAnsi"/>
                <w:sz w:val="22"/>
                <w:lang w:val="fr-FR"/>
              </w:rPr>
            </w:pPr>
            <w:r w:rsidRPr="00E32863">
              <w:rPr>
                <w:rFonts w:cstheme="minorHAnsi"/>
                <w:sz w:val="22"/>
                <w:lang w:val="fr-FR"/>
              </w:rPr>
              <w:t xml:space="preserve">ORTC </w:t>
            </w:r>
          </w:p>
        </w:tc>
        <w:tc>
          <w:tcPr>
            <w:tcW w:w="453" w:type="dxa"/>
            <w:tcBorders>
              <w:top w:val="single" w:sz="3" w:space="0" w:color="000000"/>
              <w:left w:val="single" w:sz="3" w:space="0" w:color="000000"/>
              <w:bottom w:val="single" w:sz="3" w:space="0" w:color="000000"/>
              <w:right w:val="single" w:sz="3" w:space="0" w:color="000000"/>
            </w:tcBorders>
          </w:tcPr>
          <w:p w14:paraId="6FADAC81"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74BFC081"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B49079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3BB4963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19F30FD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CB3D233"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993A44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0110E27"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958E56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426493C7"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7861575"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5DF1ED03"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0CFA9B" w14:textId="77777777" w:rsidTr="00E6598D">
        <w:trPr>
          <w:trHeight w:val="274"/>
        </w:trPr>
        <w:tc>
          <w:tcPr>
            <w:tcW w:w="4468" w:type="dxa"/>
            <w:tcBorders>
              <w:top w:val="single" w:sz="3" w:space="0" w:color="000000"/>
              <w:left w:val="single" w:sz="3" w:space="0" w:color="000000"/>
              <w:bottom w:val="single" w:sz="3" w:space="0" w:color="000000"/>
              <w:right w:val="single" w:sz="3" w:space="0" w:color="000000"/>
            </w:tcBorders>
          </w:tcPr>
          <w:p w14:paraId="1E01E18D" w14:textId="77777777" w:rsidR="00E32863" w:rsidRPr="00E32863" w:rsidRDefault="00E32863" w:rsidP="00C168A4">
            <w:pPr>
              <w:spacing w:before="40" w:after="40"/>
              <w:rPr>
                <w:rFonts w:cstheme="minorHAnsi"/>
                <w:sz w:val="22"/>
                <w:lang w:val="fr-FR"/>
              </w:rPr>
            </w:pPr>
            <w:r w:rsidRPr="00E32863">
              <w:rPr>
                <w:rFonts w:cstheme="minorHAnsi"/>
                <w:sz w:val="22"/>
                <w:lang w:val="fr-FR"/>
              </w:rPr>
              <w:t xml:space="preserve">Autres prestataires </w:t>
            </w:r>
          </w:p>
        </w:tc>
        <w:tc>
          <w:tcPr>
            <w:tcW w:w="453" w:type="dxa"/>
            <w:tcBorders>
              <w:top w:val="single" w:sz="3" w:space="0" w:color="000000"/>
              <w:left w:val="single" w:sz="3" w:space="0" w:color="000000"/>
              <w:bottom w:val="single" w:sz="3" w:space="0" w:color="000000"/>
              <w:right w:val="single" w:sz="3" w:space="0" w:color="000000"/>
            </w:tcBorders>
          </w:tcPr>
          <w:p w14:paraId="4936AFE5"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5206BD9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67A3CB5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shd w:val="clear" w:color="auto" w:fill="92D050"/>
          </w:tcPr>
          <w:p w14:paraId="11BD2DD0"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2193508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2B859F04"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403230F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shd w:val="clear" w:color="auto" w:fill="92D050"/>
          </w:tcPr>
          <w:p w14:paraId="608D961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32C42E8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B39A4AC"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D6F13B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0954BE16"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7185AD" w14:textId="77777777" w:rsidTr="00E6598D">
        <w:trPr>
          <w:trHeight w:val="280"/>
        </w:trPr>
        <w:tc>
          <w:tcPr>
            <w:tcW w:w="4468" w:type="dxa"/>
            <w:tcBorders>
              <w:top w:val="single" w:sz="3" w:space="0" w:color="000000"/>
              <w:left w:val="single" w:sz="3" w:space="0" w:color="000000"/>
              <w:bottom w:val="single" w:sz="3" w:space="0" w:color="000000"/>
              <w:right w:val="single" w:sz="3" w:space="0" w:color="000000"/>
            </w:tcBorders>
          </w:tcPr>
          <w:p w14:paraId="73F6D104" w14:textId="77777777" w:rsidR="00E32863" w:rsidRPr="00E32863" w:rsidRDefault="00E32863" w:rsidP="00C168A4">
            <w:pPr>
              <w:spacing w:before="40" w:after="40"/>
              <w:rPr>
                <w:rFonts w:cstheme="minorHAnsi"/>
                <w:sz w:val="22"/>
              </w:rPr>
            </w:pPr>
            <w:r w:rsidRPr="00E32863">
              <w:rPr>
                <w:rFonts w:cstheme="minorHAnsi"/>
                <w:sz w:val="22"/>
              </w:rPr>
              <w:t xml:space="preserve">ANADEN </w:t>
            </w:r>
          </w:p>
        </w:tc>
        <w:tc>
          <w:tcPr>
            <w:tcW w:w="453" w:type="dxa"/>
            <w:tcBorders>
              <w:top w:val="single" w:sz="3" w:space="0" w:color="000000"/>
              <w:left w:val="single" w:sz="3" w:space="0" w:color="000000"/>
              <w:bottom w:val="single" w:sz="3" w:space="0" w:color="000000"/>
              <w:right w:val="single" w:sz="3" w:space="0" w:color="000000"/>
            </w:tcBorders>
          </w:tcPr>
          <w:p w14:paraId="5EBD75F2"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2562A98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550F112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3E123FAA"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D213A9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5ED0B666"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07F24C36"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75626F55"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C56072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6B5DB6B0"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shd w:val="clear" w:color="auto" w:fill="92D050"/>
          </w:tcPr>
          <w:p w14:paraId="05367561"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1541AC0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365FC58D" w14:textId="77777777" w:rsidTr="00E6598D">
        <w:trPr>
          <w:trHeight w:val="281"/>
        </w:trPr>
        <w:tc>
          <w:tcPr>
            <w:tcW w:w="4468" w:type="dxa"/>
            <w:tcBorders>
              <w:top w:val="single" w:sz="3" w:space="0" w:color="000000"/>
              <w:left w:val="single" w:sz="3" w:space="0" w:color="000000"/>
              <w:bottom w:val="single" w:sz="3" w:space="0" w:color="000000"/>
              <w:right w:val="single" w:sz="3" w:space="0" w:color="000000"/>
            </w:tcBorders>
          </w:tcPr>
          <w:p w14:paraId="0521FE5D" w14:textId="77777777" w:rsidR="00E32863" w:rsidRPr="00E32863" w:rsidRDefault="00E32863" w:rsidP="00C168A4">
            <w:pPr>
              <w:spacing w:before="40" w:after="40"/>
              <w:rPr>
                <w:rFonts w:cstheme="minorHAnsi"/>
                <w:sz w:val="22"/>
              </w:rPr>
            </w:pPr>
            <w:r w:rsidRPr="00E32863">
              <w:rPr>
                <w:rFonts w:cstheme="minorHAnsi"/>
                <w:sz w:val="22"/>
              </w:rPr>
              <w:t xml:space="preserve">AGID </w:t>
            </w:r>
          </w:p>
        </w:tc>
        <w:tc>
          <w:tcPr>
            <w:tcW w:w="453" w:type="dxa"/>
            <w:tcBorders>
              <w:top w:val="single" w:sz="3" w:space="0" w:color="000000"/>
              <w:left w:val="single" w:sz="3" w:space="0" w:color="000000"/>
              <w:bottom w:val="single" w:sz="3" w:space="0" w:color="000000"/>
              <w:right w:val="single" w:sz="3" w:space="0" w:color="000000"/>
            </w:tcBorders>
          </w:tcPr>
          <w:p w14:paraId="0427F853"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0C6E4705"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46" w:type="dxa"/>
            <w:tcBorders>
              <w:top w:val="single" w:sz="3" w:space="0" w:color="000000"/>
              <w:left w:val="single" w:sz="3" w:space="0" w:color="000000"/>
              <w:bottom w:val="single" w:sz="3" w:space="0" w:color="000000"/>
              <w:right w:val="single" w:sz="3" w:space="0" w:color="000000"/>
            </w:tcBorders>
          </w:tcPr>
          <w:p w14:paraId="7DA74D80"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471" w:type="dxa"/>
            <w:tcBorders>
              <w:top w:val="single" w:sz="3" w:space="0" w:color="000000"/>
              <w:left w:val="single" w:sz="3" w:space="0" w:color="000000"/>
              <w:bottom w:val="single" w:sz="3" w:space="0" w:color="000000"/>
              <w:right w:val="single" w:sz="3" w:space="0" w:color="000000"/>
            </w:tcBorders>
          </w:tcPr>
          <w:p w14:paraId="16551AAB"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404" w:type="dxa"/>
            <w:tcBorders>
              <w:top w:val="single" w:sz="3" w:space="0" w:color="000000"/>
              <w:left w:val="single" w:sz="3" w:space="0" w:color="000000"/>
              <w:bottom w:val="single" w:sz="3" w:space="0" w:color="000000"/>
              <w:right w:val="single" w:sz="3" w:space="0" w:color="000000"/>
            </w:tcBorders>
          </w:tcPr>
          <w:p w14:paraId="59ECCCA4"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C73841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269F88BA"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514D12B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shd w:val="clear" w:color="auto" w:fill="92D050"/>
          </w:tcPr>
          <w:p w14:paraId="14D4242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297C3ABF"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DE682E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2F38F019"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E32863" w14:paraId="1394D5E5" w14:textId="77777777" w:rsidTr="00E6598D">
        <w:trPr>
          <w:trHeight w:val="276"/>
        </w:trPr>
        <w:tc>
          <w:tcPr>
            <w:tcW w:w="4921" w:type="dxa"/>
            <w:gridSpan w:val="2"/>
            <w:tcBorders>
              <w:top w:val="single" w:sz="3" w:space="0" w:color="000000"/>
              <w:left w:val="single" w:sz="3" w:space="0" w:color="000000"/>
              <w:bottom w:val="single" w:sz="3" w:space="0" w:color="000000"/>
              <w:right w:val="nil"/>
            </w:tcBorders>
          </w:tcPr>
          <w:p w14:paraId="132A7D3B" w14:textId="77777777" w:rsidR="00E32863" w:rsidRPr="00E32863" w:rsidRDefault="00E32863" w:rsidP="00C168A4">
            <w:pPr>
              <w:spacing w:before="40" w:after="40"/>
              <w:rPr>
                <w:rFonts w:cstheme="minorHAnsi"/>
                <w:sz w:val="22"/>
              </w:rPr>
            </w:pPr>
            <w:r w:rsidRPr="00E32863">
              <w:rPr>
                <w:rFonts w:cstheme="minorHAnsi"/>
                <w:sz w:val="22"/>
                <w:lang w:val="fr-FR"/>
              </w:rPr>
              <w:t>Données accessibles</w:t>
            </w:r>
            <w:r w:rsidRPr="00E32863">
              <w:rPr>
                <w:rFonts w:cstheme="minorHAnsi"/>
                <w:sz w:val="22"/>
              </w:rPr>
              <w:t xml:space="preserve"> par internet</w:t>
            </w:r>
          </w:p>
        </w:tc>
        <w:tc>
          <w:tcPr>
            <w:tcW w:w="471" w:type="dxa"/>
            <w:tcBorders>
              <w:top w:val="single" w:sz="3" w:space="0" w:color="000000"/>
              <w:left w:val="nil"/>
              <w:bottom w:val="single" w:sz="3" w:space="0" w:color="000000"/>
              <w:right w:val="nil"/>
            </w:tcBorders>
            <w:vAlign w:val="bottom"/>
          </w:tcPr>
          <w:p w14:paraId="6012ED17" w14:textId="77777777" w:rsidR="00E32863" w:rsidRPr="00E32863" w:rsidRDefault="00E32863" w:rsidP="00C168A4">
            <w:pPr>
              <w:spacing w:before="40" w:after="40"/>
              <w:rPr>
                <w:rFonts w:cstheme="minorHAnsi"/>
                <w:sz w:val="22"/>
              </w:rPr>
            </w:pPr>
          </w:p>
        </w:tc>
        <w:tc>
          <w:tcPr>
            <w:tcW w:w="346" w:type="dxa"/>
            <w:tcBorders>
              <w:top w:val="single" w:sz="3" w:space="0" w:color="000000"/>
              <w:left w:val="nil"/>
              <w:bottom w:val="single" w:sz="3" w:space="0" w:color="000000"/>
              <w:right w:val="nil"/>
            </w:tcBorders>
          </w:tcPr>
          <w:p w14:paraId="511E6F16" w14:textId="77777777" w:rsidR="00E32863" w:rsidRPr="00E32863" w:rsidRDefault="00E32863" w:rsidP="00C168A4">
            <w:pPr>
              <w:spacing w:before="40" w:after="40"/>
              <w:rPr>
                <w:rFonts w:cstheme="minorHAnsi"/>
                <w:sz w:val="22"/>
              </w:rPr>
            </w:pPr>
          </w:p>
        </w:tc>
        <w:tc>
          <w:tcPr>
            <w:tcW w:w="471" w:type="dxa"/>
            <w:tcBorders>
              <w:top w:val="single" w:sz="3" w:space="0" w:color="000000"/>
              <w:left w:val="nil"/>
              <w:bottom w:val="single" w:sz="3" w:space="0" w:color="000000"/>
              <w:right w:val="single" w:sz="3" w:space="0" w:color="000000"/>
            </w:tcBorders>
          </w:tcPr>
          <w:p w14:paraId="17986FC5" w14:textId="77777777" w:rsidR="00E32863" w:rsidRPr="00E32863" w:rsidRDefault="00E32863" w:rsidP="00C168A4">
            <w:pPr>
              <w:spacing w:before="40" w:after="40"/>
              <w:rPr>
                <w:rFonts w:cstheme="minorHAnsi"/>
                <w:sz w:val="22"/>
              </w:rPr>
            </w:pPr>
          </w:p>
        </w:tc>
        <w:tc>
          <w:tcPr>
            <w:tcW w:w="404" w:type="dxa"/>
            <w:tcBorders>
              <w:top w:val="single" w:sz="3" w:space="0" w:color="000000"/>
              <w:left w:val="single" w:sz="3" w:space="0" w:color="000000"/>
              <w:bottom w:val="single" w:sz="3" w:space="0" w:color="000000"/>
              <w:right w:val="single" w:sz="3" w:space="0" w:color="000000"/>
            </w:tcBorders>
            <w:shd w:val="clear" w:color="auto" w:fill="FFC000"/>
          </w:tcPr>
          <w:p w14:paraId="4E0484B3"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E63A058" w14:textId="77777777" w:rsidR="00E32863" w:rsidRPr="00E32863" w:rsidRDefault="00E32863" w:rsidP="00C168A4">
            <w:pPr>
              <w:spacing w:before="40" w:after="40"/>
              <w:ind w:left="5"/>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6F0B1739"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786DBF2"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2BB09EAB"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31C3D219" w14:textId="77777777" w:rsidR="00E32863" w:rsidRPr="00E32863" w:rsidRDefault="00E32863" w:rsidP="00C168A4">
            <w:pPr>
              <w:spacing w:before="40" w:after="40"/>
              <w:ind w:left="1"/>
              <w:rPr>
                <w:rFonts w:cstheme="minorHAnsi"/>
                <w:sz w:val="22"/>
              </w:rPr>
            </w:pPr>
            <w:r w:rsidRPr="00E32863">
              <w:rPr>
                <w:rFonts w:cstheme="minorHAnsi"/>
                <w:sz w:val="22"/>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405FE9F7" w14:textId="77777777" w:rsidR="00E32863" w:rsidRPr="00E32863" w:rsidRDefault="00E32863" w:rsidP="00C168A4">
            <w:pPr>
              <w:spacing w:before="40" w:after="40"/>
              <w:ind w:left="3"/>
              <w:rPr>
                <w:rFonts w:cstheme="minorHAnsi"/>
                <w:sz w:val="22"/>
              </w:rPr>
            </w:pPr>
            <w:r w:rsidRPr="00E32863">
              <w:rPr>
                <w:rFonts w:cstheme="minorHAnsi"/>
                <w:sz w:val="22"/>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A9F7D40" w14:textId="77777777" w:rsidR="00E32863" w:rsidRPr="00E32863" w:rsidRDefault="00E32863" w:rsidP="00C168A4">
            <w:pPr>
              <w:spacing w:before="40" w:after="40"/>
              <w:ind w:left="2"/>
              <w:rPr>
                <w:rFonts w:cstheme="minorHAnsi"/>
                <w:sz w:val="22"/>
              </w:rPr>
            </w:pPr>
            <w:r w:rsidRPr="00E32863">
              <w:rPr>
                <w:rFonts w:cstheme="minorHAnsi"/>
                <w:sz w:val="22"/>
              </w:rPr>
              <w:t xml:space="preserve"> </w:t>
            </w:r>
          </w:p>
        </w:tc>
      </w:tr>
      <w:tr w:rsidR="00E32863" w:rsidRPr="00615C48" w14:paraId="00C1EC85" w14:textId="77777777" w:rsidTr="00E6598D">
        <w:trPr>
          <w:trHeight w:val="276"/>
        </w:trPr>
        <w:tc>
          <w:tcPr>
            <w:tcW w:w="4921" w:type="dxa"/>
            <w:gridSpan w:val="2"/>
            <w:tcBorders>
              <w:top w:val="single" w:sz="3" w:space="0" w:color="000000"/>
              <w:left w:val="single" w:sz="3" w:space="0" w:color="000000"/>
              <w:bottom w:val="single" w:sz="3" w:space="0" w:color="000000"/>
              <w:right w:val="nil"/>
            </w:tcBorders>
          </w:tcPr>
          <w:p w14:paraId="4FDE7D45" w14:textId="77777777" w:rsidR="00E32863" w:rsidRPr="00E32863" w:rsidRDefault="00E32863" w:rsidP="00C168A4">
            <w:pPr>
              <w:spacing w:before="40" w:after="40"/>
              <w:rPr>
                <w:rFonts w:cstheme="minorHAnsi"/>
                <w:sz w:val="22"/>
                <w:lang w:val="fr-FR"/>
              </w:rPr>
            </w:pPr>
            <w:r w:rsidRPr="00E32863">
              <w:rPr>
                <w:rFonts w:cstheme="minorHAnsi"/>
                <w:sz w:val="22"/>
                <w:lang w:val="fr-FR"/>
              </w:rPr>
              <w:t>Données accessibles par collecte auprès des acteurs</w:t>
            </w:r>
          </w:p>
        </w:tc>
        <w:tc>
          <w:tcPr>
            <w:tcW w:w="471" w:type="dxa"/>
            <w:tcBorders>
              <w:top w:val="single" w:sz="3" w:space="0" w:color="000000"/>
              <w:left w:val="nil"/>
              <w:bottom w:val="single" w:sz="3" w:space="0" w:color="000000"/>
              <w:right w:val="nil"/>
            </w:tcBorders>
          </w:tcPr>
          <w:p w14:paraId="25789A0F" w14:textId="77777777" w:rsidR="00E32863" w:rsidRPr="00E32863" w:rsidRDefault="00E32863" w:rsidP="00C168A4">
            <w:pPr>
              <w:spacing w:before="40" w:after="40"/>
              <w:rPr>
                <w:rFonts w:cstheme="minorHAnsi"/>
                <w:sz w:val="22"/>
                <w:lang w:val="fr-FR"/>
              </w:rPr>
            </w:pPr>
          </w:p>
        </w:tc>
        <w:tc>
          <w:tcPr>
            <w:tcW w:w="346" w:type="dxa"/>
            <w:tcBorders>
              <w:top w:val="single" w:sz="3" w:space="0" w:color="000000"/>
              <w:left w:val="nil"/>
              <w:bottom w:val="single" w:sz="3" w:space="0" w:color="000000"/>
              <w:right w:val="nil"/>
            </w:tcBorders>
          </w:tcPr>
          <w:p w14:paraId="1EBAEAB2" w14:textId="77777777" w:rsidR="00E32863" w:rsidRPr="00E32863" w:rsidRDefault="00E32863" w:rsidP="00C168A4">
            <w:pPr>
              <w:spacing w:before="40" w:after="40"/>
              <w:rPr>
                <w:rFonts w:cstheme="minorHAnsi"/>
                <w:sz w:val="22"/>
                <w:lang w:val="fr-FR"/>
              </w:rPr>
            </w:pPr>
          </w:p>
        </w:tc>
        <w:tc>
          <w:tcPr>
            <w:tcW w:w="471" w:type="dxa"/>
            <w:tcBorders>
              <w:top w:val="single" w:sz="3" w:space="0" w:color="000000"/>
              <w:left w:val="nil"/>
              <w:bottom w:val="single" w:sz="3" w:space="0" w:color="000000"/>
              <w:right w:val="single" w:sz="3" w:space="0" w:color="000000"/>
            </w:tcBorders>
          </w:tcPr>
          <w:p w14:paraId="03CA7FD1" w14:textId="77777777" w:rsidR="00E32863" w:rsidRPr="00E32863" w:rsidRDefault="00E32863" w:rsidP="00C168A4">
            <w:pPr>
              <w:spacing w:before="40" w:after="40"/>
              <w:rPr>
                <w:rFonts w:cstheme="minorHAnsi"/>
                <w:sz w:val="22"/>
                <w:lang w:val="fr-FR"/>
              </w:rPr>
            </w:pPr>
          </w:p>
        </w:tc>
        <w:tc>
          <w:tcPr>
            <w:tcW w:w="404" w:type="dxa"/>
            <w:tcBorders>
              <w:top w:val="single" w:sz="3" w:space="0" w:color="000000"/>
              <w:left w:val="single" w:sz="3" w:space="0" w:color="000000"/>
              <w:bottom w:val="single" w:sz="3" w:space="0" w:color="000000"/>
              <w:right w:val="single" w:sz="3" w:space="0" w:color="000000"/>
            </w:tcBorders>
            <w:shd w:val="clear" w:color="auto" w:fill="92D050"/>
          </w:tcPr>
          <w:p w14:paraId="0A961D8A" w14:textId="77777777" w:rsidR="00E32863" w:rsidRPr="00E32863" w:rsidRDefault="00E32863" w:rsidP="00C168A4">
            <w:pPr>
              <w:spacing w:before="40" w:after="40"/>
              <w:ind w:left="3"/>
              <w:rPr>
                <w:rFonts w:cstheme="minorHAnsi"/>
                <w:sz w:val="22"/>
                <w:lang w:val="fr-FR"/>
              </w:rPr>
            </w:pPr>
            <w:r w:rsidRPr="00E32863">
              <w:rPr>
                <w:rFonts w:cstheme="minorHAnsi"/>
                <w:sz w:val="22"/>
                <w:lang w:val="fr-FR"/>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BF7FBD8" w14:textId="77777777" w:rsidR="00E32863" w:rsidRPr="00E32863" w:rsidRDefault="00E32863" w:rsidP="00C168A4">
            <w:pPr>
              <w:spacing w:before="40" w:after="40"/>
              <w:ind w:left="5"/>
              <w:rPr>
                <w:rFonts w:cstheme="minorHAnsi"/>
                <w:sz w:val="22"/>
                <w:lang w:val="fr-FR"/>
              </w:rPr>
            </w:pPr>
            <w:r w:rsidRPr="00E32863">
              <w:rPr>
                <w:rFonts w:cstheme="minorHAnsi"/>
                <w:sz w:val="22"/>
                <w:lang w:val="fr-FR"/>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3385569A" w14:textId="77777777" w:rsidR="00E32863" w:rsidRPr="00E32863" w:rsidRDefault="00E32863" w:rsidP="00C168A4">
            <w:pPr>
              <w:spacing w:before="40" w:after="40"/>
              <w:ind w:left="3"/>
              <w:rPr>
                <w:rFonts w:cstheme="minorHAnsi"/>
                <w:sz w:val="22"/>
                <w:lang w:val="fr-FR"/>
              </w:rPr>
            </w:pPr>
            <w:r w:rsidRPr="00E32863">
              <w:rPr>
                <w:rFonts w:cstheme="minorHAnsi"/>
                <w:sz w:val="22"/>
                <w:lang w:val="fr-FR"/>
              </w:rPr>
              <w:t xml:space="preserve"> </w:t>
            </w:r>
          </w:p>
        </w:tc>
        <w:tc>
          <w:tcPr>
            <w:tcW w:w="389" w:type="dxa"/>
            <w:tcBorders>
              <w:top w:val="single" w:sz="3" w:space="0" w:color="000000"/>
              <w:left w:val="single" w:sz="3" w:space="0" w:color="000000"/>
              <w:bottom w:val="single" w:sz="3" w:space="0" w:color="000000"/>
              <w:right w:val="single" w:sz="3" w:space="0" w:color="000000"/>
            </w:tcBorders>
          </w:tcPr>
          <w:p w14:paraId="1D581037" w14:textId="77777777" w:rsidR="00E32863" w:rsidRPr="00E32863" w:rsidRDefault="00E32863" w:rsidP="00C168A4">
            <w:pPr>
              <w:spacing w:before="40" w:after="40"/>
              <w:ind w:left="2"/>
              <w:rPr>
                <w:rFonts w:cstheme="minorHAnsi"/>
                <w:sz w:val="22"/>
                <w:lang w:val="fr-FR"/>
              </w:rPr>
            </w:pPr>
            <w:r w:rsidRPr="00E32863">
              <w:rPr>
                <w:rFonts w:cstheme="minorHAnsi"/>
                <w:sz w:val="22"/>
                <w:lang w:val="fr-FR"/>
              </w:rPr>
              <w:t xml:space="preserve"> </w:t>
            </w:r>
          </w:p>
        </w:tc>
        <w:tc>
          <w:tcPr>
            <w:tcW w:w="384" w:type="dxa"/>
            <w:tcBorders>
              <w:top w:val="single" w:sz="3" w:space="0" w:color="000000"/>
              <w:left w:val="single" w:sz="3" w:space="0" w:color="000000"/>
              <w:bottom w:val="single" w:sz="3" w:space="0" w:color="000000"/>
              <w:right w:val="single" w:sz="3" w:space="0" w:color="000000"/>
            </w:tcBorders>
          </w:tcPr>
          <w:p w14:paraId="5672BF48" w14:textId="77777777" w:rsidR="00E32863" w:rsidRPr="00E32863" w:rsidRDefault="00E32863" w:rsidP="00C168A4">
            <w:pPr>
              <w:spacing w:before="40" w:after="40"/>
              <w:ind w:left="3"/>
              <w:rPr>
                <w:rFonts w:cstheme="minorHAnsi"/>
                <w:sz w:val="22"/>
                <w:lang w:val="fr-FR"/>
              </w:rPr>
            </w:pPr>
            <w:r w:rsidRPr="00E32863">
              <w:rPr>
                <w:rFonts w:cstheme="minorHAnsi"/>
                <w:sz w:val="22"/>
                <w:lang w:val="fr-FR"/>
              </w:rPr>
              <w:t xml:space="preserve"> </w:t>
            </w:r>
          </w:p>
        </w:tc>
        <w:tc>
          <w:tcPr>
            <w:tcW w:w="386" w:type="dxa"/>
            <w:tcBorders>
              <w:top w:val="single" w:sz="3" w:space="0" w:color="000000"/>
              <w:left w:val="single" w:sz="3" w:space="0" w:color="000000"/>
              <w:bottom w:val="single" w:sz="3" w:space="0" w:color="000000"/>
              <w:right w:val="single" w:sz="3" w:space="0" w:color="000000"/>
            </w:tcBorders>
          </w:tcPr>
          <w:p w14:paraId="0B211AEE" w14:textId="77777777" w:rsidR="00E32863" w:rsidRPr="00E32863" w:rsidRDefault="00E32863" w:rsidP="00C168A4">
            <w:pPr>
              <w:spacing w:before="40" w:after="40"/>
              <w:ind w:left="1"/>
              <w:rPr>
                <w:rFonts w:cstheme="minorHAnsi"/>
                <w:sz w:val="22"/>
                <w:lang w:val="fr-FR"/>
              </w:rPr>
            </w:pPr>
            <w:r w:rsidRPr="00E32863">
              <w:rPr>
                <w:rFonts w:cstheme="minorHAnsi"/>
                <w:sz w:val="22"/>
                <w:lang w:val="fr-FR"/>
              </w:rPr>
              <w:t xml:space="preserve"> </w:t>
            </w:r>
          </w:p>
        </w:tc>
        <w:tc>
          <w:tcPr>
            <w:tcW w:w="388" w:type="dxa"/>
            <w:tcBorders>
              <w:top w:val="single" w:sz="3" w:space="0" w:color="000000"/>
              <w:left w:val="single" w:sz="3" w:space="0" w:color="000000"/>
              <w:bottom w:val="single" w:sz="3" w:space="0" w:color="000000"/>
              <w:right w:val="single" w:sz="3" w:space="0" w:color="000000"/>
            </w:tcBorders>
          </w:tcPr>
          <w:p w14:paraId="1012D3E9" w14:textId="77777777" w:rsidR="00E32863" w:rsidRPr="00E32863" w:rsidRDefault="00E32863" w:rsidP="00C168A4">
            <w:pPr>
              <w:spacing w:before="40" w:after="40"/>
              <w:ind w:left="3"/>
              <w:rPr>
                <w:rFonts w:cstheme="minorHAnsi"/>
                <w:sz w:val="22"/>
                <w:lang w:val="fr-FR"/>
              </w:rPr>
            </w:pPr>
            <w:r w:rsidRPr="00E32863">
              <w:rPr>
                <w:rFonts w:cstheme="minorHAnsi"/>
                <w:sz w:val="22"/>
                <w:lang w:val="fr-FR"/>
              </w:rPr>
              <w:t xml:space="preserve"> </w:t>
            </w:r>
          </w:p>
        </w:tc>
        <w:tc>
          <w:tcPr>
            <w:tcW w:w="387" w:type="dxa"/>
            <w:tcBorders>
              <w:top w:val="single" w:sz="3" w:space="0" w:color="000000"/>
              <w:left w:val="single" w:sz="3" w:space="0" w:color="000000"/>
              <w:bottom w:val="single" w:sz="3" w:space="0" w:color="000000"/>
              <w:right w:val="single" w:sz="3" w:space="0" w:color="000000"/>
            </w:tcBorders>
          </w:tcPr>
          <w:p w14:paraId="3D585501" w14:textId="77777777" w:rsidR="00E32863" w:rsidRPr="00E32863" w:rsidRDefault="00E32863" w:rsidP="00C168A4">
            <w:pPr>
              <w:spacing w:before="40" w:after="40"/>
              <w:ind w:left="2"/>
              <w:rPr>
                <w:rFonts w:cstheme="minorHAnsi"/>
                <w:sz w:val="22"/>
                <w:lang w:val="fr-FR"/>
              </w:rPr>
            </w:pPr>
            <w:r w:rsidRPr="00E32863">
              <w:rPr>
                <w:rFonts w:cstheme="minorHAnsi"/>
                <w:sz w:val="22"/>
                <w:lang w:val="fr-FR"/>
              </w:rPr>
              <w:t xml:space="preserve"> </w:t>
            </w:r>
          </w:p>
        </w:tc>
      </w:tr>
    </w:tbl>
    <w:p w14:paraId="2A9B6609" w14:textId="0B609C68" w:rsidR="00E32863" w:rsidRDefault="00E32863" w:rsidP="00E32863">
      <w:pPr>
        <w:ind w:left="-142"/>
        <w:jc w:val="both"/>
        <w:rPr>
          <w:rFonts w:cstheme="minorHAnsi"/>
          <w:color w:val="FF0000"/>
          <w:szCs w:val="24"/>
          <w:lang w:val="fr-FR"/>
        </w:rPr>
      </w:pPr>
      <w:r w:rsidRPr="00E32863">
        <w:rPr>
          <w:rFonts w:cstheme="minorHAnsi"/>
          <w:color w:val="FF0000"/>
          <w:szCs w:val="24"/>
          <w:lang w:val="fr-FR"/>
        </w:rPr>
        <w:t>Les lettres caractérisent la catégorie à laquelle appartient l’indicateur.</w:t>
      </w:r>
      <w:r w:rsidR="00DB1A63">
        <w:rPr>
          <w:rFonts w:cstheme="minorHAnsi"/>
          <w:color w:val="FF0000"/>
          <w:szCs w:val="24"/>
          <w:lang w:val="fr-FR"/>
        </w:rPr>
        <w:t xml:space="preserve"> </w:t>
      </w:r>
    </w:p>
    <w:p w14:paraId="263385D4" w14:textId="25F3C671" w:rsidR="00E32863" w:rsidRPr="00E32863" w:rsidRDefault="00E32863" w:rsidP="00E32863">
      <w:pPr>
        <w:ind w:left="-142"/>
        <w:jc w:val="center"/>
        <w:rPr>
          <w:rFonts w:cstheme="minorHAnsi"/>
          <w:szCs w:val="24"/>
          <w:lang w:val="fr-FR"/>
        </w:rPr>
      </w:pPr>
      <w:r w:rsidRPr="00E32863">
        <w:rPr>
          <w:rFonts w:cstheme="minorHAnsi"/>
          <w:szCs w:val="24"/>
          <w:lang w:val="fr-FR"/>
        </w:rPr>
        <w:t>________________</w:t>
      </w:r>
    </w:p>
    <w:sectPr w:rsidR="00E32863" w:rsidRPr="00E32863"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C0820" w:rsidRPr="00615C48" w14:paraId="695D1810" w14:textId="77777777" w:rsidTr="009C0820">
      <w:tc>
        <w:tcPr>
          <w:tcW w:w="1526" w:type="dxa"/>
          <w:tcBorders>
            <w:top w:val="single" w:sz="4" w:space="0" w:color="000000"/>
          </w:tcBorders>
          <w:shd w:val="clear" w:color="auto" w:fill="auto"/>
        </w:tcPr>
        <w:p w14:paraId="746E5A61" w14:textId="77777777" w:rsidR="009C0820" w:rsidRPr="001011EB" w:rsidRDefault="009C0820" w:rsidP="009C0820">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9C0820" w:rsidRPr="001011EB" w:rsidRDefault="009C0820" w:rsidP="009C0820">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42574CD2" w14:textId="54C2B9FC" w:rsidR="009C0820" w:rsidRPr="001011EB" w:rsidRDefault="009C0820" w:rsidP="009C0820">
          <w:pPr>
            <w:pStyle w:val="FirstFooter"/>
            <w:tabs>
              <w:tab w:val="left" w:pos="2302"/>
            </w:tabs>
            <w:rPr>
              <w:sz w:val="18"/>
              <w:szCs w:val="18"/>
              <w:lang w:val="fr-CH"/>
            </w:rPr>
          </w:pPr>
          <w:r w:rsidRPr="009438E2">
            <w:rPr>
              <w:rFonts w:cstheme="minorHAnsi"/>
              <w:sz w:val="18"/>
              <w:szCs w:val="18"/>
            </w:rPr>
            <w:t>M</w:t>
          </w:r>
          <w:r>
            <w:rPr>
              <w:rFonts w:cstheme="minorHAnsi"/>
              <w:sz w:val="18"/>
              <w:szCs w:val="18"/>
            </w:rPr>
            <w:t>.</w:t>
          </w:r>
          <w:r w:rsidRPr="009438E2">
            <w:rPr>
              <w:rFonts w:cstheme="minorHAnsi"/>
              <w:sz w:val="18"/>
              <w:szCs w:val="18"/>
            </w:rPr>
            <w:t xml:space="preserve"> </w:t>
          </w:r>
          <w:r>
            <w:rPr>
              <w:rFonts w:cstheme="minorHAnsi"/>
              <w:sz w:val="18"/>
              <w:szCs w:val="18"/>
            </w:rPr>
            <w:t xml:space="preserve">Youssouf Soule, </w:t>
          </w:r>
          <w:r w:rsidR="00E32863" w:rsidRPr="00E32863">
            <w:rPr>
              <w:rFonts w:cstheme="minorHAnsi"/>
              <w:sz w:val="18"/>
              <w:szCs w:val="18"/>
            </w:rPr>
            <w:t>Autorité Nationale de Régulation des Technologies de l'Information et de la Communication (ANRTIC)</w:t>
          </w:r>
          <w:r>
            <w:rPr>
              <w:rFonts w:cstheme="minorHAnsi"/>
              <w:sz w:val="18"/>
              <w:szCs w:val="18"/>
            </w:rPr>
            <w:t xml:space="preserve">, </w:t>
          </w:r>
          <w:r w:rsidRPr="009438E2">
            <w:rPr>
              <w:rFonts w:cstheme="minorHAnsi"/>
              <w:sz w:val="18"/>
              <w:szCs w:val="18"/>
            </w:rPr>
            <w:t xml:space="preserve">Comores </w:t>
          </w:r>
        </w:p>
      </w:tc>
      <w:bookmarkStart w:id="8" w:name="OrgName"/>
      <w:bookmarkEnd w:id="8"/>
    </w:tr>
    <w:tr w:rsidR="009C0820" w:rsidRPr="001011EB" w14:paraId="61167678" w14:textId="77777777" w:rsidTr="009C0820">
      <w:tc>
        <w:tcPr>
          <w:tcW w:w="1526" w:type="dxa"/>
          <w:shd w:val="clear" w:color="auto" w:fill="auto"/>
        </w:tcPr>
        <w:p w14:paraId="33710823" w14:textId="77777777" w:rsidR="009C0820" w:rsidRPr="001011EB" w:rsidRDefault="009C0820" w:rsidP="009C0820">
          <w:pPr>
            <w:pStyle w:val="FirstFooter"/>
            <w:tabs>
              <w:tab w:val="left" w:pos="1559"/>
              <w:tab w:val="left" w:pos="3828"/>
            </w:tabs>
            <w:rPr>
              <w:sz w:val="20"/>
              <w:lang w:val="fr-CH"/>
            </w:rPr>
          </w:pPr>
        </w:p>
      </w:tc>
      <w:tc>
        <w:tcPr>
          <w:tcW w:w="2410" w:type="dxa"/>
          <w:shd w:val="clear" w:color="auto" w:fill="auto"/>
        </w:tcPr>
        <w:p w14:paraId="1251F6E4" w14:textId="7949FD7A" w:rsidR="009C0820" w:rsidRPr="001011EB" w:rsidRDefault="009C0820" w:rsidP="009C0820">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4AADE8CA" w14:textId="00B8AD29" w:rsidR="009C0820" w:rsidRPr="001011EB" w:rsidRDefault="009C0820" w:rsidP="009C0820">
          <w:pPr>
            <w:pStyle w:val="FirstFooter"/>
            <w:tabs>
              <w:tab w:val="left" w:pos="2302"/>
            </w:tabs>
            <w:rPr>
              <w:sz w:val="18"/>
              <w:szCs w:val="18"/>
              <w:lang w:val="fr-CH"/>
            </w:rPr>
          </w:pPr>
          <w:r>
            <w:rPr>
              <w:rFonts w:cstheme="minorHAnsi"/>
              <w:sz w:val="18"/>
              <w:szCs w:val="18"/>
              <w:lang w:val="en-US"/>
            </w:rPr>
            <w:t>+269 334 13 76</w:t>
          </w:r>
        </w:p>
      </w:tc>
      <w:bookmarkStart w:id="9" w:name="PhoneNo"/>
      <w:bookmarkEnd w:id="9"/>
    </w:tr>
    <w:tr w:rsidR="009C0820" w:rsidRPr="001011EB" w14:paraId="0299A231" w14:textId="77777777" w:rsidTr="009C0820">
      <w:tc>
        <w:tcPr>
          <w:tcW w:w="1526" w:type="dxa"/>
          <w:shd w:val="clear" w:color="auto" w:fill="auto"/>
        </w:tcPr>
        <w:p w14:paraId="35CBC438" w14:textId="77777777" w:rsidR="009C0820" w:rsidRPr="001011EB" w:rsidRDefault="009C0820" w:rsidP="009C0820">
          <w:pPr>
            <w:pStyle w:val="FirstFooter"/>
            <w:tabs>
              <w:tab w:val="left" w:pos="1559"/>
              <w:tab w:val="left" w:pos="3828"/>
            </w:tabs>
            <w:rPr>
              <w:sz w:val="20"/>
              <w:lang w:val="fr-CH"/>
            </w:rPr>
          </w:pPr>
        </w:p>
      </w:tc>
      <w:tc>
        <w:tcPr>
          <w:tcW w:w="2410" w:type="dxa"/>
          <w:shd w:val="clear" w:color="auto" w:fill="auto"/>
        </w:tcPr>
        <w:p w14:paraId="65335E06" w14:textId="490F0FC2" w:rsidR="009C0820" w:rsidRPr="001011EB" w:rsidRDefault="009C0820" w:rsidP="009C0820">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02600286" w14:textId="1D492DAC" w:rsidR="009C0820" w:rsidRPr="001011EB" w:rsidRDefault="001579CB" w:rsidP="009C0820">
          <w:pPr>
            <w:pStyle w:val="FirstFooter"/>
            <w:tabs>
              <w:tab w:val="left" w:pos="2302"/>
            </w:tabs>
            <w:rPr>
              <w:sz w:val="18"/>
              <w:szCs w:val="18"/>
              <w:lang w:val="fr-CH"/>
            </w:rPr>
          </w:pPr>
          <w:hyperlink r:id="rId1" w:history="1">
            <w:r w:rsidR="009C0820" w:rsidRPr="00594053">
              <w:rPr>
                <w:rStyle w:val="Hyperlink"/>
                <w:rFonts w:cstheme="minorHAnsi"/>
                <w:sz w:val="18"/>
                <w:szCs w:val="18"/>
                <w:lang w:val="en-US"/>
              </w:rPr>
              <w:t>Youssoufsoule1971@gmail.com</w:t>
            </w:r>
          </w:hyperlink>
          <w:r w:rsidR="009C0820">
            <w:rPr>
              <w:rFonts w:cstheme="minorHAnsi"/>
              <w:sz w:val="18"/>
              <w:szCs w:val="18"/>
              <w:lang w:val="en-US"/>
            </w:rPr>
            <w:t xml:space="preserve"> </w:t>
          </w:r>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1579CB"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1C69BBC" w14:textId="485EB47B" w:rsidR="00E32863" w:rsidRPr="00E32863" w:rsidRDefault="00E32863" w:rsidP="00E32863">
      <w:pPr>
        <w:pStyle w:val="FootnoteText"/>
        <w:spacing w:before="0"/>
        <w:ind w:left="0" w:firstLine="0"/>
        <w:rPr>
          <w:rFonts w:cstheme="minorHAnsi"/>
          <w:sz w:val="20"/>
          <w:lang w:val="fr-FR"/>
        </w:rPr>
      </w:pPr>
      <w:r w:rsidRPr="00E32863">
        <w:rPr>
          <w:rStyle w:val="FootnoteReference"/>
          <w:rFonts w:cstheme="minorHAnsi"/>
          <w:sz w:val="20"/>
        </w:rPr>
        <w:footnoteRef/>
      </w:r>
      <w:r w:rsidRPr="00E32863">
        <w:rPr>
          <w:rFonts w:cstheme="minorHAnsi"/>
          <w:sz w:val="20"/>
          <w:lang w:val="fr-FR"/>
        </w:rPr>
        <w:t xml:space="preserve"> Point g) – considérations Résolution 8 </w:t>
      </w:r>
      <w:r w:rsidRPr="00E32863">
        <w:rPr>
          <w:rStyle w:val="fontstyle01"/>
          <w:rFonts w:asciiTheme="minorHAnsi" w:hAnsiTheme="minorHAnsi" w:cstheme="minorHAnsi"/>
          <w:sz w:val="20"/>
          <w:szCs w:val="20"/>
          <w:lang w:val="fr-FR"/>
        </w:rPr>
        <w:t>(Rév. Kigali, 2022)</w:t>
      </w:r>
      <w:r w:rsidR="00DB1A63">
        <w:rPr>
          <w:rStyle w:val="fontstyle01"/>
          <w:rFonts w:asciiTheme="minorHAnsi" w:hAnsiTheme="minorHAnsi" w:cstheme="minorHAnsi"/>
          <w:sz w:val="20"/>
          <w:szCs w:val="20"/>
          <w:lang w:val="fr-FR"/>
        </w:rPr>
        <w:t xml:space="preserve"> </w:t>
      </w:r>
    </w:p>
  </w:footnote>
  <w:footnote w:id="2">
    <w:p w14:paraId="4B515B04" w14:textId="77777777" w:rsidR="00E32863" w:rsidRPr="00E32863" w:rsidRDefault="00E32863" w:rsidP="00E32863">
      <w:pPr>
        <w:pStyle w:val="FootnoteText"/>
        <w:spacing w:before="0"/>
        <w:ind w:left="0" w:firstLine="0"/>
        <w:rPr>
          <w:rFonts w:cstheme="minorHAnsi"/>
          <w:sz w:val="20"/>
          <w:lang w:val="fr-FR"/>
        </w:rPr>
      </w:pPr>
      <w:r w:rsidRPr="00E32863">
        <w:rPr>
          <w:rStyle w:val="FootnoteReference"/>
          <w:rFonts w:cstheme="minorHAnsi"/>
          <w:sz w:val="20"/>
        </w:rPr>
        <w:footnoteRef/>
      </w:r>
      <w:r w:rsidRPr="00E32863">
        <w:rPr>
          <w:rFonts w:cstheme="minorHAnsi"/>
          <w:sz w:val="20"/>
          <w:lang w:val="fr-FR"/>
        </w:rPr>
        <w:t xml:space="preserve"> Article 9, loi </w:t>
      </w:r>
      <w:r w:rsidRPr="00E32863">
        <w:rPr>
          <w:rFonts w:cstheme="minorHAnsi"/>
          <w:color w:val="000000"/>
          <w:sz w:val="20"/>
          <w:lang w:val="fr-FR" w:eastAsia="fr-FR"/>
        </w:rPr>
        <w:t>14-031 du 17 mars 2014</w:t>
      </w:r>
      <w:r w:rsidRPr="00E32863">
        <w:rPr>
          <w:rFonts w:cstheme="minorHAnsi"/>
          <w:sz w:val="20"/>
          <w:lang w:val="fr-FR"/>
        </w:rPr>
        <w:t xml:space="preserve"> </w:t>
      </w:r>
    </w:p>
  </w:footnote>
  <w:footnote w:id="3">
    <w:p w14:paraId="0B1D9733" w14:textId="77777777" w:rsidR="00E32863" w:rsidRPr="00E32863" w:rsidRDefault="00E32863" w:rsidP="00E32863">
      <w:pPr>
        <w:pStyle w:val="FootnoteText"/>
        <w:spacing w:before="0"/>
        <w:ind w:left="0" w:firstLine="0"/>
        <w:rPr>
          <w:rFonts w:cstheme="minorHAnsi"/>
          <w:sz w:val="20"/>
          <w:lang w:val="fr-FR"/>
        </w:rPr>
      </w:pPr>
      <w:r w:rsidRPr="00E32863">
        <w:rPr>
          <w:rStyle w:val="FootnoteReference"/>
          <w:rFonts w:cstheme="minorHAnsi"/>
          <w:sz w:val="20"/>
        </w:rPr>
        <w:footnoteRef/>
      </w:r>
      <w:r w:rsidRPr="00E32863">
        <w:rPr>
          <w:rFonts w:cstheme="minorHAnsi"/>
          <w:sz w:val="20"/>
          <w:lang w:val="fr-FR"/>
        </w:rPr>
        <w:t xml:space="preserve"> Annexe 1 et 2</w:t>
      </w:r>
    </w:p>
  </w:footnote>
  <w:footnote w:id="4">
    <w:p w14:paraId="093E44D7" w14:textId="77777777" w:rsidR="00E32863" w:rsidRPr="00E32863" w:rsidRDefault="00E32863" w:rsidP="00E32863">
      <w:pPr>
        <w:pStyle w:val="FootnoteText"/>
        <w:spacing w:before="0"/>
        <w:ind w:left="0" w:firstLine="0"/>
        <w:rPr>
          <w:rFonts w:cstheme="minorHAnsi"/>
          <w:sz w:val="20"/>
          <w:lang w:val="fr-FR"/>
        </w:rPr>
      </w:pPr>
      <w:r w:rsidRPr="00E32863">
        <w:rPr>
          <w:rStyle w:val="FootnoteReference"/>
          <w:rFonts w:cstheme="minorHAnsi"/>
          <w:sz w:val="20"/>
        </w:rPr>
        <w:footnoteRef/>
      </w:r>
      <w:r w:rsidRPr="00E32863">
        <w:rPr>
          <w:rFonts w:cstheme="minorHAnsi"/>
          <w:sz w:val="20"/>
          <w:lang w:val="fr-FR"/>
        </w:rPr>
        <w:t xml:space="preserve"> Résolution 8 </w:t>
      </w:r>
      <w:r w:rsidRPr="00E32863">
        <w:rPr>
          <w:rStyle w:val="fontstyle01"/>
          <w:rFonts w:asciiTheme="minorHAnsi" w:hAnsiTheme="minorHAnsi" w:cstheme="minorHAnsi"/>
          <w:sz w:val="20"/>
          <w:szCs w:val="20"/>
          <w:lang w:val="fr-FR"/>
        </w:rPr>
        <w:t xml:space="preserve">(Rév. Kigali, 2022) – point 6) invitations faites aux Etas membres et membres du secteur. </w:t>
      </w:r>
    </w:p>
  </w:footnote>
  <w:footnote w:id="5">
    <w:p w14:paraId="34E3A042" w14:textId="23002745" w:rsidR="00E32863" w:rsidRPr="00E32863" w:rsidRDefault="00E32863" w:rsidP="00E32863">
      <w:pPr>
        <w:tabs>
          <w:tab w:val="clear" w:pos="794"/>
          <w:tab w:val="clear" w:pos="1191"/>
          <w:tab w:val="clear" w:pos="1588"/>
          <w:tab w:val="clear" w:pos="1985"/>
          <w:tab w:val="left" w:pos="3090"/>
        </w:tabs>
        <w:spacing w:before="0"/>
        <w:jc w:val="both"/>
        <w:rPr>
          <w:rFonts w:cstheme="minorHAnsi"/>
          <w:color w:val="FF0000"/>
          <w:sz w:val="20"/>
          <w:lang w:val="fr-FR"/>
        </w:rPr>
      </w:pPr>
      <w:r w:rsidRPr="00E32863">
        <w:rPr>
          <w:rStyle w:val="FootnoteReference"/>
          <w:rFonts w:cstheme="minorHAnsi"/>
          <w:sz w:val="20"/>
        </w:rPr>
        <w:footnoteRef/>
      </w:r>
      <w:r w:rsidRPr="00E32863">
        <w:rPr>
          <w:rFonts w:cstheme="minorHAnsi"/>
          <w:sz w:val="20"/>
          <w:lang w:val="fr-FR"/>
        </w:rPr>
        <w:t xml:space="preserve"> Point 3 - </w:t>
      </w:r>
      <w:r w:rsidRPr="00E32863">
        <w:rPr>
          <w:rFonts w:cstheme="minorHAnsi"/>
          <w:sz w:val="20"/>
          <w:lang w:val="fr-CH"/>
        </w:rPr>
        <w:t>évaluation des ressources nécessaires pour les travaux de l’UIT sur les données statistiques,</w:t>
      </w:r>
      <w:r w:rsidR="00DB1A63">
        <w:rPr>
          <w:rFonts w:cstheme="minorHAnsi"/>
          <w:sz w:val="20"/>
          <w:lang w:val="fr-CH"/>
        </w:rPr>
        <w:t xml:space="preserve"> </w:t>
      </w:r>
    </w:p>
    <w:p w14:paraId="1B87C7A4" w14:textId="77777777" w:rsidR="00E32863" w:rsidRPr="00E32863" w:rsidRDefault="00E32863" w:rsidP="00E32863">
      <w:pPr>
        <w:pStyle w:val="FootnoteText"/>
        <w:spacing w:before="0"/>
        <w:ind w:left="0" w:firstLine="0"/>
        <w:rPr>
          <w:rFonts w:cstheme="minorHAnsi"/>
          <w:sz w:val="20"/>
          <w:lang w:val="fr-FR"/>
        </w:rPr>
      </w:pPr>
      <w:r w:rsidRPr="00E32863">
        <w:rPr>
          <w:rFonts w:cstheme="minorHAnsi"/>
          <w:sz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0D299E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32863">
      <w:rPr>
        <w:sz w:val="22"/>
        <w:szCs w:val="22"/>
        <w:lang w:val="de-CH"/>
      </w:rPr>
      <w:t>30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601CB"/>
    <w:multiLevelType w:val="hybridMultilevel"/>
    <w:tmpl w:val="F552E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19147D"/>
    <w:multiLevelType w:val="hybridMultilevel"/>
    <w:tmpl w:val="9356F904"/>
    <w:lvl w:ilvl="0" w:tplc="D8AA70EE">
      <w:start w:val="1"/>
      <w:numFmt w:val="bullet"/>
      <w:lvlText w:val=""/>
      <w:lvlJc w:val="left"/>
      <w:pPr>
        <w:ind w:left="360" w:hanging="360"/>
      </w:pPr>
      <w:rPr>
        <w:rFonts w:ascii="Symbol" w:hAnsi="Symbol" w:hint="default"/>
      </w:rPr>
    </w:lvl>
    <w:lvl w:ilvl="1" w:tplc="D8AA70E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9535A18"/>
    <w:multiLevelType w:val="hybridMultilevel"/>
    <w:tmpl w:val="35CA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D214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579CB"/>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55CB"/>
    <w:rsid w:val="001D1E06"/>
    <w:rsid w:val="001D730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57B82"/>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5C48"/>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233"/>
    <w:rsid w:val="009B050C"/>
    <w:rsid w:val="009B087F"/>
    <w:rsid w:val="009B2AF4"/>
    <w:rsid w:val="009C0820"/>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305"/>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329F"/>
    <w:rsid w:val="00B97BB9"/>
    <w:rsid w:val="00BA0009"/>
    <w:rsid w:val="00BB02B5"/>
    <w:rsid w:val="00BB1863"/>
    <w:rsid w:val="00BB25EE"/>
    <w:rsid w:val="00BB363A"/>
    <w:rsid w:val="00BC10A0"/>
    <w:rsid w:val="00BC7BA2"/>
    <w:rsid w:val="00BD426B"/>
    <w:rsid w:val="00BD79F0"/>
    <w:rsid w:val="00BE2B4D"/>
    <w:rsid w:val="00BE6BFD"/>
    <w:rsid w:val="00C015F8"/>
    <w:rsid w:val="00C02C2A"/>
    <w:rsid w:val="00C07E26"/>
    <w:rsid w:val="00C1011C"/>
    <w:rsid w:val="00C12F94"/>
    <w:rsid w:val="00C168A4"/>
    <w:rsid w:val="00C177C5"/>
    <w:rsid w:val="00C34EC3"/>
    <w:rsid w:val="00C4038C"/>
    <w:rsid w:val="00C42BA2"/>
    <w:rsid w:val="00C44066"/>
    <w:rsid w:val="00C44E13"/>
    <w:rsid w:val="00C46F2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0325"/>
    <w:rsid w:val="00D35BDD"/>
    <w:rsid w:val="00D63006"/>
    <w:rsid w:val="00D72301"/>
    <w:rsid w:val="00D911DE"/>
    <w:rsid w:val="00D91B97"/>
    <w:rsid w:val="00D93ACC"/>
    <w:rsid w:val="00D93C08"/>
    <w:rsid w:val="00D95DAC"/>
    <w:rsid w:val="00DA0B53"/>
    <w:rsid w:val="00DB1171"/>
    <w:rsid w:val="00DB1519"/>
    <w:rsid w:val="00DB1A63"/>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2863"/>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5C1"/>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C0820"/>
    <w:rPr>
      <w:color w:val="605E5C"/>
      <w:shd w:val="clear" w:color="auto" w:fill="E1DFDD"/>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32863"/>
    <w:rPr>
      <w:rFonts w:asciiTheme="minorHAnsi" w:hAnsiTheme="minorHAnsi"/>
      <w:sz w:val="24"/>
      <w:lang w:val="en-GB" w:eastAsia="en-US"/>
    </w:rPr>
  </w:style>
  <w:style w:type="character" w:customStyle="1" w:styleId="fontstyle01">
    <w:name w:val="fontstyle01"/>
    <w:basedOn w:val="DefaultParagraphFont"/>
    <w:rsid w:val="00E3286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E32863"/>
    <w:rPr>
      <w:rFonts w:ascii="Calibri-Italic" w:hAnsi="Calibri-Italic" w:hint="default"/>
      <w:b w:val="0"/>
      <w:bCs w:val="0"/>
      <w:i/>
      <w:iCs/>
      <w:color w:val="000000"/>
      <w:sz w:val="24"/>
      <w:szCs w:val="24"/>
    </w:rPr>
  </w:style>
  <w:style w:type="character" w:customStyle="1" w:styleId="fontstyle21">
    <w:name w:val="fontstyle21"/>
    <w:basedOn w:val="DefaultParagraphFont"/>
    <w:rsid w:val="00E32863"/>
    <w:rPr>
      <w:rFonts w:ascii="Calibri-Bold" w:hAnsi="Calibri-Bold" w:hint="default"/>
      <w:b/>
      <w:bCs/>
      <w:i w:val="0"/>
      <w:iCs w:val="0"/>
      <w:color w:val="000000"/>
      <w:sz w:val="28"/>
      <w:szCs w:val="28"/>
    </w:rPr>
  </w:style>
  <w:style w:type="table" w:customStyle="1" w:styleId="TableGrid0">
    <w:name w:val="TableGrid"/>
    <w:rsid w:val="00E32863"/>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paragraph" w:styleId="Revision">
    <w:name w:val="Revision"/>
    <w:hidden/>
    <w:uiPriority w:val="99"/>
    <w:semiHidden/>
    <w:rsid w:val="00C46F2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Youssoufsoule19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097E-3901-4FFA-81AE-E00FE9C1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2085</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2023-05-19T13:09:00Z</dcterms:created>
  <dcterms:modified xsi:type="dcterms:W3CDTF">2023-05-19T13:19:00Z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