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783A69" w14:paraId="2E9B6549" w14:textId="77777777" w:rsidTr="00F77022">
        <w:trPr>
          <w:cantSplit/>
          <w:trHeight w:val="1310"/>
          <w:jc w:val="center"/>
        </w:trPr>
        <w:tc>
          <w:tcPr>
            <w:tcW w:w="6548" w:type="dxa"/>
            <w:tcBorders>
              <w:bottom w:val="single" w:sz="12" w:space="0" w:color="auto"/>
            </w:tcBorders>
          </w:tcPr>
          <w:p w14:paraId="750F0C29" w14:textId="77777777" w:rsidR="0094065A" w:rsidRPr="00C85CB5" w:rsidRDefault="0094065A"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5D526FF0" w14:textId="77777777" w:rsidR="0094065A" w:rsidRPr="00CA08BA" w:rsidRDefault="0094065A" w:rsidP="00C85CB5">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w:t>
            </w:r>
            <w:r>
              <w:rPr>
                <w:rFonts w:hint="cs"/>
                <w:b/>
                <w:bCs/>
                <w:spacing w:val="-6"/>
                <w:sz w:val="26"/>
                <w:szCs w:val="26"/>
                <w:rtl/>
                <w:lang w:bidi="ar-EG"/>
              </w:rPr>
              <w:t>الثلاثون</w:t>
            </w:r>
            <w:r w:rsidRPr="00CA08BA">
              <w:rPr>
                <w:rFonts w:hint="cs"/>
                <w:b/>
                <w:bCs/>
                <w:spacing w:val="-6"/>
                <w:sz w:val="26"/>
                <w:szCs w:val="26"/>
                <w:rtl/>
                <w:lang w:bidi="ar-EG"/>
              </w:rPr>
              <w:t xml:space="preserve">، </w:t>
            </w:r>
            <w:r>
              <w:rPr>
                <w:rFonts w:hint="cs"/>
                <w:b/>
                <w:bCs/>
                <w:spacing w:val="-6"/>
                <w:sz w:val="26"/>
                <w:szCs w:val="26"/>
                <w:rtl/>
                <w:lang w:bidi="ar-EG"/>
              </w:rPr>
              <w:t xml:space="preserve">جنيف، سويسرا، </w:t>
            </w:r>
            <w:r>
              <w:rPr>
                <w:b/>
                <w:bCs/>
                <w:spacing w:val="-6"/>
                <w:sz w:val="26"/>
                <w:szCs w:val="26"/>
                <w:lang w:bidi="ar-EG"/>
              </w:rPr>
              <w:t>23-19</w:t>
            </w:r>
            <w:r>
              <w:rPr>
                <w:rFonts w:hint="cs"/>
                <w:b/>
                <w:bCs/>
                <w:spacing w:val="-6"/>
                <w:sz w:val="26"/>
                <w:szCs w:val="26"/>
                <w:rtl/>
                <w:lang w:bidi="ar-EG"/>
              </w:rPr>
              <w:t xml:space="preserve"> يونيو </w:t>
            </w:r>
            <w:r>
              <w:rPr>
                <w:b/>
                <w:bCs/>
                <w:spacing w:val="-6"/>
                <w:sz w:val="26"/>
                <w:szCs w:val="26"/>
                <w:lang w:bidi="ar-EG"/>
              </w:rPr>
              <w:t>2023</w:t>
            </w:r>
          </w:p>
        </w:tc>
        <w:tc>
          <w:tcPr>
            <w:tcW w:w="3091" w:type="dxa"/>
            <w:tcBorders>
              <w:bottom w:val="single" w:sz="12" w:space="0" w:color="auto"/>
            </w:tcBorders>
          </w:tcPr>
          <w:p w14:paraId="3E9D2B85" w14:textId="77777777" w:rsidR="0094065A" w:rsidRPr="00783A69" w:rsidRDefault="00F77022" w:rsidP="00F77022">
            <w:pPr>
              <w:spacing w:after="120"/>
              <w:jc w:val="right"/>
              <w:rPr>
                <w:lang w:val="en-GB" w:bidi="ar-EG"/>
              </w:rPr>
            </w:pPr>
            <w:bookmarkStart w:id="0" w:name="ditulogo"/>
            <w:bookmarkEnd w:id="0"/>
            <w:r>
              <w:rPr>
                <w:noProof/>
                <w:lang w:val="fr-FR" w:eastAsia="fr-FR"/>
              </w:rPr>
              <w:drawing>
                <wp:inline distT="0" distB="0" distL="0" distR="0" wp14:anchorId="385226A6" wp14:editId="42A17B4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3B51AA50" w14:textId="77777777" w:rsidTr="00F77022">
        <w:trPr>
          <w:cantSplit/>
          <w:jc w:val="center"/>
        </w:trPr>
        <w:tc>
          <w:tcPr>
            <w:tcW w:w="6548" w:type="dxa"/>
            <w:tcBorders>
              <w:top w:val="single" w:sz="12" w:space="0" w:color="auto"/>
            </w:tcBorders>
          </w:tcPr>
          <w:p w14:paraId="1A895E70" w14:textId="77777777" w:rsidR="00CA08BA" w:rsidRPr="00783A69" w:rsidRDefault="00CA08BA" w:rsidP="00B93B7B">
            <w:pPr>
              <w:spacing w:before="20" w:after="20" w:line="300" w:lineRule="exact"/>
              <w:rPr>
                <w:b/>
                <w:bCs/>
                <w:rtl/>
                <w:lang w:bidi="ar-EG"/>
              </w:rPr>
            </w:pPr>
          </w:p>
        </w:tc>
        <w:tc>
          <w:tcPr>
            <w:tcW w:w="3091" w:type="dxa"/>
            <w:tcBorders>
              <w:top w:val="single" w:sz="12" w:space="0" w:color="auto"/>
            </w:tcBorders>
          </w:tcPr>
          <w:p w14:paraId="22F8BC04" w14:textId="77777777" w:rsidR="00CA08BA" w:rsidRPr="00C85CB5" w:rsidRDefault="00CA08BA" w:rsidP="00B93B7B">
            <w:pPr>
              <w:spacing w:before="20" w:after="20" w:line="300" w:lineRule="exact"/>
              <w:rPr>
                <w:b/>
                <w:bCs/>
                <w:highlight w:val="yellow"/>
                <w:rtl/>
                <w:lang w:bidi="ar-EG"/>
              </w:rPr>
            </w:pPr>
          </w:p>
        </w:tc>
      </w:tr>
      <w:tr w:rsidR="00783A69" w:rsidRPr="00783A69" w14:paraId="6F91D74A" w14:textId="77777777" w:rsidTr="00F77022">
        <w:trPr>
          <w:cantSplit/>
          <w:jc w:val="center"/>
        </w:trPr>
        <w:tc>
          <w:tcPr>
            <w:tcW w:w="6548" w:type="dxa"/>
          </w:tcPr>
          <w:p w14:paraId="46FF9621" w14:textId="77777777" w:rsidR="00783A69" w:rsidRPr="00783A69" w:rsidRDefault="00783A69" w:rsidP="00B93B7B">
            <w:pPr>
              <w:spacing w:before="20" w:after="20" w:line="300" w:lineRule="exact"/>
              <w:rPr>
                <w:b/>
                <w:bCs/>
                <w:rtl/>
                <w:lang w:bidi="ar-EG"/>
              </w:rPr>
            </w:pPr>
          </w:p>
        </w:tc>
        <w:tc>
          <w:tcPr>
            <w:tcW w:w="3091" w:type="dxa"/>
          </w:tcPr>
          <w:p w14:paraId="562F4C60" w14:textId="6133588A" w:rsidR="00783A69" w:rsidRPr="00153471" w:rsidRDefault="00783A69" w:rsidP="00B93B7B">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153471" w:rsidRPr="00153471">
              <w:rPr>
                <w:b/>
                <w:bCs/>
                <w:lang w:bidi="ar-EG"/>
              </w:rPr>
              <w:t>23</w:t>
            </w:r>
            <w:r w:rsidR="008562F3" w:rsidRPr="00153471">
              <w:rPr>
                <w:b/>
                <w:bCs/>
                <w:lang w:bidi="ar-EG"/>
              </w:rPr>
              <w:t>/</w:t>
            </w:r>
            <w:r w:rsidR="00A600AF">
              <w:rPr>
                <w:b/>
                <w:bCs/>
                <w:lang w:bidi="ar-EG"/>
              </w:rPr>
              <w:t>27</w:t>
            </w:r>
            <w:r w:rsidRPr="00153471">
              <w:rPr>
                <w:b/>
                <w:bCs/>
                <w:lang w:bidi="ar-EG"/>
              </w:rPr>
              <w:t>-A</w:t>
            </w:r>
          </w:p>
        </w:tc>
      </w:tr>
      <w:tr w:rsidR="00783A69" w:rsidRPr="00783A69" w14:paraId="69835B31" w14:textId="77777777" w:rsidTr="00F77022">
        <w:trPr>
          <w:cantSplit/>
          <w:jc w:val="center"/>
        </w:trPr>
        <w:tc>
          <w:tcPr>
            <w:tcW w:w="6548" w:type="dxa"/>
          </w:tcPr>
          <w:p w14:paraId="48FD189C" w14:textId="77777777" w:rsidR="00783A69" w:rsidRPr="00783A69" w:rsidRDefault="00783A69" w:rsidP="00B93B7B">
            <w:pPr>
              <w:spacing w:before="20" w:after="20" w:line="300" w:lineRule="exact"/>
              <w:rPr>
                <w:b/>
                <w:bCs/>
                <w:lang w:bidi="ar-EG"/>
              </w:rPr>
            </w:pPr>
          </w:p>
        </w:tc>
        <w:tc>
          <w:tcPr>
            <w:tcW w:w="3091" w:type="dxa"/>
          </w:tcPr>
          <w:p w14:paraId="30A5F3B6" w14:textId="3F47AAAA" w:rsidR="00783A69" w:rsidRPr="00C85CB5" w:rsidRDefault="00A600AF" w:rsidP="00B93B7B">
            <w:pPr>
              <w:spacing w:before="20" w:after="20" w:line="300" w:lineRule="exact"/>
              <w:rPr>
                <w:b/>
                <w:bCs/>
                <w:highlight w:val="yellow"/>
                <w:rtl/>
                <w:lang w:bidi="ar-SY"/>
              </w:rPr>
            </w:pPr>
            <w:r w:rsidRPr="00A600AF">
              <w:rPr>
                <w:b/>
                <w:bCs/>
                <w:lang w:bidi="ar-EG"/>
              </w:rPr>
              <w:t>29</w:t>
            </w:r>
            <w:r w:rsidR="00783A69" w:rsidRPr="00A600AF">
              <w:rPr>
                <w:rFonts w:hint="cs"/>
                <w:b/>
                <w:bCs/>
                <w:rtl/>
                <w:lang w:bidi="ar-EG"/>
              </w:rPr>
              <w:t xml:space="preserve"> </w:t>
            </w:r>
            <w:r w:rsidRPr="00A600AF">
              <w:rPr>
                <w:rFonts w:hint="cs"/>
                <w:b/>
                <w:bCs/>
                <w:rtl/>
                <w:lang w:bidi="ar-EG"/>
              </w:rPr>
              <w:t xml:space="preserve">مايو </w:t>
            </w:r>
            <w:r w:rsidR="00153471" w:rsidRPr="00A600AF">
              <w:rPr>
                <w:b/>
                <w:bCs/>
                <w:lang w:bidi="ar-EG"/>
              </w:rPr>
              <w:t>2023</w:t>
            </w:r>
          </w:p>
        </w:tc>
      </w:tr>
      <w:tr w:rsidR="00783A69" w:rsidRPr="00783A69" w14:paraId="604F768D" w14:textId="77777777" w:rsidTr="00F77022">
        <w:trPr>
          <w:cantSplit/>
          <w:jc w:val="center"/>
        </w:trPr>
        <w:tc>
          <w:tcPr>
            <w:tcW w:w="6548" w:type="dxa"/>
          </w:tcPr>
          <w:p w14:paraId="6F4E4AFA" w14:textId="77777777" w:rsidR="00783A69" w:rsidRPr="00783A69" w:rsidRDefault="00783A69" w:rsidP="00B93B7B">
            <w:pPr>
              <w:spacing w:before="20" w:after="20" w:line="300" w:lineRule="exact"/>
              <w:rPr>
                <w:b/>
                <w:bCs/>
                <w:lang w:bidi="ar-EG"/>
              </w:rPr>
            </w:pPr>
          </w:p>
        </w:tc>
        <w:tc>
          <w:tcPr>
            <w:tcW w:w="3091" w:type="dxa"/>
          </w:tcPr>
          <w:p w14:paraId="299F5368"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546D2982" w14:textId="77777777" w:rsidTr="00EE5CF2">
        <w:trPr>
          <w:cantSplit/>
          <w:jc w:val="center"/>
        </w:trPr>
        <w:tc>
          <w:tcPr>
            <w:tcW w:w="9639" w:type="dxa"/>
            <w:gridSpan w:val="2"/>
          </w:tcPr>
          <w:p w14:paraId="6383DAC8" w14:textId="09485AD7" w:rsidR="00783A69" w:rsidRPr="00783A69" w:rsidRDefault="00A600AF" w:rsidP="00EE5CF2">
            <w:pPr>
              <w:pStyle w:val="Source"/>
            </w:pPr>
            <w:r>
              <w:rPr>
                <w:rFonts w:hint="cs"/>
                <w:sz w:val="28"/>
                <w:szCs w:val="28"/>
                <w:rtl/>
                <w:lang w:bidi="ar-EG"/>
              </w:rPr>
              <w:t>مدير مكتب تنمية الاتصالات</w:t>
            </w:r>
          </w:p>
        </w:tc>
      </w:tr>
      <w:tr w:rsidR="00783A69" w:rsidRPr="00783A69" w14:paraId="3D602D94" w14:textId="77777777" w:rsidTr="00EE5CF2">
        <w:trPr>
          <w:cantSplit/>
          <w:jc w:val="center"/>
        </w:trPr>
        <w:tc>
          <w:tcPr>
            <w:tcW w:w="9639" w:type="dxa"/>
            <w:gridSpan w:val="2"/>
          </w:tcPr>
          <w:p w14:paraId="7ADE4DEB" w14:textId="0E0F9D4E" w:rsidR="00783A69" w:rsidRPr="00783A69" w:rsidRDefault="00A600AF" w:rsidP="00A600AF">
            <w:pPr>
              <w:pStyle w:val="Title1"/>
              <w:rPr>
                <w:lang w:bidi="ar-EG"/>
              </w:rPr>
            </w:pPr>
            <w:r w:rsidRPr="00A600AF">
              <w:rPr>
                <w:rtl/>
              </w:rPr>
              <w:t xml:space="preserve">مقترح بشأن تنظيم قمة عالمية للشباب قبل المؤتمر العالمي </w:t>
            </w:r>
            <w:r w:rsidR="005929C4">
              <w:rPr>
                <w:rtl/>
              </w:rPr>
              <w:br/>
            </w:r>
            <w:r w:rsidRPr="00A600AF">
              <w:rPr>
                <w:rtl/>
              </w:rPr>
              <w:t xml:space="preserve">لتنمية الاتصالات </w:t>
            </w:r>
            <w:r w:rsidRPr="00A600AF">
              <w:rPr>
                <w:lang w:bidi="ar-EG"/>
              </w:rPr>
              <w:t>WTDC</w:t>
            </w:r>
            <w:r>
              <w:rPr>
                <w:lang w:bidi="ar-EG"/>
              </w:rPr>
              <w:t>)</w:t>
            </w:r>
            <w:r w:rsidRPr="00A600AF">
              <w:rPr>
                <w:rtl/>
              </w:rPr>
              <w:t>) لعام 2025</w:t>
            </w:r>
          </w:p>
        </w:tc>
      </w:tr>
    </w:tbl>
    <w:p w14:paraId="2DC14E53"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63CCF540" w14:textId="77777777" w:rsidTr="00A600AF">
        <w:trPr>
          <w:cantSplit/>
          <w:jc w:val="center"/>
        </w:trPr>
        <w:tc>
          <w:tcPr>
            <w:tcW w:w="9638" w:type="dxa"/>
            <w:tcBorders>
              <w:top w:val="single" w:sz="6" w:space="0" w:color="auto"/>
              <w:left w:val="single" w:sz="6" w:space="0" w:color="auto"/>
              <w:bottom w:val="single" w:sz="6" w:space="0" w:color="auto"/>
              <w:right w:val="single" w:sz="6" w:space="0" w:color="auto"/>
            </w:tcBorders>
          </w:tcPr>
          <w:p w14:paraId="6BE68B89" w14:textId="77777777" w:rsidR="00783A69" w:rsidRPr="00A600AF" w:rsidRDefault="00783A69" w:rsidP="00EE5CF2">
            <w:pPr>
              <w:rPr>
                <w:b/>
                <w:bCs/>
                <w:rtl/>
                <w:lang w:bidi="ar-SY"/>
              </w:rPr>
            </w:pPr>
            <w:r w:rsidRPr="00A600AF">
              <w:rPr>
                <w:rFonts w:hint="cs"/>
                <w:b/>
                <w:bCs/>
                <w:rtl/>
                <w:lang w:bidi="ar-SY"/>
              </w:rPr>
              <w:t>ملخص</w:t>
            </w:r>
            <w:r w:rsidR="005874F2" w:rsidRPr="00A600AF">
              <w:rPr>
                <w:rFonts w:hint="cs"/>
                <w:b/>
                <w:bCs/>
                <w:rtl/>
                <w:lang w:bidi="ar-SY"/>
              </w:rPr>
              <w:t>:</w:t>
            </w:r>
          </w:p>
          <w:p w14:paraId="0683E841" w14:textId="4A43489E" w:rsidR="00783A69" w:rsidRPr="00A600AF" w:rsidRDefault="00A600AF" w:rsidP="00A600AF">
            <w:pPr>
              <w:rPr>
                <w:rFonts w:hint="cs"/>
                <w:rtl/>
                <w:lang w:bidi="ar-EG"/>
              </w:rPr>
            </w:pPr>
            <w:r w:rsidRPr="00A600AF">
              <w:rPr>
                <w:rtl/>
              </w:rPr>
              <w:t xml:space="preserve">يقترح مكتب تنمية الاتصالات تنظيم قمة عالمية للشباب </w:t>
            </w:r>
            <w:r w:rsidRPr="00A600AF">
              <w:rPr>
                <w:lang w:bidi="ar-EG"/>
              </w:rPr>
              <w:t>GYS</w:t>
            </w:r>
            <w:r w:rsidR="00EC694C">
              <w:rPr>
                <w:lang w:bidi="ar-EG"/>
              </w:rPr>
              <w:t>)</w:t>
            </w:r>
            <w:r w:rsidRPr="00A600AF">
              <w:rPr>
                <w:rtl/>
              </w:rPr>
              <w:t>) تُعقد قبل المؤتمر العالمي لتنمية الاتصالات لعام 2025 (WTDC-25) بهدف توفير منصة مفتوحة للشباب للإعراب عن شواغلهم والمساهمة في عملية صنع القرار بشأن القضايا الحرجة المتعلقة بالشمول الرقمي المتكافئ والمنصف وتمكين شباب العالم، خاصة المحرومين منهم، في إطار أعمال قطاع تنمية الاتصالات بالاتحاد.</w:t>
            </w:r>
          </w:p>
          <w:p w14:paraId="0B10AD69" w14:textId="77777777" w:rsidR="00A600AF" w:rsidRPr="00A600AF" w:rsidRDefault="00A600AF" w:rsidP="00A600AF">
            <w:pPr>
              <w:rPr>
                <w:lang w:val="ar-SA" w:bidi="ar-SY"/>
              </w:rPr>
            </w:pPr>
            <w:r w:rsidRPr="00A600AF">
              <w:rPr>
                <w:rtl/>
              </w:rPr>
              <w:t>وفي إطار تنفيذ استراتيجية الاتحاد بشأن الشباب، عُقدت قمة الشباب العالمية الأولى لمبادرة توصيل الجيل في الفترة 2</w:t>
            </w:r>
            <w:r w:rsidRPr="00A600AF">
              <w:rPr>
                <w:lang w:bidi="ar-SY"/>
              </w:rPr>
              <w:t>-</w:t>
            </w:r>
            <w:r w:rsidRPr="00A600AF">
              <w:rPr>
                <w:rtl/>
              </w:rPr>
              <w:t>4 يونيو 2022، في كيغالي، رواندا.</w:t>
            </w:r>
          </w:p>
          <w:p w14:paraId="0BC0DE93" w14:textId="14CB3B12" w:rsidR="00A600AF" w:rsidRPr="00A600AF" w:rsidRDefault="00A600AF" w:rsidP="00A600AF">
            <w:pPr>
              <w:rPr>
                <w:rtl/>
                <w:lang w:bidi="ar-SY"/>
              </w:rPr>
            </w:pPr>
            <w:r w:rsidRPr="00A600AF">
              <w:rPr>
                <w:rtl/>
              </w:rPr>
              <w:t xml:space="preserve">وفي كل اجتماع إقليمي تحضيري </w:t>
            </w:r>
            <w:r w:rsidRPr="00A600AF">
              <w:rPr>
                <w:lang w:bidi="ar-SY"/>
              </w:rPr>
              <w:t>RPM</w:t>
            </w:r>
            <w:r w:rsidR="00EC694C">
              <w:rPr>
                <w:lang w:bidi="ar-SY"/>
              </w:rPr>
              <w:t>)</w:t>
            </w:r>
            <w:r w:rsidRPr="00A600AF">
              <w:rPr>
                <w:rtl/>
              </w:rPr>
              <w:t>) للمؤتمر WTDC-25، سيعقد جزء مكرس للشباب تمهيداً للقمة العالمية للشباب. وستشكل العناصر/الإعلانات الصادرة عن الأجزاء المكرسة للشباب في كل اجتماع إقليمي تحضيري الوثائق الأساسية للإعلان العالمي للشباب الذي سيصدر عن القمة العالمية للشباب.</w:t>
            </w:r>
          </w:p>
          <w:p w14:paraId="0D71C53B" w14:textId="77777777" w:rsidR="00783A69" w:rsidRPr="00A600AF" w:rsidRDefault="00783A69" w:rsidP="00EE5CF2">
            <w:pPr>
              <w:rPr>
                <w:b/>
                <w:bCs/>
                <w:rtl/>
                <w:lang w:bidi="ar-SY"/>
              </w:rPr>
            </w:pPr>
            <w:r w:rsidRPr="00A600AF">
              <w:rPr>
                <w:rFonts w:hint="cs"/>
                <w:b/>
                <w:bCs/>
                <w:rtl/>
                <w:lang w:bidi="ar-SY"/>
              </w:rPr>
              <w:t>الإجراء المطلوب</w:t>
            </w:r>
            <w:r w:rsidR="005874F2" w:rsidRPr="00A600AF">
              <w:rPr>
                <w:rFonts w:hint="cs"/>
                <w:b/>
                <w:bCs/>
                <w:rtl/>
                <w:lang w:bidi="ar-SY"/>
              </w:rPr>
              <w:t>:</w:t>
            </w:r>
          </w:p>
          <w:p w14:paraId="60A82413" w14:textId="3DF967E9" w:rsidR="00783A69" w:rsidRPr="00A600AF" w:rsidRDefault="00A600AF" w:rsidP="00A600AF">
            <w:pPr>
              <w:rPr>
                <w:rtl/>
                <w:lang w:bidi="ar-EG"/>
              </w:rPr>
            </w:pPr>
            <w:r w:rsidRPr="00A600AF">
              <w:rPr>
                <w:rtl/>
              </w:rPr>
              <w:t>يُدعى الفريق الاستشاري لتنمية الاتصالات إلى إقرار المقترح الوارد في هذه الوثيقة.</w:t>
            </w:r>
          </w:p>
          <w:p w14:paraId="2D7CDD39" w14:textId="77777777" w:rsidR="00783A69" w:rsidRPr="00A600AF" w:rsidRDefault="00783A69" w:rsidP="00EE5CF2">
            <w:pPr>
              <w:rPr>
                <w:b/>
                <w:bCs/>
                <w:rtl/>
                <w:lang w:bidi="ar-SY"/>
              </w:rPr>
            </w:pPr>
            <w:r w:rsidRPr="00A600AF">
              <w:rPr>
                <w:rFonts w:hint="cs"/>
                <w:b/>
                <w:bCs/>
                <w:rtl/>
                <w:lang w:bidi="ar-SY"/>
              </w:rPr>
              <w:t>المراجع</w:t>
            </w:r>
            <w:r w:rsidR="005874F2" w:rsidRPr="00A600AF">
              <w:rPr>
                <w:rFonts w:hint="cs"/>
                <w:b/>
                <w:bCs/>
                <w:rtl/>
                <w:lang w:bidi="ar-SY"/>
              </w:rPr>
              <w:t>:</w:t>
            </w:r>
          </w:p>
          <w:p w14:paraId="2A3F91E6" w14:textId="0651C6CF" w:rsidR="00783A69" w:rsidRPr="00A600AF" w:rsidRDefault="00A600AF" w:rsidP="00A600AF">
            <w:pPr>
              <w:spacing w:after="120"/>
              <w:rPr>
                <w:rtl/>
              </w:rPr>
            </w:pPr>
            <w:r w:rsidRPr="00A600AF">
              <w:rPr>
                <w:rtl/>
              </w:rPr>
              <w:t>القرار 76 للمؤتمر العالمي لتنمية الاتصالات (مكمَّلاً بالقرارات 11 و37 و45 و46 و55 و58 و67 للمؤتمر العالمي لتنمية الاتصالات)، والقرار 198 لمؤتمر المندوبين المفوضين لعام 2022 (مكمَّلاً بالقرارات 70 و175 و179 و184) لمؤتمر المندوبين المفوضين)، واستراتيجية الاتحاد بشأن الشباب، ومبادرة توصيل الجيل.</w:t>
            </w:r>
          </w:p>
        </w:tc>
      </w:tr>
    </w:tbl>
    <w:p w14:paraId="6649CE12" w14:textId="77777777" w:rsidR="00882A17" w:rsidRDefault="00882A17">
      <w:pPr>
        <w:tabs>
          <w:tab w:val="clear" w:pos="794"/>
        </w:tabs>
        <w:bidi w:val="0"/>
        <w:spacing w:before="0" w:after="160" w:line="259" w:lineRule="auto"/>
        <w:jc w:val="left"/>
        <w:rPr>
          <w:lang w:bidi="ar-EG"/>
        </w:rPr>
      </w:pPr>
      <w:r>
        <w:rPr>
          <w:rtl/>
          <w:lang w:bidi="ar-EG"/>
        </w:rPr>
        <w:br w:type="page"/>
      </w:r>
    </w:p>
    <w:p w14:paraId="77E1CC2D" w14:textId="6F922B13" w:rsidR="00A600AF" w:rsidRPr="00A600AF" w:rsidRDefault="00EC694C" w:rsidP="00EC694C">
      <w:pPr>
        <w:pStyle w:val="Heading1"/>
        <w:rPr>
          <w:lang w:val="ar-SA" w:bidi="ar-EG"/>
        </w:rPr>
      </w:pPr>
      <w:r>
        <w:lastRenderedPageBreak/>
        <w:t>1</w:t>
      </w:r>
      <w:r>
        <w:tab/>
      </w:r>
      <w:r w:rsidR="00A600AF" w:rsidRPr="00A600AF">
        <w:rPr>
          <w:rtl/>
        </w:rPr>
        <w:t xml:space="preserve">الهدف </w:t>
      </w:r>
    </w:p>
    <w:p w14:paraId="2C62DFA6" w14:textId="6255AB15" w:rsidR="00A600AF" w:rsidRPr="00A600AF" w:rsidRDefault="00A600AF" w:rsidP="00A600AF">
      <w:pPr>
        <w:rPr>
          <w:lang w:val="ar-SA" w:bidi="ar-EG"/>
        </w:rPr>
      </w:pPr>
      <w:r w:rsidRPr="00A600AF">
        <w:rPr>
          <w:rtl/>
        </w:rPr>
        <w:t xml:space="preserve">تنظيم قمة عالمية للشباب </w:t>
      </w:r>
      <w:r w:rsidR="004A0DB2">
        <w:rPr>
          <w:lang w:bidi="ar-EG"/>
        </w:rPr>
        <w:t>G</w:t>
      </w:r>
      <w:r w:rsidRPr="00A600AF">
        <w:rPr>
          <w:lang w:bidi="ar-EG"/>
        </w:rPr>
        <w:t>YS</w:t>
      </w:r>
      <w:r w:rsidR="00EC694C">
        <w:rPr>
          <w:lang w:bidi="ar-EG"/>
        </w:rPr>
        <w:t>)</w:t>
      </w:r>
      <w:r w:rsidRPr="00A600AF">
        <w:rPr>
          <w:rtl/>
        </w:rPr>
        <w:t xml:space="preserve">) قبل المؤتمر العالمي لتنمية الاتصالات لعام 2025 (WTDC-25)، لإشراك شباب العالم وتشجيع مشاركتهم كشركاء متساوين مع رواد التغيير الرقمي الحالي، وتمكين الشباب بتزويدهم بالمهارات والفرص اللازمة للنهوض برؤيتهم لمستقبل موصول. وستُنظم القمة قبل المؤتمر WTDC-25 بوقت كافٍ وسيقدَّم الإعلان الصادر عنها قبل الموعد النهائي لتقديم المساهمات إلى المؤتمر لتمكين الأعضاء من دراسته في إطار التحضير للمؤتمر WTDC-25. وسيتناول إعلان القمة الاحتياجات والأولويات التي يحددها الشباب للنظر فيها في إطار جدول أعمال المؤتمر وضمان الشمول الرقمي وتمكين جميع شباب العالم بغض النظر عن قدراتهم التكنولوجية ومستواهم التعليمي أو المكان الجغرافي الذي يعيشون فيه. </w:t>
      </w:r>
    </w:p>
    <w:p w14:paraId="682A9C2C" w14:textId="6365EBBA" w:rsidR="00A600AF" w:rsidRPr="00A600AF" w:rsidRDefault="00EC694C" w:rsidP="00EC694C">
      <w:pPr>
        <w:pStyle w:val="Heading1"/>
        <w:rPr>
          <w:lang w:val="ar-SA" w:bidi="ar-EG"/>
        </w:rPr>
      </w:pPr>
      <w:r>
        <w:t>2</w:t>
      </w:r>
      <w:r>
        <w:tab/>
      </w:r>
      <w:r w:rsidR="00A600AF" w:rsidRPr="00A600AF">
        <w:rPr>
          <w:rtl/>
        </w:rPr>
        <w:t xml:space="preserve">خلفية </w:t>
      </w:r>
    </w:p>
    <w:p w14:paraId="45B63F04" w14:textId="77777777" w:rsidR="00A600AF" w:rsidRPr="00A600AF" w:rsidRDefault="00A600AF" w:rsidP="00A600AF">
      <w:pPr>
        <w:rPr>
          <w:lang w:val="ar-SA" w:bidi="ar-EG"/>
        </w:rPr>
      </w:pPr>
      <w:r w:rsidRPr="00A600AF">
        <w:rPr>
          <w:rtl/>
        </w:rPr>
        <w:t xml:space="preserve">تهدف استراتيجية الاتحاد بشأن الشباب، التي تم اعتمادها في اجتماع الفريق الاستشاري لتنمية الاتصالات لعام 2020، في يونيو 2020، إلى تحسين حياة الشباب في جميع أنحاء العالم والتأثير عليها بشكل ملموس، وضمان المشاركة الهادفة للشباب في أعمال الاتحاد كأصحاب مصلحة رئيسيين في تنفيذ خطة التنمية المستدامة لعام 2030. ولا تزال مبادرة توصيل الجيل المبادرة الرئيسية لاستراتيجية الاتحاد بشأن الشباب. </w:t>
      </w:r>
    </w:p>
    <w:p w14:paraId="7B9C6008" w14:textId="2C434B79" w:rsidR="00A600AF" w:rsidRPr="00A600AF" w:rsidRDefault="00A600AF" w:rsidP="00A600AF">
      <w:pPr>
        <w:rPr>
          <w:spacing w:val="2"/>
          <w:lang w:val="ar-SA" w:bidi="ar-EG"/>
        </w:rPr>
      </w:pPr>
      <w:r w:rsidRPr="00A600AF">
        <w:rPr>
          <w:spacing w:val="2"/>
          <w:rtl/>
        </w:rPr>
        <w:t>وفي إطار تنفيذ استراتيجية الاتحاد بشأن الشباب، عُقدت قمة الشباب العالمية الأولى لمبادرة توصيل الجيل في الفترة 2-4 يونيو 2022، في </w:t>
      </w:r>
      <w:proofErr w:type="spellStart"/>
      <w:r w:rsidRPr="00A600AF">
        <w:rPr>
          <w:spacing w:val="2"/>
          <w:rtl/>
        </w:rPr>
        <w:t>Intare</w:t>
      </w:r>
      <w:proofErr w:type="spellEnd"/>
      <w:r w:rsidRPr="00A600AF">
        <w:rPr>
          <w:spacing w:val="2"/>
          <w:rtl/>
        </w:rPr>
        <w:t xml:space="preserve"> </w:t>
      </w:r>
      <w:proofErr w:type="spellStart"/>
      <w:r w:rsidRPr="00A600AF">
        <w:rPr>
          <w:spacing w:val="2"/>
          <w:rtl/>
        </w:rPr>
        <w:t>Conference</w:t>
      </w:r>
      <w:proofErr w:type="spellEnd"/>
      <w:r w:rsidRPr="00A600AF">
        <w:rPr>
          <w:spacing w:val="2"/>
          <w:rtl/>
        </w:rPr>
        <w:t xml:space="preserve"> </w:t>
      </w:r>
      <w:proofErr w:type="spellStart"/>
      <w:r w:rsidRPr="00A600AF">
        <w:rPr>
          <w:spacing w:val="2"/>
          <w:rtl/>
        </w:rPr>
        <w:t>Arena</w:t>
      </w:r>
      <w:proofErr w:type="spellEnd"/>
      <w:r w:rsidRPr="00A600AF">
        <w:rPr>
          <w:spacing w:val="2"/>
          <w:rtl/>
        </w:rPr>
        <w:t xml:space="preserve"> في كيغالي، رواندا. وعُقدت بنسق مختلط حيث أتيحت مشاركة الشباب حضورياً وافتراضياً كذلك. وجمعت القمة الشباب من القادة ورواد الأعمال وصناع التغيير الاجتماعي والمهندسين والمتخصصين في السياسات العامة والطلاب، وغيرهم. وانضم إلى الحدث أيضاً قادة الأعمال وصناع القرارات المؤثرة والمدافعون عن المجتمعات المحلية. </w:t>
      </w:r>
    </w:p>
    <w:p w14:paraId="391CFC1B" w14:textId="77777777" w:rsidR="00A600AF" w:rsidRPr="00A600AF" w:rsidRDefault="00A600AF" w:rsidP="00A600AF">
      <w:pPr>
        <w:rPr>
          <w:lang w:val="ar-SA" w:bidi="ar-EG"/>
        </w:rPr>
      </w:pPr>
      <w:r w:rsidRPr="00A600AF">
        <w:rPr>
          <w:rtl/>
        </w:rPr>
        <w:t xml:space="preserve">وتناولت قمة الشباب العالمية الأولى لمبادرة توصيل الجيل الفجوة الرقمية والمواضيع ذات الصلة، بما في ذلك المهارات الرقمية والمساواة بين الجنسين وتغير المناخ والسلامة على الإنترنت ومستقبل العمل وريادة الأعمال والتبعية الرقمية، ومواضيع أخرى. </w:t>
      </w:r>
    </w:p>
    <w:p w14:paraId="2800728C" w14:textId="77777777" w:rsidR="00A600AF" w:rsidRPr="00A600AF" w:rsidRDefault="00A600AF" w:rsidP="00A600AF">
      <w:pPr>
        <w:rPr>
          <w:lang w:val="ar-SA" w:bidi="ar-EG"/>
        </w:rPr>
      </w:pPr>
      <w:r w:rsidRPr="00A600AF">
        <w:rPr>
          <w:rtl/>
        </w:rPr>
        <w:t xml:space="preserve">وفي سياق الزيادة المطردة لتكنولوجيا المعلومات والاتصالات، وعصر الذكاء الاصطناعي والتكنولوجيات الناشئة، أصبحت الفجوة الرقمية مصدر قلق كبير لنا جميعاً، ولا سيما بالنسبة لجيل الشباب. وتجري العديد من جوانب حياتنا في الفضاء الرقمي. </w:t>
      </w:r>
    </w:p>
    <w:p w14:paraId="34373D6D" w14:textId="2EA27E36" w:rsidR="00A600AF" w:rsidRPr="00A600AF" w:rsidRDefault="00A600AF" w:rsidP="00A600AF">
      <w:pPr>
        <w:rPr>
          <w:spacing w:val="2"/>
          <w:lang w:val="ar-SA" w:bidi="ar-EG"/>
        </w:rPr>
      </w:pPr>
      <w:r w:rsidRPr="00A600AF">
        <w:rPr>
          <w:spacing w:val="2"/>
          <w:rtl/>
        </w:rPr>
        <w:t xml:space="preserve">وتتوقع سوق العمل العالمية حدوث </w:t>
      </w:r>
      <w:r w:rsidRPr="00A600AF">
        <w:rPr>
          <w:i/>
          <w:iCs/>
          <w:spacing w:val="2"/>
          <w:rtl/>
        </w:rPr>
        <w:t>تحول هيكلي في 23%من الوظائف خلال السنوات الخمس المقبلة، مع التأثير ذي الصلة على المعارف والمهارات، وعلى استراتيجيات تحويل القوى العاملة التي تعتزم الشركات استخدامها، خلال الفترة 2023-2027، والتي تتنبأ بتحويل أكثر من %80 من الوظائف</w:t>
      </w:r>
      <w:r w:rsidRPr="00A600AF">
        <w:rPr>
          <w:rStyle w:val="FootnoteReference"/>
          <w:spacing w:val="2"/>
          <w:rtl/>
        </w:rPr>
        <w:footnoteReference w:id="1"/>
      </w:r>
      <w:r w:rsidR="00FB3A5E" w:rsidRPr="00FB3A5E">
        <w:rPr>
          <w:rFonts w:hint="cs"/>
          <w:spacing w:val="2"/>
          <w:rtl/>
        </w:rPr>
        <w:t>.</w:t>
      </w:r>
      <w:r w:rsidRPr="00A600AF">
        <w:rPr>
          <w:spacing w:val="2"/>
          <w:rtl/>
        </w:rPr>
        <w:t xml:space="preserve"> وخلال منتدى الشباب للمجلس الاقتصادي والاجتماعي </w:t>
      </w:r>
      <w:r w:rsidRPr="00A600AF">
        <w:rPr>
          <w:spacing w:val="2"/>
          <w:lang w:bidi="ar-EG"/>
        </w:rPr>
        <w:t>(ECOSOC)</w:t>
      </w:r>
      <w:r w:rsidRPr="00A600AF">
        <w:rPr>
          <w:spacing w:val="2"/>
          <w:rtl/>
        </w:rPr>
        <w:t xml:space="preserve"> لعام 2023، سُلط الضوء على أن الشباب من جميع أنحاء العالم يرغبون في الحصول على مكان حول طاولة صنع القرار وفرصة للتواصل مع جميع أصحاب المصلحة المعنيين. وشدد المشاركون في المنتدى على </w:t>
      </w:r>
      <w:r w:rsidRPr="00A600AF">
        <w:rPr>
          <w:i/>
          <w:iCs/>
          <w:spacing w:val="2"/>
          <w:rtl/>
        </w:rPr>
        <w:t>"الافتقار إلى المهارات ذات الصلة والنفاذ المحدود إلى الموارد مثل التمويل والتكنولوجيا والبنى التحتية يعيقان الشباب في السعي إلى إيجاد أفكار وحلول مبتكرة للنهوض</w:t>
      </w:r>
      <w:r w:rsidRPr="00A600AF">
        <w:rPr>
          <w:spacing w:val="2"/>
          <w:rtl/>
        </w:rPr>
        <w:t xml:space="preserve"> </w:t>
      </w:r>
      <w:r w:rsidRPr="00A600AF">
        <w:rPr>
          <w:i/>
          <w:iCs/>
          <w:spacing w:val="2"/>
          <w:rtl/>
        </w:rPr>
        <w:t>بالهدف 9 من أهداف التنمية المستدامة.</w:t>
      </w:r>
      <w:r w:rsidRPr="00A600AF">
        <w:rPr>
          <w:spacing w:val="2"/>
          <w:rtl/>
        </w:rPr>
        <w:t xml:space="preserve"> </w:t>
      </w:r>
      <w:r w:rsidRPr="00A600AF">
        <w:rPr>
          <w:i/>
          <w:iCs/>
          <w:spacing w:val="2"/>
          <w:rtl/>
        </w:rPr>
        <w:t>ويكتسي النفاذ إلى التعليم والإنترنت والتكنولوجيات الرقمية أهمية بالغة بالنسبة للشباب".</w:t>
      </w:r>
      <w:r w:rsidRPr="00A600AF">
        <w:rPr>
          <w:rStyle w:val="FootnoteReference"/>
          <w:spacing w:val="2"/>
          <w:rtl/>
        </w:rPr>
        <w:footnoteReference w:id="2"/>
      </w:r>
      <w:r w:rsidRPr="00A600AF">
        <w:rPr>
          <w:spacing w:val="2"/>
          <w:rtl/>
        </w:rPr>
        <w:t xml:space="preserve"> </w:t>
      </w:r>
    </w:p>
    <w:p w14:paraId="463C4CE6" w14:textId="77777777" w:rsidR="00A600AF" w:rsidRPr="00A600AF" w:rsidRDefault="00A600AF" w:rsidP="00A600AF">
      <w:pPr>
        <w:rPr>
          <w:lang w:val="ar-SA" w:bidi="ar-EG"/>
        </w:rPr>
      </w:pPr>
      <w:r w:rsidRPr="00A600AF">
        <w:rPr>
          <w:rtl/>
        </w:rPr>
        <w:t>وفي هذا السياق، من بالغ الأهمية أن تنظر الدول الأعضاء في الاتحاد في إطار عملية التحول الرقمي التي تقودها وعملها المتعلق بسياسيا</w:t>
      </w:r>
      <w:r w:rsidRPr="00A600AF">
        <w:rPr>
          <w:rFonts w:hint="eastAsia"/>
          <w:rtl/>
        </w:rPr>
        <w:t>ت</w:t>
      </w:r>
      <w:r w:rsidRPr="00A600AF">
        <w:rPr>
          <w:rtl/>
        </w:rPr>
        <w:t xml:space="preserve"> الشمول الرقمي واستراتيجياته وإجراءاته المناسبة لضمان النفاذ المتكافئ والمنصف لجميع الشباب إلى التكنولوجيا والفرص التي توفرها من حيث تعليمهم وتوظيفهم ونموهم الشخصي لكي يصبحوا مشاركين فعالين في المجتمعات والاقتصادات الرقمية. </w:t>
      </w:r>
    </w:p>
    <w:p w14:paraId="125EE647" w14:textId="77777777" w:rsidR="00A600AF" w:rsidRPr="00A600AF" w:rsidRDefault="00A600AF" w:rsidP="00A600AF">
      <w:pPr>
        <w:rPr>
          <w:lang w:val="ar-SA" w:bidi="ar-EG"/>
        </w:rPr>
      </w:pPr>
      <w:r w:rsidRPr="00A600AF">
        <w:rPr>
          <w:rtl/>
        </w:rPr>
        <w:t>وإقراراً بأهمية هذا الموضوع ، كما هو مبين في القرار 76 للمؤتمر العالمي لتنمية الاتصالات (المكمَّل بالقرارات 11 و37 و45 و46 و55 و58 و67 للمؤتمر العالمي لتنمية الاتصالات) والقرار 198 لمؤتمر المندوبين المفوضين لعام 2022 (المكمَّل بالقرارات 70 و175 و179 و184 لمؤتمر المندوبين المفوضين)، ذي الصلة بكل الشباب (نساءً ورجالاً، بمن فيهم الأشخاص ذوو الإعاقة وأفراد المجتمعات النائية والشعوب الأصلية) وشواغلهم المتعلقة بالشمول والمشاركة في العصر الرقمي، يقترح مكتب تنمية الاتصالات تنظيم قمة عالمية للشباب (</w:t>
      </w:r>
      <w:r w:rsidRPr="00A600AF">
        <w:rPr>
          <w:lang w:bidi="ar-EG"/>
        </w:rPr>
        <w:t>GYS</w:t>
      </w:r>
      <w:r w:rsidRPr="00A600AF">
        <w:rPr>
          <w:rtl/>
        </w:rPr>
        <w:t xml:space="preserve">) قبل المؤتمر العالمي لتنمية الاتصالات لعام 25 (WTDC-25). </w:t>
      </w:r>
    </w:p>
    <w:p w14:paraId="5DB4F9A6" w14:textId="77777777" w:rsidR="00A600AF" w:rsidRPr="00A600AF" w:rsidRDefault="00A600AF" w:rsidP="00A600AF">
      <w:pPr>
        <w:rPr>
          <w:lang w:val="ar-SA" w:bidi="ar-EG"/>
        </w:rPr>
      </w:pPr>
      <w:r w:rsidRPr="00A600AF">
        <w:rPr>
          <w:rtl/>
        </w:rPr>
        <w:lastRenderedPageBreak/>
        <w:t xml:space="preserve">وستكون القمة بمثابة منصة للشباب للتعبير عن آرائهم واحتياجاتهم وأولوياتهم التي تتعلق بالنفاذ إلى التكنولوجيات، بما في ذلك التكنولوجيات الناشئة، واستعمالها، والتي سيتم النظر فيها وإدراجها في جدول أعمال المؤتمر العالمي لتنمية الاتصالات وتضمينها أيضاً في القرارات وخطة العمل ذات الصلة. </w:t>
      </w:r>
    </w:p>
    <w:p w14:paraId="02DA3691" w14:textId="772AC954" w:rsidR="00A600AF" w:rsidRPr="00A600AF" w:rsidRDefault="00A600AF" w:rsidP="00A600AF">
      <w:pPr>
        <w:rPr>
          <w:lang w:val="ar-SA" w:bidi="ar-EG"/>
        </w:rPr>
      </w:pPr>
      <w:r w:rsidRPr="00A600AF">
        <w:rPr>
          <w:rtl/>
        </w:rPr>
        <w:t>وعلى النحو المعمول به أيضاً في الأعمال التحضيرية لقمة الشباب العالمية الأولى، ستسهل المكاتب الإقليمية للاتحاد في كل اجتماع إقليمي تحضيري</w:t>
      </w:r>
      <w:r w:rsidR="00FB3A5E">
        <w:rPr>
          <w:rFonts w:hint="cs"/>
          <w:rtl/>
        </w:rPr>
        <w:t xml:space="preserve"> </w:t>
      </w:r>
      <w:r w:rsidR="00FB3A5E">
        <w:t>(RPM)</w:t>
      </w:r>
      <w:r w:rsidRPr="00A600AF">
        <w:rPr>
          <w:rtl/>
        </w:rPr>
        <w:t xml:space="preserve"> للمؤتمر WTDC-25 جزءاً مكرساً للشباب يُعقد قبل القمة العالمية للشباب. وستشكل العناصر/الإعلانات الصادرة عن الأجزاء المكرسة للشباب في كل اجتماع إقليمي تحضيري الوثائق الأساسية للإعلان العالمي للشباب الذي سيصدر عن القمة العالمية للشباب.</w:t>
      </w:r>
    </w:p>
    <w:p w14:paraId="086C0350" w14:textId="22EAE56E" w:rsidR="00A600AF" w:rsidRPr="00A600AF" w:rsidRDefault="00EC694C" w:rsidP="00EC694C">
      <w:pPr>
        <w:pStyle w:val="Heading1"/>
        <w:rPr>
          <w:lang w:val="ar-SA" w:bidi="ar-EG"/>
        </w:rPr>
      </w:pPr>
      <w:r>
        <w:t>3</w:t>
      </w:r>
      <w:r>
        <w:tab/>
      </w:r>
      <w:r w:rsidR="00A600AF" w:rsidRPr="00A600AF">
        <w:rPr>
          <w:rtl/>
        </w:rPr>
        <w:t>الأنشطة</w:t>
      </w:r>
    </w:p>
    <w:p w14:paraId="32C7D51B" w14:textId="77777777" w:rsidR="00A600AF" w:rsidRPr="00A600AF" w:rsidRDefault="00A600AF" w:rsidP="00A600AF">
      <w:pPr>
        <w:rPr>
          <w:lang w:val="ar-SA" w:bidi="ar-EG"/>
        </w:rPr>
      </w:pPr>
      <w:r w:rsidRPr="00A600AF">
        <w:rPr>
          <w:rtl/>
        </w:rPr>
        <w:t>لتنظيم القمة العالمية للشباب ذات الصلة بغرض وغايات المؤتمر WTDC-25، بوصفه المنصة الرئيسية التي يعالج فيها المجتمع العالمي القضايا الرئيسية المتعلقة بتنمية الاتصالات وتكنولوجيا المعلومات والاتصالات، ومع الهدف النهائي المتمثل في تعزيز الشمول الرقمي والتنمية الاجتماعية والاقتصادية والنمو المستدام لجميع الناس، بمن فيهم الشباب، تُقترح الأنشطة التالية على أعضاء الاتحاد للنظر فيها</w:t>
      </w:r>
      <w:r w:rsidRPr="00A600AF">
        <w:rPr>
          <w:lang w:bidi="ar-EG"/>
        </w:rPr>
        <w:t>:</w:t>
      </w:r>
      <w:r w:rsidRPr="00A600AF">
        <w:rPr>
          <w:rtl/>
        </w:rPr>
        <w:t xml:space="preserve"> </w:t>
      </w:r>
    </w:p>
    <w:p w14:paraId="37472A64" w14:textId="24C5A55D" w:rsidR="00A600AF" w:rsidRPr="00A600AF" w:rsidRDefault="00EC694C" w:rsidP="00EC694C">
      <w:pPr>
        <w:pStyle w:val="enumlev1"/>
        <w:rPr>
          <w:lang w:val="ar-SA" w:bidi="ar-EG"/>
        </w:rPr>
      </w:pPr>
      <w:r>
        <w:t>‘1’</w:t>
      </w:r>
      <w:r>
        <w:tab/>
      </w:r>
      <w:r w:rsidR="00A600AF" w:rsidRPr="00A600AF">
        <w:rPr>
          <w:rtl/>
        </w:rPr>
        <w:t xml:space="preserve">إنشاء لجنة توجيهية تابعة لأمانة مكتب تنمية الاتصالات، يقودها مدير مكتب تنمية الاتصالات وتتألف من ممثلين عن الدول الأعضاء في الاتحاد وأعضاء قطاع تنمية الاتصالات والهيئات الأكاديمية المنضمة إلى الاتحاد وأصحاب المصلحة الآخرين، بما في ذلك المنظمات العالمية للشباب، والشباب الآخرون مثل المبعوثين الإقليميين الشباب لمبادرة توصيل الجيل وممثلي المنظمات غير الحكومية. وسيتمثل هدف اللجنة في الإشراف على تخطيط وتنظيم وتنفيذ القمة العالمية للشباب، وكذلك النظر في الاحتياجات ذات الصلة بتمكين الشباب من خلال التكنولوجيا، لجميع فئات الشباب ذات الصلة مثل الشابات، والمهاجرين الشباب، والشباب من المجتمعات النائية و/أو الشعوب الأصلية، والشباب ذوي الإعاقة وغيرهم. </w:t>
      </w:r>
    </w:p>
    <w:p w14:paraId="403214C2" w14:textId="099FE88D" w:rsidR="00A600AF" w:rsidRPr="00A600AF" w:rsidRDefault="00EC694C" w:rsidP="00EC694C">
      <w:pPr>
        <w:pStyle w:val="enumlev1"/>
        <w:rPr>
          <w:lang w:val="ar-SA" w:bidi="ar-EG"/>
        </w:rPr>
      </w:pPr>
      <w:r>
        <w:t>‘</w:t>
      </w:r>
      <w:r>
        <w:t>2</w:t>
      </w:r>
      <w:r>
        <w:t>’</w:t>
      </w:r>
      <w:r>
        <w:tab/>
      </w:r>
      <w:r w:rsidR="00A600AF" w:rsidRPr="00A600AF">
        <w:rPr>
          <w:rtl/>
        </w:rPr>
        <w:t xml:space="preserve">إعداد برنامج عمل شامل للقمة العالمية للشباب يركز على المجالات الرئيسية مثل النفاذ الرقمي، وتنمية المهارات الرقمية، والمهارات الرقمية اللازمة للوظائف/الاقتصاد الرقمي، وتمكين الشباب وقيادتهم، والسلامة على الإنترنت، وريادة الأعمال الرقمية، ودور التكنولوجيا في مواجهة التحديات العالمية، بالاستناد إلى نتائج الاجتماعات الإقليمية التحضيرية للمؤتمر WTDC-25 وأنشطة التصميم المشترك مع الشباب. </w:t>
      </w:r>
    </w:p>
    <w:p w14:paraId="5C533123" w14:textId="30125876" w:rsidR="00A600AF" w:rsidRPr="00A600AF" w:rsidRDefault="00EC694C" w:rsidP="00EC694C">
      <w:pPr>
        <w:pStyle w:val="enumlev1"/>
        <w:rPr>
          <w:lang w:val="ar-SA" w:bidi="ar-EG"/>
        </w:rPr>
      </w:pPr>
      <w:r>
        <w:t>‘</w:t>
      </w:r>
      <w:r>
        <w:t>3</w:t>
      </w:r>
      <w:r>
        <w:t>’</w:t>
      </w:r>
      <w:r>
        <w:tab/>
      </w:r>
      <w:r w:rsidR="00A600AF" w:rsidRPr="00A600AF">
        <w:rPr>
          <w:rtl/>
        </w:rPr>
        <w:t xml:space="preserve">تحديد مجموعة متنوعة من المندوبين الشباب، بما في ذلك ضمن المبعوثين الإقليميين الشباب لمبادرة توصيل الجيل، من الفئة العمرية 18 -24 سنة، بالتنسيق مع الدول الأعضاء والمنظمات الإقليمية للاتصالات، لدعوتهم إلى المشاركة في الأجزاء الإقليمية المكرسة للشباب في الاجتماعات الإقليمية التحضيرية للمؤتمر WTDC-25، ثم في القمة العالمية للشباب، لضمان تمثيل متنوع وشامل لمنظمات الشباب الوطنية والإقليمية والعالمية المعترف بها، مع التركيز بوجه خاص على الفئات المهمشة وغير الممثلة تمثيلاً كافياً. </w:t>
      </w:r>
    </w:p>
    <w:p w14:paraId="7E9103AC" w14:textId="6B8CD6EE" w:rsidR="00A600AF" w:rsidRPr="00A600AF" w:rsidRDefault="00EC694C" w:rsidP="00EC694C">
      <w:pPr>
        <w:pStyle w:val="enumlev1"/>
        <w:rPr>
          <w:lang w:val="ar-SA" w:bidi="ar-EG"/>
        </w:rPr>
      </w:pPr>
      <w:r>
        <w:t>‘</w:t>
      </w:r>
      <w:r>
        <w:t>4</w:t>
      </w:r>
      <w:r>
        <w:t>’</w:t>
      </w:r>
      <w:r>
        <w:tab/>
      </w:r>
      <w:r w:rsidR="00A600AF" w:rsidRPr="00A600AF">
        <w:rPr>
          <w:rtl/>
        </w:rPr>
        <w:t xml:space="preserve"> عقد حلقات نقاش وجلسات تفاعلية لتسهيل تبادل الأفكار والخبرات وأفضل الممارسات بين الشباب، لتمكينهم من العمل معاً على وضع الصيغة النهائية للإعلان العالمي للشباب. </w:t>
      </w:r>
    </w:p>
    <w:p w14:paraId="1C46D645" w14:textId="4A0D5845" w:rsidR="00A600AF" w:rsidRPr="00A600AF" w:rsidRDefault="00EC694C" w:rsidP="00EC694C">
      <w:pPr>
        <w:pStyle w:val="enumlev1"/>
        <w:rPr>
          <w:rFonts w:hint="cs"/>
          <w:lang w:val="ar-SA" w:bidi="ar-EG"/>
        </w:rPr>
      </w:pPr>
      <w:r>
        <w:t>‘</w:t>
      </w:r>
      <w:r>
        <w:t>5</w:t>
      </w:r>
      <w:r>
        <w:t>’</w:t>
      </w:r>
      <w:r>
        <w:tab/>
      </w:r>
      <w:r w:rsidR="00A600AF" w:rsidRPr="00E7030F">
        <w:rPr>
          <w:rtl/>
        </w:rPr>
        <w:t>إعداد تقرير شامل يتضمن النتائج والتوصيات الواردة في الإعلان العالمي للشباب، لتقديمه إلى المؤتمر WTDC-25، ضمن الموعد النهائي لتقديم الوثائق لإدراجه في المناقشات التي ستجري خلال المؤتمر</w:t>
      </w:r>
      <w:r w:rsidR="00E7030F" w:rsidRPr="00E7030F">
        <w:rPr>
          <w:rFonts w:hint="cs"/>
          <w:rtl/>
        </w:rPr>
        <w:t xml:space="preserve"> </w:t>
      </w:r>
      <w:r w:rsidR="00E7030F" w:rsidRPr="00E7030F">
        <w:t>WTDC</w:t>
      </w:r>
      <w:r w:rsidR="00E7030F" w:rsidRPr="00E7030F">
        <w:noBreakHyphen/>
        <w:t>25</w:t>
      </w:r>
      <w:r w:rsidR="00A600AF" w:rsidRPr="00E7030F">
        <w:rPr>
          <w:rtl/>
        </w:rPr>
        <w:t xml:space="preserve"> وفي أولويات عمل مكتب تنمية الاتصالات وقراراته، حسب الاقتضاء.</w:t>
      </w:r>
      <w:r w:rsidR="00A600AF" w:rsidRPr="00A600AF">
        <w:rPr>
          <w:rtl/>
        </w:rPr>
        <w:t xml:space="preserve"> </w:t>
      </w:r>
    </w:p>
    <w:p w14:paraId="6496E769" w14:textId="00C4A799" w:rsidR="00A600AF" w:rsidRPr="00A600AF" w:rsidRDefault="00EC694C" w:rsidP="00EC694C">
      <w:pPr>
        <w:pStyle w:val="enumlev1"/>
        <w:rPr>
          <w:lang w:val="ar-SA" w:bidi="ar-EG"/>
        </w:rPr>
      </w:pPr>
      <w:r>
        <w:t>‘</w:t>
      </w:r>
      <w:r>
        <w:t>6</w:t>
      </w:r>
      <w:r>
        <w:t>’</w:t>
      </w:r>
      <w:r>
        <w:tab/>
      </w:r>
      <w:r w:rsidR="00A600AF" w:rsidRPr="00A600AF">
        <w:rPr>
          <w:rtl/>
        </w:rPr>
        <w:t xml:space="preserve">وضع استراتيجية لما بعد القمة العالمية للشباب لينظر فيها أعضاء الاتحاد، بحيث تحدد الإجراءات وعملية التنفيذ ذات الصلة، بما في ذلك الموارد والمتطلبات. </w:t>
      </w:r>
    </w:p>
    <w:p w14:paraId="0C3898E4" w14:textId="7E04AE41" w:rsidR="00A600AF" w:rsidRPr="00A600AF" w:rsidRDefault="00EC694C" w:rsidP="00EC694C">
      <w:pPr>
        <w:pStyle w:val="Heading1"/>
        <w:rPr>
          <w:lang w:val="ar-SA" w:bidi="ar-EG"/>
        </w:rPr>
      </w:pPr>
      <w:r>
        <w:t>4</w:t>
      </w:r>
      <w:r>
        <w:tab/>
      </w:r>
      <w:r w:rsidR="00A600AF" w:rsidRPr="00A600AF">
        <w:rPr>
          <w:rtl/>
        </w:rPr>
        <w:t xml:space="preserve">الميزانية </w:t>
      </w:r>
    </w:p>
    <w:p w14:paraId="724E0BF6" w14:textId="77777777" w:rsidR="00A600AF" w:rsidRPr="00A600AF" w:rsidRDefault="00A600AF" w:rsidP="00A600AF">
      <w:pPr>
        <w:rPr>
          <w:lang w:val="ar-SA" w:bidi="ar-EG"/>
        </w:rPr>
      </w:pPr>
      <w:r w:rsidRPr="00A600AF">
        <w:rPr>
          <w:rtl/>
        </w:rPr>
        <w:t xml:space="preserve">سيتم إعداد ميزانية تفصيلية مع التكاليف المرتبطة بتنظيم الحدث، بما يشمل اللوجستيات واستئجار مكان الحدث وسفر المندوبين وإقامتهم والمواد الترويجية والنفقات الأخرى ذات الصلة. وفي إطار العامل التمكيني "الشراكات والتعاون الدولي وتعبئة الموارد" الوارد في خطة عمل كيغالي، سيدعى أعضاء الاتحاد إلى دعم أنشطة جمع الأموال لتسهيل تغطية التكاليف الخارجة عن الميزانية لهذه المهمة. </w:t>
      </w:r>
    </w:p>
    <w:p w14:paraId="372DD1DB" w14:textId="0CAD7316" w:rsidR="00A600AF" w:rsidRPr="00A600AF" w:rsidRDefault="00EC694C" w:rsidP="00EC694C">
      <w:pPr>
        <w:pStyle w:val="Heading1"/>
        <w:rPr>
          <w:lang w:val="ar-SA" w:bidi="ar-EG"/>
        </w:rPr>
      </w:pPr>
      <w:r>
        <w:lastRenderedPageBreak/>
        <w:t>5</w:t>
      </w:r>
      <w:r>
        <w:tab/>
      </w:r>
      <w:r w:rsidR="00A600AF" w:rsidRPr="00A600AF">
        <w:rPr>
          <w:rtl/>
        </w:rPr>
        <w:t xml:space="preserve">الجدول الزمني </w:t>
      </w:r>
    </w:p>
    <w:p w14:paraId="73D89134" w14:textId="77777777" w:rsidR="00A600AF" w:rsidRPr="00A600AF" w:rsidRDefault="00A600AF" w:rsidP="00A600AF">
      <w:pPr>
        <w:rPr>
          <w:lang w:val="ar-SA" w:bidi="ar-EG"/>
        </w:rPr>
      </w:pPr>
      <w:r w:rsidRPr="00A600AF">
        <w:rPr>
          <w:rtl/>
        </w:rPr>
        <w:t xml:space="preserve">يُقترح أن تُعقد القمة العالمية للشباب في 2025 بعد آخر اجتماع إقليمي تحضيري للمؤتمر WTDC-25 وقبل الموعد النهائي لتقديم مساهمات للمؤتمر، لإتاحة الوقت الكافي لإدراج النتائج والتوصيات النهائية للإعلان العالمي للشباب في جدول أعمال المؤتمر العالمي لتنمية الاتصالات في وقت لاحق من ذلك العام. </w:t>
      </w:r>
    </w:p>
    <w:p w14:paraId="56475F24" w14:textId="1D1B6F92" w:rsidR="00A600AF" w:rsidRPr="00A600AF" w:rsidRDefault="00EC694C" w:rsidP="00EC694C">
      <w:pPr>
        <w:pStyle w:val="Heading1"/>
        <w:rPr>
          <w:lang w:val="ar-SA" w:bidi="ar-EG"/>
        </w:rPr>
      </w:pPr>
      <w:r>
        <w:t>6</w:t>
      </w:r>
      <w:r>
        <w:tab/>
      </w:r>
      <w:r w:rsidR="00A600AF" w:rsidRPr="00A600AF">
        <w:rPr>
          <w:rtl/>
        </w:rPr>
        <w:t xml:space="preserve">الخلاصة </w:t>
      </w:r>
    </w:p>
    <w:p w14:paraId="0B19CD9C" w14:textId="6F45DF6C" w:rsidR="00A600AF" w:rsidRPr="00A600AF" w:rsidRDefault="00A600AF" w:rsidP="00A600AF">
      <w:pPr>
        <w:rPr>
          <w:lang w:val="ar-SA" w:bidi="ar-EG"/>
        </w:rPr>
      </w:pPr>
      <w:r w:rsidRPr="00A600AF">
        <w:rPr>
          <w:rtl/>
        </w:rPr>
        <w:t xml:space="preserve">يقترح مكتب تنمية الاتصالات تنظيم قمة عالمية للشباب </w:t>
      </w:r>
      <w:r w:rsidRPr="00A600AF">
        <w:rPr>
          <w:lang w:bidi="ar-EG"/>
        </w:rPr>
        <w:t>GYS</w:t>
      </w:r>
      <w:r w:rsidR="00EC694C">
        <w:rPr>
          <w:lang w:bidi="ar-EG"/>
        </w:rPr>
        <w:t>)</w:t>
      </w:r>
      <w:r w:rsidRPr="00A600AF">
        <w:rPr>
          <w:rtl/>
        </w:rPr>
        <w:t xml:space="preserve">) يسبقها تنظيم أجزاء إقليمية مكرسة للشباب في الاجتماعات الإقليمية التحضيرية للمؤتمر WTDC-25، لتوفير منصة مفتوحة للشباب للإعراب عن شواغلهم والمساهمة في عملية صنع القرار على الصعيدين الإقليمي والعالمي بشأن القضايا الحرجة المتعلقة بالشمول الرقمي المتكافئ والمنصف وتمكين شباب العالم، خاصة المحرومين منهم، في إطار أعمال قطاع تنمية الاتصالات بالاتحاد. </w:t>
      </w:r>
    </w:p>
    <w:p w14:paraId="77F191DD" w14:textId="77777777" w:rsidR="00A600AF" w:rsidRPr="00A600AF" w:rsidRDefault="00A600AF" w:rsidP="00A600AF">
      <w:pPr>
        <w:rPr>
          <w:lang w:val="ar-SA" w:bidi="ar-EG"/>
        </w:rPr>
      </w:pPr>
      <w:r w:rsidRPr="00A600AF">
        <w:rPr>
          <w:rtl/>
        </w:rPr>
        <w:t xml:space="preserve">ومن خلال دمج الرؤى والأولويات التي يحددها الشباب في إطار الأجزاء الإقليمية الستة المكرسة للشباب في الاجتماعات الإقليمية التحضيرية للمؤتمر WTDC-25، يهدف مكتب تنمية الاتصالات إلى ضمان نهج منسق مع أعضاء الاتحاد، وتقديم نتائج واضحة من الشباب على الصعيدين الإقليمي والعالمي لكي ينظر فيها أعضاء الاتحاد، وزيادة الإمكانات التشغيلية من خلال الربط بتنفيذ المبادرات الإقليمية للمؤتمر العالمي لتنمية الاتصالات. </w:t>
      </w:r>
    </w:p>
    <w:p w14:paraId="0975D455" w14:textId="77777777" w:rsidR="00A600AF" w:rsidRPr="00A600AF" w:rsidRDefault="00A600AF" w:rsidP="00A600AF">
      <w:pPr>
        <w:rPr>
          <w:lang w:val="ar-SA" w:bidi="ar-EG"/>
        </w:rPr>
      </w:pPr>
      <w:r w:rsidRPr="00A600AF">
        <w:rPr>
          <w:rtl/>
        </w:rPr>
        <w:t xml:space="preserve">ونتيجة لذلك، سيتسنى للدول الأعضاء تكوين فهم أفضل للاحتياجات الشباب ومتطلباتهم المحددة، بما يناسب كل منطقة. وستمكّن العناصر/الإعلانات الصادرة عن الأجزاء الإقليمية المكرسة للشباب أعضاء الاتحاد من زيادة إدماج هذه الجوانب في المبادرات الإقليمية بوسائل منها وضع سياسات واستراتيجيات وإجراءات مناسبة على الصعيدين الإقليمي والوطني لتلبية هذه الاحتياجات والمتطلبات المحددة. </w:t>
      </w:r>
    </w:p>
    <w:p w14:paraId="085F7CE6" w14:textId="77777777" w:rsidR="00A600AF" w:rsidRPr="00A600AF" w:rsidRDefault="00A600AF" w:rsidP="00A600AF">
      <w:pPr>
        <w:rPr>
          <w:lang w:val="ar-SA" w:bidi="ar-EG"/>
        </w:rPr>
      </w:pPr>
      <w:r w:rsidRPr="00A600AF">
        <w:rPr>
          <w:rtl/>
        </w:rPr>
        <w:t xml:space="preserve">وعلاوة على ذلك، ستوفر القمة جسراً بين الأجيال يربط صناع القرار الرئيسيين من بين الدول الأعضاء بآراء الشباب، لتمكينهم من اتخاذ الخطوات اللازمة لضمان التمكين المتكافئ والمنصف لجميع الشباب من خلال التكنولوجيا. </w:t>
      </w:r>
    </w:p>
    <w:p w14:paraId="524749FD" w14:textId="77777777" w:rsidR="00A600AF" w:rsidRPr="00A600AF" w:rsidRDefault="00A600AF" w:rsidP="00A600AF">
      <w:pPr>
        <w:rPr>
          <w:spacing w:val="4"/>
          <w:lang w:val="ar-SA" w:bidi="ar-EG"/>
        </w:rPr>
      </w:pPr>
      <w:r w:rsidRPr="00A600AF">
        <w:rPr>
          <w:spacing w:val="4"/>
          <w:rtl/>
        </w:rPr>
        <w:t xml:space="preserve">ويتمثل الهدف النهائي للقمة في مساعدة الأجيال الشابة على دفع التحول الرقمي العالمي بصفتها قائدة العالم الرقمي في المستقبل. </w:t>
      </w:r>
    </w:p>
    <w:p w14:paraId="4E3DEA4B"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33759" w14:textId="77777777" w:rsidR="00A600AF" w:rsidRDefault="00A600AF" w:rsidP="006C3242">
      <w:pPr>
        <w:spacing w:before="0" w:line="240" w:lineRule="auto"/>
      </w:pPr>
      <w:r>
        <w:separator/>
      </w:r>
    </w:p>
  </w:endnote>
  <w:endnote w:type="continuationSeparator" w:id="0">
    <w:p w14:paraId="3B2B94BE" w14:textId="77777777" w:rsidR="00A600AF" w:rsidRDefault="00A600A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574B4" w14:textId="24B2739D" w:rsidR="006C3242" w:rsidRPr="00983DA5" w:rsidRDefault="006C3242" w:rsidP="00FE5872">
    <w:pPr>
      <w:pStyle w:val="Footer"/>
      <w:tabs>
        <w:tab w:val="clear" w:pos="4153"/>
        <w:tab w:val="clear" w:pos="8306"/>
        <w:tab w:val="center" w:pos="5103"/>
        <w:tab w:val="right" w:pos="9639"/>
      </w:tabs>
      <w:spacing w:before="120"/>
      <w:rPr>
        <w:sz w:val="16"/>
        <w:szCs w:val="16"/>
        <w:lang w:val="pt-PT"/>
      </w:rPr>
    </w:pPr>
    <w:r w:rsidRPr="0026373E">
      <w:rPr>
        <w:sz w:val="16"/>
        <w:szCs w:val="16"/>
        <w:lang w:val="fr-FR"/>
      </w:rPr>
      <w:fldChar w:fldCharType="begin"/>
    </w:r>
    <w:r w:rsidRPr="00983DA5">
      <w:rPr>
        <w:sz w:val="16"/>
        <w:szCs w:val="16"/>
        <w:lang w:val="pt-PT"/>
      </w:rPr>
      <w:instrText xml:space="preserve"> FILENAME \p \* MERGEFORMAT </w:instrText>
    </w:r>
    <w:r w:rsidRPr="0026373E">
      <w:rPr>
        <w:sz w:val="16"/>
        <w:szCs w:val="16"/>
        <w:lang w:val="fr-FR"/>
      </w:rPr>
      <w:fldChar w:fldCharType="separate"/>
    </w:r>
    <w:r w:rsidR="009E0E11">
      <w:rPr>
        <w:noProof/>
        <w:sz w:val="16"/>
        <w:szCs w:val="16"/>
        <w:lang w:val="pt-PT"/>
      </w:rPr>
      <w:t>P:\ARA\ITU-D\CONF-D\TDAG23\TDAG23-30\000\027A.docx</w:t>
    </w:r>
    <w:r w:rsidRPr="0026373E">
      <w:rPr>
        <w:sz w:val="16"/>
        <w:szCs w:val="16"/>
      </w:rPr>
      <w:fldChar w:fldCharType="end"/>
    </w:r>
    <w:r w:rsidRPr="00983DA5">
      <w:rPr>
        <w:sz w:val="16"/>
        <w:szCs w:val="16"/>
        <w:lang w:val="pt-PT"/>
      </w:rPr>
      <w:t xml:space="preserve">   </w:t>
    </w:r>
    <w:r w:rsidRPr="00983DA5">
      <w:rPr>
        <w:sz w:val="16"/>
        <w:szCs w:val="16"/>
        <w:lang w:val="pt-PT"/>
      </w:rPr>
      <w:t>(</w:t>
    </w:r>
    <w:r w:rsidR="009E0E11" w:rsidRPr="009E0E11">
      <w:rPr>
        <w:sz w:val="16"/>
        <w:szCs w:val="16"/>
        <w:lang w:val="pt-PT"/>
      </w:rPr>
      <w:t>522873</w:t>
    </w:r>
    <w:r w:rsidRPr="00983DA5">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00C13AC8" w14:textId="77777777" w:rsidTr="00F03E94">
      <w:tc>
        <w:tcPr>
          <w:tcW w:w="991" w:type="dxa"/>
          <w:tcBorders>
            <w:top w:val="single" w:sz="4" w:space="0" w:color="auto"/>
            <w:left w:val="nil"/>
            <w:bottom w:val="nil"/>
            <w:right w:val="nil"/>
          </w:tcBorders>
          <w:shd w:val="clear" w:color="auto" w:fill="FFFFFF" w:themeFill="background1"/>
          <w:hideMark/>
        </w:tcPr>
        <w:p w14:paraId="2BC9DA2A"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79C352E6"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555032FF" w14:textId="78C5216D" w:rsidR="00882A17" w:rsidRPr="005874F2" w:rsidRDefault="00A600AF" w:rsidP="00A600AF">
          <w:pPr>
            <w:spacing w:before="60" w:after="40" w:line="260" w:lineRule="exact"/>
            <w:rPr>
              <w:position w:val="2"/>
              <w:sz w:val="18"/>
              <w:szCs w:val="18"/>
              <w:rtl/>
              <w:lang w:val="en-GB" w:bidi="ar-EG"/>
            </w:rPr>
          </w:pPr>
          <w:r w:rsidRPr="00A600AF">
            <w:rPr>
              <w:position w:val="2"/>
              <w:sz w:val="18"/>
              <w:szCs w:val="18"/>
              <w:rtl/>
              <w:lang w:val="en-GB"/>
            </w:rPr>
            <w:t>السيدة سيلفيا بول، رئيسة شعبة المجتمع الرقمي، مكتب تنمية الاتصالات</w:t>
          </w:r>
        </w:p>
      </w:tc>
    </w:tr>
    <w:tr w:rsidR="00882A17" w:rsidRPr="005874F2" w14:paraId="1518BBE4" w14:textId="77777777" w:rsidTr="00F03E94">
      <w:tc>
        <w:tcPr>
          <w:tcW w:w="991" w:type="dxa"/>
        </w:tcPr>
        <w:p w14:paraId="0FF8AB7A"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51D7303A"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4761FC4C" w14:textId="20454F96" w:rsidR="00882A17" w:rsidRPr="005874F2" w:rsidRDefault="00A600AF" w:rsidP="00A600AF">
          <w:pPr>
            <w:spacing w:before="60" w:after="40" w:line="260" w:lineRule="exact"/>
            <w:rPr>
              <w:position w:val="2"/>
              <w:sz w:val="18"/>
              <w:szCs w:val="18"/>
              <w:lang w:val="en-GB"/>
            </w:rPr>
          </w:pPr>
          <w:r w:rsidRPr="00A600AF">
            <w:rPr>
              <w:position w:val="2"/>
              <w:sz w:val="18"/>
              <w:szCs w:val="18"/>
              <w:lang w:val="en-GB"/>
            </w:rPr>
            <w:t>+41 22 730 6762</w:t>
          </w:r>
        </w:p>
      </w:tc>
    </w:tr>
    <w:tr w:rsidR="00882A17" w:rsidRPr="005874F2" w14:paraId="52C5C4CC" w14:textId="77777777" w:rsidTr="00F03E94">
      <w:tc>
        <w:tcPr>
          <w:tcW w:w="991" w:type="dxa"/>
        </w:tcPr>
        <w:p w14:paraId="70ECC9DB"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4708C0F5"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35DF4E25" w14:textId="073B83A1" w:rsidR="00882A17" w:rsidRPr="005874F2" w:rsidRDefault="00A600AF" w:rsidP="00A600AF">
          <w:pPr>
            <w:spacing w:before="60" w:after="40" w:line="260" w:lineRule="exact"/>
            <w:rPr>
              <w:position w:val="2"/>
              <w:sz w:val="18"/>
              <w:szCs w:val="18"/>
              <w:rtl/>
              <w:lang w:val="fr-FR" w:bidi="ar-EG"/>
            </w:rPr>
          </w:pPr>
          <w:hyperlink r:id="rId1" w:history="1">
            <w:r w:rsidRPr="00A600AF">
              <w:rPr>
                <w:rStyle w:val="Hyperlink"/>
                <w:position w:val="2"/>
                <w:sz w:val="18"/>
                <w:szCs w:val="18"/>
                <w:lang w:val="en-GB" w:bidi="ar-EG"/>
              </w:rPr>
              <w:t>sylvia.poll@itu.int</w:t>
            </w:r>
          </w:hyperlink>
        </w:p>
      </w:tc>
    </w:tr>
  </w:tbl>
  <w:p w14:paraId="081B9A68" w14:textId="77777777" w:rsidR="0006468A" w:rsidRPr="003971E3" w:rsidRDefault="001853E6"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25B5B" w14:textId="77777777" w:rsidR="00A600AF" w:rsidRDefault="00A600AF" w:rsidP="006C3242">
      <w:pPr>
        <w:spacing w:before="0" w:line="240" w:lineRule="auto"/>
      </w:pPr>
      <w:r>
        <w:separator/>
      </w:r>
    </w:p>
  </w:footnote>
  <w:footnote w:type="continuationSeparator" w:id="0">
    <w:p w14:paraId="10EAE973" w14:textId="77777777" w:rsidR="00A600AF" w:rsidRDefault="00A600AF" w:rsidP="006C3242">
      <w:pPr>
        <w:spacing w:before="0" w:line="240" w:lineRule="auto"/>
      </w:pPr>
      <w:r>
        <w:continuationSeparator/>
      </w:r>
    </w:p>
  </w:footnote>
  <w:footnote w:id="1">
    <w:p w14:paraId="35EE507E" w14:textId="11ADF32E" w:rsidR="00A600AF" w:rsidRPr="00815D6A" w:rsidRDefault="00A600AF" w:rsidP="00EC694C">
      <w:pPr>
        <w:pStyle w:val="FootnoteText"/>
        <w:tabs>
          <w:tab w:val="clear" w:pos="794"/>
          <w:tab w:val="left" w:pos="283"/>
        </w:tabs>
        <w:spacing w:before="0"/>
        <w:textDirection w:val="tbRlV"/>
        <w:rPr>
          <w:sz w:val="20"/>
          <w:szCs w:val="20"/>
          <w:lang w:val="ar-SA" w:eastAsia="zh-TW" w:bidi="en-GB"/>
        </w:rPr>
      </w:pPr>
      <w:r w:rsidRPr="00815D6A">
        <w:rPr>
          <w:rStyle w:val="FootnoteReference"/>
          <w:sz w:val="20"/>
          <w:rtl/>
        </w:rPr>
        <w:footnoteRef/>
      </w:r>
      <w:r w:rsidR="00EC694C">
        <w:rPr>
          <w:rtl/>
        </w:rPr>
        <w:tab/>
      </w:r>
      <w:hyperlink r:id="rId1" w:history="1">
        <w:r w:rsidRPr="00EC694C">
          <w:rPr>
            <w:rStyle w:val="Hyperlink"/>
            <w:rtl/>
          </w:rPr>
          <w:t>تقرير مستقبل الوظائف لعام 2023 | المنتدى الاقتصادي العالمي</w:t>
        </w:r>
      </w:hyperlink>
      <w:r w:rsidRPr="00EC694C">
        <w:rPr>
          <w:rtl/>
        </w:rPr>
        <w:t xml:space="preserve"> </w:t>
      </w:r>
    </w:p>
  </w:footnote>
  <w:footnote w:id="2">
    <w:p w14:paraId="1292D20F" w14:textId="24F52A56" w:rsidR="00A600AF" w:rsidRPr="00815D6A" w:rsidRDefault="00A600AF" w:rsidP="00EC694C">
      <w:pPr>
        <w:pStyle w:val="FootnoteText"/>
        <w:tabs>
          <w:tab w:val="clear" w:pos="794"/>
          <w:tab w:val="left" w:pos="283"/>
        </w:tabs>
        <w:spacing w:before="0"/>
        <w:textDirection w:val="tbRlV"/>
        <w:rPr>
          <w:rFonts w:hint="cs"/>
          <w:sz w:val="20"/>
          <w:szCs w:val="20"/>
          <w:lang w:val="ar-SA" w:eastAsia="zh-TW" w:bidi="ar-EG"/>
        </w:rPr>
      </w:pPr>
      <w:r w:rsidRPr="00815D6A">
        <w:rPr>
          <w:rStyle w:val="FootnoteReference"/>
          <w:sz w:val="20"/>
          <w:rtl/>
        </w:rPr>
        <w:footnoteRef/>
      </w:r>
      <w:r w:rsidR="00EC694C">
        <w:rPr>
          <w:rtl/>
        </w:rPr>
        <w:tab/>
      </w:r>
      <w:hyperlink r:id="rId2" w:history="1">
        <w:r w:rsidRPr="00EC694C">
          <w:rPr>
            <w:rStyle w:val="Hyperlink"/>
            <w:rtl/>
          </w:rPr>
          <w:t xml:space="preserve">منتدى الشباب للمجلس الاقتصادي والاجتماعي لعام 2023 | المجلس الاقتصادي والاجتماعي </w:t>
        </w:r>
        <w:r w:rsidR="00EC694C" w:rsidRPr="00EC694C">
          <w:rPr>
            <w:rStyle w:val="Hyperlink"/>
          </w:rPr>
          <w:t>(</w:t>
        </w:r>
        <w:r w:rsidRPr="00EC694C">
          <w:rPr>
            <w:rStyle w:val="Hyperlink"/>
            <w:rFonts w:cs="Times New Roman"/>
            <w:sz w:val="20"/>
            <w:szCs w:val="20"/>
          </w:rPr>
          <w:t>ECOSOC</w:t>
        </w:r>
        <w:r w:rsidR="00EC694C" w:rsidRPr="00EC694C">
          <w:rPr>
            <w:rStyle w:val="Hyperlink"/>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28C6AEBC" w14:textId="2A11490A"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r w:rsidR="00153471">
          <w:rPr>
            <w:sz w:val="20"/>
            <w:szCs w:val="20"/>
            <w:lang w:val="es-ES_tradnl"/>
          </w:rPr>
          <w:t>3</w:t>
        </w:r>
        <w:bookmarkStart w:id="1" w:name="DocNo2"/>
        <w:bookmarkEnd w:id="1"/>
        <w:r w:rsidR="00D8311F">
          <w:rPr>
            <w:sz w:val="20"/>
            <w:szCs w:val="20"/>
            <w:lang w:val="es-ES_tradnl"/>
          </w:rPr>
          <w:t>/</w:t>
        </w:r>
        <w:r w:rsidR="00A600AF">
          <w:rPr>
            <w:sz w:val="20"/>
            <w:szCs w:val="20"/>
            <w:lang w:val="es-ES_tradnl"/>
          </w:rPr>
          <w:t>27</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415DA"/>
    <w:multiLevelType w:val="multilevel"/>
    <w:tmpl w:val="F1F0176E"/>
    <w:lvl w:ilvl="0">
      <w:start w:val="3"/>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1" w15:restartNumberingAfterBreak="0">
    <w:nsid w:val="181F1298"/>
    <w:multiLevelType w:val="multilevel"/>
    <w:tmpl w:val="047ECF32"/>
    <w:lvl w:ilvl="0">
      <w:start w:val="5"/>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9FE53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AD4D4A"/>
    <w:multiLevelType w:val="multilevel"/>
    <w:tmpl w:val="866C65E4"/>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5" w15:restartNumberingAfterBreak="0">
    <w:nsid w:val="45D4297F"/>
    <w:multiLevelType w:val="multilevel"/>
    <w:tmpl w:val="4ABC8D04"/>
    <w:lvl w:ilvl="0">
      <w:start w:val="6"/>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6" w15:restartNumberingAfterBreak="0">
    <w:nsid w:val="4C691817"/>
    <w:multiLevelType w:val="multilevel"/>
    <w:tmpl w:val="C2C0E55E"/>
    <w:lvl w:ilvl="0">
      <w:start w:val="4"/>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7" w15:restartNumberingAfterBreak="0">
    <w:nsid w:val="744850B3"/>
    <w:multiLevelType w:val="multilevel"/>
    <w:tmpl w:val="609A71F2"/>
    <w:lvl w:ilvl="0">
      <w:start w:val="2"/>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2"/>
  </w:num>
  <w:num w:numId="12" w16cid:durableId="6897218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574901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256244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474449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8442636">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3416694">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4050754">
    <w:abstractNumId w:val="13"/>
    <w:lvlOverride w:ilvl="0">
      <w:lvl w:ilvl="0">
        <w:start w:val="1"/>
        <w:numFmt w:val="decimal"/>
        <w:lvlText w:val="%1."/>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0AF"/>
    <w:rsid w:val="00026D7C"/>
    <w:rsid w:val="0006468A"/>
    <w:rsid w:val="00090574"/>
    <w:rsid w:val="000C1C0E"/>
    <w:rsid w:val="000C548A"/>
    <w:rsid w:val="00153471"/>
    <w:rsid w:val="001853E6"/>
    <w:rsid w:val="0019128D"/>
    <w:rsid w:val="001C0169"/>
    <w:rsid w:val="001D1D50"/>
    <w:rsid w:val="001D6745"/>
    <w:rsid w:val="001E446E"/>
    <w:rsid w:val="0021016E"/>
    <w:rsid w:val="002154EE"/>
    <w:rsid w:val="002276D2"/>
    <w:rsid w:val="0023283D"/>
    <w:rsid w:val="0026373E"/>
    <w:rsid w:val="00271C43"/>
    <w:rsid w:val="00290728"/>
    <w:rsid w:val="002978F4"/>
    <w:rsid w:val="002B028D"/>
    <w:rsid w:val="002E6541"/>
    <w:rsid w:val="00316378"/>
    <w:rsid w:val="00317741"/>
    <w:rsid w:val="00334924"/>
    <w:rsid w:val="003409BC"/>
    <w:rsid w:val="00357185"/>
    <w:rsid w:val="00383829"/>
    <w:rsid w:val="003971E3"/>
    <w:rsid w:val="003C4402"/>
    <w:rsid w:val="003F4B29"/>
    <w:rsid w:val="0042686F"/>
    <w:rsid w:val="004317D8"/>
    <w:rsid w:val="00434183"/>
    <w:rsid w:val="00443869"/>
    <w:rsid w:val="00447F32"/>
    <w:rsid w:val="004A0DB2"/>
    <w:rsid w:val="004E11DC"/>
    <w:rsid w:val="004F3C48"/>
    <w:rsid w:val="00506E94"/>
    <w:rsid w:val="00525DDD"/>
    <w:rsid w:val="005409AC"/>
    <w:rsid w:val="0055516A"/>
    <w:rsid w:val="0058491B"/>
    <w:rsid w:val="005874F2"/>
    <w:rsid w:val="005929C4"/>
    <w:rsid w:val="00592EA5"/>
    <w:rsid w:val="005A3170"/>
    <w:rsid w:val="005B2C89"/>
    <w:rsid w:val="005D610E"/>
    <w:rsid w:val="005E1E6D"/>
    <w:rsid w:val="006128FC"/>
    <w:rsid w:val="00677396"/>
    <w:rsid w:val="0069200F"/>
    <w:rsid w:val="006A65CB"/>
    <w:rsid w:val="006C3242"/>
    <w:rsid w:val="006C7CC0"/>
    <w:rsid w:val="006F63F7"/>
    <w:rsid w:val="007025C7"/>
    <w:rsid w:val="00706D7A"/>
    <w:rsid w:val="00722F0D"/>
    <w:rsid w:val="0074420E"/>
    <w:rsid w:val="00747A70"/>
    <w:rsid w:val="00783A69"/>
    <w:rsid w:val="00783E26"/>
    <w:rsid w:val="007A1D77"/>
    <w:rsid w:val="007B4FA0"/>
    <w:rsid w:val="007C3BC7"/>
    <w:rsid w:val="007C3BCD"/>
    <w:rsid w:val="007D4ACF"/>
    <w:rsid w:val="007F0787"/>
    <w:rsid w:val="00810B7B"/>
    <w:rsid w:val="0082358A"/>
    <w:rsid w:val="008235CD"/>
    <w:rsid w:val="008247DE"/>
    <w:rsid w:val="00840B10"/>
    <w:rsid w:val="008513CB"/>
    <w:rsid w:val="008562F3"/>
    <w:rsid w:val="00874F08"/>
    <w:rsid w:val="00882A17"/>
    <w:rsid w:val="008A7F84"/>
    <w:rsid w:val="0091702E"/>
    <w:rsid w:val="00923B0C"/>
    <w:rsid w:val="0094021C"/>
    <w:rsid w:val="0094065A"/>
    <w:rsid w:val="00952F86"/>
    <w:rsid w:val="00982B28"/>
    <w:rsid w:val="00983DA5"/>
    <w:rsid w:val="009D313F"/>
    <w:rsid w:val="009E0E11"/>
    <w:rsid w:val="00A24359"/>
    <w:rsid w:val="00A47A5A"/>
    <w:rsid w:val="00A600AF"/>
    <w:rsid w:val="00A6683B"/>
    <w:rsid w:val="00A97F94"/>
    <w:rsid w:val="00AA7EA2"/>
    <w:rsid w:val="00B03099"/>
    <w:rsid w:val="00B05BC8"/>
    <w:rsid w:val="00B64B47"/>
    <w:rsid w:val="00B93B7B"/>
    <w:rsid w:val="00C002DE"/>
    <w:rsid w:val="00C53BF8"/>
    <w:rsid w:val="00C56B5F"/>
    <w:rsid w:val="00C66157"/>
    <w:rsid w:val="00C674FE"/>
    <w:rsid w:val="00C67501"/>
    <w:rsid w:val="00C75633"/>
    <w:rsid w:val="00C85CB5"/>
    <w:rsid w:val="00CA08BA"/>
    <w:rsid w:val="00CE2EE1"/>
    <w:rsid w:val="00CE3349"/>
    <w:rsid w:val="00CE36E5"/>
    <w:rsid w:val="00CF27F5"/>
    <w:rsid w:val="00CF3FFD"/>
    <w:rsid w:val="00D10CCF"/>
    <w:rsid w:val="00D77D0F"/>
    <w:rsid w:val="00D8311F"/>
    <w:rsid w:val="00DA1CF0"/>
    <w:rsid w:val="00DC1E02"/>
    <w:rsid w:val="00DC24B4"/>
    <w:rsid w:val="00DC5FB0"/>
    <w:rsid w:val="00DF16DC"/>
    <w:rsid w:val="00E45211"/>
    <w:rsid w:val="00E473C5"/>
    <w:rsid w:val="00E7030F"/>
    <w:rsid w:val="00E92863"/>
    <w:rsid w:val="00EB796D"/>
    <w:rsid w:val="00EC694C"/>
    <w:rsid w:val="00EE5CF2"/>
    <w:rsid w:val="00F058DC"/>
    <w:rsid w:val="00F24FC4"/>
    <w:rsid w:val="00F2676C"/>
    <w:rsid w:val="00F43D01"/>
    <w:rsid w:val="00F77022"/>
    <w:rsid w:val="00F84366"/>
    <w:rsid w:val="00F85089"/>
    <w:rsid w:val="00F974C5"/>
    <w:rsid w:val="00FA6F46"/>
    <w:rsid w:val="00FB3A5E"/>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E67C8"/>
  <w15:chartTrackingRefBased/>
  <w15:docId w15:val="{8CA6082E-A10C-4148-BFAC-87E51E9F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A60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ylvia.pol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n.org/ecosoc/en/2023-ecosoc-youth-forum" TargetMode="External"/><Relationship Id="rId1" Type="http://schemas.openxmlformats.org/officeDocument/2006/relationships/hyperlink" Target="https://www.weforum.org/reports/the-future-of-jobs-report-2023?gclid=CjwKCAjw9pGjBhB-EiwAa5jl3KVILJaFLELFZLbpn33Mih_jxTAXjwDxhQKRulJpK_5K_1x7nUs-6BoCoPoQAvD_Bw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23\ITU-D%20(BDT)\PA_TDAG-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PA_TDAG-23.dotx</Template>
  <TotalTime>18</TotalTime>
  <Pages>4</Pages>
  <Words>1575</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Arabic-IR</dc:creator>
  <cp:keywords/>
  <dc:description/>
  <cp:lastModifiedBy>Arabic-IR</cp:lastModifiedBy>
  <cp:revision>8</cp:revision>
  <dcterms:created xsi:type="dcterms:W3CDTF">2023-06-14T07:09:00Z</dcterms:created>
  <dcterms:modified xsi:type="dcterms:W3CDTF">2023-06-14T07:29:00Z</dcterms:modified>
</cp:coreProperties>
</file>