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509"/>
      </w:tblGrid>
      <w:tr w:rsidR="00FB3B44" w:rsidRPr="00FB3B44" w14:paraId="24811DEB" w14:textId="77777777" w:rsidTr="0078035D">
        <w:trPr>
          <w:cantSplit/>
          <w:trHeight w:val="1134"/>
        </w:trPr>
        <w:tc>
          <w:tcPr>
            <w:tcW w:w="6379" w:type="dxa"/>
          </w:tcPr>
          <w:p w14:paraId="3F4BAF45" w14:textId="77777777" w:rsidR="00FB3B44" w:rsidRPr="00FB3B44" w:rsidRDefault="00FB3B44" w:rsidP="00FB3B44">
            <w:pPr>
              <w:tabs>
                <w:tab w:val="left" w:pos="794"/>
              </w:tabs>
              <w:overflowPunct w:val="0"/>
              <w:autoSpaceDE w:val="0"/>
              <w:autoSpaceDN w:val="0"/>
              <w:adjustRightInd w:val="0"/>
              <w:spacing w:before="120" w:after="0" w:line="240" w:lineRule="auto"/>
              <w:ind w:left="34"/>
              <w:textAlignment w:val="baseline"/>
              <w:rPr>
                <w:rFonts w:ascii="Calibri" w:eastAsia="Times New Roman" w:hAnsi="Calibri" w:cs="Times New Roman"/>
                <w:b/>
                <w:bCs/>
                <w:sz w:val="32"/>
                <w:szCs w:val="32"/>
                <w:lang w:eastAsia="en-US"/>
              </w:rPr>
            </w:pPr>
            <w:r w:rsidRPr="00FB3B44">
              <w:rPr>
                <w:rFonts w:ascii="Calibri" w:eastAsia="Times New Roman" w:hAnsi="Calibri" w:cs="Times New Roman"/>
                <w:b/>
                <w:bCs/>
                <w:sz w:val="32"/>
                <w:szCs w:val="32"/>
                <w:lang w:eastAsia="en-US"/>
              </w:rPr>
              <w:t>Telecommunication Development</w:t>
            </w:r>
            <w:r w:rsidRPr="00FB3B44">
              <w:rPr>
                <w:rFonts w:ascii="Calibri" w:eastAsia="Times New Roman" w:hAnsi="Calibri" w:cs="Times New Roman"/>
                <w:b/>
                <w:bCs/>
                <w:sz w:val="32"/>
                <w:szCs w:val="32"/>
                <w:lang w:eastAsia="en-US"/>
              </w:rPr>
              <w:br/>
              <w:t>Advisory Group (TDAG)</w:t>
            </w:r>
          </w:p>
          <w:p w14:paraId="558FBA63" w14:textId="77777777" w:rsidR="00FB3B44" w:rsidRPr="00FB3B44" w:rsidRDefault="00FB3B44" w:rsidP="00FB3B44">
            <w:pPr>
              <w:tabs>
                <w:tab w:val="left" w:pos="794"/>
              </w:tabs>
              <w:overflowPunct w:val="0"/>
              <w:autoSpaceDE w:val="0"/>
              <w:autoSpaceDN w:val="0"/>
              <w:adjustRightInd w:val="0"/>
              <w:spacing w:before="120" w:after="120" w:line="240" w:lineRule="auto"/>
              <w:ind w:left="34"/>
              <w:textAlignment w:val="baseline"/>
              <w:rPr>
                <w:rFonts w:ascii="Verdana" w:eastAsia="Times New Roman" w:hAnsi="Verdana" w:cs="Times New Roman"/>
                <w:sz w:val="28"/>
                <w:szCs w:val="28"/>
                <w:lang w:eastAsia="en-US"/>
              </w:rPr>
            </w:pPr>
            <w:r w:rsidRPr="00FB3B44">
              <w:rPr>
                <w:rFonts w:ascii="Calibri" w:eastAsia="Times New Roman" w:hAnsi="Calibri" w:cs="Times New Roman"/>
                <w:b/>
                <w:bCs/>
                <w:sz w:val="26"/>
                <w:szCs w:val="26"/>
                <w:lang w:eastAsia="en-US"/>
              </w:rPr>
              <w:t>30th Meeting, Geneva, Switzerland, 19-23 June 2023</w:t>
            </w:r>
          </w:p>
        </w:tc>
        <w:tc>
          <w:tcPr>
            <w:tcW w:w="3509" w:type="dxa"/>
          </w:tcPr>
          <w:p w14:paraId="05EE5D62" w14:textId="77777777" w:rsidR="00FB3B44" w:rsidRPr="00FB3B44" w:rsidRDefault="00FB3B44" w:rsidP="00FB3B44">
            <w:pPr>
              <w:tabs>
                <w:tab w:val="left" w:pos="794"/>
                <w:tab w:val="left" w:pos="1191"/>
                <w:tab w:val="left" w:pos="1588"/>
                <w:tab w:val="left" w:pos="1985"/>
              </w:tabs>
              <w:overflowPunct w:val="0"/>
              <w:autoSpaceDE w:val="0"/>
              <w:autoSpaceDN w:val="0"/>
              <w:adjustRightInd w:val="0"/>
              <w:spacing w:before="120" w:after="120" w:line="240" w:lineRule="auto"/>
              <w:ind w:right="142"/>
              <w:jc w:val="right"/>
              <w:textAlignment w:val="baseline"/>
              <w:rPr>
                <w:rFonts w:ascii="Calibri" w:eastAsia="Times New Roman" w:hAnsi="Calibri" w:cs="Times New Roman"/>
                <w:sz w:val="24"/>
                <w:szCs w:val="20"/>
                <w:lang w:eastAsia="en-US"/>
              </w:rPr>
            </w:pPr>
            <w:r w:rsidRPr="00FB3B44">
              <w:rPr>
                <w:rFonts w:ascii="Calibri" w:eastAsia="Times New Roman" w:hAnsi="Calibri" w:cs="Times New Roman"/>
                <w:noProof/>
                <w:sz w:val="24"/>
                <w:szCs w:val="20"/>
                <w:lang w:val="fr-FR" w:eastAsia="fr-FR"/>
              </w:rPr>
              <w:drawing>
                <wp:inline distT="0" distB="0" distL="0" distR="0" wp14:anchorId="01638CE4" wp14:editId="6320C5F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FB3B44" w:rsidRPr="00FB3B44" w14:paraId="4C4781AB" w14:textId="77777777" w:rsidTr="0078035D">
        <w:trPr>
          <w:cantSplit/>
        </w:trPr>
        <w:tc>
          <w:tcPr>
            <w:tcW w:w="6379" w:type="dxa"/>
            <w:tcBorders>
              <w:top w:val="single" w:sz="12" w:space="0" w:color="auto"/>
            </w:tcBorders>
          </w:tcPr>
          <w:p w14:paraId="08658562" w14:textId="77777777" w:rsidR="00FB3B44" w:rsidRPr="00FB3B44" w:rsidRDefault="00FB3B44" w:rsidP="00FB3B44">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Arial"/>
                <w:b/>
                <w:bCs/>
                <w:sz w:val="20"/>
                <w:szCs w:val="20"/>
                <w:lang w:eastAsia="en-US"/>
              </w:rPr>
            </w:pPr>
          </w:p>
        </w:tc>
        <w:tc>
          <w:tcPr>
            <w:tcW w:w="3509" w:type="dxa"/>
            <w:tcBorders>
              <w:top w:val="single" w:sz="12" w:space="0" w:color="auto"/>
            </w:tcBorders>
          </w:tcPr>
          <w:p w14:paraId="39BABF3E" w14:textId="77777777" w:rsidR="00FB3B44" w:rsidRPr="00FB3B44" w:rsidRDefault="00FB3B44" w:rsidP="00FB3B44">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w:b/>
                <w:bCs/>
                <w:sz w:val="20"/>
                <w:szCs w:val="20"/>
                <w:lang w:eastAsia="en-US"/>
              </w:rPr>
            </w:pPr>
          </w:p>
        </w:tc>
      </w:tr>
      <w:tr w:rsidR="00FB3B44" w:rsidRPr="00FB3B44" w14:paraId="2852B915" w14:textId="77777777" w:rsidTr="0078035D">
        <w:trPr>
          <w:cantSplit/>
        </w:trPr>
        <w:tc>
          <w:tcPr>
            <w:tcW w:w="6379" w:type="dxa"/>
          </w:tcPr>
          <w:p w14:paraId="6E465649" w14:textId="77777777" w:rsidR="00FB3B44" w:rsidRPr="00FB3B44" w:rsidRDefault="00FB3B44" w:rsidP="00FB3B44">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Bold"/>
                <w:caps/>
                <w:sz w:val="24"/>
                <w:szCs w:val="24"/>
                <w:lang w:eastAsia="en-US"/>
              </w:rPr>
            </w:pPr>
          </w:p>
        </w:tc>
        <w:tc>
          <w:tcPr>
            <w:tcW w:w="3509" w:type="dxa"/>
          </w:tcPr>
          <w:p w14:paraId="1B690E35" w14:textId="2E3F76A0" w:rsidR="00FB3B44" w:rsidRPr="00FB3B44" w:rsidRDefault="00FB3B44" w:rsidP="00FB3B44">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val="en-US" w:eastAsia="en-US"/>
              </w:rPr>
            </w:pPr>
            <w:r w:rsidRPr="00FB3B44">
              <w:rPr>
                <w:rFonts w:ascii="Calibri" w:eastAsia="Times New Roman" w:hAnsi="Calibri" w:cs="Times New Roman"/>
                <w:b/>
                <w:bCs/>
                <w:sz w:val="24"/>
                <w:szCs w:val="20"/>
                <w:lang w:val="en-US" w:eastAsia="en-US"/>
              </w:rPr>
              <w:t xml:space="preserve">Document </w:t>
            </w:r>
            <w:bookmarkStart w:id="0" w:name="DocRef1"/>
            <w:bookmarkEnd w:id="0"/>
            <w:r w:rsidRPr="00FB3B44">
              <w:rPr>
                <w:rFonts w:ascii="Calibri" w:eastAsia="Times New Roman" w:hAnsi="Calibri" w:cs="Times New Roman"/>
                <w:b/>
                <w:bCs/>
                <w:sz w:val="24"/>
                <w:szCs w:val="20"/>
                <w:lang w:val="en-US" w:eastAsia="en-US"/>
              </w:rPr>
              <w:t>TDAG-2</w:t>
            </w:r>
            <w:bookmarkStart w:id="1" w:name="DocNo1"/>
            <w:bookmarkEnd w:id="1"/>
            <w:r w:rsidRPr="00FB3B44">
              <w:rPr>
                <w:rFonts w:ascii="Calibri" w:eastAsia="Times New Roman" w:hAnsi="Calibri" w:cs="Times New Roman"/>
                <w:b/>
                <w:bCs/>
                <w:sz w:val="24"/>
                <w:szCs w:val="20"/>
                <w:lang w:val="en-US" w:eastAsia="en-US"/>
              </w:rPr>
              <w:t>3/2</w:t>
            </w:r>
            <w:r w:rsidR="005972E8">
              <w:rPr>
                <w:rFonts w:ascii="Calibri" w:eastAsia="Times New Roman" w:hAnsi="Calibri" w:cs="Times New Roman"/>
                <w:b/>
                <w:bCs/>
                <w:sz w:val="24"/>
                <w:szCs w:val="20"/>
                <w:lang w:val="en-US" w:eastAsia="en-US"/>
              </w:rPr>
              <w:t>6</w:t>
            </w:r>
            <w:r w:rsidRPr="00FB3B44">
              <w:rPr>
                <w:rFonts w:ascii="Calibri" w:eastAsia="Times New Roman" w:hAnsi="Calibri" w:cs="Times New Roman"/>
                <w:b/>
                <w:bCs/>
                <w:sz w:val="24"/>
                <w:szCs w:val="20"/>
                <w:lang w:val="en-US" w:eastAsia="en-US"/>
              </w:rPr>
              <w:t>-E</w:t>
            </w:r>
          </w:p>
        </w:tc>
      </w:tr>
      <w:tr w:rsidR="00FB3B44" w:rsidRPr="00FB3B44" w14:paraId="253F14CB" w14:textId="77777777" w:rsidTr="0078035D">
        <w:trPr>
          <w:cantSplit/>
        </w:trPr>
        <w:tc>
          <w:tcPr>
            <w:tcW w:w="6379" w:type="dxa"/>
          </w:tcPr>
          <w:p w14:paraId="08932C74" w14:textId="77777777" w:rsidR="00FB3B44" w:rsidRPr="00FB3B44" w:rsidRDefault="00FB3B44" w:rsidP="00FB3B44">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w:b/>
                <w:bCs/>
                <w:smallCaps/>
                <w:sz w:val="24"/>
                <w:szCs w:val="24"/>
                <w:lang w:val="en-US" w:eastAsia="en-US"/>
              </w:rPr>
            </w:pPr>
          </w:p>
        </w:tc>
        <w:tc>
          <w:tcPr>
            <w:tcW w:w="3509" w:type="dxa"/>
          </w:tcPr>
          <w:p w14:paraId="111D1F1B" w14:textId="60C44B16" w:rsidR="00FB3B44" w:rsidRPr="00FB3B44" w:rsidRDefault="00067403" w:rsidP="00FB3B44">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w:b/>
                <w:sz w:val="24"/>
                <w:szCs w:val="24"/>
                <w:lang w:eastAsia="en-US"/>
              </w:rPr>
            </w:pPr>
            <w:bookmarkStart w:id="2" w:name="CreationDate"/>
            <w:bookmarkEnd w:id="2"/>
            <w:r>
              <w:rPr>
                <w:rFonts w:ascii="Calibri" w:eastAsia="Times New Roman" w:hAnsi="Calibri" w:cs="Times New Roman"/>
                <w:b/>
                <w:bCs/>
                <w:sz w:val="24"/>
                <w:szCs w:val="28"/>
                <w:lang w:eastAsia="en-US"/>
              </w:rPr>
              <w:t>11</w:t>
            </w:r>
            <w:r w:rsidR="00FB3B44" w:rsidRPr="00FB3B44">
              <w:rPr>
                <w:rFonts w:ascii="Calibri" w:eastAsia="Times New Roman" w:hAnsi="Calibri" w:cs="Times New Roman"/>
                <w:b/>
                <w:bCs/>
                <w:sz w:val="24"/>
                <w:szCs w:val="28"/>
                <w:lang w:eastAsia="en-US"/>
              </w:rPr>
              <w:t xml:space="preserve"> </w:t>
            </w:r>
            <w:r w:rsidR="00FB3B44">
              <w:rPr>
                <w:rFonts w:ascii="Calibri" w:eastAsia="Times New Roman" w:hAnsi="Calibri" w:cs="Times New Roman"/>
                <w:b/>
                <w:bCs/>
                <w:sz w:val="24"/>
                <w:szCs w:val="28"/>
                <w:lang w:eastAsia="en-US"/>
              </w:rPr>
              <w:t>May</w:t>
            </w:r>
            <w:r w:rsidR="00FB3B44" w:rsidRPr="00FB3B44">
              <w:rPr>
                <w:rFonts w:ascii="Calibri" w:eastAsia="Times New Roman" w:hAnsi="Calibri" w:cs="Times New Roman"/>
                <w:b/>
                <w:bCs/>
                <w:sz w:val="24"/>
                <w:szCs w:val="28"/>
                <w:lang w:eastAsia="en-US"/>
              </w:rPr>
              <w:t xml:space="preserve"> 2023</w:t>
            </w:r>
          </w:p>
        </w:tc>
      </w:tr>
      <w:tr w:rsidR="00FB3B44" w:rsidRPr="00FB3B44" w14:paraId="46FDB11C" w14:textId="77777777" w:rsidTr="0078035D">
        <w:trPr>
          <w:cantSplit/>
        </w:trPr>
        <w:tc>
          <w:tcPr>
            <w:tcW w:w="6379" w:type="dxa"/>
          </w:tcPr>
          <w:p w14:paraId="000D7C41" w14:textId="77777777" w:rsidR="00FB3B44" w:rsidRPr="00FB3B44" w:rsidRDefault="00FB3B44" w:rsidP="00FB3B44">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w:b/>
                <w:bCs/>
                <w:smallCaps/>
                <w:sz w:val="24"/>
                <w:szCs w:val="24"/>
                <w:lang w:eastAsia="en-US"/>
              </w:rPr>
            </w:pPr>
          </w:p>
        </w:tc>
        <w:tc>
          <w:tcPr>
            <w:tcW w:w="3509" w:type="dxa"/>
          </w:tcPr>
          <w:p w14:paraId="20646830" w14:textId="358CFA30" w:rsidR="00FB3B44" w:rsidRPr="00FB3B44" w:rsidRDefault="00FB3B44" w:rsidP="00FB3B44">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w:sz w:val="24"/>
                <w:szCs w:val="24"/>
                <w:lang w:eastAsia="en-US"/>
              </w:rPr>
            </w:pPr>
            <w:r w:rsidRPr="00FB3B44">
              <w:rPr>
                <w:rFonts w:ascii="Calibri" w:eastAsia="Times New Roman" w:hAnsi="Calibri" w:cs="Times New Roman"/>
                <w:b/>
                <w:sz w:val="24"/>
                <w:szCs w:val="20"/>
                <w:lang w:eastAsia="en-US"/>
              </w:rPr>
              <w:t>English</w:t>
            </w:r>
            <w:r w:rsidR="000B3CB4">
              <w:rPr>
                <w:rFonts w:ascii="Calibri" w:eastAsia="Times New Roman" w:hAnsi="Calibri" w:cs="Times New Roman"/>
                <w:b/>
                <w:sz w:val="24"/>
                <w:szCs w:val="20"/>
                <w:lang w:eastAsia="en-US"/>
              </w:rPr>
              <w:t xml:space="preserve"> only</w:t>
            </w:r>
          </w:p>
        </w:tc>
      </w:tr>
      <w:tr w:rsidR="00FB3B44" w:rsidRPr="00FB3B44" w14:paraId="11B264F2" w14:textId="77777777" w:rsidTr="0078035D">
        <w:trPr>
          <w:cantSplit/>
          <w:trHeight w:val="852"/>
        </w:trPr>
        <w:tc>
          <w:tcPr>
            <w:tcW w:w="9888" w:type="dxa"/>
            <w:gridSpan w:val="2"/>
          </w:tcPr>
          <w:p w14:paraId="0D806514" w14:textId="5CBB76EE" w:rsidR="00FB3B44" w:rsidRPr="00FB3B44" w:rsidRDefault="00FB3B44" w:rsidP="00FB3B44">
            <w:pPr>
              <w:tabs>
                <w:tab w:val="left" w:pos="794"/>
                <w:tab w:val="left" w:pos="1191"/>
                <w:tab w:val="left" w:pos="1588"/>
                <w:tab w:val="left" w:pos="1985"/>
              </w:tabs>
              <w:overflowPunct w:val="0"/>
              <w:autoSpaceDE w:val="0"/>
              <w:autoSpaceDN w:val="0"/>
              <w:adjustRightInd w:val="0"/>
              <w:spacing w:before="240" w:after="240" w:line="240" w:lineRule="auto"/>
              <w:jc w:val="center"/>
              <w:textAlignment w:val="baseline"/>
              <w:rPr>
                <w:rFonts w:ascii="Calibri" w:eastAsia="Times New Roman" w:hAnsi="Calibri" w:cs="Times New Roman"/>
                <w:b/>
                <w:sz w:val="28"/>
                <w:szCs w:val="20"/>
                <w:lang w:eastAsia="en-US"/>
              </w:rPr>
            </w:pPr>
            <w:r>
              <w:rPr>
                <w:rFonts w:ascii="Calibri" w:eastAsia="Times New Roman" w:hAnsi="Calibri" w:cs="Times New Roman"/>
                <w:b/>
                <w:sz w:val="28"/>
                <w:szCs w:val="20"/>
                <w:lang w:eastAsia="en-US"/>
              </w:rPr>
              <w:t>Australia</w:t>
            </w:r>
          </w:p>
        </w:tc>
      </w:tr>
      <w:tr w:rsidR="00FB3B44" w:rsidRPr="00FB3B44" w14:paraId="73B0C14D" w14:textId="77777777" w:rsidTr="0078035D">
        <w:trPr>
          <w:cantSplit/>
        </w:trPr>
        <w:tc>
          <w:tcPr>
            <w:tcW w:w="9888" w:type="dxa"/>
            <w:gridSpan w:val="2"/>
          </w:tcPr>
          <w:p w14:paraId="03D73FA1" w14:textId="0A03613F" w:rsidR="00FB3B44" w:rsidRPr="00FB3B44" w:rsidRDefault="00007F9F" w:rsidP="00FB3B44">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ascii="Calibri" w:eastAsia="Times New Roman" w:hAnsi="Calibri" w:cs="Times New Roman Bold"/>
                <w:sz w:val="28"/>
                <w:szCs w:val="20"/>
                <w:lang w:eastAsia="en-US"/>
              </w:rPr>
            </w:pPr>
            <w:r>
              <w:rPr>
                <w:rFonts w:ascii="Calibri" w:eastAsia="Times New Roman" w:hAnsi="Calibri" w:cs="Times New Roman Bold"/>
                <w:sz w:val="28"/>
                <w:szCs w:val="20"/>
                <w:lang w:eastAsia="en-US"/>
              </w:rPr>
              <w:t>B</w:t>
            </w:r>
            <w:r w:rsidR="00FB3B44" w:rsidRPr="00FB3B44">
              <w:rPr>
                <w:rFonts w:ascii="Calibri" w:eastAsia="Times New Roman" w:hAnsi="Calibri" w:cs="Times New Roman Bold"/>
                <w:sz w:val="28"/>
                <w:szCs w:val="20"/>
                <w:lang w:eastAsia="en-US"/>
              </w:rPr>
              <w:t xml:space="preserve">arriers </w:t>
            </w:r>
            <w:r>
              <w:rPr>
                <w:rFonts w:ascii="Calibri" w:eastAsia="Times New Roman" w:hAnsi="Calibri" w:cs="Times New Roman Bold"/>
                <w:sz w:val="28"/>
                <w:szCs w:val="20"/>
                <w:lang w:eastAsia="en-US"/>
              </w:rPr>
              <w:t xml:space="preserve">and potential solutions for </w:t>
            </w:r>
            <w:r w:rsidR="00FB3B44" w:rsidRPr="00FB3B44">
              <w:rPr>
                <w:rFonts w:ascii="Calibri" w:eastAsia="Times New Roman" w:hAnsi="Calibri" w:cs="Times New Roman Bold"/>
                <w:sz w:val="28"/>
                <w:szCs w:val="20"/>
                <w:lang w:eastAsia="en-US"/>
              </w:rPr>
              <w:t xml:space="preserve">academia to participate </w:t>
            </w:r>
            <w:r w:rsidR="005972E8">
              <w:rPr>
                <w:rFonts w:ascii="Calibri" w:eastAsia="Times New Roman" w:hAnsi="Calibri" w:cs="Times New Roman Bold"/>
                <w:sz w:val="28"/>
                <w:szCs w:val="20"/>
                <w:lang w:eastAsia="en-US"/>
              </w:rPr>
              <w:br/>
            </w:r>
            <w:r w:rsidR="00FB3B44" w:rsidRPr="00FB3B44">
              <w:rPr>
                <w:rFonts w:ascii="Calibri" w:eastAsia="Times New Roman" w:hAnsi="Calibri" w:cs="Times New Roman Bold"/>
                <w:sz w:val="28"/>
                <w:szCs w:val="20"/>
                <w:lang w:eastAsia="en-US"/>
              </w:rPr>
              <w:t>in the work of the Union</w:t>
            </w:r>
            <w:r>
              <w:rPr>
                <w:rFonts w:ascii="Calibri" w:eastAsia="Times New Roman" w:hAnsi="Calibri" w:cs="Times New Roman Bold"/>
                <w:sz w:val="28"/>
                <w:szCs w:val="20"/>
                <w:lang w:eastAsia="en-US"/>
              </w:rPr>
              <w:t xml:space="preserve"> based on Australian experience</w:t>
            </w:r>
          </w:p>
        </w:tc>
      </w:tr>
      <w:tr w:rsidR="00FB3B44" w:rsidRPr="00FB3B44" w14:paraId="69E6A4B7" w14:textId="77777777" w:rsidTr="0078035D">
        <w:trPr>
          <w:cantSplit/>
        </w:trPr>
        <w:tc>
          <w:tcPr>
            <w:tcW w:w="9888" w:type="dxa"/>
            <w:gridSpan w:val="2"/>
            <w:tcBorders>
              <w:bottom w:val="single" w:sz="4" w:space="0" w:color="auto"/>
            </w:tcBorders>
          </w:tcPr>
          <w:p w14:paraId="5EF4A18E" w14:textId="77777777" w:rsidR="00FB3B44" w:rsidRPr="00FB3B44" w:rsidRDefault="00FB3B44" w:rsidP="00FB3B4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Times New Roman" w:hAnsi="Calibri" w:cs="Times New Roman"/>
                <w:sz w:val="24"/>
                <w:szCs w:val="20"/>
                <w:lang w:eastAsia="en-US"/>
              </w:rPr>
            </w:pPr>
          </w:p>
        </w:tc>
      </w:tr>
      <w:tr w:rsidR="00FB3B44" w:rsidRPr="00FB3B44" w14:paraId="71811DDD" w14:textId="77777777" w:rsidTr="0078035D">
        <w:trPr>
          <w:cantSplit/>
        </w:trPr>
        <w:tc>
          <w:tcPr>
            <w:tcW w:w="9888" w:type="dxa"/>
            <w:gridSpan w:val="2"/>
            <w:tcBorders>
              <w:top w:val="single" w:sz="4" w:space="0" w:color="auto"/>
              <w:left w:val="single" w:sz="4" w:space="0" w:color="auto"/>
              <w:bottom w:val="single" w:sz="4" w:space="0" w:color="auto"/>
              <w:right w:val="single" w:sz="4" w:space="0" w:color="auto"/>
            </w:tcBorders>
          </w:tcPr>
          <w:p w14:paraId="08E56942" w14:textId="77777777" w:rsidR="00FB3B44" w:rsidRPr="00F27F4E" w:rsidRDefault="00FB3B44" w:rsidP="00FB3B44">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Times New Roman"/>
                <w:b/>
                <w:bCs/>
                <w:sz w:val="24"/>
                <w:szCs w:val="24"/>
                <w:lang w:eastAsia="en-US"/>
              </w:rPr>
            </w:pPr>
            <w:r w:rsidRPr="00F27F4E">
              <w:rPr>
                <w:rFonts w:ascii="Calibri" w:eastAsia="Times New Roman" w:hAnsi="Calibri" w:cs="Times New Roman"/>
                <w:b/>
                <w:bCs/>
                <w:sz w:val="24"/>
                <w:szCs w:val="24"/>
                <w:lang w:eastAsia="en-US"/>
              </w:rPr>
              <w:t xml:space="preserve">Summary: </w:t>
            </w:r>
          </w:p>
          <w:p w14:paraId="6403B602" w14:textId="620A5293" w:rsidR="00FB3B44" w:rsidRPr="00F27F4E" w:rsidRDefault="00FB3B44" w:rsidP="00FB3B44">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Times New Roman"/>
                <w:sz w:val="24"/>
                <w:szCs w:val="20"/>
                <w:lang w:eastAsia="en-US"/>
              </w:rPr>
            </w:pPr>
            <w:r w:rsidRPr="00F27F4E">
              <w:rPr>
                <w:rFonts w:ascii="Calibri" w:eastAsia="Times New Roman" w:hAnsi="Calibri" w:cs="Times New Roman"/>
                <w:sz w:val="24"/>
                <w:szCs w:val="20"/>
                <w:lang w:eastAsia="en-US"/>
              </w:rPr>
              <w:t>This Contribution outlines the existing barriers faced by academia wishing to participate in the work of the Union</w:t>
            </w:r>
            <w:r w:rsidR="00007F9F">
              <w:rPr>
                <w:rFonts w:ascii="Calibri" w:eastAsia="Times New Roman" w:hAnsi="Calibri" w:cs="Times New Roman"/>
                <w:sz w:val="24"/>
                <w:szCs w:val="20"/>
                <w:lang w:eastAsia="en-US"/>
              </w:rPr>
              <w:t>, and potential measures to improve engagement based on Australia’s experience</w:t>
            </w:r>
            <w:r w:rsidRPr="00F27F4E">
              <w:rPr>
                <w:rFonts w:ascii="Calibri" w:eastAsia="Times New Roman" w:hAnsi="Calibri" w:cs="Times New Roman"/>
                <w:sz w:val="24"/>
                <w:szCs w:val="20"/>
                <w:lang w:eastAsia="en-US"/>
              </w:rPr>
              <w:t>. This aims to assist the Telecommunication Development Advisory Group (TDAG) with its continuous study aimed to identify whether any additional measures and/or arrangements to facilitate academia participation are required.</w:t>
            </w:r>
          </w:p>
          <w:p w14:paraId="7D6A4AEE" w14:textId="77777777" w:rsidR="00FB3B44" w:rsidRPr="00E27FAB" w:rsidRDefault="00FB3B44" w:rsidP="00FB3B44">
            <w:pPr>
              <w:spacing w:before="120" w:after="120" w:line="240" w:lineRule="auto"/>
              <w:rPr>
                <w:b/>
                <w:bCs/>
                <w:sz w:val="24"/>
                <w:szCs w:val="24"/>
              </w:rPr>
            </w:pPr>
            <w:r w:rsidRPr="00E27FAB">
              <w:rPr>
                <w:b/>
                <w:bCs/>
                <w:sz w:val="24"/>
                <w:szCs w:val="24"/>
              </w:rPr>
              <w:t xml:space="preserve">Action required: </w:t>
            </w:r>
          </w:p>
          <w:p w14:paraId="71C9955A" w14:textId="77777777" w:rsidR="00FB3B44" w:rsidRPr="00FB3B44" w:rsidRDefault="00FB3B44" w:rsidP="00FB3B44">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Times New Roman"/>
                <w:sz w:val="24"/>
                <w:szCs w:val="20"/>
                <w:lang w:eastAsia="en-US"/>
              </w:rPr>
            </w:pPr>
            <w:r w:rsidRPr="00FB3B44">
              <w:rPr>
                <w:rFonts w:ascii="Calibri" w:eastAsia="Times New Roman" w:hAnsi="Calibri" w:cs="Times New Roman"/>
                <w:sz w:val="24"/>
                <w:szCs w:val="20"/>
                <w:lang w:eastAsia="en-US"/>
              </w:rPr>
              <w:t>TDAG is invited to consider this document and provide guidance as deemed appropriate.</w:t>
            </w:r>
          </w:p>
          <w:p w14:paraId="5D739880" w14:textId="77777777" w:rsidR="00FB3B44" w:rsidRPr="00E27FAB" w:rsidRDefault="00FB3B44" w:rsidP="00FB3B44">
            <w:pPr>
              <w:keepNext/>
              <w:keepLines/>
              <w:spacing w:before="120" w:after="120" w:line="240" w:lineRule="auto"/>
              <w:rPr>
                <w:b/>
                <w:bCs/>
                <w:sz w:val="24"/>
                <w:szCs w:val="24"/>
              </w:rPr>
            </w:pPr>
            <w:r w:rsidRPr="00E27FAB">
              <w:rPr>
                <w:b/>
                <w:bCs/>
                <w:sz w:val="24"/>
                <w:szCs w:val="24"/>
              </w:rPr>
              <w:t xml:space="preserve">References: </w:t>
            </w:r>
          </w:p>
          <w:p w14:paraId="60D8A00E" w14:textId="6CC441E7" w:rsidR="00FB3B44" w:rsidRPr="00FB3B44" w:rsidRDefault="00FB3B44" w:rsidP="00FB3B44">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Times New Roman"/>
                <w:sz w:val="24"/>
                <w:szCs w:val="20"/>
                <w:lang w:eastAsia="en-US"/>
              </w:rPr>
            </w:pPr>
            <w:r w:rsidRPr="00FB3B44">
              <w:rPr>
                <w:rFonts w:ascii="Calibri" w:eastAsia="Times New Roman" w:hAnsi="Calibri" w:cs="Times New Roman"/>
                <w:sz w:val="24"/>
                <w:szCs w:val="20"/>
                <w:lang w:eastAsia="en-US"/>
              </w:rPr>
              <w:t>Resolution 169 (Rev. Bucharest, 2022); Resolution 71 (Rev. Kigali 2022)</w:t>
            </w:r>
          </w:p>
        </w:tc>
      </w:tr>
    </w:tbl>
    <w:p w14:paraId="79522DFE" w14:textId="3281456B" w:rsidR="00FB3B44" w:rsidRDefault="00FB3B44" w:rsidP="002B1A74">
      <w:pPr>
        <w:spacing w:before="120" w:after="120" w:line="240" w:lineRule="auto"/>
      </w:pPr>
    </w:p>
    <w:p w14:paraId="2450E494" w14:textId="77777777" w:rsidR="00FB3B44" w:rsidRDefault="00FB3B44">
      <w:pPr>
        <w:spacing w:after="160" w:line="259" w:lineRule="auto"/>
      </w:pPr>
      <w:r>
        <w:br w:type="page"/>
      </w:r>
    </w:p>
    <w:p w14:paraId="60BB6581" w14:textId="001AC4C8" w:rsidR="00923A95" w:rsidRPr="005972E8" w:rsidRDefault="00923A95" w:rsidP="002B1A74">
      <w:pPr>
        <w:pStyle w:val="ListParagraph"/>
        <w:numPr>
          <w:ilvl w:val="0"/>
          <w:numId w:val="1"/>
        </w:numPr>
        <w:spacing w:before="120" w:after="120" w:line="240" w:lineRule="auto"/>
        <w:ind w:left="357" w:hanging="357"/>
        <w:contextualSpacing w:val="0"/>
        <w:rPr>
          <w:b/>
          <w:bCs/>
          <w:sz w:val="24"/>
          <w:szCs w:val="24"/>
          <w:lang w:eastAsia="ko-KR"/>
        </w:rPr>
      </w:pPr>
      <w:r w:rsidRPr="005972E8">
        <w:rPr>
          <w:rFonts w:hint="eastAsia"/>
          <w:b/>
          <w:bCs/>
          <w:sz w:val="24"/>
          <w:szCs w:val="24"/>
          <w:lang w:eastAsia="ko-KR"/>
        </w:rPr>
        <w:lastRenderedPageBreak/>
        <w:t>I</w:t>
      </w:r>
      <w:r w:rsidRPr="005972E8">
        <w:rPr>
          <w:b/>
          <w:bCs/>
          <w:sz w:val="24"/>
          <w:szCs w:val="24"/>
          <w:lang w:eastAsia="ko-KR"/>
        </w:rPr>
        <w:t>ntroduction</w:t>
      </w:r>
    </w:p>
    <w:p w14:paraId="16498AC1" w14:textId="5C56C532" w:rsidR="00375065" w:rsidRPr="005972E8" w:rsidRDefault="00BF27A5" w:rsidP="002B1A74">
      <w:pPr>
        <w:spacing w:before="120" w:after="120" w:line="240" w:lineRule="auto"/>
        <w:ind w:left="53"/>
        <w:rPr>
          <w:sz w:val="24"/>
          <w:szCs w:val="24"/>
          <w:lang w:eastAsia="ko-KR"/>
        </w:rPr>
      </w:pPr>
      <w:r w:rsidRPr="005972E8">
        <w:rPr>
          <w:sz w:val="24"/>
          <w:szCs w:val="24"/>
          <w:lang w:eastAsia="ko-KR"/>
        </w:rPr>
        <w:t>Resolution 169</w:t>
      </w:r>
      <w:r w:rsidR="0050226F" w:rsidRPr="005972E8">
        <w:rPr>
          <w:sz w:val="24"/>
          <w:szCs w:val="24"/>
          <w:lang w:eastAsia="ko-KR"/>
        </w:rPr>
        <w:t xml:space="preserve"> (Rev. Bucharest, 2022) on</w:t>
      </w:r>
      <w:r w:rsidRPr="005972E8">
        <w:rPr>
          <w:sz w:val="24"/>
          <w:szCs w:val="24"/>
          <w:lang w:eastAsia="ko-KR"/>
        </w:rPr>
        <w:t xml:space="preserve"> Admission of academia to participate in the work of the Union </w:t>
      </w:r>
      <w:r w:rsidR="00375065" w:rsidRPr="005972E8">
        <w:rPr>
          <w:sz w:val="24"/>
          <w:szCs w:val="24"/>
          <w:lang w:eastAsia="ko-KR"/>
        </w:rPr>
        <w:t xml:space="preserve">instructs the </w:t>
      </w:r>
      <w:r w:rsidR="00007F9F" w:rsidRPr="005972E8">
        <w:rPr>
          <w:sz w:val="24"/>
          <w:szCs w:val="24"/>
          <w:lang w:eastAsia="ko-KR"/>
        </w:rPr>
        <w:t>RA</w:t>
      </w:r>
      <w:r w:rsidR="00375065" w:rsidRPr="005972E8">
        <w:rPr>
          <w:sz w:val="24"/>
          <w:szCs w:val="24"/>
          <w:lang w:eastAsia="ko-KR"/>
        </w:rPr>
        <w:t xml:space="preserve">, </w:t>
      </w:r>
      <w:r w:rsidR="00007F9F" w:rsidRPr="005972E8">
        <w:rPr>
          <w:sz w:val="24"/>
          <w:szCs w:val="24"/>
          <w:lang w:eastAsia="ko-KR"/>
        </w:rPr>
        <w:t>WTSA</w:t>
      </w:r>
      <w:r w:rsidR="00375065" w:rsidRPr="005972E8">
        <w:rPr>
          <w:sz w:val="24"/>
          <w:szCs w:val="24"/>
          <w:lang w:eastAsia="ko-KR"/>
        </w:rPr>
        <w:t xml:space="preserve"> and </w:t>
      </w:r>
      <w:r w:rsidR="00007F9F" w:rsidRPr="005972E8">
        <w:rPr>
          <w:sz w:val="24"/>
          <w:szCs w:val="24"/>
          <w:lang w:eastAsia="ko-KR"/>
        </w:rPr>
        <w:t>WTDC</w:t>
      </w:r>
      <w:r w:rsidR="00375065" w:rsidRPr="005972E8">
        <w:rPr>
          <w:sz w:val="24"/>
          <w:szCs w:val="24"/>
          <w:lang w:eastAsia="ko-KR"/>
        </w:rPr>
        <w:t xml:space="preserve"> to mandate their respective advisory groups, including TDAG, “to continue to study whether there is a need for any additional measures and/or arrangements to facilitate such participation that are not covered by relevant resolutions or recommendations of the above-mentioned assemblies and conference, and adopt such modalities, if they deem it necessary or required, and report the results through the Directors of the Bureaux to the Council”.</w:t>
      </w:r>
    </w:p>
    <w:p w14:paraId="13A88630" w14:textId="17D043ED" w:rsidR="008775DF" w:rsidRPr="005972E8" w:rsidRDefault="008775DF" w:rsidP="002B1A74">
      <w:pPr>
        <w:spacing w:before="120" w:after="120" w:line="240" w:lineRule="auto"/>
        <w:ind w:left="53"/>
        <w:rPr>
          <w:sz w:val="24"/>
          <w:szCs w:val="24"/>
          <w:lang w:eastAsia="ko-KR"/>
        </w:rPr>
      </w:pPr>
      <w:r w:rsidRPr="005972E8">
        <w:rPr>
          <w:sz w:val="24"/>
          <w:szCs w:val="24"/>
          <w:lang w:eastAsia="ko-KR"/>
        </w:rPr>
        <w:t>Australia is home to 43 universities and research institutes with many consistently ranked among the world’s top 100 universities. Among these</w:t>
      </w:r>
      <w:r w:rsidR="00007F9F" w:rsidRPr="005972E8">
        <w:rPr>
          <w:sz w:val="24"/>
          <w:szCs w:val="24"/>
          <w:lang w:eastAsia="ko-KR"/>
        </w:rPr>
        <w:t>,</w:t>
      </w:r>
      <w:r w:rsidRPr="005972E8">
        <w:rPr>
          <w:sz w:val="24"/>
          <w:szCs w:val="24"/>
          <w:lang w:eastAsia="ko-KR"/>
        </w:rPr>
        <w:t xml:space="preserve"> more than </w:t>
      </w:r>
      <w:r w:rsidR="00321D88" w:rsidRPr="005972E8">
        <w:rPr>
          <w:sz w:val="24"/>
          <w:szCs w:val="24"/>
          <w:lang w:eastAsia="ko-KR"/>
        </w:rPr>
        <w:t>15</w:t>
      </w:r>
      <w:r w:rsidRPr="005972E8">
        <w:rPr>
          <w:sz w:val="24"/>
          <w:szCs w:val="24"/>
          <w:lang w:eastAsia="ko-KR"/>
        </w:rPr>
        <w:t xml:space="preserve"> have research interests in telecommunication</w:t>
      </w:r>
      <w:r w:rsidR="00BD6FB1">
        <w:rPr>
          <w:sz w:val="24"/>
          <w:szCs w:val="24"/>
          <w:lang w:eastAsia="ko-KR"/>
        </w:rPr>
        <w:t>s</w:t>
      </w:r>
      <w:r w:rsidRPr="005972E8">
        <w:rPr>
          <w:sz w:val="24"/>
          <w:szCs w:val="24"/>
          <w:lang w:eastAsia="ko-KR"/>
        </w:rPr>
        <w:t xml:space="preserve">/ICTs. Despite </w:t>
      </w:r>
      <w:r w:rsidR="00007F9F" w:rsidRPr="005972E8">
        <w:rPr>
          <w:sz w:val="24"/>
          <w:szCs w:val="24"/>
          <w:lang w:eastAsia="ko-KR"/>
        </w:rPr>
        <w:t>this</w:t>
      </w:r>
      <w:r w:rsidRPr="005972E8">
        <w:rPr>
          <w:sz w:val="24"/>
          <w:szCs w:val="24"/>
          <w:lang w:eastAsia="ko-KR"/>
        </w:rPr>
        <w:t>, only two Australian universities (Monash</w:t>
      </w:r>
      <w:r w:rsidR="0050226F" w:rsidRPr="005972E8">
        <w:rPr>
          <w:sz w:val="24"/>
          <w:szCs w:val="24"/>
          <w:lang w:eastAsia="ko-KR"/>
        </w:rPr>
        <w:t xml:space="preserve"> University</w:t>
      </w:r>
      <w:r w:rsidRPr="005972E8">
        <w:rPr>
          <w:sz w:val="24"/>
          <w:szCs w:val="24"/>
          <w:lang w:eastAsia="ko-KR"/>
        </w:rPr>
        <w:t xml:space="preserve"> and RMIT</w:t>
      </w:r>
      <w:r w:rsidR="0050226F" w:rsidRPr="005972E8">
        <w:rPr>
          <w:sz w:val="24"/>
          <w:szCs w:val="24"/>
          <w:lang w:eastAsia="ko-KR"/>
        </w:rPr>
        <w:t xml:space="preserve"> University</w:t>
      </w:r>
      <w:r w:rsidRPr="005972E8">
        <w:rPr>
          <w:sz w:val="24"/>
          <w:szCs w:val="24"/>
          <w:lang w:eastAsia="ko-KR"/>
        </w:rPr>
        <w:t xml:space="preserve">) </w:t>
      </w:r>
      <w:r w:rsidR="00BF27A5" w:rsidRPr="005972E8">
        <w:rPr>
          <w:sz w:val="24"/>
          <w:szCs w:val="24"/>
          <w:lang w:eastAsia="ko-KR"/>
        </w:rPr>
        <w:t>are currently</w:t>
      </w:r>
      <w:r w:rsidRPr="005972E8">
        <w:rPr>
          <w:sz w:val="24"/>
          <w:szCs w:val="24"/>
          <w:lang w:eastAsia="ko-KR"/>
        </w:rPr>
        <w:t xml:space="preserve"> members of the Union.</w:t>
      </w:r>
    </w:p>
    <w:p w14:paraId="2F7075A2" w14:textId="6E99C33F" w:rsidR="002962C3" w:rsidRPr="005972E8" w:rsidRDefault="002962C3" w:rsidP="00BD6FB1">
      <w:pPr>
        <w:pStyle w:val="ListParagraph"/>
        <w:keepNext/>
        <w:numPr>
          <w:ilvl w:val="0"/>
          <w:numId w:val="1"/>
        </w:numPr>
        <w:spacing w:before="120" w:after="120" w:line="240" w:lineRule="auto"/>
        <w:ind w:left="357" w:hanging="357"/>
        <w:contextualSpacing w:val="0"/>
        <w:rPr>
          <w:b/>
          <w:sz w:val="24"/>
          <w:szCs w:val="24"/>
          <w:lang w:eastAsia="ko-KR"/>
        </w:rPr>
      </w:pPr>
      <w:r w:rsidRPr="005972E8">
        <w:rPr>
          <w:b/>
          <w:sz w:val="24"/>
          <w:szCs w:val="24"/>
          <w:lang w:eastAsia="ko-KR"/>
        </w:rPr>
        <w:t xml:space="preserve">Barriers faced by Australian </w:t>
      </w:r>
      <w:proofErr w:type="gramStart"/>
      <w:r w:rsidRPr="005972E8">
        <w:rPr>
          <w:b/>
          <w:sz w:val="24"/>
          <w:szCs w:val="24"/>
          <w:lang w:eastAsia="ko-KR"/>
        </w:rPr>
        <w:t>academia</w:t>
      </w:r>
      <w:proofErr w:type="gramEnd"/>
    </w:p>
    <w:p w14:paraId="61C0D660" w14:textId="06C255BB" w:rsidR="008775DF" w:rsidRPr="005972E8" w:rsidRDefault="003173D4" w:rsidP="002B1A74">
      <w:pPr>
        <w:spacing w:before="120" w:after="120" w:line="240" w:lineRule="auto"/>
        <w:ind w:left="53"/>
        <w:rPr>
          <w:sz w:val="24"/>
          <w:szCs w:val="24"/>
          <w:lang w:eastAsia="ko-KR"/>
        </w:rPr>
      </w:pPr>
      <w:r w:rsidRPr="005972E8">
        <w:rPr>
          <w:sz w:val="24"/>
          <w:szCs w:val="24"/>
          <w:lang w:eastAsia="ko-KR"/>
        </w:rPr>
        <w:t xml:space="preserve">As part of the </w:t>
      </w:r>
      <w:r w:rsidR="008775DF" w:rsidRPr="005972E8">
        <w:rPr>
          <w:sz w:val="24"/>
          <w:szCs w:val="24"/>
          <w:lang w:eastAsia="ko-KR"/>
        </w:rPr>
        <w:t>Australian Administration</w:t>
      </w:r>
      <w:r w:rsidR="00BF27A5" w:rsidRPr="005972E8">
        <w:rPr>
          <w:sz w:val="24"/>
          <w:szCs w:val="24"/>
          <w:lang w:eastAsia="ko-KR"/>
        </w:rPr>
        <w:t>’s</w:t>
      </w:r>
      <w:r w:rsidR="008775DF" w:rsidRPr="005972E8">
        <w:rPr>
          <w:sz w:val="24"/>
          <w:szCs w:val="24"/>
          <w:lang w:eastAsia="ko-KR"/>
        </w:rPr>
        <w:t xml:space="preserve"> </w:t>
      </w:r>
      <w:r w:rsidRPr="005972E8">
        <w:rPr>
          <w:sz w:val="24"/>
          <w:szCs w:val="24"/>
          <w:lang w:eastAsia="ko-KR"/>
        </w:rPr>
        <w:t>efforts to</w:t>
      </w:r>
      <w:r w:rsidR="008775DF" w:rsidRPr="005972E8">
        <w:rPr>
          <w:sz w:val="24"/>
          <w:szCs w:val="24"/>
          <w:lang w:eastAsia="ko-KR"/>
        </w:rPr>
        <w:t xml:space="preserve"> boost academia participation</w:t>
      </w:r>
      <w:r w:rsidR="00533081" w:rsidRPr="005972E8">
        <w:rPr>
          <w:sz w:val="24"/>
          <w:szCs w:val="24"/>
          <w:lang w:eastAsia="ko-KR"/>
        </w:rPr>
        <w:t xml:space="preserve"> in ITU</w:t>
      </w:r>
      <w:r w:rsidRPr="005972E8">
        <w:rPr>
          <w:sz w:val="24"/>
          <w:szCs w:val="24"/>
          <w:lang w:eastAsia="ko-KR"/>
        </w:rPr>
        <w:t>, we have interviewed</w:t>
      </w:r>
      <w:r w:rsidR="002962C3" w:rsidRPr="005972E8">
        <w:rPr>
          <w:sz w:val="24"/>
          <w:szCs w:val="24"/>
          <w:lang w:eastAsia="ko-KR"/>
        </w:rPr>
        <w:t xml:space="preserve"> </w:t>
      </w:r>
      <w:proofErr w:type="gramStart"/>
      <w:r w:rsidR="00BE7BF9" w:rsidRPr="005972E8">
        <w:rPr>
          <w:sz w:val="24"/>
          <w:szCs w:val="24"/>
          <w:lang w:eastAsia="ko-KR"/>
        </w:rPr>
        <w:t xml:space="preserve">a </w:t>
      </w:r>
      <w:r w:rsidR="002962C3" w:rsidRPr="005972E8">
        <w:rPr>
          <w:sz w:val="24"/>
          <w:szCs w:val="24"/>
          <w:lang w:eastAsia="ko-KR"/>
        </w:rPr>
        <w:t>number of</w:t>
      </w:r>
      <w:proofErr w:type="gramEnd"/>
      <w:r w:rsidR="00757080" w:rsidRPr="005972E8">
        <w:rPr>
          <w:sz w:val="24"/>
          <w:szCs w:val="24"/>
          <w:lang w:eastAsia="ko-KR"/>
        </w:rPr>
        <w:t xml:space="preserve"> Australian</w:t>
      </w:r>
      <w:r w:rsidR="002962C3" w:rsidRPr="005972E8">
        <w:rPr>
          <w:sz w:val="24"/>
          <w:szCs w:val="24"/>
          <w:lang w:eastAsia="ko-KR"/>
        </w:rPr>
        <w:t xml:space="preserve"> researchers</w:t>
      </w:r>
      <w:r w:rsidR="00757080" w:rsidRPr="005972E8">
        <w:rPr>
          <w:sz w:val="24"/>
          <w:szCs w:val="24"/>
          <w:lang w:eastAsia="ko-KR"/>
        </w:rPr>
        <w:t xml:space="preserve">, including from universities </w:t>
      </w:r>
      <w:r w:rsidR="00BF27A5" w:rsidRPr="005972E8">
        <w:rPr>
          <w:sz w:val="24"/>
          <w:szCs w:val="24"/>
          <w:lang w:eastAsia="ko-KR"/>
        </w:rPr>
        <w:t xml:space="preserve">that </w:t>
      </w:r>
      <w:r w:rsidR="00757080" w:rsidRPr="005972E8">
        <w:rPr>
          <w:sz w:val="24"/>
          <w:szCs w:val="24"/>
          <w:lang w:eastAsia="ko-KR"/>
        </w:rPr>
        <w:t>are currently not ITU members</w:t>
      </w:r>
      <w:r w:rsidR="002962C3" w:rsidRPr="005972E8">
        <w:rPr>
          <w:sz w:val="24"/>
          <w:szCs w:val="24"/>
          <w:lang w:eastAsia="ko-KR"/>
        </w:rPr>
        <w:t>.</w:t>
      </w:r>
      <w:r w:rsidR="00757080" w:rsidRPr="005972E8">
        <w:rPr>
          <w:sz w:val="24"/>
          <w:szCs w:val="24"/>
          <w:lang w:eastAsia="ko-KR"/>
        </w:rPr>
        <w:t xml:space="preserve"> </w:t>
      </w:r>
      <w:r w:rsidR="002962C3" w:rsidRPr="005972E8">
        <w:rPr>
          <w:sz w:val="24"/>
          <w:szCs w:val="24"/>
          <w:lang w:eastAsia="ko-KR"/>
        </w:rPr>
        <w:t xml:space="preserve"> So far</w:t>
      </w:r>
      <w:r w:rsidR="008775DF" w:rsidRPr="005972E8">
        <w:rPr>
          <w:sz w:val="24"/>
          <w:szCs w:val="24"/>
          <w:lang w:eastAsia="ko-KR"/>
        </w:rPr>
        <w:t>, the following barriers</w:t>
      </w:r>
      <w:r w:rsidR="002962C3" w:rsidRPr="005972E8">
        <w:rPr>
          <w:sz w:val="24"/>
          <w:szCs w:val="24"/>
          <w:lang w:eastAsia="ko-KR"/>
        </w:rPr>
        <w:t xml:space="preserve"> to engagement have been identified</w:t>
      </w:r>
      <w:r w:rsidR="00533081" w:rsidRPr="005972E8">
        <w:rPr>
          <w:sz w:val="24"/>
          <w:szCs w:val="24"/>
          <w:lang w:eastAsia="ko-KR"/>
        </w:rPr>
        <w:t>:</w:t>
      </w:r>
    </w:p>
    <w:p w14:paraId="342823E3" w14:textId="3C04656D" w:rsidR="0046681F" w:rsidRPr="005972E8" w:rsidRDefault="00533081" w:rsidP="005972E8">
      <w:pPr>
        <w:pStyle w:val="ListParagraph"/>
        <w:numPr>
          <w:ilvl w:val="0"/>
          <w:numId w:val="6"/>
        </w:numPr>
        <w:spacing w:before="60" w:after="60" w:line="240" w:lineRule="auto"/>
        <w:ind w:left="408" w:hanging="357"/>
        <w:contextualSpacing w:val="0"/>
        <w:rPr>
          <w:sz w:val="24"/>
          <w:szCs w:val="24"/>
          <w:lang w:eastAsia="ko-KR"/>
        </w:rPr>
      </w:pPr>
      <w:r w:rsidRPr="005972E8">
        <w:rPr>
          <w:sz w:val="24"/>
          <w:szCs w:val="24"/>
          <w:lang w:eastAsia="ko-KR"/>
        </w:rPr>
        <w:t>Australian researchers prioritise publications in A-ranked academic journals</w:t>
      </w:r>
      <w:r w:rsidR="0046681F" w:rsidRPr="005972E8">
        <w:rPr>
          <w:sz w:val="24"/>
          <w:szCs w:val="24"/>
          <w:lang w:eastAsia="ko-KR"/>
        </w:rPr>
        <w:t xml:space="preserve"> over outreach and engagement activities, as the former score higher</w:t>
      </w:r>
      <w:r w:rsidR="00BE7BF9" w:rsidRPr="005972E8">
        <w:rPr>
          <w:sz w:val="24"/>
          <w:szCs w:val="24"/>
          <w:lang w:eastAsia="ko-KR"/>
        </w:rPr>
        <w:t>/have more weight</w:t>
      </w:r>
      <w:r w:rsidR="0046681F" w:rsidRPr="005972E8">
        <w:rPr>
          <w:sz w:val="24"/>
          <w:szCs w:val="24"/>
          <w:lang w:eastAsia="ko-KR"/>
        </w:rPr>
        <w:t xml:space="preserve"> when applying for research grants and </w:t>
      </w:r>
      <w:r w:rsidR="001C783A" w:rsidRPr="005972E8">
        <w:rPr>
          <w:sz w:val="24"/>
          <w:szCs w:val="24"/>
          <w:lang w:eastAsia="ko-KR"/>
        </w:rPr>
        <w:t xml:space="preserve">academic </w:t>
      </w:r>
      <w:r w:rsidR="0046681F" w:rsidRPr="005972E8">
        <w:rPr>
          <w:sz w:val="24"/>
          <w:szCs w:val="24"/>
          <w:lang w:eastAsia="ko-KR"/>
        </w:rPr>
        <w:t>promotions.</w:t>
      </w:r>
    </w:p>
    <w:p w14:paraId="3517E416" w14:textId="14EC1FBE" w:rsidR="0016268B" w:rsidRPr="005972E8" w:rsidRDefault="0016268B" w:rsidP="005972E8">
      <w:pPr>
        <w:pStyle w:val="ListParagraph"/>
        <w:numPr>
          <w:ilvl w:val="0"/>
          <w:numId w:val="6"/>
        </w:numPr>
        <w:spacing w:before="60" w:after="60" w:line="240" w:lineRule="auto"/>
        <w:ind w:left="408" w:hanging="357"/>
        <w:contextualSpacing w:val="0"/>
        <w:rPr>
          <w:sz w:val="24"/>
          <w:szCs w:val="24"/>
          <w:lang w:eastAsia="ko-KR"/>
        </w:rPr>
      </w:pPr>
      <w:r w:rsidRPr="005972E8">
        <w:rPr>
          <w:sz w:val="24"/>
          <w:szCs w:val="24"/>
          <w:lang w:eastAsia="ko-KR"/>
        </w:rPr>
        <w:t>Teaching load</w:t>
      </w:r>
      <w:r w:rsidR="00FB3B44" w:rsidRPr="005972E8">
        <w:rPr>
          <w:sz w:val="24"/>
          <w:szCs w:val="24"/>
          <w:lang w:eastAsia="ko-KR"/>
        </w:rPr>
        <w:t>s</w:t>
      </w:r>
      <w:r w:rsidR="00BE7BF9" w:rsidRPr="005972E8">
        <w:rPr>
          <w:sz w:val="24"/>
          <w:szCs w:val="24"/>
          <w:lang w:eastAsia="ko-KR"/>
        </w:rPr>
        <w:t xml:space="preserve"> in Australian universities </w:t>
      </w:r>
      <w:r w:rsidR="00007F9F" w:rsidRPr="005972E8">
        <w:rPr>
          <w:sz w:val="24"/>
          <w:szCs w:val="24"/>
          <w:lang w:eastAsia="ko-KR"/>
        </w:rPr>
        <w:t>are</w:t>
      </w:r>
      <w:r w:rsidR="00BE7BF9" w:rsidRPr="005972E8">
        <w:rPr>
          <w:sz w:val="24"/>
          <w:szCs w:val="24"/>
          <w:lang w:eastAsia="ko-KR"/>
        </w:rPr>
        <w:t xml:space="preserve"> very high which leaves </w:t>
      </w:r>
      <w:r w:rsidR="00FB3B44" w:rsidRPr="005972E8">
        <w:rPr>
          <w:sz w:val="24"/>
          <w:szCs w:val="24"/>
          <w:lang w:eastAsia="ko-KR"/>
        </w:rPr>
        <w:t>little</w:t>
      </w:r>
      <w:r w:rsidR="00A9310C" w:rsidRPr="005972E8">
        <w:rPr>
          <w:sz w:val="24"/>
          <w:szCs w:val="24"/>
          <w:lang w:eastAsia="ko-KR"/>
        </w:rPr>
        <w:t xml:space="preserve"> </w:t>
      </w:r>
      <w:r w:rsidR="00BE7BF9" w:rsidRPr="005972E8">
        <w:rPr>
          <w:sz w:val="24"/>
          <w:szCs w:val="24"/>
          <w:lang w:eastAsia="ko-KR"/>
        </w:rPr>
        <w:t xml:space="preserve">time </w:t>
      </w:r>
      <w:r w:rsidR="00BF27A5" w:rsidRPr="005972E8">
        <w:rPr>
          <w:sz w:val="24"/>
          <w:szCs w:val="24"/>
          <w:lang w:eastAsia="ko-KR"/>
        </w:rPr>
        <w:t xml:space="preserve">for </w:t>
      </w:r>
      <w:r w:rsidR="00BE7BF9" w:rsidRPr="005972E8">
        <w:rPr>
          <w:sz w:val="24"/>
          <w:szCs w:val="24"/>
          <w:lang w:eastAsia="ko-KR"/>
        </w:rPr>
        <w:t>outreach and engagement activities.</w:t>
      </w:r>
    </w:p>
    <w:p w14:paraId="2D6F7744" w14:textId="04D591B7" w:rsidR="00BE7BF9" w:rsidRPr="005972E8" w:rsidRDefault="002962C3" w:rsidP="005972E8">
      <w:pPr>
        <w:pStyle w:val="ListParagraph"/>
        <w:numPr>
          <w:ilvl w:val="0"/>
          <w:numId w:val="6"/>
        </w:numPr>
        <w:spacing w:before="60" w:after="60" w:line="240" w:lineRule="auto"/>
        <w:ind w:left="408" w:hanging="357"/>
        <w:contextualSpacing w:val="0"/>
        <w:rPr>
          <w:sz w:val="24"/>
          <w:szCs w:val="24"/>
          <w:lang w:eastAsia="ko-KR"/>
        </w:rPr>
      </w:pPr>
      <w:r w:rsidRPr="005972E8">
        <w:rPr>
          <w:sz w:val="24"/>
          <w:szCs w:val="24"/>
          <w:lang w:eastAsia="ko-KR"/>
        </w:rPr>
        <w:t xml:space="preserve">ITU value proposition </w:t>
      </w:r>
      <w:r w:rsidR="00BE7BF9" w:rsidRPr="005972E8">
        <w:rPr>
          <w:sz w:val="24"/>
          <w:szCs w:val="24"/>
          <w:lang w:eastAsia="ko-KR"/>
        </w:rPr>
        <w:t xml:space="preserve">for academia </w:t>
      </w:r>
      <w:r w:rsidRPr="005972E8">
        <w:rPr>
          <w:sz w:val="24"/>
          <w:szCs w:val="24"/>
          <w:lang w:eastAsia="ko-KR"/>
        </w:rPr>
        <w:t xml:space="preserve">is not well articulated </w:t>
      </w:r>
      <w:r w:rsidR="00BE7BF9" w:rsidRPr="005972E8">
        <w:rPr>
          <w:sz w:val="24"/>
          <w:szCs w:val="24"/>
          <w:lang w:eastAsia="ko-KR"/>
        </w:rPr>
        <w:t>in public facing documents (the documents articulating the value</w:t>
      </w:r>
      <w:r w:rsidR="00BF27A5" w:rsidRPr="005972E8">
        <w:rPr>
          <w:sz w:val="24"/>
          <w:szCs w:val="24"/>
          <w:lang w:eastAsia="ko-KR"/>
        </w:rPr>
        <w:t xml:space="preserve"> of membership</w:t>
      </w:r>
      <w:r w:rsidR="00BE7BF9" w:rsidRPr="005972E8">
        <w:rPr>
          <w:sz w:val="24"/>
          <w:szCs w:val="24"/>
          <w:lang w:eastAsia="ko-KR"/>
        </w:rPr>
        <w:t xml:space="preserve"> are generic, </w:t>
      </w:r>
      <w:r w:rsidR="00BF27A5" w:rsidRPr="005972E8">
        <w:rPr>
          <w:sz w:val="24"/>
          <w:szCs w:val="24"/>
          <w:lang w:eastAsia="ko-KR"/>
        </w:rPr>
        <w:t xml:space="preserve">and </w:t>
      </w:r>
      <w:r w:rsidR="00BE7BF9" w:rsidRPr="005972E8">
        <w:rPr>
          <w:sz w:val="24"/>
          <w:szCs w:val="24"/>
          <w:lang w:eastAsia="ko-KR"/>
        </w:rPr>
        <w:t>no</w:t>
      </w:r>
      <w:r w:rsidR="00BF27A5" w:rsidRPr="005972E8">
        <w:rPr>
          <w:sz w:val="24"/>
          <w:szCs w:val="24"/>
          <w:lang w:eastAsia="ko-KR"/>
        </w:rPr>
        <w:t>t</w:t>
      </w:r>
      <w:r w:rsidR="00BE7BF9" w:rsidRPr="005972E8">
        <w:rPr>
          <w:sz w:val="24"/>
          <w:szCs w:val="24"/>
          <w:lang w:eastAsia="ko-KR"/>
        </w:rPr>
        <w:t xml:space="preserve"> tailored for </w:t>
      </w:r>
      <w:r w:rsidR="00BF27A5" w:rsidRPr="005972E8">
        <w:rPr>
          <w:sz w:val="24"/>
          <w:szCs w:val="24"/>
          <w:lang w:eastAsia="ko-KR"/>
        </w:rPr>
        <w:t xml:space="preserve">a </w:t>
      </w:r>
      <w:r w:rsidR="00BE7BF9" w:rsidRPr="005972E8">
        <w:rPr>
          <w:sz w:val="24"/>
          <w:szCs w:val="24"/>
          <w:lang w:eastAsia="ko-KR"/>
        </w:rPr>
        <w:t>specific audience).</w:t>
      </w:r>
      <w:r w:rsidR="00A9310C" w:rsidRPr="005972E8">
        <w:rPr>
          <w:sz w:val="24"/>
          <w:szCs w:val="24"/>
        </w:rPr>
        <w:t xml:space="preserve"> </w:t>
      </w:r>
      <w:r w:rsidR="00A9310C" w:rsidRPr="005972E8">
        <w:rPr>
          <w:sz w:val="24"/>
          <w:szCs w:val="24"/>
          <w:lang w:eastAsia="ko-KR"/>
        </w:rPr>
        <w:t xml:space="preserve">For example, currently the </w:t>
      </w:r>
      <w:hyperlink r:id="rId11" w:history="1">
        <w:r w:rsidR="002B1A74" w:rsidRPr="005972E8">
          <w:rPr>
            <w:rStyle w:val="Hyperlink"/>
            <w:sz w:val="24"/>
            <w:szCs w:val="24"/>
            <w:lang w:eastAsia="ko-KR"/>
          </w:rPr>
          <w:t xml:space="preserve">ITU-D </w:t>
        </w:r>
        <w:r w:rsidR="00A9310C" w:rsidRPr="005972E8">
          <w:rPr>
            <w:rStyle w:val="Hyperlink"/>
            <w:sz w:val="24"/>
            <w:szCs w:val="24"/>
            <w:lang w:eastAsia="ko-KR"/>
          </w:rPr>
          <w:t>Membership Kit</w:t>
        </w:r>
      </w:hyperlink>
      <w:r w:rsidR="00A9310C" w:rsidRPr="005972E8">
        <w:rPr>
          <w:sz w:val="24"/>
          <w:szCs w:val="24"/>
          <w:lang w:eastAsia="ko-KR"/>
        </w:rPr>
        <w:t xml:space="preserve"> available on the ITU-D website </w:t>
      </w:r>
      <w:r w:rsidR="00CF3726" w:rsidRPr="005972E8">
        <w:rPr>
          <w:sz w:val="24"/>
          <w:szCs w:val="24"/>
          <w:lang w:eastAsia="ko-KR"/>
        </w:rPr>
        <w:t>does not</w:t>
      </w:r>
      <w:r w:rsidR="00A9310C" w:rsidRPr="005972E8">
        <w:rPr>
          <w:sz w:val="24"/>
          <w:szCs w:val="24"/>
          <w:lang w:eastAsia="ko-KR"/>
        </w:rPr>
        <w:t xml:space="preserve"> articulate how engagement with ITU would benefit researchers.</w:t>
      </w:r>
    </w:p>
    <w:p w14:paraId="6CA8B312" w14:textId="53CAC479" w:rsidR="002962C3" w:rsidRPr="005972E8" w:rsidRDefault="00BE7BF9" w:rsidP="005972E8">
      <w:pPr>
        <w:pStyle w:val="ListParagraph"/>
        <w:numPr>
          <w:ilvl w:val="0"/>
          <w:numId w:val="6"/>
        </w:numPr>
        <w:spacing w:before="60" w:after="60" w:line="240" w:lineRule="auto"/>
        <w:ind w:left="408" w:hanging="357"/>
        <w:contextualSpacing w:val="0"/>
        <w:rPr>
          <w:sz w:val="24"/>
          <w:szCs w:val="24"/>
          <w:lang w:eastAsia="ko-KR"/>
        </w:rPr>
      </w:pPr>
      <w:r w:rsidRPr="005972E8">
        <w:rPr>
          <w:sz w:val="24"/>
          <w:szCs w:val="24"/>
          <w:lang w:eastAsia="ko-KR"/>
        </w:rPr>
        <w:t>Information on concrete activities that researchers could get actively involved in is</w:t>
      </w:r>
      <w:r w:rsidR="002962C3" w:rsidRPr="005972E8">
        <w:rPr>
          <w:sz w:val="24"/>
          <w:szCs w:val="24"/>
          <w:lang w:eastAsia="ko-KR"/>
        </w:rPr>
        <w:t xml:space="preserve"> not easily </w:t>
      </w:r>
      <w:r w:rsidRPr="005972E8">
        <w:rPr>
          <w:sz w:val="24"/>
          <w:szCs w:val="24"/>
          <w:lang w:eastAsia="ko-KR"/>
        </w:rPr>
        <w:t>accessible</w:t>
      </w:r>
      <w:r w:rsidR="002962C3" w:rsidRPr="005972E8">
        <w:rPr>
          <w:sz w:val="24"/>
          <w:szCs w:val="24"/>
          <w:lang w:eastAsia="ko-KR"/>
        </w:rPr>
        <w:t xml:space="preserve"> on the ITU website</w:t>
      </w:r>
      <w:r w:rsidR="0046681F" w:rsidRPr="005972E8">
        <w:rPr>
          <w:sz w:val="24"/>
          <w:szCs w:val="24"/>
          <w:lang w:eastAsia="ko-KR"/>
        </w:rPr>
        <w:t xml:space="preserve"> (</w:t>
      </w:r>
      <w:r w:rsidR="00007F9F" w:rsidRPr="005972E8">
        <w:rPr>
          <w:sz w:val="24"/>
          <w:szCs w:val="24"/>
          <w:lang w:eastAsia="ko-KR"/>
        </w:rPr>
        <w:t>the</w:t>
      </w:r>
      <w:r w:rsidR="0046681F" w:rsidRPr="005972E8">
        <w:rPr>
          <w:sz w:val="24"/>
          <w:szCs w:val="24"/>
          <w:lang w:eastAsia="ko-KR"/>
        </w:rPr>
        <w:t xml:space="preserve"> website </w:t>
      </w:r>
      <w:r w:rsidR="00BF27A5" w:rsidRPr="005972E8">
        <w:rPr>
          <w:sz w:val="24"/>
          <w:szCs w:val="24"/>
          <w:lang w:eastAsia="ko-KR"/>
        </w:rPr>
        <w:t>is</w:t>
      </w:r>
      <w:r w:rsidR="0046681F" w:rsidRPr="005972E8">
        <w:rPr>
          <w:sz w:val="24"/>
          <w:szCs w:val="24"/>
          <w:lang w:eastAsia="ko-KR"/>
        </w:rPr>
        <w:t xml:space="preserve"> difficult to navigate</w:t>
      </w:r>
      <w:r w:rsidR="00BF27A5" w:rsidRPr="005972E8">
        <w:rPr>
          <w:sz w:val="24"/>
          <w:szCs w:val="24"/>
          <w:lang w:eastAsia="ko-KR"/>
        </w:rPr>
        <w:t>, especially for those unfamiliar with the platform</w:t>
      </w:r>
      <w:r w:rsidR="0046681F" w:rsidRPr="005972E8">
        <w:rPr>
          <w:sz w:val="24"/>
          <w:szCs w:val="24"/>
          <w:lang w:eastAsia="ko-KR"/>
        </w:rPr>
        <w:t>)</w:t>
      </w:r>
      <w:r w:rsidR="003173D4" w:rsidRPr="005972E8">
        <w:rPr>
          <w:sz w:val="24"/>
          <w:szCs w:val="24"/>
          <w:lang w:eastAsia="ko-KR"/>
        </w:rPr>
        <w:t>.</w:t>
      </w:r>
      <w:r w:rsidRPr="005972E8">
        <w:rPr>
          <w:sz w:val="24"/>
          <w:szCs w:val="24"/>
          <w:lang w:eastAsia="ko-KR"/>
        </w:rPr>
        <w:t xml:space="preserve"> Moreover, i</w:t>
      </w:r>
      <w:r w:rsidR="003173D4" w:rsidRPr="005972E8">
        <w:rPr>
          <w:sz w:val="24"/>
          <w:szCs w:val="24"/>
          <w:lang w:eastAsia="ko-KR"/>
        </w:rPr>
        <w:t>nformation</w:t>
      </w:r>
      <w:r w:rsidRPr="005972E8">
        <w:rPr>
          <w:sz w:val="24"/>
          <w:szCs w:val="24"/>
          <w:lang w:eastAsia="ko-KR"/>
        </w:rPr>
        <w:t xml:space="preserve"> shared by ITU </w:t>
      </w:r>
      <w:r w:rsidR="0046681F" w:rsidRPr="005972E8">
        <w:rPr>
          <w:sz w:val="24"/>
          <w:szCs w:val="24"/>
          <w:lang w:eastAsia="ko-KR"/>
        </w:rPr>
        <w:t>requires a lot of time to digest. This includes ITU circulars</w:t>
      </w:r>
      <w:r w:rsidR="00007F9F" w:rsidRPr="005972E8">
        <w:rPr>
          <w:sz w:val="24"/>
          <w:szCs w:val="24"/>
          <w:lang w:eastAsia="ko-KR"/>
        </w:rPr>
        <w:t>,</w:t>
      </w:r>
      <w:r w:rsidR="0046681F" w:rsidRPr="005972E8">
        <w:rPr>
          <w:sz w:val="24"/>
          <w:szCs w:val="24"/>
          <w:lang w:eastAsia="ko-KR"/>
        </w:rPr>
        <w:t xml:space="preserve"> which are </w:t>
      </w:r>
      <w:r w:rsidR="00007F9F" w:rsidRPr="005972E8">
        <w:rPr>
          <w:sz w:val="24"/>
          <w:szCs w:val="24"/>
          <w:lang w:eastAsia="ko-KR"/>
        </w:rPr>
        <w:t xml:space="preserve">often </w:t>
      </w:r>
      <w:r w:rsidR="00FB3B44" w:rsidRPr="005972E8">
        <w:rPr>
          <w:sz w:val="24"/>
          <w:szCs w:val="24"/>
          <w:lang w:eastAsia="ko-KR"/>
        </w:rPr>
        <w:t xml:space="preserve">many </w:t>
      </w:r>
      <w:r w:rsidR="0046681F" w:rsidRPr="005972E8">
        <w:rPr>
          <w:sz w:val="24"/>
          <w:szCs w:val="24"/>
          <w:lang w:eastAsia="ko-KR"/>
        </w:rPr>
        <w:t>pages long.</w:t>
      </w:r>
      <w:r w:rsidR="002962C3" w:rsidRPr="005972E8">
        <w:rPr>
          <w:sz w:val="24"/>
          <w:szCs w:val="24"/>
          <w:lang w:eastAsia="ko-KR"/>
        </w:rPr>
        <w:t xml:space="preserve"> </w:t>
      </w:r>
    </w:p>
    <w:p w14:paraId="41619BFA" w14:textId="22C7D0D1" w:rsidR="0046681F" w:rsidRPr="005972E8" w:rsidRDefault="0046681F" w:rsidP="005972E8">
      <w:pPr>
        <w:pStyle w:val="ListParagraph"/>
        <w:numPr>
          <w:ilvl w:val="0"/>
          <w:numId w:val="6"/>
        </w:numPr>
        <w:spacing w:before="60" w:after="60" w:line="240" w:lineRule="auto"/>
        <w:ind w:left="408" w:hanging="357"/>
        <w:contextualSpacing w:val="0"/>
        <w:rPr>
          <w:sz w:val="24"/>
          <w:szCs w:val="24"/>
          <w:lang w:eastAsia="ko-KR"/>
        </w:rPr>
      </w:pPr>
      <w:r w:rsidRPr="005972E8">
        <w:rPr>
          <w:sz w:val="24"/>
          <w:szCs w:val="24"/>
          <w:lang w:eastAsia="ko-KR"/>
        </w:rPr>
        <w:t>ITU meetings</w:t>
      </w:r>
      <w:r w:rsidR="002962C3" w:rsidRPr="005972E8">
        <w:rPr>
          <w:sz w:val="24"/>
          <w:szCs w:val="24"/>
          <w:lang w:eastAsia="ko-KR"/>
        </w:rPr>
        <w:t>, in particular Study Group meetings (of most interest to academia)</w:t>
      </w:r>
      <w:r w:rsidR="003173D4" w:rsidRPr="005972E8">
        <w:rPr>
          <w:sz w:val="24"/>
          <w:szCs w:val="24"/>
          <w:lang w:eastAsia="ko-KR"/>
        </w:rPr>
        <w:t>,</w:t>
      </w:r>
      <w:r w:rsidR="002962C3" w:rsidRPr="005972E8">
        <w:rPr>
          <w:sz w:val="24"/>
          <w:szCs w:val="24"/>
          <w:lang w:eastAsia="ko-KR"/>
        </w:rPr>
        <w:t xml:space="preserve"> are conducted</w:t>
      </w:r>
      <w:r w:rsidR="00BE7BF9" w:rsidRPr="005972E8">
        <w:rPr>
          <w:sz w:val="24"/>
          <w:szCs w:val="24"/>
          <w:lang w:eastAsia="ko-KR"/>
        </w:rPr>
        <w:t xml:space="preserve"> only</w:t>
      </w:r>
      <w:r w:rsidR="002962C3" w:rsidRPr="005972E8">
        <w:rPr>
          <w:sz w:val="24"/>
          <w:szCs w:val="24"/>
          <w:lang w:eastAsia="ko-KR"/>
        </w:rPr>
        <w:t xml:space="preserve"> in Geneva, Switzerland, which </w:t>
      </w:r>
      <w:r w:rsidR="003173D4" w:rsidRPr="005972E8">
        <w:rPr>
          <w:sz w:val="24"/>
          <w:szCs w:val="24"/>
          <w:lang w:eastAsia="ko-KR"/>
        </w:rPr>
        <w:t xml:space="preserve">makes participation challenging due to travel time, </w:t>
      </w:r>
      <w:proofErr w:type="gramStart"/>
      <w:r w:rsidR="003173D4" w:rsidRPr="005972E8">
        <w:rPr>
          <w:sz w:val="24"/>
          <w:szCs w:val="24"/>
          <w:lang w:eastAsia="ko-KR"/>
        </w:rPr>
        <w:t>costs</w:t>
      </w:r>
      <w:proofErr w:type="gramEnd"/>
      <w:r w:rsidR="003173D4" w:rsidRPr="005972E8">
        <w:rPr>
          <w:sz w:val="24"/>
          <w:szCs w:val="24"/>
          <w:lang w:eastAsia="ko-KR"/>
        </w:rPr>
        <w:t xml:space="preserve"> and time difference (if joining the meetings virtually).</w:t>
      </w:r>
    </w:p>
    <w:p w14:paraId="4F3D7945" w14:textId="3D83FD4B" w:rsidR="0046681F" w:rsidRPr="005972E8" w:rsidRDefault="0046681F" w:rsidP="00BD6FB1">
      <w:pPr>
        <w:pStyle w:val="ListParagraph"/>
        <w:keepNext/>
        <w:numPr>
          <w:ilvl w:val="0"/>
          <w:numId w:val="1"/>
        </w:numPr>
        <w:spacing w:before="120" w:after="120" w:line="240" w:lineRule="auto"/>
        <w:ind w:left="357" w:hanging="357"/>
        <w:contextualSpacing w:val="0"/>
        <w:rPr>
          <w:b/>
          <w:sz w:val="24"/>
          <w:szCs w:val="24"/>
          <w:lang w:eastAsia="ko-KR"/>
        </w:rPr>
      </w:pPr>
      <w:r w:rsidRPr="005972E8">
        <w:rPr>
          <w:b/>
          <w:sz w:val="24"/>
          <w:szCs w:val="24"/>
          <w:lang w:eastAsia="ko-KR"/>
        </w:rPr>
        <w:t>Potential solutions/measures</w:t>
      </w:r>
      <w:r w:rsidR="002962C3" w:rsidRPr="005972E8">
        <w:rPr>
          <w:b/>
          <w:sz w:val="24"/>
          <w:szCs w:val="24"/>
          <w:lang w:eastAsia="ko-KR"/>
        </w:rPr>
        <w:t xml:space="preserve"> to be taken by </w:t>
      </w:r>
      <w:proofErr w:type="gramStart"/>
      <w:r w:rsidR="002962C3" w:rsidRPr="005972E8">
        <w:rPr>
          <w:b/>
          <w:sz w:val="24"/>
          <w:szCs w:val="24"/>
          <w:lang w:eastAsia="ko-KR"/>
        </w:rPr>
        <w:t>ITU</w:t>
      </w:r>
      <w:proofErr w:type="gramEnd"/>
    </w:p>
    <w:p w14:paraId="3424E191" w14:textId="247BA39F" w:rsidR="002962C3" w:rsidRPr="005972E8" w:rsidRDefault="00BE7BF9" w:rsidP="002B1A74">
      <w:pPr>
        <w:spacing w:before="120" w:after="120" w:line="240" w:lineRule="auto"/>
        <w:ind w:left="53"/>
        <w:rPr>
          <w:sz w:val="24"/>
          <w:szCs w:val="24"/>
          <w:lang w:eastAsia="ko-KR"/>
        </w:rPr>
      </w:pPr>
      <w:r w:rsidRPr="005972E8">
        <w:rPr>
          <w:sz w:val="24"/>
          <w:szCs w:val="24"/>
          <w:lang w:eastAsia="ko-KR"/>
        </w:rPr>
        <w:t>While w</w:t>
      </w:r>
      <w:r w:rsidR="003173D4" w:rsidRPr="005972E8">
        <w:rPr>
          <w:sz w:val="24"/>
          <w:szCs w:val="24"/>
          <w:lang w:eastAsia="ko-KR"/>
        </w:rPr>
        <w:t>e understand that some of the</w:t>
      </w:r>
      <w:r w:rsidRPr="005972E8">
        <w:rPr>
          <w:sz w:val="24"/>
          <w:szCs w:val="24"/>
          <w:lang w:eastAsia="ko-KR"/>
        </w:rPr>
        <w:t xml:space="preserve"> </w:t>
      </w:r>
      <w:r w:rsidR="003173D4" w:rsidRPr="005972E8">
        <w:rPr>
          <w:sz w:val="24"/>
          <w:szCs w:val="24"/>
          <w:lang w:eastAsia="ko-KR"/>
        </w:rPr>
        <w:t xml:space="preserve">barriers outlined above </w:t>
      </w:r>
      <w:r w:rsidR="00007F9F" w:rsidRPr="005972E8">
        <w:rPr>
          <w:sz w:val="24"/>
          <w:szCs w:val="24"/>
          <w:lang w:eastAsia="ko-KR"/>
        </w:rPr>
        <w:t>cannot be addressed by</w:t>
      </w:r>
      <w:r w:rsidRPr="005972E8">
        <w:rPr>
          <w:sz w:val="24"/>
          <w:szCs w:val="24"/>
          <w:lang w:eastAsia="ko-KR"/>
        </w:rPr>
        <w:t xml:space="preserve"> ITU,</w:t>
      </w:r>
      <w:r w:rsidR="003173D4" w:rsidRPr="005972E8">
        <w:rPr>
          <w:sz w:val="24"/>
          <w:szCs w:val="24"/>
          <w:lang w:eastAsia="ko-KR"/>
        </w:rPr>
        <w:t xml:space="preserve"> we believe </w:t>
      </w:r>
      <w:r w:rsidR="00A9310C" w:rsidRPr="005972E8">
        <w:rPr>
          <w:sz w:val="24"/>
          <w:szCs w:val="24"/>
          <w:lang w:eastAsia="ko-KR"/>
        </w:rPr>
        <w:t>that there are certain measures that ITU can take to increase academia participation</w:t>
      </w:r>
      <w:r w:rsidR="003173D4" w:rsidRPr="005972E8">
        <w:rPr>
          <w:sz w:val="24"/>
          <w:szCs w:val="24"/>
          <w:lang w:eastAsia="ko-KR"/>
        </w:rPr>
        <w:t>. These include:</w:t>
      </w:r>
    </w:p>
    <w:p w14:paraId="3C0057FA" w14:textId="63CC01FA" w:rsidR="00A9310C" w:rsidRPr="005972E8" w:rsidRDefault="00A9310C" w:rsidP="005972E8">
      <w:pPr>
        <w:pStyle w:val="ListParagraph"/>
        <w:numPr>
          <w:ilvl w:val="0"/>
          <w:numId w:val="4"/>
        </w:numPr>
        <w:spacing w:before="60" w:after="60" w:line="240" w:lineRule="auto"/>
        <w:ind w:left="408" w:hanging="357"/>
        <w:contextualSpacing w:val="0"/>
        <w:rPr>
          <w:sz w:val="24"/>
          <w:szCs w:val="24"/>
          <w:lang w:eastAsia="ko-KR"/>
        </w:rPr>
      </w:pPr>
      <w:r w:rsidRPr="005972E8">
        <w:rPr>
          <w:sz w:val="24"/>
          <w:szCs w:val="24"/>
          <w:lang w:eastAsia="ko-KR"/>
        </w:rPr>
        <w:t xml:space="preserve">Develop a standalone document clearly articulating the </w:t>
      </w:r>
      <w:r w:rsidR="00BF27A5" w:rsidRPr="005972E8">
        <w:rPr>
          <w:sz w:val="24"/>
          <w:szCs w:val="24"/>
          <w:lang w:eastAsia="ko-KR"/>
        </w:rPr>
        <w:t xml:space="preserve">precise </w:t>
      </w:r>
      <w:r w:rsidRPr="005972E8">
        <w:rPr>
          <w:sz w:val="24"/>
          <w:szCs w:val="24"/>
          <w:lang w:eastAsia="ko-KR"/>
        </w:rPr>
        <w:t>benefits of engagement for academia</w:t>
      </w:r>
      <w:r w:rsidR="00F17F7E" w:rsidRPr="005972E8">
        <w:rPr>
          <w:sz w:val="24"/>
          <w:szCs w:val="24"/>
          <w:lang w:eastAsia="ko-KR"/>
        </w:rPr>
        <w:t xml:space="preserve">. </w:t>
      </w:r>
      <w:r w:rsidRPr="005972E8">
        <w:rPr>
          <w:sz w:val="24"/>
          <w:szCs w:val="24"/>
          <w:lang w:eastAsia="ko-KR"/>
        </w:rPr>
        <w:t xml:space="preserve">It would be beneficial to include sections </w:t>
      </w:r>
      <w:r w:rsidR="00253F1C" w:rsidRPr="005972E8">
        <w:rPr>
          <w:sz w:val="24"/>
          <w:szCs w:val="24"/>
          <w:lang w:eastAsia="ko-KR"/>
        </w:rPr>
        <w:t>that highlight research opportunities, curriculum development, teaching</w:t>
      </w:r>
      <w:r w:rsidR="005123E1" w:rsidRPr="005972E8">
        <w:rPr>
          <w:sz w:val="24"/>
          <w:szCs w:val="24"/>
          <w:lang w:eastAsia="ko-KR"/>
        </w:rPr>
        <w:t xml:space="preserve"> benefits</w:t>
      </w:r>
      <w:r w:rsidR="00253F1C" w:rsidRPr="005972E8">
        <w:rPr>
          <w:sz w:val="24"/>
          <w:szCs w:val="24"/>
          <w:lang w:eastAsia="ko-KR"/>
        </w:rPr>
        <w:t>, and</w:t>
      </w:r>
      <w:r w:rsidRPr="005972E8">
        <w:rPr>
          <w:sz w:val="24"/>
          <w:szCs w:val="24"/>
          <w:lang w:eastAsia="ko-KR"/>
        </w:rPr>
        <w:t xml:space="preserve"> address youth engagement (</w:t>
      </w:r>
      <w:proofErr w:type="gramStart"/>
      <w:r w:rsidRPr="005972E8">
        <w:rPr>
          <w:sz w:val="24"/>
          <w:szCs w:val="24"/>
          <w:lang w:eastAsia="ko-KR"/>
        </w:rPr>
        <w:t>e.g.</w:t>
      </w:r>
      <w:proofErr w:type="gramEnd"/>
      <w:r w:rsidRPr="005972E8">
        <w:rPr>
          <w:sz w:val="24"/>
          <w:szCs w:val="24"/>
          <w:lang w:eastAsia="ko-KR"/>
        </w:rPr>
        <w:t xml:space="preserve"> outlining </w:t>
      </w:r>
      <w:r w:rsidRPr="005972E8">
        <w:rPr>
          <w:sz w:val="24"/>
          <w:szCs w:val="24"/>
          <w:lang w:eastAsia="ko-KR"/>
        </w:rPr>
        <w:lastRenderedPageBreak/>
        <w:t>activities where involvement of BA</w:t>
      </w:r>
      <w:r w:rsidR="001C783A" w:rsidRPr="005972E8">
        <w:rPr>
          <w:sz w:val="24"/>
          <w:szCs w:val="24"/>
          <w:lang w:eastAsia="ko-KR"/>
        </w:rPr>
        <w:t xml:space="preserve">, </w:t>
      </w:r>
      <w:r w:rsidRPr="005972E8">
        <w:rPr>
          <w:sz w:val="24"/>
          <w:szCs w:val="24"/>
          <w:lang w:eastAsia="ko-KR"/>
        </w:rPr>
        <w:t xml:space="preserve">MA </w:t>
      </w:r>
      <w:r w:rsidR="001C783A" w:rsidRPr="005972E8">
        <w:rPr>
          <w:sz w:val="24"/>
          <w:szCs w:val="24"/>
          <w:lang w:eastAsia="ko-KR"/>
        </w:rPr>
        <w:t xml:space="preserve">and PhD </w:t>
      </w:r>
      <w:r w:rsidRPr="005972E8">
        <w:rPr>
          <w:sz w:val="24"/>
          <w:szCs w:val="24"/>
          <w:lang w:eastAsia="ko-KR"/>
        </w:rPr>
        <w:t>students would be particularly welcome by ITU and its membership)</w:t>
      </w:r>
      <w:r w:rsidR="00BF27A5" w:rsidRPr="005972E8">
        <w:rPr>
          <w:sz w:val="24"/>
          <w:szCs w:val="24"/>
          <w:lang w:eastAsia="ko-KR"/>
        </w:rPr>
        <w:t>.</w:t>
      </w:r>
    </w:p>
    <w:p w14:paraId="1EB9E027" w14:textId="0B9C5F8D" w:rsidR="00F17F7E" w:rsidRPr="005972E8" w:rsidRDefault="00F17F7E" w:rsidP="005972E8">
      <w:pPr>
        <w:pStyle w:val="ListParagraph"/>
        <w:numPr>
          <w:ilvl w:val="0"/>
          <w:numId w:val="4"/>
        </w:numPr>
        <w:spacing w:before="60" w:after="60" w:line="240" w:lineRule="auto"/>
        <w:ind w:left="408" w:hanging="357"/>
        <w:contextualSpacing w:val="0"/>
        <w:rPr>
          <w:sz w:val="24"/>
          <w:szCs w:val="24"/>
          <w:lang w:eastAsia="ko-KR"/>
        </w:rPr>
      </w:pPr>
      <w:r w:rsidRPr="005972E8">
        <w:rPr>
          <w:sz w:val="24"/>
          <w:szCs w:val="24"/>
          <w:lang w:eastAsia="ko-KR"/>
        </w:rPr>
        <w:t xml:space="preserve">Hold research specific initiatives </w:t>
      </w:r>
      <w:r w:rsidR="006317F8" w:rsidRPr="005972E8">
        <w:rPr>
          <w:sz w:val="24"/>
          <w:szCs w:val="24"/>
          <w:lang w:eastAsia="ko-KR"/>
        </w:rPr>
        <w:t>and competitive funding opportunities on telecom/ICT</w:t>
      </w:r>
      <w:r w:rsidR="006317F8" w:rsidRPr="005972E8">
        <w:rPr>
          <w:sz w:val="24"/>
          <w:szCs w:val="24"/>
          <w:lang w:eastAsia="ko-KR"/>
        </w:rPr>
        <w:noBreakHyphen/>
        <w:t>related issues, such as</w:t>
      </w:r>
      <w:r w:rsidRPr="005972E8">
        <w:rPr>
          <w:sz w:val="24"/>
          <w:szCs w:val="24"/>
          <w:lang w:eastAsia="ko-KR"/>
        </w:rPr>
        <w:t xml:space="preserve"> </w:t>
      </w:r>
      <w:r w:rsidR="006317F8" w:rsidRPr="005972E8">
        <w:rPr>
          <w:sz w:val="24"/>
          <w:szCs w:val="24"/>
          <w:lang w:eastAsia="ko-KR"/>
        </w:rPr>
        <w:t>the</w:t>
      </w:r>
      <w:r w:rsidR="00A9310C" w:rsidRPr="005972E8">
        <w:rPr>
          <w:sz w:val="24"/>
          <w:szCs w:val="24"/>
          <w:lang w:eastAsia="ko-KR"/>
        </w:rPr>
        <w:t xml:space="preserve"> </w:t>
      </w:r>
      <w:hyperlink r:id="rId12" w:history="1">
        <w:r w:rsidRPr="005972E8">
          <w:rPr>
            <w:rStyle w:val="Hyperlink"/>
            <w:sz w:val="24"/>
            <w:szCs w:val="24"/>
            <w:lang w:eastAsia="ko-KR"/>
          </w:rPr>
          <w:t xml:space="preserve">Connect2Recover </w:t>
        </w:r>
        <w:r w:rsidR="006317F8" w:rsidRPr="005972E8">
          <w:rPr>
            <w:rStyle w:val="Hyperlink"/>
            <w:sz w:val="24"/>
            <w:szCs w:val="24"/>
            <w:lang w:eastAsia="ko-KR"/>
          </w:rPr>
          <w:t>R</w:t>
        </w:r>
        <w:r w:rsidRPr="005972E8">
          <w:rPr>
            <w:rStyle w:val="Hyperlink"/>
            <w:sz w:val="24"/>
            <w:szCs w:val="24"/>
            <w:lang w:eastAsia="ko-KR"/>
          </w:rPr>
          <w:t xml:space="preserve">esearch </w:t>
        </w:r>
        <w:r w:rsidR="006317F8" w:rsidRPr="005972E8">
          <w:rPr>
            <w:rStyle w:val="Hyperlink"/>
            <w:sz w:val="24"/>
            <w:szCs w:val="24"/>
            <w:lang w:eastAsia="ko-KR"/>
          </w:rPr>
          <w:t>C</w:t>
        </w:r>
        <w:r w:rsidRPr="005972E8">
          <w:rPr>
            <w:rStyle w:val="Hyperlink"/>
            <w:sz w:val="24"/>
            <w:szCs w:val="24"/>
            <w:lang w:eastAsia="ko-KR"/>
          </w:rPr>
          <w:t>ompetition</w:t>
        </w:r>
      </w:hyperlink>
      <w:r w:rsidR="002B1A74" w:rsidRPr="005972E8">
        <w:rPr>
          <w:sz w:val="24"/>
          <w:szCs w:val="24"/>
          <w:lang w:eastAsia="ko-KR"/>
        </w:rPr>
        <w:t xml:space="preserve">. </w:t>
      </w:r>
      <w:r w:rsidR="00BF27A5" w:rsidRPr="005972E8">
        <w:rPr>
          <w:sz w:val="24"/>
          <w:szCs w:val="24"/>
          <w:lang w:eastAsia="ko-KR"/>
        </w:rPr>
        <w:t xml:space="preserve">The Connect2Recover </w:t>
      </w:r>
      <w:r w:rsidR="006317F8" w:rsidRPr="005972E8">
        <w:rPr>
          <w:sz w:val="24"/>
          <w:szCs w:val="24"/>
          <w:lang w:eastAsia="ko-KR"/>
        </w:rPr>
        <w:t>R</w:t>
      </w:r>
      <w:r w:rsidR="00BF27A5" w:rsidRPr="005972E8">
        <w:rPr>
          <w:sz w:val="24"/>
          <w:szCs w:val="24"/>
          <w:lang w:eastAsia="ko-KR"/>
        </w:rPr>
        <w:t xml:space="preserve">esearch </w:t>
      </w:r>
      <w:r w:rsidR="006317F8" w:rsidRPr="005972E8">
        <w:rPr>
          <w:sz w:val="24"/>
          <w:szCs w:val="24"/>
          <w:lang w:eastAsia="ko-KR"/>
        </w:rPr>
        <w:t>C</w:t>
      </w:r>
      <w:r w:rsidR="00BF27A5" w:rsidRPr="005972E8">
        <w:rPr>
          <w:sz w:val="24"/>
          <w:szCs w:val="24"/>
          <w:lang w:eastAsia="ko-KR"/>
        </w:rPr>
        <w:t>ompetition</w:t>
      </w:r>
      <w:r w:rsidR="00AA2542" w:rsidRPr="005972E8">
        <w:rPr>
          <w:sz w:val="24"/>
          <w:szCs w:val="24"/>
          <w:lang w:eastAsia="ko-KR"/>
        </w:rPr>
        <w:t xml:space="preserve"> was an attractive initiative </w:t>
      </w:r>
      <w:r w:rsidR="00301761" w:rsidRPr="005972E8">
        <w:rPr>
          <w:sz w:val="24"/>
          <w:szCs w:val="24"/>
          <w:lang w:eastAsia="ko-KR"/>
        </w:rPr>
        <w:t>for</w:t>
      </w:r>
      <w:r w:rsidR="00AA2542" w:rsidRPr="005972E8">
        <w:rPr>
          <w:sz w:val="24"/>
          <w:szCs w:val="24"/>
          <w:lang w:eastAsia="ko-KR"/>
        </w:rPr>
        <w:t xml:space="preserve"> research institutes and </w:t>
      </w:r>
      <w:r w:rsidR="00BF27A5" w:rsidRPr="005972E8">
        <w:rPr>
          <w:sz w:val="24"/>
          <w:szCs w:val="24"/>
          <w:lang w:eastAsia="ko-KR"/>
        </w:rPr>
        <w:t xml:space="preserve">illustrated </w:t>
      </w:r>
      <w:r w:rsidRPr="005972E8">
        <w:rPr>
          <w:sz w:val="24"/>
          <w:szCs w:val="24"/>
          <w:lang w:eastAsia="ko-KR"/>
        </w:rPr>
        <w:t>ITU</w:t>
      </w:r>
      <w:r w:rsidR="00BF27A5" w:rsidRPr="005972E8">
        <w:rPr>
          <w:sz w:val="24"/>
          <w:szCs w:val="24"/>
          <w:lang w:eastAsia="ko-KR"/>
        </w:rPr>
        <w:t xml:space="preserve">’s </w:t>
      </w:r>
      <w:r w:rsidRPr="005972E8">
        <w:rPr>
          <w:sz w:val="24"/>
          <w:szCs w:val="24"/>
          <w:lang w:eastAsia="ko-KR"/>
        </w:rPr>
        <w:t xml:space="preserve">strength </w:t>
      </w:r>
      <w:r w:rsidR="00BF27A5" w:rsidRPr="005972E8">
        <w:rPr>
          <w:sz w:val="24"/>
          <w:szCs w:val="24"/>
          <w:lang w:eastAsia="ko-KR"/>
        </w:rPr>
        <w:t xml:space="preserve">of </w:t>
      </w:r>
      <w:r w:rsidR="00A9310C" w:rsidRPr="005972E8">
        <w:rPr>
          <w:sz w:val="24"/>
          <w:szCs w:val="24"/>
          <w:lang w:eastAsia="ko-KR"/>
        </w:rPr>
        <w:t>providing</w:t>
      </w:r>
      <w:r w:rsidRPr="005972E8">
        <w:rPr>
          <w:sz w:val="24"/>
          <w:szCs w:val="24"/>
          <w:lang w:eastAsia="ko-KR"/>
        </w:rPr>
        <w:t xml:space="preserve"> a global platform </w:t>
      </w:r>
      <w:r w:rsidR="00A9310C" w:rsidRPr="005972E8">
        <w:rPr>
          <w:sz w:val="24"/>
          <w:szCs w:val="24"/>
          <w:lang w:eastAsia="ko-KR"/>
        </w:rPr>
        <w:t>for</w:t>
      </w:r>
      <w:r w:rsidRPr="005972E8">
        <w:rPr>
          <w:sz w:val="24"/>
          <w:szCs w:val="24"/>
          <w:lang w:eastAsia="ko-KR"/>
        </w:rPr>
        <w:t xml:space="preserve"> key stakeholders to achieve tangible outcomes.</w:t>
      </w:r>
    </w:p>
    <w:p w14:paraId="3F7AEEBC" w14:textId="42A384E1" w:rsidR="00FB3B44" w:rsidRPr="005972E8" w:rsidRDefault="00FB3B44" w:rsidP="005972E8">
      <w:pPr>
        <w:pStyle w:val="ListParagraph"/>
        <w:numPr>
          <w:ilvl w:val="0"/>
          <w:numId w:val="4"/>
        </w:numPr>
        <w:spacing w:before="60" w:after="60" w:line="240" w:lineRule="auto"/>
        <w:ind w:left="408" w:hanging="357"/>
        <w:contextualSpacing w:val="0"/>
        <w:rPr>
          <w:sz w:val="24"/>
          <w:szCs w:val="24"/>
          <w:lang w:eastAsia="ko-KR"/>
        </w:rPr>
      </w:pPr>
      <w:r w:rsidRPr="005972E8">
        <w:rPr>
          <w:sz w:val="24"/>
          <w:szCs w:val="24"/>
          <w:lang w:eastAsia="ko-KR"/>
        </w:rPr>
        <w:t>Consider organising</w:t>
      </w:r>
      <w:r w:rsidR="00CF3726" w:rsidRPr="005972E8">
        <w:rPr>
          <w:sz w:val="24"/>
          <w:szCs w:val="24"/>
          <w:lang w:eastAsia="ko-KR"/>
        </w:rPr>
        <w:t xml:space="preserve"> </w:t>
      </w:r>
      <w:r w:rsidRPr="005972E8">
        <w:rPr>
          <w:sz w:val="24"/>
          <w:szCs w:val="24"/>
          <w:lang w:eastAsia="ko-KR"/>
        </w:rPr>
        <w:t>PhD placements, with PhD students assisting ITU with relevant projects</w:t>
      </w:r>
      <w:r w:rsidR="00CF3726" w:rsidRPr="005972E8">
        <w:rPr>
          <w:sz w:val="24"/>
          <w:szCs w:val="24"/>
          <w:lang w:eastAsia="ko-KR"/>
        </w:rPr>
        <w:t>.</w:t>
      </w:r>
      <w:r w:rsidRPr="005972E8">
        <w:rPr>
          <w:sz w:val="24"/>
          <w:szCs w:val="24"/>
          <w:lang w:eastAsia="ko-KR"/>
        </w:rPr>
        <w:t xml:space="preserve"> </w:t>
      </w:r>
      <w:r w:rsidR="00CF3726" w:rsidRPr="005972E8">
        <w:rPr>
          <w:sz w:val="24"/>
          <w:szCs w:val="24"/>
          <w:lang w:eastAsia="ko-KR"/>
        </w:rPr>
        <w:t>T</w:t>
      </w:r>
      <w:r w:rsidRPr="005972E8">
        <w:rPr>
          <w:sz w:val="24"/>
          <w:szCs w:val="24"/>
          <w:lang w:eastAsia="ko-KR"/>
        </w:rPr>
        <w:t>his would allow students to develop their professional skills</w:t>
      </w:r>
      <w:r w:rsidR="001C783A" w:rsidRPr="005972E8">
        <w:rPr>
          <w:sz w:val="24"/>
          <w:szCs w:val="24"/>
          <w:lang w:eastAsia="ko-KR"/>
        </w:rPr>
        <w:t xml:space="preserve"> (including engagement and outreach skills)</w:t>
      </w:r>
      <w:r w:rsidRPr="005972E8">
        <w:rPr>
          <w:sz w:val="24"/>
          <w:szCs w:val="24"/>
          <w:lang w:eastAsia="ko-KR"/>
        </w:rPr>
        <w:t xml:space="preserve">, and </w:t>
      </w:r>
      <w:r w:rsidR="00641641" w:rsidRPr="005972E8">
        <w:rPr>
          <w:sz w:val="24"/>
          <w:szCs w:val="24"/>
          <w:lang w:eastAsia="ko-KR"/>
        </w:rPr>
        <w:t>in return</w:t>
      </w:r>
      <w:r w:rsidRPr="005972E8">
        <w:rPr>
          <w:sz w:val="24"/>
          <w:szCs w:val="24"/>
          <w:lang w:eastAsia="ko-KR"/>
        </w:rPr>
        <w:t xml:space="preserve"> ITU </w:t>
      </w:r>
      <w:r w:rsidR="00641641" w:rsidRPr="005972E8">
        <w:rPr>
          <w:sz w:val="24"/>
          <w:szCs w:val="24"/>
          <w:lang w:eastAsia="ko-KR"/>
        </w:rPr>
        <w:t xml:space="preserve">would </w:t>
      </w:r>
      <w:r w:rsidRPr="005972E8">
        <w:rPr>
          <w:sz w:val="24"/>
          <w:szCs w:val="24"/>
          <w:lang w:eastAsia="ko-KR"/>
        </w:rPr>
        <w:t xml:space="preserve">benefit from the students’ </w:t>
      </w:r>
      <w:r w:rsidR="001C783A" w:rsidRPr="005972E8">
        <w:rPr>
          <w:sz w:val="24"/>
          <w:szCs w:val="24"/>
          <w:lang w:eastAsia="ko-KR"/>
        </w:rPr>
        <w:t xml:space="preserve">research </w:t>
      </w:r>
      <w:r w:rsidRPr="005972E8">
        <w:rPr>
          <w:sz w:val="24"/>
          <w:szCs w:val="24"/>
          <w:lang w:eastAsia="ko-KR"/>
        </w:rPr>
        <w:t xml:space="preserve">expertise. </w:t>
      </w:r>
    </w:p>
    <w:p w14:paraId="3737DDD0" w14:textId="6CA0C278" w:rsidR="00BC4D98" w:rsidRPr="005972E8" w:rsidRDefault="00BC4D98" w:rsidP="005972E8">
      <w:pPr>
        <w:pStyle w:val="ListParagraph"/>
        <w:numPr>
          <w:ilvl w:val="0"/>
          <w:numId w:val="4"/>
        </w:numPr>
        <w:spacing w:before="60" w:after="60" w:line="240" w:lineRule="auto"/>
        <w:ind w:left="408" w:hanging="357"/>
        <w:contextualSpacing w:val="0"/>
        <w:rPr>
          <w:sz w:val="24"/>
          <w:szCs w:val="24"/>
          <w:lang w:eastAsia="ko-KR"/>
        </w:rPr>
      </w:pPr>
      <w:r w:rsidRPr="005972E8">
        <w:rPr>
          <w:sz w:val="24"/>
          <w:szCs w:val="24"/>
          <w:lang w:eastAsia="ko-KR"/>
        </w:rPr>
        <w:t>Work with academia</w:t>
      </w:r>
      <w:r w:rsidR="002B1A74" w:rsidRPr="005972E8">
        <w:rPr>
          <w:sz w:val="24"/>
          <w:szCs w:val="24"/>
          <w:lang w:eastAsia="ko-KR"/>
        </w:rPr>
        <w:t>, especially in developing countries,</w:t>
      </w:r>
      <w:r w:rsidRPr="005972E8">
        <w:rPr>
          <w:sz w:val="24"/>
          <w:szCs w:val="24"/>
          <w:lang w:eastAsia="ko-KR"/>
        </w:rPr>
        <w:t xml:space="preserve"> to </w:t>
      </w:r>
      <w:r w:rsidR="002B1A74" w:rsidRPr="005972E8">
        <w:rPr>
          <w:sz w:val="24"/>
          <w:szCs w:val="24"/>
          <w:lang w:eastAsia="ko-KR"/>
        </w:rPr>
        <w:t>help bring telecom/ICT</w:t>
      </w:r>
      <w:r w:rsidR="001C783A" w:rsidRPr="005972E8">
        <w:rPr>
          <w:sz w:val="24"/>
          <w:szCs w:val="24"/>
          <w:lang w:eastAsia="ko-KR"/>
        </w:rPr>
        <w:t>-</w:t>
      </w:r>
      <w:r w:rsidR="002B1A74" w:rsidRPr="005972E8">
        <w:rPr>
          <w:sz w:val="24"/>
          <w:szCs w:val="24"/>
          <w:lang w:eastAsia="ko-KR"/>
        </w:rPr>
        <w:t>related curricula up to date, potentially incorporating relevant modules from ITU Academia into the existing curricula. This can potentially be done as part of services the universities would have access to when joining ITU as members.</w:t>
      </w:r>
    </w:p>
    <w:p w14:paraId="081B3D07" w14:textId="12D1A1C0" w:rsidR="009A4AA4" w:rsidRDefault="009A4AA4" w:rsidP="002B1A74">
      <w:pPr>
        <w:spacing w:before="120" w:after="120" w:line="240" w:lineRule="auto"/>
        <w:ind w:left="51"/>
        <w:jc w:val="center"/>
      </w:pPr>
      <w:r>
        <w:t>________________</w:t>
      </w:r>
    </w:p>
    <w:sectPr w:rsidR="009A4AA4" w:rsidSect="00C92F1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DC38" w14:textId="77777777" w:rsidR="00E32636" w:rsidRDefault="00E32636" w:rsidP="00EC186A">
      <w:pPr>
        <w:spacing w:after="0" w:line="240" w:lineRule="auto"/>
      </w:pPr>
      <w:r>
        <w:separator/>
      </w:r>
    </w:p>
  </w:endnote>
  <w:endnote w:type="continuationSeparator" w:id="0">
    <w:p w14:paraId="02D4E198" w14:textId="77777777" w:rsidR="00E32636" w:rsidRDefault="00E32636" w:rsidP="00E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5748" w14:textId="77777777" w:rsidR="00BD6FB1" w:rsidRDefault="00BD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392" w14:textId="77777777" w:rsidR="00BD6FB1" w:rsidRDefault="00BD6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92F17" w:rsidRPr="00C91B96" w14:paraId="14626B22" w14:textId="77777777" w:rsidTr="00881E08">
      <w:tc>
        <w:tcPr>
          <w:tcW w:w="1526" w:type="dxa"/>
          <w:tcBorders>
            <w:top w:val="single" w:sz="4" w:space="0" w:color="000000"/>
          </w:tcBorders>
        </w:tcPr>
        <w:p w14:paraId="66788B16" w14:textId="77777777" w:rsidR="00C92F17" w:rsidRPr="00C91B96" w:rsidRDefault="00C92F17" w:rsidP="00C92F17">
          <w:pPr>
            <w:pStyle w:val="FirstFooter"/>
            <w:tabs>
              <w:tab w:val="left" w:pos="1559"/>
              <w:tab w:val="left" w:pos="3828"/>
            </w:tabs>
            <w:rPr>
              <w:sz w:val="18"/>
              <w:szCs w:val="18"/>
            </w:rPr>
          </w:pPr>
          <w:r w:rsidRPr="00C91B96">
            <w:rPr>
              <w:sz w:val="18"/>
              <w:szCs w:val="18"/>
              <w:lang w:val="en-US"/>
            </w:rPr>
            <w:t>Contact:</w:t>
          </w:r>
        </w:p>
      </w:tc>
      <w:tc>
        <w:tcPr>
          <w:tcW w:w="2410" w:type="dxa"/>
          <w:tcBorders>
            <w:top w:val="single" w:sz="4" w:space="0" w:color="000000"/>
          </w:tcBorders>
        </w:tcPr>
        <w:p w14:paraId="397CAA4D" w14:textId="77777777" w:rsidR="00C92F17" w:rsidRPr="00C91B96" w:rsidRDefault="00C92F17" w:rsidP="00C92F17">
          <w:pPr>
            <w:pStyle w:val="FirstFooter"/>
            <w:tabs>
              <w:tab w:val="left" w:pos="2302"/>
            </w:tabs>
            <w:ind w:left="2302" w:hanging="2302"/>
            <w:rPr>
              <w:sz w:val="18"/>
              <w:szCs w:val="18"/>
              <w:lang w:val="en-US"/>
            </w:rPr>
          </w:pPr>
          <w:r w:rsidRPr="00C91B96">
            <w:rPr>
              <w:sz w:val="18"/>
              <w:szCs w:val="18"/>
              <w:lang w:val="en-US"/>
            </w:rPr>
            <w:t>Name/Organization/Entity:</w:t>
          </w:r>
        </w:p>
      </w:tc>
      <w:tc>
        <w:tcPr>
          <w:tcW w:w="5987" w:type="dxa"/>
          <w:tcBorders>
            <w:top w:val="single" w:sz="4" w:space="0" w:color="000000"/>
          </w:tcBorders>
        </w:tcPr>
        <w:p w14:paraId="7E9E279B" w14:textId="498F2569" w:rsidR="00C92F17" w:rsidRPr="00C91B96" w:rsidRDefault="005972E8" w:rsidP="00C92F17">
          <w:pPr>
            <w:pStyle w:val="FirstFooter"/>
            <w:tabs>
              <w:tab w:val="left" w:pos="2302"/>
            </w:tabs>
            <w:rPr>
              <w:sz w:val="18"/>
              <w:szCs w:val="18"/>
              <w:lang w:val="en-US"/>
            </w:rPr>
          </w:pPr>
          <w:r>
            <w:rPr>
              <w:sz w:val="18"/>
              <w:szCs w:val="18"/>
              <w:lang w:val="en-GB"/>
            </w:rPr>
            <w:t>Ms</w:t>
          </w:r>
          <w:r w:rsidR="00375065">
            <w:rPr>
              <w:sz w:val="18"/>
              <w:szCs w:val="18"/>
              <w:lang w:val="en-GB"/>
            </w:rPr>
            <w:t xml:space="preserve"> Maria Myutel</w:t>
          </w:r>
          <w:r>
            <w:rPr>
              <w:sz w:val="18"/>
              <w:szCs w:val="18"/>
              <w:lang w:val="en-GB"/>
            </w:rPr>
            <w:t xml:space="preserve">, </w:t>
          </w:r>
          <w:r w:rsidRPr="005972E8">
            <w:rPr>
              <w:sz w:val="18"/>
              <w:szCs w:val="18"/>
              <w:lang w:val="en-GB"/>
            </w:rPr>
            <w:t>Department of Infrastructure, Transport, Regional Development, Communications and the Arts</w:t>
          </w:r>
          <w:r>
            <w:rPr>
              <w:sz w:val="18"/>
              <w:szCs w:val="18"/>
              <w:lang w:val="en-GB"/>
            </w:rPr>
            <w:t>, Australia</w:t>
          </w:r>
        </w:p>
      </w:tc>
    </w:tr>
    <w:tr w:rsidR="00C92F17" w:rsidRPr="00C91B96" w14:paraId="0D189CBB" w14:textId="77777777" w:rsidTr="00881E08">
      <w:tc>
        <w:tcPr>
          <w:tcW w:w="1526" w:type="dxa"/>
        </w:tcPr>
        <w:p w14:paraId="1EB4BAB7" w14:textId="77777777" w:rsidR="00C92F17" w:rsidRPr="00C91B96" w:rsidRDefault="00C92F17" w:rsidP="00C92F17">
          <w:pPr>
            <w:pStyle w:val="FirstFooter"/>
            <w:tabs>
              <w:tab w:val="left" w:pos="1559"/>
              <w:tab w:val="left" w:pos="3828"/>
            </w:tabs>
            <w:rPr>
              <w:sz w:val="18"/>
              <w:szCs w:val="18"/>
              <w:lang w:val="en-US"/>
            </w:rPr>
          </w:pPr>
        </w:p>
      </w:tc>
      <w:tc>
        <w:tcPr>
          <w:tcW w:w="2410" w:type="dxa"/>
        </w:tcPr>
        <w:p w14:paraId="166BBD46" w14:textId="77777777" w:rsidR="00C92F17" w:rsidRPr="00C91B96" w:rsidRDefault="00C92F17" w:rsidP="00C92F17">
          <w:pPr>
            <w:pStyle w:val="FirstFooter"/>
            <w:tabs>
              <w:tab w:val="left" w:pos="2302"/>
            </w:tabs>
            <w:rPr>
              <w:sz w:val="18"/>
              <w:szCs w:val="18"/>
              <w:lang w:val="en-US"/>
            </w:rPr>
          </w:pPr>
          <w:r w:rsidRPr="00C91B96">
            <w:rPr>
              <w:sz w:val="18"/>
              <w:szCs w:val="18"/>
              <w:lang w:val="en-US"/>
            </w:rPr>
            <w:t>Phone number:</w:t>
          </w:r>
        </w:p>
      </w:tc>
      <w:tc>
        <w:tcPr>
          <w:tcW w:w="5987" w:type="dxa"/>
        </w:tcPr>
        <w:p w14:paraId="3E48E226" w14:textId="576AE88F" w:rsidR="00C92F17" w:rsidRPr="00C91B96" w:rsidRDefault="00375065" w:rsidP="00C92F17">
          <w:pPr>
            <w:pStyle w:val="FirstFooter"/>
            <w:tabs>
              <w:tab w:val="left" w:pos="2302"/>
            </w:tabs>
            <w:rPr>
              <w:sz w:val="18"/>
              <w:szCs w:val="18"/>
              <w:lang w:val="en-US"/>
            </w:rPr>
          </w:pPr>
          <w:r>
            <w:rPr>
              <w:sz w:val="18"/>
              <w:szCs w:val="18"/>
            </w:rPr>
            <w:t>+61 418 277 795</w:t>
          </w:r>
          <w:r w:rsidR="00C92F17" w:rsidRPr="00C91B96">
            <w:rPr>
              <w:sz w:val="18"/>
              <w:szCs w:val="18"/>
            </w:rPr>
            <w:t xml:space="preserve"> </w:t>
          </w:r>
        </w:p>
      </w:tc>
    </w:tr>
    <w:tr w:rsidR="00C92F17" w:rsidRPr="00C91B96" w14:paraId="2674D07F" w14:textId="77777777" w:rsidTr="00881E08">
      <w:tc>
        <w:tcPr>
          <w:tcW w:w="1526" w:type="dxa"/>
        </w:tcPr>
        <w:p w14:paraId="04416C02" w14:textId="77777777" w:rsidR="00C92F17" w:rsidRPr="00C91B96" w:rsidRDefault="00C92F17" w:rsidP="00C92F17">
          <w:pPr>
            <w:pStyle w:val="FirstFooter"/>
            <w:tabs>
              <w:tab w:val="left" w:pos="1559"/>
              <w:tab w:val="left" w:pos="3828"/>
            </w:tabs>
            <w:rPr>
              <w:sz w:val="18"/>
              <w:szCs w:val="18"/>
              <w:lang w:val="en-US"/>
            </w:rPr>
          </w:pPr>
        </w:p>
      </w:tc>
      <w:tc>
        <w:tcPr>
          <w:tcW w:w="2410" w:type="dxa"/>
        </w:tcPr>
        <w:p w14:paraId="5CD9336F" w14:textId="77777777" w:rsidR="00C92F17" w:rsidRPr="00C91B96" w:rsidRDefault="00C92F17" w:rsidP="00C92F17">
          <w:pPr>
            <w:pStyle w:val="FirstFooter"/>
            <w:tabs>
              <w:tab w:val="left" w:pos="2302"/>
            </w:tabs>
            <w:rPr>
              <w:sz w:val="18"/>
              <w:szCs w:val="18"/>
              <w:lang w:val="en-US"/>
            </w:rPr>
          </w:pPr>
          <w:r w:rsidRPr="00C91B96">
            <w:rPr>
              <w:sz w:val="18"/>
              <w:szCs w:val="18"/>
              <w:lang w:val="en-US"/>
            </w:rPr>
            <w:t>E-mail:</w:t>
          </w:r>
        </w:p>
      </w:tc>
      <w:tc>
        <w:tcPr>
          <w:tcW w:w="5987" w:type="dxa"/>
        </w:tcPr>
        <w:p w14:paraId="139717B2" w14:textId="33B621A7" w:rsidR="00C92F17" w:rsidRPr="00C91B96" w:rsidRDefault="00BD6FB1" w:rsidP="00C92F17">
          <w:pPr>
            <w:pStyle w:val="FirstFooter"/>
            <w:tabs>
              <w:tab w:val="left" w:pos="2302"/>
            </w:tabs>
            <w:rPr>
              <w:sz w:val="18"/>
              <w:szCs w:val="18"/>
              <w:lang w:val="en-US"/>
            </w:rPr>
          </w:pPr>
          <w:hyperlink r:id="rId1" w:history="1">
            <w:r w:rsidR="00375065" w:rsidRPr="00067403">
              <w:rPr>
                <w:rStyle w:val="Hyperlink"/>
                <w:sz w:val="18"/>
                <w:szCs w:val="18"/>
                <w:lang w:val="en-US"/>
              </w:rPr>
              <w:t>maria.myutel@infrastructure.gov.au</w:t>
            </w:r>
          </w:hyperlink>
        </w:p>
      </w:tc>
    </w:tr>
  </w:tbl>
  <w:p w14:paraId="14CEA983" w14:textId="77777777" w:rsidR="00BD6FB1" w:rsidRDefault="00BD6FB1" w:rsidP="00BD6FB1">
    <w:pPr>
      <w:pStyle w:val="Footer"/>
      <w:jc w:val="center"/>
    </w:pPr>
  </w:p>
  <w:p w14:paraId="69375139" w14:textId="4E153E17" w:rsidR="00C92F17" w:rsidRDefault="00BD6FB1" w:rsidP="00BD6FB1">
    <w:pPr>
      <w:pStyle w:val="Footer"/>
      <w:jc w:val="center"/>
    </w:pPr>
    <w:hyperlink r:id="rId2" w:history="1">
      <w:r>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B9CF" w14:textId="77777777" w:rsidR="00E32636" w:rsidRDefault="00E32636" w:rsidP="00EC186A">
      <w:pPr>
        <w:spacing w:after="0" w:line="240" w:lineRule="auto"/>
      </w:pPr>
      <w:r>
        <w:separator/>
      </w:r>
    </w:p>
  </w:footnote>
  <w:footnote w:type="continuationSeparator" w:id="0">
    <w:p w14:paraId="58FB1F05" w14:textId="77777777" w:rsidR="00E32636" w:rsidRDefault="00E32636" w:rsidP="00EC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0F15" w14:textId="77777777" w:rsidR="00BD6FB1" w:rsidRDefault="00BD6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C5D" w14:textId="159180B5" w:rsidR="000B6881" w:rsidRDefault="000B6881" w:rsidP="000B6881">
    <w:pPr>
      <w:tabs>
        <w:tab w:val="center" w:pos="4820"/>
        <w:tab w:val="right" w:pos="9639"/>
      </w:tabs>
      <w:ind w:right="1"/>
    </w:pPr>
    <w:r w:rsidRPr="00972BCD">
      <w:tab/>
    </w:r>
    <w:r w:rsidR="005972E8" w:rsidRPr="00A54E72">
      <w:rPr>
        <w:lang w:val="de-CH"/>
      </w:rPr>
      <w:t>TDAG</w:t>
    </w:r>
    <w:r w:rsidR="005972E8">
      <w:rPr>
        <w:lang w:val="de-CH"/>
      </w:rPr>
      <w:t>-23</w:t>
    </w:r>
    <w:r w:rsidR="005972E8" w:rsidRPr="00A54E72">
      <w:rPr>
        <w:lang w:val="de-CH"/>
      </w:rPr>
      <w:t>/</w:t>
    </w:r>
    <w:r w:rsidR="005972E8">
      <w:rPr>
        <w:lang w:val="de-CH"/>
      </w:rPr>
      <w:t>26</w:t>
    </w:r>
    <w:r w:rsidR="005972E8"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AF6A" w14:textId="77777777" w:rsidR="00BD6FB1" w:rsidRDefault="00BD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 w15:restartNumberingAfterBreak="0">
    <w:nsid w:val="10C807DD"/>
    <w:multiLevelType w:val="hybridMultilevel"/>
    <w:tmpl w:val="17DA5D7E"/>
    <w:lvl w:ilvl="0" w:tplc="F7B8DF96">
      <w:start w:val="5"/>
      <w:numFmt w:val="bullet"/>
      <w:lvlText w:val="-"/>
      <w:lvlJc w:val="left"/>
      <w:pPr>
        <w:ind w:left="413" w:hanging="360"/>
      </w:pPr>
      <w:rPr>
        <w:rFonts w:ascii="Calibri" w:eastAsiaTheme="minorEastAsia"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 w15:restartNumberingAfterBreak="0">
    <w:nsid w:val="175D0AE5"/>
    <w:multiLevelType w:val="hybridMultilevel"/>
    <w:tmpl w:val="54607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DE6874"/>
    <w:multiLevelType w:val="hybridMultilevel"/>
    <w:tmpl w:val="FDF8C3DC"/>
    <w:lvl w:ilvl="0" w:tplc="0809000F">
      <w:start w:val="1"/>
      <w:numFmt w:val="decimal"/>
      <w:lvlText w:val="%1."/>
      <w:lvlJc w:val="left"/>
      <w:pPr>
        <w:ind w:left="413" w:hanging="360"/>
      </w:pPr>
      <w:rPr>
        <w:rFonts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num w:numId="1" w16cid:durableId="1139105944">
    <w:abstractNumId w:val="4"/>
  </w:num>
  <w:num w:numId="2" w16cid:durableId="2119134072">
    <w:abstractNumId w:val="1"/>
  </w:num>
  <w:num w:numId="3" w16cid:durableId="1326087799">
    <w:abstractNumId w:val="2"/>
  </w:num>
  <w:num w:numId="4" w16cid:durableId="1924407911">
    <w:abstractNumId w:val="0"/>
  </w:num>
  <w:num w:numId="5" w16cid:durableId="867452604">
    <w:abstractNumId w:val="5"/>
  </w:num>
  <w:num w:numId="6" w16cid:durableId="2118939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95"/>
    <w:rsid w:val="00007F9F"/>
    <w:rsid w:val="00067403"/>
    <w:rsid w:val="00076C6E"/>
    <w:rsid w:val="000B3CB4"/>
    <w:rsid w:val="000B6881"/>
    <w:rsid w:val="000C7A68"/>
    <w:rsid w:val="0011372F"/>
    <w:rsid w:val="00114530"/>
    <w:rsid w:val="0016268B"/>
    <w:rsid w:val="001C07D2"/>
    <w:rsid w:val="001C783A"/>
    <w:rsid w:val="001F5603"/>
    <w:rsid w:val="00253F1C"/>
    <w:rsid w:val="00266A1D"/>
    <w:rsid w:val="002918E8"/>
    <w:rsid w:val="002962C3"/>
    <w:rsid w:val="002B1A74"/>
    <w:rsid w:val="00301761"/>
    <w:rsid w:val="003173D4"/>
    <w:rsid w:val="00321D88"/>
    <w:rsid w:val="00375065"/>
    <w:rsid w:val="003A1D71"/>
    <w:rsid w:val="003A1EE7"/>
    <w:rsid w:val="003E3329"/>
    <w:rsid w:val="003F0348"/>
    <w:rsid w:val="0046681F"/>
    <w:rsid w:val="0050226F"/>
    <w:rsid w:val="00510752"/>
    <w:rsid w:val="005123E1"/>
    <w:rsid w:val="00522DE6"/>
    <w:rsid w:val="005327D4"/>
    <w:rsid w:val="00533081"/>
    <w:rsid w:val="00580B27"/>
    <w:rsid w:val="005972E8"/>
    <w:rsid w:val="006317F8"/>
    <w:rsid w:val="00641641"/>
    <w:rsid w:val="00757080"/>
    <w:rsid w:val="007B0D37"/>
    <w:rsid w:val="008232C0"/>
    <w:rsid w:val="008775DF"/>
    <w:rsid w:val="009141F2"/>
    <w:rsid w:val="00923A95"/>
    <w:rsid w:val="0094481B"/>
    <w:rsid w:val="009A4AA4"/>
    <w:rsid w:val="009E29EB"/>
    <w:rsid w:val="00A9310C"/>
    <w:rsid w:val="00AA2542"/>
    <w:rsid w:val="00AE2254"/>
    <w:rsid w:val="00B82774"/>
    <w:rsid w:val="00BC4D98"/>
    <w:rsid w:val="00BD6FB1"/>
    <w:rsid w:val="00BE7BF9"/>
    <w:rsid w:val="00BF27A5"/>
    <w:rsid w:val="00C51D22"/>
    <w:rsid w:val="00C92F17"/>
    <w:rsid w:val="00CF3726"/>
    <w:rsid w:val="00D72182"/>
    <w:rsid w:val="00DA02E1"/>
    <w:rsid w:val="00DD50DC"/>
    <w:rsid w:val="00DE3ABF"/>
    <w:rsid w:val="00E32636"/>
    <w:rsid w:val="00E348E3"/>
    <w:rsid w:val="00E616E8"/>
    <w:rsid w:val="00E771DD"/>
    <w:rsid w:val="00E918DC"/>
    <w:rsid w:val="00EC186A"/>
    <w:rsid w:val="00ED7EB4"/>
    <w:rsid w:val="00F17F7E"/>
    <w:rsid w:val="00F8098B"/>
    <w:rsid w:val="00FB04BA"/>
    <w:rsid w:val="00FB3B44"/>
    <w:rsid w:val="00FC4371"/>
    <w:rsid w:val="00FC6C1A"/>
    <w:rsid w:val="00FE6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8040"/>
  <w15:chartTrackingRefBased/>
  <w15:docId w15:val="{7E3747D8-5152-42A6-8788-5B71468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5"/>
    <w:pPr>
      <w:spacing w:after="200" w:line="276" w:lineRule="auto"/>
    </w:pPr>
    <w:rPr>
      <w:rFonts w:eastAsiaTheme="minorEastAsia"/>
      <w:lang w:val="en-GB" w:eastAsia="zh-CN"/>
    </w:rPr>
  </w:style>
  <w:style w:type="paragraph" w:styleId="Heading1">
    <w:name w:val="heading 1"/>
    <w:basedOn w:val="Normal"/>
    <w:next w:val="Normal"/>
    <w:link w:val="Heading1Char"/>
    <w:uiPriority w:val="9"/>
    <w:qFormat/>
    <w:rsid w:val="00ED7EB4"/>
    <w:pPr>
      <w:keepNext/>
      <w:framePr w:hSpace="180" w:wrap="around" w:hAnchor="margin" w:y="-492"/>
      <w:spacing w:after="0" w:line="240" w:lineRule="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Style 58,超?级链,超????,하이퍼링크2,하이퍼링크21,超链接1"/>
    <w:basedOn w:val="DefaultParagraphFont"/>
    <w:unhideWhenUsed/>
    <w:qFormat/>
    <w:rsid w:val="00923A95"/>
    <w:rPr>
      <w:color w:val="0000FF"/>
      <w:u w:val="single"/>
    </w:rPr>
  </w:style>
  <w:style w:type="paragraph" w:customStyle="1" w:styleId="Source">
    <w:name w:val="Source"/>
    <w:basedOn w:val="Normal"/>
    <w:next w:val="Normal"/>
    <w:rsid w:val="00923A95"/>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Title1">
    <w:name w:val="Title 1"/>
    <w:basedOn w:val="Source"/>
    <w:next w:val="Normal"/>
    <w:rsid w:val="00923A9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Committee">
    <w:name w:val="Committee"/>
    <w:basedOn w:val="Normal"/>
    <w:qFormat/>
    <w:rsid w:val="00923A9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table" w:styleId="TableGrid">
    <w:name w:val="Table Grid"/>
    <w:basedOn w:val="TableNormal"/>
    <w:uiPriority w:val="39"/>
    <w:rsid w:val="00923A95"/>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923A95"/>
    <w:rPr>
      <w:rFonts w:ascii="Times New Roman" w:hAnsi="Times New Roman" w:cs="Times New Roman"/>
      <w:b/>
      <w:sz w:val="26"/>
      <w:lang w:val="en-GB"/>
    </w:rPr>
  </w:style>
  <w:style w:type="paragraph" w:customStyle="1" w:styleId="Restitle">
    <w:name w:val="Res_title"/>
    <w:basedOn w:val="Normal"/>
    <w:next w:val="Normal"/>
    <w:link w:val="RestitleChar"/>
    <w:rsid w:val="00923A95"/>
    <w:pPr>
      <w:keepNext/>
      <w:keepLines/>
      <w:tabs>
        <w:tab w:val="left" w:pos="794"/>
        <w:tab w:val="left" w:pos="1191"/>
        <w:tab w:val="left" w:pos="1588"/>
        <w:tab w:val="left" w:pos="1985"/>
      </w:tabs>
      <w:overflowPunct w:val="0"/>
      <w:autoSpaceDE w:val="0"/>
      <w:autoSpaceDN w:val="0"/>
      <w:adjustRightInd w:val="0"/>
      <w:spacing w:before="360" w:after="0" w:line="240" w:lineRule="auto"/>
      <w:jc w:val="center"/>
    </w:pPr>
    <w:rPr>
      <w:rFonts w:ascii="Times New Roman" w:eastAsiaTheme="minorHAnsi" w:hAnsi="Times New Roman" w:cs="Times New Roman"/>
      <w:b/>
      <w:sz w:val="26"/>
      <w:lang w:eastAsia="en-US"/>
    </w:rPr>
  </w:style>
  <w:style w:type="paragraph" w:styleId="BodyText">
    <w:name w:val="Body Text"/>
    <w:basedOn w:val="Normal"/>
    <w:link w:val="BodyTextChar"/>
    <w:uiPriority w:val="1"/>
    <w:qFormat/>
    <w:rsid w:val="00C51D22"/>
    <w:pPr>
      <w:widowControl w:val="0"/>
      <w:autoSpaceDE w:val="0"/>
      <w:autoSpaceDN w:val="0"/>
      <w:spacing w:after="0" w:line="240" w:lineRule="auto"/>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C51D22"/>
    <w:rPr>
      <w:rFonts w:ascii="Calibri" w:eastAsia="Calibri" w:hAnsi="Calibri" w:cs="Calibri"/>
      <w:sz w:val="21"/>
      <w:szCs w:val="21"/>
    </w:rPr>
  </w:style>
  <w:style w:type="paragraph" w:styleId="TOC3">
    <w:name w:val="toc 3"/>
    <w:basedOn w:val="Normal"/>
    <w:uiPriority w:val="1"/>
    <w:qFormat/>
    <w:rsid w:val="00C51D22"/>
    <w:pPr>
      <w:widowControl w:val="0"/>
      <w:autoSpaceDE w:val="0"/>
      <w:autoSpaceDN w:val="0"/>
      <w:spacing w:before="151" w:after="0" w:line="240" w:lineRule="auto"/>
      <w:ind w:left="514"/>
    </w:pPr>
    <w:rPr>
      <w:rFonts w:ascii="Calibri" w:eastAsia="Calibri" w:hAnsi="Calibri" w:cs="Calibri"/>
      <w:sz w:val="21"/>
      <w:szCs w:val="21"/>
      <w:lang w:val="en-US" w:eastAsia="en-US"/>
    </w:rPr>
  </w:style>
  <w:style w:type="paragraph" w:styleId="Header">
    <w:name w:val="header"/>
    <w:basedOn w:val="Normal"/>
    <w:link w:val="HeaderChar"/>
    <w:uiPriority w:val="99"/>
    <w:unhideWhenUsed/>
    <w:rsid w:val="00EC1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6A"/>
    <w:rPr>
      <w:rFonts w:eastAsiaTheme="minorEastAsia"/>
      <w:lang w:val="en-GB" w:eastAsia="zh-CN"/>
    </w:rPr>
  </w:style>
  <w:style w:type="paragraph" w:styleId="Footer">
    <w:name w:val="footer"/>
    <w:basedOn w:val="Normal"/>
    <w:link w:val="FooterChar"/>
    <w:unhideWhenUsed/>
    <w:rsid w:val="00EC186A"/>
    <w:pPr>
      <w:tabs>
        <w:tab w:val="center" w:pos="4680"/>
        <w:tab w:val="right" w:pos="9360"/>
      </w:tabs>
      <w:spacing w:after="0" w:line="240" w:lineRule="auto"/>
    </w:pPr>
  </w:style>
  <w:style w:type="character" w:customStyle="1" w:styleId="FooterChar">
    <w:name w:val="Footer Char"/>
    <w:basedOn w:val="DefaultParagraphFont"/>
    <w:link w:val="Footer"/>
    <w:rsid w:val="00EC186A"/>
    <w:rPr>
      <w:rFonts w:eastAsiaTheme="minorEastAsia"/>
      <w:lang w:val="en-GB" w:eastAsia="zh-CN"/>
    </w:rPr>
  </w:style>
  <w:style w:type="paragraph" w:customStyle="1" w:styleId="FirstFooter">
    <w:name w:val="FirstFooter"/>
    <w:basedOn w:val="Footer"/>
    <w:rsid w:val="00EC186A"/>
    <w:pPr>
      <w:tabs>
        <w:tab w:val="clear" w:pos="4680"/>
        <w:tab w:val="clear" w:pos="9360"/>
      </w:tabs>
      <w:spacing w:before="40"/>
    </w:pPr>
    <w:rPr>
      <w:rFonts w:cs="Times New Roman"/>
      <w:sz w:val="16"/>
      <w:szCs w:val="20"/>
      <w:lang w:val="fr-FR" w:eastAsia="en-US"/>
    </w:rPr>
  </w:style>
  <w:style w:type="paragraph" w:styleId="BodyTextIndent">
    <w:name w:val="Body Text Indent"/>
    <w:basedOn w:val="Normal"/>
    <w:link w:val="BodyTextIndentChar"/>
    <w:uiPriority w:val="99"/>
    <w:unhideWhenUsed/>
    <w:rsid w:val="009A4AA4"/>
    <w:pPr>
      <w:spacing w:before="120" w:after="120" w:line="240" w:lineRule="auto"/>
      <w:ind w:left="51"/>
    </w:pPr>
    <w:rPr>
      <w:sz w:val="24"/>
      <w:szCs w:val="24"/>
      <w:lang w:eastAsia="ko-KR"/>
    </w:rPr>
  </w:style>
  <w:style w:type="character" w:customStyle="1" w:styleId="BodyTextIndentChar">
    <w:name w:val="Body Text Indent Char"/>
    <w:basedOn w:val="DefaultParagraphFont"/>
    <w:link w:val="BodyTextIndent"/>
    <w:uiPriority w:val="99"/>
    <w:rsid w:val="009A4AA4"/>
    <w:rPr>
      <w:rFonts w:eastAsiaTheme="minorEastAsia"/>
      <w:sz w:val="24"/>
      <w:szCs w:val="24"/>
      <w:lang w:val="en-GB" w:eastAsia="ko-KR"/>
    </w:rPr>
  </w:style>
  <w:style w:type="paragraph" w:styleId="BalloonText">
    <w:name w:val="Balloon Text"/>
    <w:basedOn w:val="Normal"/>
    <w:link w:val="BalloonTextChar"/>
    <w:uiPriority w:val="99"/>
    <w:semiHidden/>
    <w:unhideWhenUsed/>
    <w:rsid w:val="00ED7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B4"/>
    <w:rPr>
      <w:rFonts w:ascii="Segoe UI" w:eastAsiaTheme="minorEastAsia" w:hAnsi="Segoe UI" w:cs="Segoe UI"/>
      <w:sz w:val="18"/>
      <w:szCs w:val="18"/>
      <w:lang w:val="en-GB" w:eastAsia="zh-CN"/>
    </w:rPr>
  </w:style>
  <w:style w:type="character" w:customStyle="1" w:styleId="Heading1Char">
    <w:name w:val="Heading 1 Char"/>
    <w:basedOn w:val="DefaultParagraphFont"/>
    <w:link w:val="Heading1"/>
    <w:uiPriority w:val="9"/>
    <w:rsid w:val="00ED7EB4"/>
    <w:rPr>
      <w:rFonts w:eastAsiaTheme="minorEastAsia"/>
      <w:b/>
      <w:bCs/>
      <w:sz w:val="24"/>
      <w:szCs w:val="24"/>
      <w:lang w:val="en-GB" w:eastAsia="zh-CN"/>
    </w:rPr>
  </w:style>
  <w:style w:type="paragraph" w:styleId="BodyTextIndent2">
    <w:name w:val="Body Text Indent 2"/>
    <w:basedOn w:val="Normal"/>
    <w:link w:val="BodyTextIndent2Char"/>
    <w:uiPriority w:val="99"/>
    <w:unhideWhenUsed/>
    <w:rsid w:val="00ED7EB4"/>
    <w:pPr>
      <w:framePr w:hSpace="180" w:wrap="around" w:hAnchor="margin" w:y="-492"/>
      <w:spacing w:before="120" w:after="120" w:line="240" w:lineRule="auto"/>
      <w:ind w:left="35"/>
    </w:pPr>
    <w:rPr>
      <w:rFonts w:eastAsia="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ED7EB4"/>
    <w:rPr>
      <w:rFonts w:eastAsia="Times New Roman" w:cs="Times New Roman"/>
      <w:sz w:val="24"/>
      <w:szCs w:val="24"/>
      <w:lang w:val="en-GB"/>
    </w:rPr>
  </w:style>
  <w:style w:type="paragraph" w:styleId="ListParagraph">
    <w:name w:val="List Paragraph"/>
    <w:basedOn w:val="Normal"/>
    <w:uiPriority w:val="34"/>
    <w:qFormat/>
    <w:rsid w:val="00ED7EB4"/>
    <w:pPr>
      <w:ind w:left="720"/>
      <w:contextualSpacing/>
    </w:pPr>
  </w:style>
  <w:style w:type="character" w:styleId="PageNumber">
    <w:name w:val="page number"/>
    <w:basedOn w:val="DefaultParagraphFont"/>
    <w:rsid w:val="000B6881"/>
    <w:rPr>
      <w:rFonts w:asciiTheme="minorHAnsi" w:hAnsiTheme="minorHAnsi"/>
    </w:rPr>
  </w:style>
  <w:style w:type="character" w:styleId="PlaceholderText">
    <w:name w:val="Placeholder Text"/>
    <w:basedOn w:val="DefaultParagraphFont"/>
    <w:uiPriority w:val="99"/>
    <w:semiHidden/>
    <w:rsid w:val="00522DE6"/>
  </w:style>
  <w:style w:type="character" w:styleId="UnresolvedMention">
    <w:name w:val="Unresolved Mention"/>
    <w:basedOn w:val="DefaultParagraphFont"/>
    <w:uiPriority w:val="99"/>
    <w:semiHidden/>
    <w:unhideWhenUsed/>
    <w:rsid w:val="00375065"/>
    <w:rPr>
      <w:color w:val="605E5C"/>
      <w:shd w:val="clear" w:color="auto" w:fill="E1DFDD"/>
    </w:rPr>
  </w:style>
  <w:style w:type="character" w:styleId="CommentReference">
    <w:name w:val="annotation reference"/>
    <w:basedOn w:val="DefaultParagraphFont"/>
    <w:uiPriority w:val="99"/>
    <w:semiHidden/>
    <w:unhideWhenUsed/>
    <w:rsid w:val="00A9310C"/>
    <w:rPr>
      <w:sz w:val="16"/>
      <w:szCs w:val="16"/>
    </w:rPr>
  </w:style>
  <w:style w:type="paragraph" w:styleId="CommentText">
    <w:name w:val="annotation text"/>
    <w:basedOn w:val="Normal"/>
    <w:link w:val="CommentTextChar"/>
    <w:uiPriority w:val="99"/>
    <w:semiHidden/>
    <w:unhideWhenUsed/>
    <w:rsid w:val="00A9310C"/>
    <w:pPr>
      <w:spacing w:line="240" w:lineRule="auto"/>
    </w:pPr>
    <w:rPr>
      <w:sz w:val="20"/>
      <w:szCs w:val="20"/>
    </w:rPr>
  </w:style>
  <w:style w:type="character" w:customStyle="1" w:styleId="CommentTextChar">
    <w:name w:val="Comment Text Char"/>
    <w:basedOn w:val="DefaultParagraphFont"/>
    <w:link w:val="CommentText"/>
    <w:uiPriority w:val="99"/>
    <w:semiHidden/>
    <w:rsid w:val="00A9310C"/>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A9310C"/>
    <w:rPr>
      <w:b/>
      <w:bCs/>
    </w:rPr>
  </w:style>
  <w:style w:type="character" w:customStyle="1" w:styleId="CommentSubjectChar">
    <w:name w:val="Comment Subject Char"/>
    <w:basedOn w:val="CommentTextChar"/>
    <w:link w:val="CommentSubject"/>
    <w:uiPriority w:val="99"/>
    <w:semiHidden/>
    <w:rsid w:val="00A9310C"/>
    <w:rPr>
      <w:rFonts w:eastAsiaTheme="minorEastAsia"/>
      <w:b/>
      <w:bCs/>
      <w:sz w:val="20"/>
      <w:szCs w:val="20"/>
      <w:lang w:val="en-GB" w:eastAsia="zh-CN"/>
    </w:rPr>
  </w:style>
  <w:style w:type="character" w:styleId="FollowedHyperlink">
    <w:name w:val="FollowedHyperlink"/>
    <w:basedOn w:val="DefaultParagraphFont"/>
    <w:uiPriority w:val="99"/>
    <w:semiHidden/>
    <w:unhideWhenUsed/>
    <w:rsid w:val="00641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itu-d/sites/connect2recover/about/connect2recover-research-competi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MembersPartners/Pages/Members/benefits.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ia.myutel@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87A08-1B41-4C20-806A-73FDB0F4C6ED}">
  <ds:schemaRefs>
    <ds:schemaRef ds:uri="http://schemas.microsoft.com/sharepoint/v3/contenttype/forms"/>
  </ds:schemaRefs>
</ds:datastoreItem>
</file>

<file path=customXml/itemProps2.xml><?xml version="1.0" encoding="utf-8"?>
<ds:datastoreItem xmlns:ds="http://schemas.openxmlformats.org/officeDocument/2006/customXml" ds:itemID="{623859FE-D8E1-4C11-8753-2B6EC7A16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C03835-7F67-4034-9DA8-A56A006835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4452</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Windows User</dc:creator>
  <cp:keywords/>
  <dc:description/>
  <cp:lastModifiedBy>Comas Barnes, Maite</cp:lastModifiedBy>
  <cp:revision>3</cp:revision>
  <dcterms:created xsi:type="dcterms:W3CDTF">2023-05-11T14:00:00Z</dcterms:created>
  <dcterms:modified xsi:type="dcterms:W3CDTF">2023-05-11T14:02:00Z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16</vt:i4>
  </property>
</Properties>
</file>