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Pr="00F20929" w:rsidRDefault="00307769" w:rsidP="00307769">
            <w:pPr>
              <w:tabs>
                <w:tab w:val="clear" w:pos="1191"/>
                <w:tab w:val="clear" w:pos="1588"/>
                <w:tab w:val="clear" w:pos="1985"/>
              </w:tabs>
              <w:ind w:left="34"/>
              <w:rPr>
                <w:b/>
                <w:bCs/>
                <w:sz w:val="32"/>
                <w:szCs w:val="32"/>
                <w:lang w:val="fr-FR"/>
              </w:rPr>
            </w:pPr>
            <w:r w:rsidRPr="00F20929">
              <w:rPr>
                <w:b/>
                <w:bCs/>
                <w:sz w:val="32"/>
                <w:szCs w:val="32"/>
                <w:lang w:val="fr-FR"/>
              </w:rPr>
              <w:t>Groupe con</w:t>
            </w:r>
            <w:r w:rsidR="00F20929" w:rsidRPr="00F20929">
              <w:rPr>
                <w:b/>
                <w:bCs/>
                <w:sz w:val="32"/>
                <w:szCs w:val="32"/>
                <w:lang w:val="fr-FR"/>
              </w:rPr>
              <w:t xml:space="preserve">sultatif pour le développement </w:t>
            </w:r>
            <w:r w:rsidRPr="00F20929">
              <w:rPr>
                <w:b/>
                <w:bCs/>
                <w:sz w:val="32"/>
                <w:szCs w:val="32"/>
                <w:lang w:val="fr-FR"/>
              </w:rPr>
              <w:t>des télécommunications (GCDT)</w:t>
            </w:r>
          </w:p>
          <w:p w14:paraId="5F5F590A" w14:textId="37D83956" w:rsidR="00307769" w:rsidRPr="00F20929" w:rsidRDefault="00307769" w:rsidP="00307769">
            <w:pPr>
              <w:tabs>
                <w:tab w:val="clear" w:pos="1191"/>
                <w:tab w:val="clear" w:pos="1588"/>
                <w:tab w:val="clear" w:pos="1985"/>
              </w:tabs>
              <w:spacing w:after="120"/>
              <w:ind w:left="34"/>
              <w:rPr>
                <w:rFonts w:ascii="Verdana" w:hAnsi="Verdana"/>
                <w:sz w:val="26"/>
                <w:szCs w:val="26"/>
                <w:lang w:val="fr-FR"/>
              </w:rPr>
            </w:pPr>
            <w:r w:rsidRPr="00F20929">
              <w:rPr>
                <w:b/>
                <w:bCs/>
                <w:sz w:val="26"/>
                <w:szCs w:val="26"/>
                <w:lang w:val="fr-FR"/>
              </w:rPr>
              <w:t>30ème réunion, Genève (Suisse), 19-23 juin 2023</w:t>
            </w:r>
          </w:p>
        </w:tc>
        <w:tc>
          <w:tcPr>
            <w:tcW w:w="3509" w:type="dxa"/>
          </w:tcPr>
          <w:p w14:paraId="67E7B4C4" w14:textId="0F52E4CC" w:rsidR="00307769" w:rsidRPr="00683C32" w:rsidRDefault="00307769" w:rsidP="00952667">
            <w:pPr>
              <w:spacing w:after="120"/>
              <w:ind w:right="142"/>
              <w:jc w:val="right"/>
            </w:pPr>
            <w:r>
              <w:rPr>
                <w:noProof/>
                <w:lang w:val="en-U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353E27A0" w:rsidR="00683C32" w:rsidRPr="007F1CC7" w:rsidRDefault="0096201B" w:rsidP="00B648C7">
            <w:pPr>
              <w:spacing w:before="0"/>
              <w:jc w:val="both"/>
              <w:rPr>
                <w:bCs/>
                <w:szCs w:val="24"/>
              </w:rPr>
            </w:pPr>
            <w:r>
              <w:rPr>
                <w:b/>
                <w:bCs/>
                <w:lang w:val="fr-FR"/>
              </w:rPr>
              <w:t>Document TDAG-23/25-F</w:t>
            </w:r>
            <w:bookmarkStart w:id="0" w:name="DocRef1"/>
            <w:bookmarkStart w:id="1" w:name="DocNo1"/>
            <w:bookmarkEnd w:id="0"/>
            <w:bookmarkEnd w:id="1"/>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3E56051A" w:rsidR="00683C32" w:rsidRPr="007F1CC7" w:rsidRDefault="00A05C04" w:rsidP="00B648C7">
            <w:pPr>
              <w:spacing w:before="0"/>
              <w:rPr>
                <w:b/>
                <w:szCs w:val="24"/>
              </w:rPr>
            </w:pPr>
            <w:bookmarkStart w:id="2" w:name="CreationDate"/>
            <w:bookmarkEnd w:id="2"/>
            <w:r>
              <w:rPr>
                <w:b/>
                <w:bCs/>
                <w:lang w:val="fr-FR"/>
              </w:rPr>
              <w:t>15 mai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36707DA2" w:rsidR="00514D2F" w:rsidRPr="007F1CC7" w:rsidRDefault="0096201B" w:rsidP="00400CCF">
            <w:pPr>
              <w:spacing w:before="0"/>
              <w:rPr>
                <w:szCs w:val="24"/>
              </w:rPr>
            </w:pPr>
            <w:r>
              <w:rPr>
                <w:b/>
                <w:bCs/>
                <w:lang w:val="fr-FR"/>
              </w:rPr>
              <w:t>Original: anglais</w:t>
            </w:r>
            <w:bookmarkStart w:id="3" w:name="Original"/>
            <w:bookmarkEnd w:id="3"/>
          </w:p>
        </w:tc>
      </w:tr>
      <w:tr w:rsidR="00A13162" w:rsidRPr="00F20929" w14:paraId="31656E31" w14:textId="77777777" w:rsidTr="00107E85">
        <w:trPr>
          <w:cantSplit/>
          <w:trHeight w:val="852"/>
        </w:trPr>
        <w:tc>
          <w:tcPr>
            <w:tcW w:w="9888" w:type="dxa"/>
            <w:gridSpan w:val="2"/>
          </w:tcPr>
          <w:p w14:paraId="512FCA01" w14:textId="10F47DA0" w:rsidR="00A13162" w:rsidRPr="00F20929" w:rsidRDefault="0001179F" w:rsidP="0030353C">
            <w:pPr>
              <w:pStyle w:val="Source"/>
              <w:rPr>
                <w:lang w:val="fr-FR"/>
              </w:rPr>
            </w:pPr>
            <w:bookmarkStart w:id="4" w:name="Source"/>
            <w:bookmarkEnd w:id="4"/>
            <w:r>
              <w:rPr>
                <w:bCs/>
                <w:lang w:val="fr-FR"/>
              </w:rPr>
              <w:t>Directeur</w:t>
            </w:r>
            <w:r w:rsidR="00F20929">
              <w:rPr>
                <w:bCs/>
                <w:lang w:val="fr-FR"/>
              </w:rPr>
              <w:t xml:space="preserve"> du</w:t>
            </w:r>
            <w:r>
              <w:rPr>
                <w:bCs/>
                <w:lang w:val="fr-FR"/>
              </w:rPr>
              <w:t xml:space="preserve"> Bureau de développement des télécommunications</w:t>
            </w:r>
          </w:p>
        </w:tc>
      </w:tr>
      <w:tr w:rsidR="00AC6F14" w:rsidRPr="00F20929" w14:paraId="2CBD3A36" w14:textId="77777777" w:rsidTr="00107E85">
        <w:trPr>
          <w:cantSplit/>
        </w:trPr>
        <w:tc>
          <w:tcPr>
            <w:tcW w:w="9888" w:type="dxa"/>
            <w:gridSpan w:val="2"/>
          </w:tcPr>
          <w:p w14:paraId="1B4121DF" w14:textId="48E70F7A" w:rsidR="00AC6F14" w:rsidRPr="00F20929" w:rsidRDefault="00956F85" w:rsidP="0030353C">
            <w:pPr>
              <w:pStyle w:val="Title1"/>
              <w:rPr>
                <w:rFonts w:cs="Times New Roman"/>
                <w:bCs/>
                <w:lang w:val="fr-FR"/>
              </w:rPr>
            </w:pPr>
            <w:bookmarkStart w:id="5" w:name="Title"/>
            <w:bookmarkEnd w:id="5"/>
            <w:r>
              <w:rPr>
                <w:b/>
                <w:bCs/>
                <w:lang w:val="fr-FR"/>
              </w:rPr>
              <w:t>Incidences financières des initiatives régionales approuvées par la CMDT-22</w:t>
            </w:r>
          </w:p>
        </w:tc>
      </w:tr>
      <w:tr w:rsidR="00A721F4" w:rsidRPr="00F20929" w14:paraId="23A30231" w14:textId="77777777" w:rsidTr="00A721F4">
        <w:trPr>
          <w:cantSplit/>
        </w:trPr>
        <w:tc>
          <w:tcPr>
            <w:tcW w:w="9888" w:type="dxa"/>
            <w:gridSpan w:val="2"/>
            <w:tcBorders>
              <w:bottom w:val="single" w:sz="4" w:space="0" w:color="auto"/>
            </w:tcBorders>
          </w:tcPr>
          <w:p w14:paraId="726EE70E" w14:textId="77777777" w:rsidR="00A721F4" w:rsidRPr="00F20929" w:rsidRDefault="00A721F4" w:rsidP="0030353C">
            <w:pPr>
              <w:rPr>
                <w:lang w:val="fr-FR"/>
              </w:rPr>
            </w:pPr>
          </w:p>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9E8755D" w14:textId="77777777" w:rsidR="00956F85" w:rsidRPr="00F20929" w:rsidRDefault="00956F85" w:rsidP="00A05C04">
            <w:pPr>
              <w:pStyle w:val="Headingb"/>
              <w:spacing w:before="120" w:after="120"/>
              <w:rPr>
                <w:szCs w:val="24"/>
                <w:lang w:val="fr-FR"/>
              </w:rPr>
            </w:pPr>
            <w:r>
              <w:rPr>
                <w:bCs/>
                <w:lang w:val="fr-FR"/>
              </w:rPr>
              <w:t>Résumé</w:t>
            </w:r>
          </w:p>
          <w:p w14:paraId="25EB4468" w14:textId="6393DE69" w:rsidR="00956F85" w:rsidRPr="00F20929" w:rsidRDefault="00956F85" w:rsidP="00A05C04">
            <w:pPr>
              <w:spacing w:after="120"/>
              <w:rPr>
                <w:szCs w:val="24"/>
                <w:lang w:val="fr-FR"/>
              </w:rPr>
            </w:pPr>
            <w:r>
              <w:rPr>
                <w:lang w:val="fr-FR"/>
              </w:rPr>
              <w:t xml:space="preserve">La Conférence mondiale de développement des télécommunications (CMDT-22), qui s'est tenue à Kigali (Rwanda) du 6 au 16 juin 2022, a adopté la Déclaration de Kigali et le Plan d'action de Kigali, </w:t>
            </w:r>
            <w:r w:rsidR="00F10EE1">
              <w:rPr>
                <w:lang w:val="fr-FR"/>
              </w:rPr>
              <w:t>comprenant</w:t>
            </w:r>
            <w:r>
              <w:rPr>
                <w:lang w:val="fr-FR"/>
              </w:rPr>
              <w:t xml:space="preserve"> 28 initiatives régionales pour les six régions de l'UIT-D.</w:t>
            </w:r>
          </w:p>
          <w:p w14:paraId="4DAC1888" w14:textId="4A817B3F" w:rsidR="00956F85" w:rsidRPr="00F20929" w:rsidRDefault="00956F85" w:rsidP="00A05C04">
            <w:pPr>
              <w:spacing w:after="120"/>
              <w:rPr>
                <w:lang w:val="fr-FR"/>
              </w:rPr>
            </w:pPr>
            <w:r>
              <w:rPr>
                <w:lang w:val="fr-FR"/>
              </w:rPr>
              <w:t xml:space="preserve">La mise en </w:t>
            </w:r>
            <w:r w:rsidR="0087134A">
              <w:rPr>
                <w:lang w:val="fr-FR"/>
              </w:rPr>
              <w:t>œuvre</w:t>
            </w:r>
            <w:r>
              <w:rPr>
                <w:lang w:val="fr-FR"/>
              </w:rPr>
              <w:t xml:space="preserve"> </w:t>
            </w:r>
            <w:r w:rsidR="00F10EE1">
              <w:rPr>
                <w:lang w:val="fr-FR"/>
              </w:rPr>
              <w:t>pleine et entière</w:t>
            </w:r>
            <w:r>
              <w:rPr>
                <w:lang w:val="fr-FR"/>
              </w:rPr>
              <w:t xml:space="preserve"> de ces initiatives régionales exigera des financements importants</w:t>
            </w:r>
            <w:r w:rsidR="00F10EE1">
              <w:rPr>
                <w:lang w:val="fr-FR"/>
              </w:rPr>
              <w:t>,</w:t>
            </w:r>
            <w:r>
              <w:rPr>
                <w:lang w:val="fr-FR"/>
              </w:rPr>
              <w:t xml:space="preserve"> que l'UIT devra fournir </w:t>
            </w:r>
            <w:r w:rsidR="00F10EE1">
              <w:rPr>
                <w:lang w:val="fr-FR"/>
              </w:rPr>
              <w:t>grâce à</w:t>
            </w:r>
            <w:r>
              <w:rPr>
                <w:lang w:val="fr-FR"/>
              </w:rPr>
              <w:t xml:space="preserve"> la mobilisation de ressources et par d'autres moyens. Lors du cycle précédent, la CMDT-17 a proposé d'affecter 1 million CHF par initiative régionale, afin de faire en sorte que l'UIT dispose de financements suffisants pour nouer des partenariats et mettre en </w:t>
            </w:r>
            <w:r w:rsidR="0087134A">
              <w:rPr>
                <w:lang w:val="fr-FR"/>
              </w:rPr>
              <w:t>œuvre</w:t>
            </w:r>
            <w:r>
              <w:rPr>
                <w:lang w:val="fr-FR"/>
              </w:rPr>
              <w:t xml:space="preserve"> d'autres activités en collaboration</w:t>
            </w:r>
            <w:r w:rsidR="00F10EE1">
              <w:rPr>
                <w:lang w:val="fr-FR"/>
              </w:rPr>
              <w:t>,</w:t>
            </w:r>
            <w:r>
              <w:rPr>
                <w:lang w:val="fr-FR"/>
              </w:rPr>
              <w:t xml:space="preserve"> </w:t>
            </w:r>
            <w:r w:rsidR="00F10EE1">
              <w:rPr>
                <w:lang w:val="fr-FR"/>
              </w:rPr>
              <w:t>de manière</w:t>
            </w:r>
            <w:r>
              <w:rPr>
                <w:lang w:val="fr-FR"/>
              </w:rPr>
              <w:t xml:space="preserve"> à assurer une mise en </w:t>
            </w:r>
            <w:r w:rsidR="0087134A">
              <w:rPr>
                <w:lang w:val="fr-FR"/>
              </w:rPr>
              <w:t>œuvre</w:t>
            </w:r>
            <w:r>
              <w:rPr>
                <w:lang w:val="fr-FR"/>
              </w:rPr>
              <w:t xml:space="preserve"> efficace et totale de ces initiatives régionales. Aucune ressource financière </w:t>
            </w:r>
            <w:r w:rsidR="00F10EE1">
              <w:rPr>
                <w:lang w:val="fr-FR"/>
              </w:rPr>
              <w:t>n'était</w:t>
            </w:r>
            <w:r>
              <w:rPr>
                <w:lang w:val="fr-FR"/>
              </w:rPr>
              <w:t xml:space="preserve"> allouée à cette fin. </w:t>
            </w:r>
          </w:p>
          <w:p w14:paraId="5E35EF93" w14:textId="3C11C9EB" w:rsidR="00956F85" w:rsidRPr="00F20929" w:rsidRDefault="00956F85" w:rsidP="00A05C04">
            <w:pPr>
              <w:spacing w:after="120"/>
              <w:rPr>
                <w:lang w:val="fr-FR"/>
              </w:rPr>
            </w:pPr>
            <w:r>
              <w:rPr>
                <w:lang w:val="fr-FR"/>
              </w:rPr>
              <w:t>Suite à l'adoption des initiatives régionales par la CMDT-17, à sa session de 2018</w:t>
            </w:r>
            <w:r w:rsidR="00F10EE1">
              <w:rPr>
                <w:lang w:val="fr-FR"/>
              </w:rPr>
              <w:t>, le Conseil</w:t>
            </w:r>
            <w:r>
              <w:rPr>
                <w:lang w:val="fr-FR"/>
              </w:rPr>
              <w:t xml:space="preserve"> a affecté un montant total de 5 millions CHF comme fonds d'amorçage pour la période 2018-2021.</w:t>
            </w:r>
          </w:p>
          <w:p w14:paraId="5634AFE5" w14:textId="20092B79" w:rsidR="00956F85" w:rsidRPr="00F20929" w:rsidRDefault="00956F85" w:rsidP="00A05C04">
            <w:pPr>
              <w:spacing w:after="120"/>
              <w:rPr>
                <w:lang w:val="fr-FR"/>
              </w:rPr>
            </w:pPr>
            <w:r>
              <w:rPr>
                <w:lang w:val="fr-FR"/>
              </w:rPr>
              <w:t xml:space="preserve">Le présent document donne un aperçu des initiatives régionales adoptées par la CMDT-22 et </w:t>
            </w:r>
            <w:r w:rsidR="00F10EE1">
              <w:rPr>
                <w:lang w:val="fr-FR"/>
              </w:rPr>
              <w:t>présente</w:t>
            </w:r>
            <w:r>
              <w:rPr>
                <w:lang w:val="fr-FR"/>
              </w:rPr>
              <w:t xml:space="preserve">, dans les grandes lignes, la demande adressée par le BDT au Conseil en ce qui concerne l'attribution de ressources financières </w:t>
            </w:r>
            <w:r w:rsidR="00F10EE1">
              <w:rPr>
                <w:lang w:val="fr-FR"/>
              </w:rPr>
              <w:t>afin d'</w:t>
            </w:r>
            <w:r>
              <w:rPr>
                <w:lang w:val="fr-FR"/>
              </w:rPr>
              <w:t xml:space="preserve">accélérer la mise en </w:t>
            </w:r>
            <w:r w:rsidR="0087134A">
              <w:rPr>
                <w:lang w:val="fr-FR"/>
              </w:rPr>
              <w:t>œuvre</w:t>
            </w:r>
            <w:r>
              <w:rPr>
                <w:lang w:val="fr-FR"/>
              </w:rPr>
              <w:t xml:space="preserve"> des nouvelles initiatives régionales. </w:t>
            </w:r>
          </w:p>
          <w:p w14:paraId="3E4CC7B2" w14:textId="77777777" w:rsidR="00956F85" w:rsidRPr="00F20929" w:rsidRDefault="00956F85" w:rsidP="00A05C04">
            <w:pPr>
              <w:pStyle w:val="Headingb"/>
              <w:spacing w:before="120" w:after="120"/>
              <w:rPr>
                <w:szCs w:val="24"/>
                <w:lang w:val="fr-FR"/>
              </w:rPr>
            </w:pPr>
            <w:r>
              <w:rPr>
                <w:bCs/>
                <w:lang w:val="fr-FR"/>
              </w:rPr>
              <w:t>Suite à donner</w:t>
            </w:r>
          </w:p>
          <w:p w14:paraId="2295D9E6" w14:textId="0E334635" w:rsidR="00956F85" w:rsidRPr="00F20929" w:rsidRDefault="005F151A" w:rsidP="00A05C04">
            <w:pPr>
              <w:snapToGrid w:val="0"/>
              <w:spacing w:after="120"/>
              <w:rPr>
                <w:rFonts w:cstheme="minorBidi"/>
                <w:lang w:val="fr-FR"/>
              </w:rPr>
            </w:pPr>
            <w:r>
              <w:rPr>
                <w:lang w:val="fr-FR"/>
              </w:rPr>
              <w:t xml:space="preserve">Le GCDT est invité à prendre note du présent document et à formuler les avis qu'il jugera nécessaires, en particulier </w:t>
            </w:r>
            <w:r w:rsidR="00F10EE1">
              <w:rPr>
                <w:lang w:val="fr-FR"/>
              </w:rPr>
              <w:t xml:space="preserve">s'agissant de </w:t>
            </w:r>
            <w:r>
              <w:rPr>
                <w:lang w:val="fr-FR"/>
              </w:rPr>
              <w:t xml:space="preserve">la demande </w:t>
            </w:r>
            <w:r w:rsidR="00F10EE1">
              <w:rPr>
                <w:lang w:val="fr-FR"/>
              </w:rPr>
              <w:t>soumise</w:t>
            </w:r>
            <w:r>
              <w:rPr>
                <w:lang w:val="fr-FR"/>
              </w:rPr>
              <w:t xml:space="preserve"> par le BDT au Conseil, dans le cadre de l'établissement du budget pour 2024-2027, afin que, comme en 2018, des ressources additionnelles soient affectées </w:t>
            </w:r>
            <w:r w:rsidR="00F10EE1">
              <w:rPr>
                <w:lang w:val="fr-FR"/>
              </w:rPr>
              <w:t>à</w:t>
            </w:r>
            <w:r>
              <w:rPr>
                <w:lang w:val="fr-FR"/>
              </w:rPr>
              <w:t xml:space="preserve"> la mise en </w:t>
            </w:r>
            <w:r w:rsidR="0087134A">
              <w:rPr>
                <w:lang w:val="fr-FR"/>
              </w:rPr>
              <w:t>œuvre</w:t>
            </w:r>
            <w:r>
              <w:rPr>
                <w:lang w:val="fr-FR"/>
              </w:rPr>
              <w:t xml:space="preserve"> des initiatives </w:t>
            </w:r>
            <w:r w:rsidR="00F20929">
              <w:rPr>
                <w:lang w:val="fr-FR"/>
              </w:rPr>
              <w:t>régionales adoptées par la CMDT</w:t>
            </w:r>
            <w:r w:rsidR="00F20929">
              <w:rPr>
                <w:lang w:val="fr-FR"/>
              </w:rPr>
              <w:noBreakHyphen/>
            </w:r>
            <w:r>
              <w:rPr>
                <w:lang w:val="fr-FR"/>
              </w:rPr>
              <w:t>22.</w:t>
            </w:r>
          </w:p>
          <w:p w14:paraId="69D5050C" w14:textId="77777777" w:rsidR="00956F85" w:rsidRPr="00D20216" w:rsidRDefault="00956F85" w:rsidP="00A05C04">
            <w:pPr>
              <w:pStyle w:val="Headingb"/>
              <w:spacing w:before="120" w:after="120"/>
              <w:rPr>
                <w:szCs w:val="24"/>
              </w:rPr>
            </w:pPr>
            <w:r>
              <w:rPr>
                <w:bCs/>
                <w:lang w:val="fr-FR"/>
              </w:rPr>
              <w:t>Références</w:t>
            </w:r>
          </w:p>
          <w:p w14:paraId="1ECDD20E" w14:textId="02DAF53D" w:rsidR="00A721F4" w:rsidRPr="00D9621A" w:rsidRDefault="00D1513D" w:rsidP="00A05C04">
            <w:pPr>
              <w:spacing w:after="120"/>
            </w:pPr>
            <w:r>
              <w:rPr>
                <w:lang w:val="fr-FR"/>
              </w:rPr>
              <w:t>Sans objet</w:t>
            </w:r>
            <w:r w:rsidR="00F20929">
              <w:rPr>
                <w:lang w:val="fr-FR"/>
              </w:rPr>
              <w:t>.</w:t>
            </w:r>
          </w:p>
        </w:tc>
      </w:tr>
    </w:tbl>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574F794D" w14:textId="3A362892" w:rsidR="00956F85" w:rsidRPr="00F20929" w:rsidRDefault="00F20929" w:rsidP="00F20929">
      <w:pPr>
        <w:pStyle w:val="Heading1"/>
        <w:rPr>
          <w:sz w:val="24"/>
          <w:szCs w:val="24"/>
          <w:lang w:val="fr-FR"/>
        </w:rPr>
      </w:pPr>
      <w:r w:rsidRPr="00F20929">
        <w:rPr>
          <w:sz w:val="24"/>
          <w:szCs w:val="24"/>
          <w:lang w:val="fr-FR"/>
        </w:rPr>
        <w:lastRenderedPageBreak/>
        <w:t>1</w:t>
      </w:r>
      <w:r w:rsidRPr="00F20929">
        <w:rPr>
          <w:sz w:val="24"/>
          <w:szCs w:val="24"/>
          <w:lang w:val="fr-FR"/>
        </w:rPr>
        <w:tab/>
      </w:r>
      <w:r w:rsidR="00956F85" w:rsidRPr="00F20929">
        <w:rPr>
          <w:sz w:val="24"/>
          <w:szCs w:val="24"/>
          <w:lang w:val="fr-FR"/>
        </w:rPr>
        <w:t>Introduction</w:t>
      </w:r>
    </w:p>
    <w:p w14:paraId="1EED6541" w14:textId="2AB6E2BF" w:rsidR="00956F85" w:rsidRPr="00F20929" w:rsidRDefault="00956F85" w:rsidP="0001179F">
      <w:pPr>
        <w:spacing w:after="120"/>
        <w:rPr>
          <w:szCs w:val="24"/>
          <w:lang w:val="fr-FR"/>
        </w:rPr>
      </w:pPr>
      <w:r>
        <w:rPr>
          <w:lang w:val="fr-FR"/>
        </w:rPr>
        <w:t xml:space="preserve">La Conférence mondiale de développement des télécommunications (CMDT-22), qui s'est tenue à Kigali (Rwanda) du 6 au 16 juin 2022, a </w:t>
      </w:r>
      <w:r w:rsidR="00F10EE1">
        <w:rPr>
          <w:lang w:val="fr-FR"/>
        </w:rPr>
        <w:t xml:space="preserve">adopté </w:t>
      </w:r>
      <w:r>
        <w:rPr>
          <w:lang w:val="fr-FR"/>
        </w:rPr>
        <w:t xml:space="preserve">le Plan d'action de Kigali, comprenant 28 initiatives régionales (réparties entre les six régions de l'UIT-D). Au vu du déroulement du précédent cycle de mise en </w:t>
      </w:r>
      <w:r w:rsidR="0087134A">
        <w:rPr>
          <w:lang w:val="fr-FR"/>
        </w:rPr>
        <w:t>œuvre</w:t>
      </w:r>
      <w:r>
        <w:rPr>
          <w:lang w:val="fr-FR"/>
        </w:rPr>
        <w:t xml:space="preserve"> des initiatives régionales (2018-2022), il est évident que les projets à moyenne</w:t>
      </w:r>
      <w:r w:rsidR="008C0EBE">
        <w:rPr>
          <w:rStyle w:val="FootnoteReference"/>
          <w:lang w:val="fr-FR"/>
        </w:rPr>
        <w:footnoteReference w:id="2"/>
      </w:r>
      <w:r>
        <w:rPr>
          <w:lang w:val="fr-FR"/>
        </w:rPr>
        <w:t xml:space="preserve"> et à grande échelle</w:t>
      </w:r>
      <w:r w:rsidR="008C0EBE">
        <w:rPr>
          <w:rStyle w:val="FootnoteReference"/>
          <w:lang w:val="fr-FR"/>
        </w:rPr>
        <w:footnoteReference w:id="3"/>
      </w:r>
      <w:r>
        <w:rPr>
          <w:lang w:val="fr-FR"/>
        </w:rPr>
        <w:t xml:space="preserve"> ont d'importantes retombées aux niveaux national et régional.</w:t>
      </w:r>
    </w:p>
    <w:p w14:paraId="14521FC5" w14:textId="102B51A7" w:rsidR="00956F85" w:rsidRPr="00F20929" w:rsidRDefault="00956F85" w:rsidP="0001179F">
      <w:pPr>
        <w:spacing w:after="120"/>
        <w:rPr>
          <w:szCs w:val="24"/>
          <w:lang w:val="fr-FR"/>
        </w:rPr>
      </w:pPr>
      <w:r>
        <w:rPr>
          <w:lang w:val="fr-FR"/>
        </w:rPr>
        <w:t>Pendant la période 2014-2018</w:t>
      </w:r>
      <w:r w:rsidR="008C0EBE">
        <w:rPr>
          <w:rStyle w:val="FootnoteReference"/>
          <w:lang w:val="fr-FR"/>
        </w:rPr>
        <w:footnoteReference w:id="4"/>
      </w:r>
      <w:r>
        <w:rPr>
          <w:lang w:val="fr-FR"/>
        </w:rPr>
        <w:t xml:space="preserve">, </w:t>
      </w:r>
      <w:r w:rsidR="00F10EE1">
        <w:rPr>
          <w:lang w:val="fr-FR"/>
        </w:rPr>
        <w:t>l'UIT a signé 87 projets pour un mo</w:t>
      </w:r>
      <w:r w:rsidR="008C0EBE">
        <w:rPr>
          <w:lang w:val="fr-FR"/>
        </w:rPr>
        <w:t>ntant de 25,7 millions CHF et a </w:t>
      </w:r>
      <w:r w:rsidR="00F10EE1">
        <w:rPr>
          <w:lang w:val="fr-FR"/>
        </w:rPr>
        <w:t xml:space="preserve">attribué 3,4 millions CHF de contributions en espèces à ces </w:t>
      </w:r>
      <w:r w:rsidR="008C0EBE">
        <w:rPr>
          <w:lang w:val="fr-FR"/>
        </w:rPr>
        <w:t>projets (dont des contributions </w:t>
      </w:r>
      <w:r w:rsidR="00F10EE1">
        <w:rPr>
          <w:lang w:val="fr-FR"/>
        </w:rPr>
        <w:t>provenant du Fonds pour le développement des TIC (FDTIC)</w:t>
      </w:r>
      <w:r w:rsidR="008C0EBE">
        <w:rPr>
          <w:lang w:val="fr-FR"/>
        </w:rPr>
        <w:t xml:space="preserve"> pour un montant de 1,2 million </w:t>
      </w:r>
      <w:r w:rsidR="00F10EE1">
        <w:rPr>
          <w:lang w:val="fr-FR"/>
        </w:rPr>
        <w:t>CHF).</w:t>
      </w:r>
      <w:r>
        <w:rPr>
          <w:lang w:val="fr-FR"/>
        </w:rPr>
        <w:t xml:space="preserve">Cependant, la majorité des projets restent de faible ou de moyenne ampleur </w:t>
      </w:r>
      <w:r w:rsidR="00F10EE1">
        <w:rPr>
          <w:lang w:val="fr-FR"/>
        </w:rPr>
        <w:t>faute</w:t>
      </w:r>
      <w:r>
        <w:rPr>
          <w:lang w:val="fr-FR"/>
        </w:rPr>
        <w:t xml:space="preserve"> de financements suffisamment </w:t>
      </w:r>
      <w:r w:rsidR="00F10EE1">
        <w:rPr>
          <w:lang w:val="fr-FR"/>
        </w:rPr>
        <w:t>importants</w:t>
      </w:r>
      <w:r>
        <w:rPr>
          <w:lang w:val="fr-FR"/>
        </w:rPr>
        <w:t xml:space="preserve"> pour soutenir des projets à grande échelle. </w:t>
      </w:r>
    </w:p>
    <w:p w14:paraId="2D99820A" w14:textId="073E72A8" w:rsidR="00956F85" w:rsidRPr="00F20929" w:rsidRDefault="00956F85" w:rsidP="0001179F">
      <w:pPr>
        <w:spacing w:after="120"/>
        <w:rPr>
          <w:szCs w:val="24"/>
          <w:lang w:val="fr-FR"/>
        </w:rPr>
      </w:pPr>
      <w:r>
        <w:rPr>
          <w:lang w:val="fr-FR"/>
        </w:rPr>
        <w:t xml:space="preserve">À sa session de 2018, </w:t>
      </w:r>
      <w:r w:rsidR="00DD2650">
        <w:rPr>
          <w:lang w:val="fr-FR"/>
        </w:rPr>
        <w:t>reconnaissant ce problème</w:t>
      </w:r>
      <w:r>
        <w:rPr>
          <w:lang w:val="fr-FR"/>
        </w:rPr>
        <w:t>, le Conseil de l'UIT a approuvé l'affectation d'un montant total de 5 millions CHF destiné à servir de fonds d'amorçage pour les projets de l'U</w:t>
      </w:r>
      <w:r w:rsidR="00DD2650">
        <w:rPr>
          <w:lang w:val="fr-FR"/>
        </w:rPr>
        <w:t>nion</w:t>
      </w:r>
      <w:r>
        <w:rPr>
          <w:lang w:val="fr-FR"/>
        </w:rPr>
        <w:t xml:space="preserve">, </w:t>
      </w:r>
      <w:r w:rsidR="00DD2650">
        <w:rPr>
          <w:lang w:val="fr-FR"/>
        </w:rPr>
        <w:t>qui, à leur tour, attireraient</w:t>
      </w:r>
      <w:r>
        <w:rPr>
          <w:lang w:val="fr-FR"/>
        </w:rPr>
        <w:t xml:space="preserve"> des financements plus </w:t>
      </w:r>
      <w:r w:rsidR="00DD2650">
        <w:rPr>
          <w:lang w:val="fr-FR"/>
        </w:rPr>
        <w:t>élevés</w:t>
      </w:r>
      <w:r>
        <w:rPr>
          <w:lang w:val="fr-FR"/>
        </w:rPr>
        <w:t xml:space="preserve"> provenant de donateurs et de partenaires, et, partant, </w:t>
      </w:r>
      <w:r w:rsidR="00DD2650">
        <w:rPr>
          <w:lang w:val="fr-FR"/>
        </w:rPr>
        <w:t>permettraient d'</w:t>
      </w:r>
      <w:r>
        <w:rPr>
          <w:lang w:val="fr-FR"/>
        </w:rPr>
        <w:t>accroître l'ampleur et les retombées de ces projets.</w:t>
      </w:r>
    </w:p>
    <w:p w14:paraId="751E7952" w14:textId="14E0BA24" w:rsidR="00956F85" w:rsidRPr="00F20929" w:rsidRDefault="00DD2650" w:rsidP="0001179F">
      <w:pPr>
        <w:spacing w:after="120"/>
        <w:rPr>
          <w:szCs w:val="24"/>
          <w:lang w:val="fr-FR"/>
        </w:rPr>
      </w:pPr>
      <w:r>
        <w:rPr>
          <w:lang w:val="fr-FR"/>
        </w:rPr>
        <w:t>Pendant la période</w:t>
      </w:r>
      <w:r w:rsidR="00956F85">
        <w:rPr>
          <w:lang w:val="fr-FR"/>
        </w:rPr>
        <w:t xml:space="preserve"> 2019</w:t>
      </w:r>
      <w:r>
        <w:rPr>
          <w:lang w:val="fr-FR"/>
        </w:rPr>
        <w:t>-</w:t>
      </w:r>
      <w:r w:rsidR="00956F85">
        <w:rPr>
          <w:lang w:val="fr-FR"/>
        </w:rPr>
        <w:t>2022, l'UIT a signé 97 projets pour un montant de 58,9 millions CHF et a attribué 9,4 millions CHF de contributions en espèces à ces projets (</w:t>
      </w:r>
      <w:r>
        <w:rPr>
          <w:lang w:val="fr-FR"/>
        </w:rPr>
        <w:t>dont</w:t>
      </w:r>
      <w:r w:rsidR="00956F85">
        <w:rPr>
          <w:lang w:val="fr-FR"/>
        </w:rPr>
        <w:t xml:space="preserve"> des contributions provenant du FDTIC pour un montant de 3,3 millions CHF), ce qui représente une augmentation significative des financements mobilisés par le BDT pour des projets par rapport à la période précédente. Il convient de noter que 60 de ces projets (61% du total) ont bénéficié des financement</w:t>
      </w:r>
      <w:r>
        <w:rPr>
          <w:lang w:val="fr-FR"/>
        </w:rPr>
        <w:t>s</w:t>
      </w:r>
      <w:r w:rsidR="00956F85">
        <w:rPr>
          <w:lang w:val="fr-FR"/>
        </w:rPr>
        <w:t xml:space="preserve"> </w:t>
      </w:r>
      <w:r>
        <w:rPr>
          <w:lang w:val="fr-FR"/>
        </w:rPr>
        <w:t>affectés</w:t>
      </w:r>
      <w:r w:rsidR="00956F85">
        <w:rPr>
          <w:lang w:val="fr-FR"/>
        </w:rPr>
        <w:t xml:space="preserve"> par le Conseil </w:t>
      </w:r>
      <w:r>
        <w:rPr>
          <w:lang w:val="fr-FR"/>
        </w:rPr>
        <w:t>aux</w:t>
      </w:r>
      <w:r w:rsidR="00956F85">
        <w:rPr>
          <w:lang w:val="fr-FR"/>
        </w:rPr>
        <w:t xml:space="preserve"> initiatives régionales.</w:t>
      </w:r>
    </w:p>
    <w:p w14:paraId="09D36124" w14:textId="7E0D99E8" w:rsidR="008118FB" w:rsidRPr="00F20929" w:rsidRDefault="008118FB" w:rsidP="0001179F">
      <w:pPr>
        <w:spacing w:after="120"/>
        <w:rPr>
          <w:szCs w:val="24"/>
          <w:lang w:val="fr-FR"/>
        </w:rPr>
      </w:pPr>
      <w:r>
        <w:rPr>
          <w:lang w:val="fr-FR"/>
        </w:rPr>
        <w:t xml:space="preserve">Des informations détaillées sur la mise en </w:t>
      </w:r>
      <w:r w:rsidR="0087134A">
        <w:rPr>
          <w:lang w:val="fr-FR"/>
        </w:rPr>
        <w:t>œuvre</w:t>
      </w:r>
      <w:r>
        <w:rPr>
          <w:lang w:val="fr-FR"/>
        </w:rPr>
        <w:t xml:space="preserve"> des initiatives régionales de la CMDT-17 financée</w:t>
      </w:r>
      <w:r w:rsidR="00DD2650">
        <w:rPr>
          <w:lang w:val="fr-FR"/>
        </w:rPr>
        <w:t>s</w:t>
      </w:r>
      <w:r>
        <w:rPr>
          <w:lang w:val="fr-FR"/>
        </w:rPr>
        <w:t xml:space="preserve"> grâce aux 5 millions CHF affectés par le Conseil à sa session de 2018 et à des ressources obtenues dans le cadre de nos activités de mobilisation des ressources sont disponibles dans l'Annexe 1 du présent document.</w:t>
      </w:r>
    </w:p>
    <w:p w14:paraId="2D2127C4" w14:textId="537CACD2" w:rsidR="00956F85" w:rsidRPr="008C0EBE" w:rsidRDefault="008C0EBE" w:rsidP="008C0EBE">
      <w:pPr>
        <w:pStyle w:val="Heading1"/>
        <w:rPr>
          <w:sz w:val="24"/>
          <w:szCs w:val="24"/>
          <w:lang w:val="fr-FR"/>
        </w:rPr>
      </w:pPr>
      <w:r w:rsidRPr="008C0EBE">
        <w:rPr>
          <w:sz w:val="24"/>
          <w:szCs w:val="24"/>
          <w:lang w:val="fr-FR"/>
        </w:rPr>
        <w:t>2</w:t>
      </w:r>
      <w:r w:rsidRPr="008C0EBE">
        <w:rPr>
          <w:sz w:val="24"/>
          <w:szCs w:val="24"/>
          <w:lang w:val="fr-FR"/>
        </w:rPr>
        <w:tab/>
      </w:r>
      <w:r w:rsidR="0087134A" w:rsidRPr="008C0EBE">
        <w:rPr>
          <w:sz w:val="24"/>
          <w:szCs w:val="24"/>
          <w:lang w:val="fr-FR"/>
        </w:rPr>
        <w:t>Aperçu</w:t>
      </w:r>
      <w:r w:rsidR="00956F85" w:rsidRPr="008C0EBE">
        <w:rPr>
          <w:sz w:val="24"/>
          <w:szCs w:val="24"/>
          <w:lang w:val="fr-FR"/>
        </w:rPr>
        <w:t xml:space="preserve"> des initiatives régionales</w:t>
      </w:r>
    </w:p>
    <w:p w14:paraId="6BFF501C" w14:textId="33B75CF0" w:rsidR="00956F85" w:rsidRPr="008C0EBE" w:rsidRDefault="00956F85" w:rsidP="0001179F">
      <w:pPr>
        <w:spacing w:after="120"/>
        <w:rPr>
          <w:szCs w:val="24"/>
          <w:lang w:val="fr-FR"/>
        </w:rPr>
      </w:pPr>
      <w:r>
        <w:rPr>
          <w:lang w:val="fr-FR"/>
        </w:rPr>
        <w:t>La CMDT-22 a approuvé des initiatives régionales portant sur l'ensemble des objectifs stratégiques de l'UIT, et a ainsi créé des synergies entre les régions</w:t>
      </w:r>
      <w:r w:rsidR="00DD2650">
        <w:rPr>
          <w:lang w:val="fr-FR"/>
        </w:rPr>
        <w:t>,</w:t>
      </w:r>
      <w:r>
        <w:rPr>
          <w:lang w:val="fr-FR"/>
        </w:rPr>
        <w:t xml:space="preserve"> qui</w:t>
      </w:r>
      <w:r w:rsidR="00DD2650">
        <w:rPr>
          <w:lang w:val="fr-FR"/>
        </w:rPr>
        <w:t xml:space="preserve"> seront exploitées</w:t>
      </w:r>
      <w:r>
        <w:rPr>
          <w:lang w:val="fr-FR"/>
        </w:rPr>
        <w:t xml:space="preserve"> </w:t>
      </w:r>
      <w:r w:rsidR="00DD2650">
        <w:rPr>
          <w:lang w:val="fr-FR"/>
        </w:rPr>
        <w:t>pour</w:t>
      </w:r>
      <w:r>
        <w:rPr>
          <w:lang w:val="fr-FR"/>
        </w:rPr>
        <w:t xml:space="preserve"> la mise en </w:t>
      </w:r>
      <w:r w:rsidR="0087134A">
        <w:rPr>
          <w:lang w:val="fr-FR"/>
        </w:rPr>
        <w:t>œuvre</w:t>
      </w:r>
      <w:r>
        <w:rPr>
          <w:lang w:val="fr-FR"/>
        </w:rPr>
        <w:t xml:space="preserve"> des initiatives régionales. La liste des initiatives régionales figure dans l'Annexe</w:t>
      </w:r>
      <w:r w:rsidR="00B96663">
        <w:rPr>
          <w:lang w:val="fr-FR"/>
        </w:rPr>
        <w:t xml:space="preserve"> </w:t>
      </w:r>
      <w:r>
        <w:rPr>
          <w:lang w:val="fr-FR"/>
        </w:rPr>
        <w:t>2.</w:t>
      </w:r>
    </w:p>
    <w:p w14:paraId="3CB12E12" w14:textId="1BA39B8A" w:rsidR="00956F85" w:rsidRPr="008C0EBE" w:rsidRDefault="008C0EBE" w:rsidP="008C0EBE">
      <w:pPr>
        <w:pStyle w:val="Heading1"/>
        <w:rPr>
          <w:sz w:val="24"/>
          <w:szCs w:val="24"/>
          <w:lang w:val="fr-FR"/>
        </w:rPr>
      </w:pPr>
      <w:r w:rsidRPr="008C0EBE">
        <w:rPr>
          <w:sz w:val="24"/>
          <w:szCs w:val="24"/>
          <w:lang w:val="fr-FR"/>
        </w:rPr>
        <w:t>3</w:t>
      </w:r>
      <w:r w:rsidRPr="008C0EBE">
        <w:rPr>
          <w:sz w:val="24"/>
          <w:szCs w:val="24"/>
          <w:lang w:val="fr-FR"/>
        </w:rPr>
        <w:tab/>
      </w:r>
      <w:r w:rsidR="00956F85" w:rsidRPr="008C0EBE">
        <w:rPr>
          <w:sz w:val="24"/>
          <w:szCs w:val="24"/>
          <w:lang w:val="fr-FR"/>
        </w:rPr>
        <w:t>Propositions</w:t>
      </w:r>
    </w:p>
    <w:p w14:paraId="74413197" w14:textId="4CE7CE2B" w:rsidR="00956F85" w:rsidRPr="00F20929" w:rsidRDefault="00956F85" w:rsidP="0001179F">
      <w:pPr>
        <w:spacing w:after="120"/>
        <w:rPr>
          <w:szCs w:val="24"/>
          <w:lang w:val="fr-FR"/>
        </w:rPr>
      </w:pPr>
      <w:r>
        <w:rPr>
          <w:lang w:val="fr-FR"/>
        </w:rPr>
        <w:t xml:space="preserve">La mise en </w:t>
      </w:r>
      <w:r w:rsidR="0087134A">
        <w:rPr>
          <w:lang w:val="fr-FR"/>
        </w:rPr>
        <w:t>œuvre</w:t>
      </w:r>
      <w:r>
        <w:rPr>
          <w:lang w:val="fr-FR"/>
        </w:rPr>
        <w:t xml:space="preserve"> de ces initiatives régionales a déjà commencé en 2023, étant donné qu'un lien cohérent </w:t>
      </w:r>
      <w:r w:rsidR="00DD2650">
        <w:rPr>
          <w:lang w:val="fr-FR"/>
        </w:rPr>
        <w:t>a été</w:t>
      </w:r>
      <w:r>
        <w:rPr>
          <w:lang w:val="fr-FR"/>
        </w:rPr>
        <w:t xml:space="preserve"> établi entre le processus de planification opérationnelle, la planification des projets et la mise en </w:t>
      </w:r>
      <w:r w:rsidR="0087134A">
        <w:rPr>
          <w:lang w:val="fr-FR"/>
        </w:rPr>
        <w:t>œuvre</w:t>
      </w:r>
      <w:r>
        <w:rPr>
          <w:lang w:val="fr-FR"/>
        </w:rPr>
        <w:t xml:space="preserve"> des initiatives régionales sur la base de la gestion axée sur les résultats, qui se concentre sur les </w:t>
      </w:r>
      <w:r w:rsidR="00DD2650">
        <w:rPr>
          <w:lang w:val="fr-FR"/>
        </w:rPr>
        <w:t>réalisations</w:t>
      </w:r>
      <w:r>
        <w:rPr>
          <w:lang w:val="fr-FR"/>
        </w:rPr>
        <w:t xml:space="preserve"> </w:t>
      </w:r>
      <w:r w:rsidR="00DD2650">
        <w:rPr>
          <w:lang w:val="fr-FR"/>
        </w:rPr>
        <w:t>et non</w:t>
      </w:r>
      <w:r>
        <w:rPr>
          <w:lang w:val="fr-FR"/>
        </w:rPr>
        <w:t xml:space="preserve"> sur </w:t>
      </w:r>
      <w:r w:rsidR="00DD2650">
        <w:rPr>
          <w:lang w:val="fr-FR"/>
        </w:rPr>
        <w:t>l</w:t>
      </w:r>
      <w:r>
        <w:rPr>
          <w:lang w:val="fr-FR"/>
        </w:rPr>
        <w:t xml:space="preserve">es </w:t>
      </w:r>
      <w:r w:rsidR="00DD2650">
        <w:rPr>
          <w:lang w:val="fr-FR"/>
        </w:rPr>
        <w:t xml:space="preserve">différentes </w:t>
      </w:r>
      <w:r>
        <w:rPr>
          <w:lang w:val="fr-FR"/>
        </w:rPr>
        <w:t>activités</w:t>
      </w:r>
      <w:r w:rsidR="00DD2650">
        <w:rPr>
          <w:lang w:val="fr-FR"/>
        </w:rPr>
        <w:t xml:space="preserve"> menées</w:t>
      </w:r>
      <w:r>
        <w:rPr>
          <w:lang w:val="fr-FR"/>
        </w:rPr>
        <w:t xml:space="preserve">. Toutefois, sans l'affection de fonds dédiés, la bonne mise en </w:t>
      </w:r>
      <w:r w:rsidR="0087134A">
        <w:rPr>
          <w:lang w:val="fr-FR"/>
        </w:rPr>
        <w:t>œuvre</w:t>
      </w:r>
      <w:r>
        <w:rPr>
          <w:lang w:val="fr-FR"/>
        </w:rPr>
        <w:t xml:space="preserve"> de ces initiatives régionales sera limitée. De plus, il sera difficile de réussir à mobiliser des ressources en l'absence de fonds d'amorçage. </w:t>
      </w:r>
    </w:p>
    <w:p w14:paraId="041871E2" w14:textId="3FD1E318" w:rsidR="00956F85" w:rsidRPr="00F20929" w:rsidRDefault="00956F85" w:rsidP="00B96663">
      <w:pPr>
        <w:keepNext/>
        <w:spacing w:after="240"/>
        <w:rPr>
          <w:szCs w:val="24"/>
          <w:lang w:val="fr-FR"/>
        </w:rPr>
      </w:pPr>
      <w:r>
        <w:rPr>
          <w:lang w:val="fr-FR"/>
        </w:rPr>
        <w:lastRenderedPageBreak/>
        <w:t xml:space="preserve">Compte tenu de l'expérience acquise précédemment, il est proposé que le BDT demande au Conseil d'affecter, pour le cycle en cours, des fonds d'un montant au moins égal à ceux affectés pour le cycle précédent, afin de permettre une mise en </w:t>
      </w:r>
      <w:r w:rsidR="0087134A">
        <w:rPr>
          <w:lang w:val="fr-FR"/>
        </w:rPr>
        <w:t>œuvre</w:t>
      </w:r>
      <w:r>
        <w:rPr>
          <w:lang w:val="fr-FR"/>
        </w:rPr>
        <w:t xml:space="preserve"> plus complète. Il convient toutefois de noter que</w:t>
      </w:r>
      <w:r w:rsidR="00DD2650">
        <w:rPr>
          <w:lang w:val="fr-FR"/>
        </w:rPr>
        <w:t>,</w:t>
      </w:r>
      <w:r>
        <w:rPr>
          <w:lang w:val="fr-FR"/>
        </w:rPr>
        <w:t xml:space="preserve"> lors du cycle 2018-2022</w:t>
      </w:r>
      <w:r w:rsidR="00DD2650">
        <w:rPr>
          <w:lang w:val="fr-FR"/>
        </w:rPr>
        <w:t>,</w:t>
      </w:r>
      <w:r>
        <w:rPr>
          <w:lang w:val="fr-FR"/>
        </w:rPr>
        <w:t xml:space="preserve"> </w:t>
      </w:r>
      <w:r w:rsidR="00DD2650">
        <w:rPr>
          <w:lang w:val="fr-FR"/>
        </w:rPr>
        <w:t xml:space="preserve">nous avons constaté </w:t>
      </w:r>
      <w:r>
        <w:rPr>
          <w:lang w:val="fr-FR"/>
        </w:rPr>
        <w:t xml:space="preserve">que le montant moyen des engagements des partenaires extérieurs est généralement égal à 50% de la contribution de l'UIT pour chaque projet, ce qui signifie que plus le montant attribué à chaque initiative régionale est élevé, plus les partenaires extérieurs sont susceptibles d'engager des fonds importants dans des projets relatifs aux initiatives régionales. </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110"/>
        <w:gridCol w:w="1701"/>
        <w:gridCol w:w="1701"/>
        <w:gridCol w:w="1838"/>
      </w:tblGrid>
      <w:tr w:rsidR="00B96663" w:rsidRPr="00B96663" w14:paraId="11A50F2A" w14:textId="77777777" w:rsidTr="00B96663">
        <w:trPr>
          <w:tblHeader/>
        </w:trPr>
        <w:tc>
          <w:tcPr>
            <w:tcW w:w="421" w:type="dxa"/>
            <w:tcMar>
              <w:top w:w="0" w:type="dxa"/>
              <w:left w:w="108" w:type="dxa"/>
              <w:bottom w:w="0" w:type="dxa"/>
              <w:right w:w="108" w:type="dxa"/>
            </w:tcMar>
          </w:tcPr>
          <w:p w14:paraId="38D5A0AD" w14:textId="77777777" w:rsidR="00956F85" w:rsidRPr="00B96663" w:rsidRDefault="00956F85" w:rsidP="00B96663">
            <w:pPr>
              <w:pStyle w:val="Tablehead"/>
              <w:rPr>
                <w:lang w:val="fr-FR" w:eastAsia="zh-CN"/>
              </w:rPr>
            </w:pPr>
          </w:p>
        </w:tc>
        <w:tc>
          <w:tcPr>
            <w:tcW w:w="4110" w:type="dxa"/>
            <w:tcMar>
              <w:top w:w="0" w:type="dxa"/>
              <w:left w:w="108" w:type="dxa"/>
              <w:bottom w:w="0" w:type="dxa"/>
              <w:right w:w="108" w:type="dxa"/>
            </w:tcMar>
            <w:hideMark/>
          </w:tcPr>
          <w:p w14:paraId="7681E1D0" w14:textId="1255E04F" w:rsidR="00956F85" w:rsidRPr="00B96663" w:rsidRDefault="00B96663" w:rsidP="00B96663">
            <w:pPr>
              <w:pStyle w:val="Tablehead"/>
              <w:rPr>
                <w:lang w:val="fr-FR"/>
              </w:rPr>
            </w:pPr>
            <w:r w:rsidRPr="00B96663">
              <w:rPr>
                <w:lang w:val="fr-FR"/>
              </w:rPr>
              <w:t>Options pour une mise en </w:t>
            </w:r>
            <w:r w:rsidR="0087134A" w:rsidRPr="00B96663">
              <w:rPr>
                <w:lang w:val="fr-FR"/>
              </w:rPr>
              <w:t>œuvre</w:t>
            </w:r>
            <w:r w:rsidR="00956F85" w:rsidRPr="00B96663">
              <w:rPr>
                <w:lang w:val="fr-FR"/>
              </w:rPr>
              <w:t xml:space="preserve"> partielle</w:t>
            </w:r>
          </w:p>
        </w:tc>
        <w:tc>
          <w:tcPr>
            <w:tcW w:w="1701" w:type="dxa"/>
            <w:tcMar>
              <w:top w:w="0" w:type="dxa"/>
              <w:left w:w="108" w:type="dxa"/>
              <w:bottom w:w="0" w:type="dxa"/>
              <w:right w:w="108" w:type="dxa"/>
            </w:tcMar>
            <w:hideMark/>
          </w:tcPr>
          <w:p w14:paraId="6FC0E803" w14:textId="77777777" w:rsidR="00956F85" w:rsidRPr="00B96663" w:rsidRDefault="00956F85" w:rsidP="00B96663">
            <w:pPr>
              <w:pStyle w:val="Tablehead"/>
            </w:pPr>
            <w:r w:rsidRPr="00B96663">
              <w:rPr>
                <w:lang w:val="fr-FR"/>
              </w:rPr>
              <w:t>2024-2025</w:t>
            </w:r>
          </w:p>
        </w:tc>
        <w:tc>
          <w:tcPr>
            <w:tcW w:w="1701" w:type="dxa"/>
            <w:tcMar>
              <w:top w:w="0" w:type="dxa"/>
              <w:left w:w="108" w:type="dxa"/>
              <w:bottom w:w="0" w:type="dxa"/>
              <w:right w:w="108" w:type="dxa"/>
            </w:tcMar>
            <w:hideMark/>
          </w:tcPr>
          <w:p w14:paraId="5691BA3E" w14:textId="77777777" w:rsidR="00956F85" w:rsidRPr="00B96663" w:rsidRDefault="00956F85" w:rsidP="00B96663">
            <w:pPr>
              <w:pStyle w:val="Tablehead"/>
            </w:pPr>
            <w:r w:rsidRPr="00B96663">
              <w:rPr>
                <w:lang w:val="fr-FR"/>
              </w:rPr>
              <w:t>2026-2027</w:t>
            </w:r>
          </w:p>
        </w:tc>
        <w:tc>
          <w:tcPr>
            <w:tcW w:w="1838" w:type="dxa"/>
          </w:tcPr>
          <w:p w14:paraId="2FA2BFCE" w14:textId="77777777" w:rsidR="00956F85" w:rsidRPr="00B96663" w:rsidRDefault="00956F85" w:rsidP="00B96663">
            <w:pPr>
              <w:pStyle w:val="Tablehead"/>
            </w:pPr>
            <w:r w:rsidRPr="00B96663">
              <w:rPr>
                <w:lang w:val="fr-FR"/>
              </w:rPr>
              <w:t>TOTAL 2024-2027</w:t>
            </w:r>
          </w:p>
        </w:tc>
      </w:tr>
      <w:tr w:rsidR="00B96663" w:rsidRPr="00B96663" w14:paraId="7DC6F258" w14:textId="77777777" w:rsidTr="00B96663">
        <w:tc>
          <w:tcPr>
            <w:tcW w:w="421" w:type="dxa"/>
            <w:tcMar>
              <w:top w:w="0" w:type="dxa"/>
              <w:left w:w="108" w:type="dxa"/>
              <w:bottom w:w="0" w:type="dxa"/>
              <w:right w:w="108" w:type="dxa"/>
            </w:tcMar>
          </w:tcPr>
          <w:p w14:paraId="0443831F" w14:textId="77777777" w:rsidR="00956F85" w:rsidRPr="00B96663" w:rsidRDefault="00956F85" w:rsidP="00B96663">
            <w:pPr>
              <w:pStyle w:val="Tabletext"/>
              <w:jc w:val="center"/>
              <w:rPr>
                <w:szCs w:val="24"/>
              </w:rPr>
            </w:pPr>
            <w:r w:rsidRPr="00B96663">
              <w:rPr>
                <w:lang w:val="fr-FR"/>
              </w:rPr>
              <w:t>1</w:t>
            </w:r>
          </w:p>
        </w:tc>
        <w:tc>
          <w:tcPr>
            <w:tcW w:w="4110" w:type="dxa"/>
            <w:tcMar>
              <w:top w:w="0" w:type="dxa"/>
              <w:left w:w="108" w:type="dxa"/>
              <w:bottom w:w="0" w:type="dxa"/>
              <w:right w:w="108" w:type="dxa"/>
            </w:tcMar>
          </w:tcPr>
          <w:p w14:paraId="2D09ECF7" w14:textId="47FCFA1C" w:rsidR="00956F85" w:rsidRPr="00B96663" w:rsidRDefault="00956F85" w:rsidP="00B96663">
            <w:pPr>
              <w:pStyle w:val="Tabletext"/>
              <w:rPr>
                <w:szCs w:val="24"/>
                <w:lang w:val="fr-FR"/>
              </w:rPr>
            </w:pPr>
            <w:r w:rsidRPr="00B96663">
              <w:rPr>
                <w:lang w:val="fr-FR"/>
              </w:rPr>
              <w:t>Attribution</w:t>
            </w:r>
            <w:r w:rsidR="00B96663" w:rsidRPr="00B96663">
              <w:rPr>
                <w:lang w:val="fr-FR"/>
              </w:rPr>
              <w:t xml:space="preserve"> de 100 000 CHF pour la période </w:t>
            </w:r>
            <w:r w:rsidRPr="00B96663">
              <w:rPr>
                <w:lang w:val="fr-FR"/>
              </w:rPr>
              <w:t>2024-2025, et de 200 0</w:t>
            </w:r>
            <w:r w:rsidR="00B96663" w:rsidRPr="00B96663">
              <w:rPr>
                <w:lang w:val="fr-FR"/>
              </w:rPr>
              <w:t>00 CHF pour la période 2026-2027</w:t>
            </w:r>
          </w:p>
        </w:tc>
        <w:tc>
          <w:tcPr>
            <w:tcW w:w="1701" w:type="dxa"/>
            <w:tcMar>
              <w:top w:w="0" w:type="dxa"/>
              <w:left w:w="108" w:type="dxa"/>
              <w:bottom w:w="0" w:type="dxa"/>
              <w:right w:w="108" w:type="dxa"/>
            </w:tcMar>
          </w:tcPr>
          <w:p w14:paraId="70D49C1D" w14:textId="77777777" w:rsidR="00956F85" w:rsidRPr="00B96663" w:rsidRDefault="00956F85" w:rsidP="00B96663">
            <w:pPr>
              <w:pStyle w:val="Tabletext"/>
              <w:jc w:val="center"/>
              <w:rPr>
                <w:szCs w:val="24"/>
              </w:rPr>
            </w:pPr>
            <w:r w:rsidRPr="00B96663">
              <w:rPr>
                <w:lang w:val="fr-FR"/>
              </w:rPr>
              <w:t>2,8 millions CHF maximum</w:t>
            </w:r>
          </w:p>
        </w:tc>
        <w:tc>
          <w:tcPr>
            <w:tcW w:w="1701" w:type="dxa"/>
            <w:tcMar>
              <w:top w:w="0" w:type="dxa"/>
              <w:left w:w="108" w:type="dxa"/>
              <w:bottom w:w="0" w:type="dxa"/>
              <w:right w:w="108" w:type="dxa"/>
            </w:tcMar>
          </w:tcPr>
          <w:p w14:paraId="27760351" w14:textId="77777777" w:rsidR="00956F85" w:rsidRPr="00B96663" w:rsidRDefault="00956F85" w:rsidP="00B96663">
            <w:pPr>
              <w:pStyle w:val="Tabletext"/>
              <w:jc w:val="center"/>
              <w:rPr>
                <w:szCs w:val="24"/>
              </w:rPr>
            </w:pPr>
            <w:r w:rsidRPr="00B96663">
              <w:rPr>
                <w:lang w:val="fr-FR"/>
              </w:rPr>
              <w:t>5,6 millions CHF</w:t>
            </w:r>
          </w:p>
        </w:tc>
        <w:tc>
          <w:tcPr>
            <w:tcW w:w="1838" w:type="dxa"/>
          </w:tcPr>
          <w:p w14:paraId="7569FAC9" w14:textId="77777777" w:rsidR="00956F85" w:rsidRPr="00B96663" w:rsidRDefault="00956F85" w:rsidP="00B96663">
            <w:pPr>
              <w:pStyle w:val="Tabletext"/>
              <w:jc w:val="center"/>
              <w:rPr>
                <w:b/>
                <w:bCs/>
                <w:szCs w:val="24"/>
              </w:rPr>
            </w:pPr>
            <w:r w:rsidRPr="00B96663">
              <w:rPr>
                <w:b/>
                <w:bCs/>
                <w:lang w:val="fr-FR"/>
              </w:rPr>
              <w:t>8,4 millions CHF</w:t>
            </w:r>
          </w:p>
        </w:tc>
      </w:tr>
      <w:tr w:rsidR="00B96663" w:rsidRPr="00B96663" w14:paraId="24808650" w14:textId="77777777" w:rsidTr="00B96663">
        <w:trPr>
          <w:trHeight w:val="969"/>
        </w:trPr>
        <w:tc>
          <w:tcPr>
            <w:tcW w:w="421" w:type="dxa"/>
            <w:tcMar>
              <w:top w:w="0" w:type="dxa"/>
              <w:left w:w="108" w:type="dxa"/>
              <w:bottom w:w="0" w:type="dxa"/>
              <w:right w:w="108" w:type="dxa"/>
            </w:tcMar>
          </w:tcPr>
          <w:p w14:paraId="544C0797" w14:textId="77777777" w:rsidR="00956F85" w:rsidRPr="00B96663" w:rsidRDefault="00956F85" w:rsidP="00B96663">
            <w:pPr>
              <w:pStyle w:val="Tabletext"/>
              <w:jc w:val="center"/>
              <w:rPr>
                <w:szCs w:val="24"/>
              </w:rPr>
            </w:pPr>
            <w:r w:rsidRPr="00B96663">
              <w:rPr>
                <w:lang w:val="fr-FR"/>
              </w:rPr>
              <w:t>2</w:t>
            </w:r>
          </w:p>
        </w:tc>
        <w:tc>
          <w:tcPr>
            <w:tcW w:w="4110" w:type="dxa"/>
            <w:tcMar>
              <w:top w:w="0" w:type="dxa"/>
              <w:left w:w="108" w:type="dxa"/>
              <w:bottom w:w="0" w:type="dxa"/>
              <w:right w:w="108" w:type="dxa"/>
            </w:tcMar>
          </w:tcPr>
          <w:p w14:paraId="03CBFBCF" w14:textId="4ECDE313" w:rsidR="00956F85" w:rsidRPr="00B96663" w:rsidRDefault="00956F85" w:rsidP="00B96663">
            <w:pPr>
              <w:pStyle w:val="Tabletext"/>
              <w:rPr>
                <w:szCs w:val="24"/>
                <w:lang w:val="fr-FR"/>
              </w:rPr>
            </w:pPr>
            <w:r w:rsidRPr="00B96663">
              <w:rPr>
                <w:lang w:val="fr-FR"/>
              </w:rPr>
              <w:t>Attribution de 100</w:t>
            </w:r>
            <w:r w:rsidR="00C17F7A" w:rsidRPr="00B96663">
              <w:rPr>
                <w:lang w:val="fr-FR"/>
              </w:rPr>
              <w:t> 000</w:t>
            </w:r>
            <w:r w:rsidR="00B96663" w:rsidRPr="00B96663">
              <w:rPr>
                <w:lang w:val="fr-FR"/>
              </w:rPr>
              <w:t xml:space="preserve"> CHF à chaque </w:t>
            </w:r>
            <w:r w:rsidRPr="00B96663">
              <w:rPr>
                <w:lang w:val="fr-FR"/>
              </w:rPr>
              <w:t>initi</w:t>
            </w:r>
            <w:r w:rsidR="00B96663" w:rsidRPr="00B96663">
              <w:rPr>
                <w:lang w:val="fr-FR"/>
              </w:rPr>
              <w:t>ative régionale pour la période </w:t>
            </w:r>
            <w:r w:rsidRPr="00B96663">
              <w:rPr>
                <w:lang w:val="fr-FR"/>
              </w:rPr>
              <w:t>2024-2025, et de 100</w:t>
            </w:r>
            <w:r w:rsidR="00C17F7A" w:rsidRPr="00B96663">
              <w:rPr>
                <w:lang w:val="fr-FR"/>
              </w:rPr>
              <w:t> 000</w:t>
            </w:r>
            <w:r w:rsidRPr="00B96663">
              <w:rPr>
                <w:lang w:val="fr-FR"/>
              </w:rPr>
              <w:t xml:space="preserve"> CHF pour la période 2026-2027</w:t>
            </w:r>
          </w:p>
        </w:tc>
        <w:tc>
          <w:tcPr>
            <w:tcW w:w="1701" w:type="dxa"/>
            <w:tcMar>
              <w:top w:w="0" w:type="dxa"/>
              <w:left w:w="108" w:type="dxa"/>
              <w:bottom w:w="0" w:type="dxa"/>
              <w:right w:w="108" w:type="dxa"/>
            </w:tcMar>
          </w:tcPr>
          <w:p w14:paraId="4387E068" w14:textId="77777777" w:rsidR="00956F85" w:rsidRPr="00B96663" w:rsidRDefault="00956F85" w:rsidP="00B96663">
            <w:pPr>
              <w:pStyle w:val="Tabletext"/>
              <w:jc w:val="center"/>
              <w:rPr>
                <w:szCs w:val="24"/>
              </w:rPr>
            </w:pPr>
            <w:r w:rsidRPr="00B96663">
              <w:rPr>
                <w:lang w:val="fr-FR"/>
              </w:rPr>
              <w:t>2,8 millions CHF maximum</w:t>
            </w:r>
          </w:p>
        </w:tc>
        <w:tc>
          <w:tcPr>
            <w:tcW w:w="1701" w:type="dxa"/>
            <w:tcMar>
              <w:top w:w="0" w:type="dxa"/>
              <w:left w:w="108" w:type="dxa"/>
              <w:bottom w:w="0" w:type="dxa"/>
              <w:right w:w="108" w:type="dxa"/>
            </w:tcMar>
          </w:tcPr>
          <w:p w14:paraId="4EB8D610" w14:textId="77777777" w:rsidR="00956F85" w:rsidRPr="00B96663" w:rsidRDefault="00956F85" w:rsidP="00B96663">
            <w:pPr>
              <w:pStyle w:val="Tabletext"/>
              <w:jc w:val="center"/>
              <w:rPr>
                <w:szCs w:val="24"/>
              </w:rPr>
            </w:pPr>
            <w:r w:rsidRPr="00B96663">
              <w:rPr>
                <w:lang w:val="fr-FR"/>
              </w:rPr>
              <w:t>2,8 millions CHF</w:t>
            </w:r>
          </w:p>
        </w:tc>
        <w:tc>
          <w:tcPr>
            <w:tcW w:w="1838" w:type="dxa"/>
          </w:tcPr>
          <w:p w14:paraId="23F90D50" w14:textId="77777777" w:rsidR="00956F85" w:rsidRPr="00B96663" w:rsidRDefault="00956F85" w:rsidP="00B96663">
            <w:pPr>
              <w:pStyle w:val="Tabletext"/>
              <w:jc w:val="center"/>
              <w:rPr>
                <w:b/>
                <w:bCs/>
                <w:szCs w:val="24"/>
              </w:rPr>
            </w:pPr>
            <w:r w:rsidRPr="00B96663">
              <w:rPr>
                <w:b/>
                <w:bCs/>
                <w:lang w:val="fr-FR"/>
              </w:rPr>
              <w:t>5,6 millions CHF</w:t>
            </w:r>
          </w:p>
        </w:tc>
      </w:tr>
    </w:tbl>
    <w:p w14:paraId="71AD7324" w14:textId="1DEDDE4F" w:rsidR="00956F85" w:rsidRPr="00F20929" w:rsidRDefault="00956F85" w:rsidP="00FE0791">
      <w:pPr>
        <w:pStyle w:val="Headingb"/>
        <w:spacing w:before="240"/>
        <w:rPr>
          <w:rFonts w:cstheme="minorHAnsi"/>
          <w:szCs w:val="24"/>
          <w:lang w:val="fr-FR"/>
        </w:rPr>
      </w:pPr>
      <w:r>
        <w:rPr>
          <w:lang w:val="fr-FR"/>
        </w:rPr>
        <w:t xml:space="preserve">Notes explicatives concernant les options de mise en </w:t>
      </w:r>
      <w:r w:rsidR="0087134A">
        <w:rPr>
          <w:lang w:val="fr-FR"/>
        </w:rPr>
        <w:t>œuvre</w:t>
      </w:r>
      <w:r>
        <w:rPr>
          <w:lang w:val="fr-FR"/>
        </w:rPr>
        <w:t xml:space="preserve"> partielle</w:t>
      </w:r>
    </w:p>
    <w:p w14:paraId="2627223E" w14:textId="25505EEA" w:rsidR="00956F85" w:rsidRPr="00F20929" w:rsidRDefault="00956F85" w:rsidP="00FE0791">
      <w:pPr>
        <w:rPr>
          <w:rFonts w:cstheme="minorHAnsi"/>
          <w:szCs w:val="24"/>
          <w:lang w:val="fr-FR"/>
        </w:rPr>
      </w:pPr>
      <w:r w:rsidRPr="00FE0791">
        <w:rPr>
          <w:b/>
          <w:lang w:val="fr-FR"/>
        </w:rPr>
        <w:t>Option 1</w:t>
      </w:r>
      <w:r w:rsidR="00FE0791">
        <w:rPr>
          <w:lang w:val="fr-FR"/>
        </w:rPr>
        <w:t>: L</w:t>
      </w:r>
      <w:r>
        <w:rPr>
          <w:lang w:val="fr-FR"/>
        </w:rPr>
        <w:t>'attribution de 100</w:t>
      </w:r>
      <w:r w:rsidR="00D41396">
        <w:rPr>
          <w:lang w:val="fr-FR"/>
        </w:rPr>
        <w:t> 000</w:t>
      </w:r>
      <w:r>
        <w:rPr>
          <w:lang w:val="fr-FR"/>
        </w:rPr>
        <w:t xml:space="preserve"> CHF à chaque initiative régionale au cours des deux premières années, puis de 200</w:t>
      </w:r>
      <w:r w:rsidR="00D41396">
        <w:rPr>
          <w:lang w:val="fr-FR"/>
        </w:rPr>
        <w:t> 000</w:t>
      </w:r>
      <w:r>
        <w:rPr>
          <w:lang w:val="fr-FR"/>
        </w:rPr>
        <w:t xml:space="preserve"> CHF au cours des deux années suivantes attirera probablement des financements pour des projets </w:t>
      </w:r>
      <w:r w:rsidR="00D41396">
        <w:rPr>
          <w:lang w:val="fr-FR"/>
        </w:rPr>
        <w:t>de</w:t>
      </w:r>
      <w:r>
        <w:rPr>
          <w:lang w:val="fr-FR"/>
        </w:rPr>
        <w:t xml:space="preserve"> moyenne </w:t>
      </w:r>
      <w:r w:rsidR="00D41396">
        <w:rPr>
          <w:lang w:val="fr-FR"/>
        </w:rPr>
        <w:t>ampleur</w:t>
      </w:r>
      <w:r>
        <w:rPr>
          <w:lang w:val="fr-FR"/>
        </w:rPr>
        <w:t xml:space="preserve">. </w:t>
      </w:r>
    </w:p>
    <w:p w14:paraId="4659693C" w14:textId="7ECDB7BC" w:rsidR="00956F85" w:rsidRPr="00F20929" w:rsidRDefault="00956F85" w:rsidP="00FE0791">
      <w:pPr>
        <w:rPr>
          <w:rFonts w:cstheme="minorHAnsi"/>
          <w:szCs w:val="24"/>
          <w:lang w:val="fr-FR"/>
        </w:rPr>
      </w:pPr>
      <w:r w:rsidRPr="00FE0791">
        <w:rPr>
          <w:b/>
          <w:lang w:val="fr-FR"/>
        </w:rPr>
        <w:t>Option 2</w:t>
      </w:r>
      <w:r w:rsidR="00FE0791">
        <w:rPr>
          <w:lang w:val="fr-FR"/>
        </w:rPr>
        <w:t>: L</w:t>
      </w:r>
      <w:r>
        <w:rPr>
          <w:lang w:val="fr-FR"/>
        </w:rPr>
        <w:t xml:space="preserve">'attribution de 100 000 CHF au cours des deux premières années et du même montant au cours des deux années suivantes attirera probablement des financements pour des projets </w:t>
      </w:r>
      <w:r w:rsidR="00D41396">
        <w:rPr>
          <w:lang w:val="fr-FR"/>
        </w:rPr>
        <w:t>de</w:t>
      </w:r>
      <w:r>
        <w:rPr>
          <w:lang w:val="fr-FR"/>
        </w:rPr>
        <w:t xml:space="preserve"> petite et moyenne </w:t>
      </w:r>
      <w:r w:rsidR="00D41396">
        <w:rPr>
          <w:lang w:val="fr-FR"/>
        </w:rPr>
        <w:t>ampleur</w:t>
      </w:r>
      <w:r>
        <w:rPr>
          <w:lang w:val="fr-FR"/>
        </w:rPr>
        <w:t xml:space="preserve">. </w:t>
      </w:r>
      <w:r w:rsidR="00D41396">
        <w:rPr>
          <w:lang w:val="fr-FR"/>
        </w:rPr>
        <w:t>L'intensification des</w:t>
      </w:r>
      <w:r>
        <w:rPr>
          <w:lang w:val="fr-FR"/>
        </w:rPr>
        <w:t xml:space="preserve"> autres activités de mobilisation des ressources menées par l'UIT et la mise à profit de la Coalition pour le développement du numérique Partner2Connect peuvent accroître la capacité de l'UIT d'attirer des partenaires, ce qui renforcera les résultats obtenus grâce au financement des initiatives régionales. </w:t>
      </w:r>
    </w:p>
    <w:p w14:paraId="4335C7BA" w14:textId="77777777" w:rsidR="00956F85" w:rsidRPr="00F20929" w:rsidRDefault="00956F85" w:rsidP="00FE0791">
      <w:pPr>
        <w:pStyle w:val="Headingb"/>
        <w:rPr>
          <w:szCs w:val="24"/>
          <w:lang w:val="fr-FR"/>
        </w:rPr>
      </w:pPr>
      <w:r>
        <w:rPr>
          <w:lang w:val="fr-FR"/>
        </w:rPr>
        <w:t>Conclusion</w:t>
      </w:r>
    </w:p>
    <w:p w14:paraId="7631856F" w14:textId="5AED52E5" w:rsidR="00F10EE1" w:rsidRDefault="005F151A" w:rsidP="0001179F">
      <w:pPr>
        <w:overflowPunct/>
        <w:autoSpaceDE/>
        <w:autoSpaceDN/>
        <w:adjustRightInd/>
        <w:spacing w:after="120"/>
        <w:textAlignment w:val="auto"/>
        <w:rPr>
          <w:lang w:val="fr-FR"/>
        </w:rPr>
      </w:pPr>
      <w:r>
        <w:rPr>
          <w:lang w:val="fr-FR"/>
        </w:rPr>
        <w:t>Dans le</w:t>
      </w:r>
      <w:r w:rsidR="00D41396">
        <w:rPr>
          <w:lang w:val="fr-FR"/>
        </w:rPr>
        <w:t xml:space="preserve"> cadre du</w:t>
      </w:r>
      <w:r>
        <w:rPr>
          <w:lang w:val="fr-FR"/>
        </w:rPr>
        <w:t xml:space="preserve"> processus d'approbation du budget pour la période 2024-2027, le BDT propose de deman</w:t>
      </w:r>
      <w:r w:rsidR="008C0EBE">
        <w:rPr>
          <w:lang w:val="fr-FR"/>
        </w:rPr>
        <w:t>der au Conseil d'envisager d'at</w:t>
      </w:r>
      <w:r>
        <w:rPr>
          <w:lang w:val="fr-FR"/>
        </w:rPr>
        <w:t xml:space="preserve">tribuer des ressources financières spécialement prévues pour la mise en </w:t>
      </w:r>
      <w:r w:rsidR="0087134A">
        <w:rPr>
          <w:lang w:val="fr-FR"/>
        </w:rPr>
        <w:t>œuvre</w:t>
      </w:r>
      <w:r>
        <w:rPr>
          <w:lang w:val="fr-FR"/>
        </w:rPr>
        <w:t xml:space="preserve"> des initiatives régionales adoptées par la</w:t>
      </w:r>
      <w:r w:rsidR="008C0EBE">
        <w:rPr>
          <w:lang w:val="fr-FR"/>
        </w:rPr>
        <w:t xml:space="preserve"> CMDT-22 pour les six régions.</w:t>
      </w:r>
    </w:p>
    <w:p w14:paraId="5AD830FB" w14:textId="77777777" w:rsidR="00F10EE1" w:rsidRDefault="00F10EE1">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14:paraId="7CEF01BF" w14:textId="2283064B" w:rsidR="00D1513D" w:rsidRPr="00A35146" w:rsidRDefault="00D1513D" w:rsidP="00D1513D">
      <w:pPr>
        <w:pStyle w:val="AnnexNo"/>
        <w:rPr>
          <w:caps/>
          <w:sz w:val="24"/>
          <w:szCs w:val="24"/>
          <w:lang w:val="en-US"/>
        </w:rPr>
      </w:pPr>
      <w:r w:rsidRPr="00A35146">
        <w:rPr>
          <w:caps/>
          <w:sz w:val="24"/>
          <w:szCs w:val="24"/>
          <w:lang w:val="en-US"/>
        </w:rPr>
        <w:lastRenderedPageBreak/>
        <w:t>Annex 1</w:t>
      </w:r>
    </w:p>
    <w:p w14:paraId="7822F5B1" w14:textId="064FD9F4" w:rsidR="00D1513D" w:rsidRPr="00956F85" w:rsidRDefault="00742D1F" w:rsidP="00D1513D">
      <w:pPr>
        <w:pStyle w:val="Annextitle"/>
        <w:rPr>
          <w:sz w:val="24"/>
          <w:szCs w:val="24"/>
          <w:lang w:val="en-US"/>
        </w:rPr>
      </w:pPr>
      <w:r w:rsidRPr="00742D1F">
        <w:rPr>
          <w:sz w:val="24"/>
          <w:szCs w:val="24"/>
        </w:rPr>
        <w:t xml:space="preserve">Utilization of the financial resources approved by Council </w:t>
      </w:r>
      <w:r>
        <w:rPr>
          <w:sz w:val="24"/>
          <w:szCs w:val="24"/>
        </w:rPr>
        <w:br/>
      </w:r>
      <w:r w:rsidRPr="00742D1F">
        <w:rPr>
          <w:sz w:val="24"/>
          <w:szCs w:val="24"/>
        </w:rPr>
        <w:t>to support the implementation of the WTDC-17 Regional Initiatives </w:t>
      </w:r>
    </w:p>
    <w:p w14:paraId="70388A7F" w14:textId="37313F26" w:rsidR="00D1513D" w:rsidRPr="00956F85" w:rsidRDefault="00D1513D" w:rsidP="00A05C04">
      <w:pPr>
        <w:spacing w:after="120"/>
        <w:rPr>
          <w:szCs w:val="24"/>
        </w:rPr>
      </w:pPr>
      <w:r>
        <w:rPr>
          <w:szCs w:val="24"/>
        </w:rPr>
        <w:t xml:space="preserve">Annex 1 is available in a </w:t>
      </w:r>
      <w:hyperlink r:id="rId12" w:history="1">
        <w:r w:rsidRPr="00D5163F">
          <w:rPr>
            <w:rStyle w:val="Hyperlink"/>
            <w:szCs w:val="24"/>
          </w:rPr>
          <w:t>separate file</w:t>
        </w:r>
      </w:hyperlink>
      <w:r>
        <w:rPr>
          <w:szCs w:val="24"/>
        </w:rPr>
        <w:t>.</w:t>
      </w:r>
    </w:p>
    <w:p w14:paraId="3D197CBC" w14:textId="77777777" w:rsidR="00D1513D" w:rsidRDefault="00D1513D">
      <w:pPr>
        <w:tabs>
          <w:tab w:val="clear" w:pos="794"/>
          <w:tab w:val="clear" w:pos="1191"/>
          <w:tab w:val="clear" w:pos="1588"/>
          <w:tab w:val="clear" w:pos="1985"/>
        </w:tabs>
        <w:overflowPunct/>
        <w:autoSpaceDE/>
        <w:autoSpaceDN/>
        <w:adjustRightInd/>
        <w:spacing w:before="0"/>
        <w:textAlignment w:val="auto"/>
        <w:rPr>
          <w:caps/>
          <w:szCs w:val="24"/>
          <w:lang w:val="en-US"/>
        </w:rPr>
      </w:pPr>
      <w:r>
        <w:rPr>
          <w:szCs w:val="24"/>
          <w:lang w:val="en-US"/>
        </w:rPr>
        <w:br w:type="page"/>
      </w:r>
    </w:p>
    <w:p w14:paraId="64D8F360" w14:textId="41C950D8" w:rsidR="00956F85" w:rsidRPr="00A35146" w:rsidRDefault="00956F85" w:rsidP="00956F85">
      <w:pPr>
        <w:pStyle w:val="AnnexNo"/>
        <w:rPr>
          <w:caps/>
          <w:sz w:val="24"/>
          <w:szCs w:val="24"/>
          <w:lang w:val="en-US"/>
        </w:rPr>
      </w:pPr>
      <w:r w:rsidRPr="00A35146">
        <w:rPr>
          <w:caps/>
          <w:sz w:val="24"/>
          <w:szCs w:val="24"/>
          <w:lang w:val="en-US"/>
        </w:rPr>
        <w:lastRenderedPageBreak/>
        <w:t xml:space="preserve">Annex </w:t>
      </w:r>
      <w:r w:rsidR="001355A4" w:rsidRPr="00A35146">
        <w:rPr>
          <w:caps/>
          <w:sz w:val="24"/>
          <w:szCs w:val="24"/>
          <w:lang w:val="en-US"/>
        </w:rPr>
        <w:t>2</w:t>
      </w:r>
    </w:p>
    <w:p w14:paraId="71FD9F96" w14:textId="77777777" w:rsidR="00956F85" w:rsidRPr="00956F85" w:rsidRDefault="00956F85" w:rsidP="00956F85">
      <w:pPr>
        <w:pStyle w:val="Annextitle"/>
        <w:rPr>
          <w:sz w:val="24"/>
          <w:szCs w:val="24"/>
          <w:lang w:val="en-US"/>
        </w:rPr>
      </w:pPr>
      <w:r w:rsidRPr="00956F85">
        <w:rPr>
          <w:sz w:val="24"/>
          <w:szCs w:val="24"/>
          <w:lang w:val="en-US"/>
        </w:rPr>
        <w:t>WTDC-22 Regional Initiatives</w:t>
      </w:r>
    </w:p>
    <w:p w14:paraId="29E0250B" w14:textId="77777777" w:rsidR="00956F85" w:rsidRPr="00956F85" w:rsidRDefault="00956F85" w:rsidP="0001179F">
      <w:pPr>
        <w:spacing w:after="120"/>
        <w:ind w:left="425"/>
        <w:rPr>
          <w:szCs w:val="24"/>
        </w:rPr>
      </w:pPr>
      <w:r w:rsidRPr="00956F85">
        <w:rPr>
          <w:szCs w:val="24"/>
        </w:rPr>
        <w:t>During the six regional preparatory meetings in 2022, the regions articulated their specific priorities in a set of regional initiatives, which can be found in the Kigali Action Plan. These regional initiatives (twenty-eight in total) are intended to address specific telecommunication/ICT priority areas, through partnerships and resource mobilization to implement projects. Under each regional initiative, projects are developed and implemented to meet the region's needs.</w:t>
      </w:r>
    </w:p>
    <w:p w14:paraId="4CB92A2E" w14:textId="77777777" w:rsidR="0001179F" w:rsidRDefault="00956F85" w:rsidP="0001179F">
      <w:pPr>
        <w:spacing w:after="120"/>
        <w:ind w:left="425"/>
        <w:jc w:val="both"/>
        <w:rPr>
          <w:b/>
          <w:bCs/>
          <w:szCs w:val="24"/>
        </w:rPr>
      </w:pPr>
      <w:r w:rsidRPr="00956F85">
        <w:rPr>
          <w:b/>
          <w:bCs/>
          <w:szCs w:val="24"/>
        </w:rPr>
        <w:t>Africa regional initiatives</w:t>
      </w:r>
    </w:p>
    <w:p w14:paraId="701F708C" w14:textId="77777777" w:rsidR="0001179F" w:rsidRDefault="00956F85" w:rsidP="00F42438">
      <w:pPr>
        <w:spacing w:before="60" w:after="60"/>
        <w:ind w:left="720"/>
        <w:rPr>
          <w:szCs w:val="24"/>
        </w:rPr>
      </w:pPr>
      <w:r w:rsidRPr="00956F85">
        <w:rPr>
          <w:szCs w:val="24"/>
        </w:rPr>
        <w:t>AFR1: Supporting digital transformation to usher in a rapid transition to a digital economy while accelerating innovation in Africa.</w:t>
      </w:r>
    </w:p>
    <w:p w14:paraId="50D46D74" w14:textId="77777777" w:rsidR="0001179F" w:rsidRDefault="00956F85" w:rsidP="00F42438">
      <w:pPr>
        <w:spacing w:before="60" w:after="60"/>
        <w:ind w:left="720"/>
        <w:rPr>
          <w:szCs w:val="24"/>
        </w:rPr>
      </w:pPr>
      <w:r w:rsidRPr="00956F85">
        <w:rPr>
          <w:szCs w:val="24"/>
        </w:rPr>
        <w:t>AFR2: Implementation and expansion of broadband infrastructures, connectivity and emerging technologies.</w:t>
      </w:r>
    </w:p>
    <w:p w14:paraId="5CD6A4AF" w14:textId="77777777" w:rsidR="0001179F" w:rsidRDefault="00956F85" w:rsidP="00F42438">
      <w:pPr>
        <w:spacing w:before="60" w:after="60"/>
        <w:ind w:left="720"/>
        <w:rPr>
          <w:szCs w:val="24"/>
        </w:rPr>
      </w:pPr>
      <w:r w:rsidRPr="00956F85">
        <w:rPr>
          <w:szCs w:val="24"/>
        </w:rPr>
        <w:t>AFR3: Building trust, safety and security in the use of telecommunications/information and communication technologies and protection of personal data.</w:t>
      </w:r>
    </w:p>
    <w:p w14:paraId="16F9F209" w14:textId="3F5C8E94" w:rsidR="00956F85" w:rsidRPr="00956F85" w:rsidRDefault="00956F85" w:rsidP="00F42438">
      <w:pPr>
        <w:spacing w:before="60" w:after="60"/>
        <w:ind w:left="720"/>
        <w:rPr>
          <w:szCs w:val="24"/>
        </w:rPr>
      </w:pPr>
      <w:r w:rsidRPr="00956F85">
        <w:rPr>
          <w:szCs w:val="24"/>
        </w:rPr>
        <w:t>AFR4: Fostering emerging technologies and innovation ecosystems.</w:t>
      </w:r>
    </w:p>
    <w:p w14:paraId="3CC8CDD8" w14:textId="77777777" w:rsidR="0001179F" w:rsidRDefault="00956F85" w:rsidP="0001179F">
      <w:pPr>
        <w:spacing w:after="120"/>
        <w:ind w:left="425"/>
        <w:rPr>
          <w:b/>
          <w:bCs/>
          <w:szCs w:val="24"/>
        </w:rPr>
      </w:pPr>
      <w:r w:rsidRPr="00956F85">
        <w:rPr>
          <w:b/>
          <w:bCs/>
          <w:szCs w:val="24"/>
        </w:rPr>
        <w:t>Americas regional initiatives</w:t>
      </w:r>
    </w:p>
    <w:p w14:paraId="4D5329AD" w14:textId="77777777" w:rsidR="0001179F" w:rsidRDefault="00956F85" w:rsidP="00F42438">
      <w:pPr>
        <w:spacing w:before="60" w:after="60"/>
        <w:ind w:left="720"/>
        <w:rPr>
          <w:szCs w:val="24"/>
        </w:rPr>
      </w:pPr>
      <w:r w:rsidRPr="00956F85">
        <w:rPr>
          <w:szCs w:val="24"/>
        </w:rPr>
        <w:t>AMS1: Deployment of modern, resilient, secure and sustainable telecommunication/information and communication technology infrastructure.</w:t>
      </w:r>
    </w:p>
    <w:p w14:paraId="647379CA" w14:textId="77777777" w:rsidR="0001179F" w:rsidRDefault="00956F85" w:rsidP="00F42438">
      <w:pPr>
        <w:spacing w:before="60" w:after="60"/>
        <w:ind w:left="720"/>
        <w:rPr>
          <w:szCs w:val="24"/>
        </w:rPr>
      </w:pPr>
      <w:r w:rsidRPr="00956F85">
        <w:rPr>
          <w:szCs w:val="24"/>
        </w:rPr>
        <w:t>AMS2: Enhancement and expansion of digital-literacy, digital-skills and digital-inclusion programmes, especially among vulnerable populations.</w:t>
      </w:r>
    </w:p>
    <w:p w14:paraId="75ACE444" w14:textId="77777777" w:rsidR="0001179F" w:rsidRDefault="00956F85" w:rsidP="00F42438">
      <w:pPr>
        <w:spacing w:before="60" w:after="60"/>
        <w:ind w:left="720"/>
        <w:rPr>
          <w:szCs w:val="24"/>
        </w:rPr>
      </w:pPr>
      <w:r w:rsidRPr="00956F85">
        <w:rPr>
          <w:szCs w:val="24"/>
        </w:rPr>
        <w:t>AMS3: Effective support for digital transformation and innovation ecosystems through scalable, funded and sustainable connectivity projects.</w:t>
      </w:r>
    </w:p>
    <w:p w14:paraId="0DC71159" w14:textId="4B1B698B" w:rsidR="00956F85" w:rsidRPr="00956F85" w:rsidRDefault="00956F85" w:rsidP="00F42438">
      <w:pPr>
        <w:spacing w:before="60" w:after="60"/>
        <w:ind w:left="720"/>
        <w:rPr>
          <w:szCs w:val="24"/>
        </w:rPr>
      </w:pPr>
      <w:r w:rsidRPr="00956F85">
        <w:rPr>
          <w:szCs w:val="24"/>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72710798" w14:textId="77777777" w:rsidR="0001179F" w:rsidRDefault="00956F85" w:rsidP="0001179F">
      <w:pPr>
        <w:spacing w:after="120"/>
        <w:ind w:left="425"/>
        <w:rPr>
          <w:b/>
          <w:bCs/>
          <w:szCs w:val="24"/>
        </w:rPr>
      </w:pPr>
      <w:r w:rsidRPr="00956F85">
        <w:rPr>
          <w:b/>
          <w:bCs/>
          <w:szCs w:val="24"/>
        </w:rPr>
        <w:t>Arab States regional initiatives</w:t>
      </w:r>
    </w:p>
    <w:p w14:paraId="4161FE93" w14:textId="77777777" w:rsidR="0001179F" w:rsidRDefault="00956F85" w:rsidP="00F42438">
      <w:pPr>
        <w:spacing w:before="60" w:after="60"/>
        <w:ind w:left="720"/>
        <w:rPr>
          <w:szCs w:val="24"/>
        </w:rPr>
      </w:pPr>
      <w:r w:rsidRPr="00956F85">
        <w:rPr>
          <w:szCs w:val="24"/>
        </w:rPr>
        <w:t>ARB1: Sustainable digital economy through digital transformation.</w:t>
      </w:r>
    </w:p>
    <w:p w14:paraId="18998A1F" w14:textId="77777777" w:rsidR="0001179F" w:rsidRDefault="00956F85" w:rsidP="00F42438">
      <w:pPr>
        <w:spacing w:before="60" w:after="60"/>
        <w:ind w:left="720"/>
        <w:rPr>
          <w:szCs w:val="24"/>
        </w:rPr>
      </w:pPr>
      <w:r w:rsidRPr="00956F85">
        <w:rPr>
          <w:szCs w:val="24"/>
        </w:rPr>
        <w:t>ARB2: Enhancing confidence, security and privacy in the use of telecommunications/information and communication technologies in the era of new and emerging digital technologies.</w:t>
      </w:r>
    </w:p>
    <w:p w14:paraId="2CC0D54E" w14:textId="77777777" w:rsidR="0001179F" w:rsidRDefault="00956F85" w:rsidP="00F42438">
      <w:pPr>
        <w:spacing w:before="60" w:after="60"/>
        <w:ind w:left="720"/>
        <w:rPr>
          <w:szCs w:val="24"/>
        </w:rPr>
      </w:pPr>
      <w:r w:rsidRPr="00956F85">
        <w:rPr>
          <w:szCs w:val="24"/>
        </w:rPr>
        <w:t>ARB3: Developing digital infrastructure for smart sustainable cities and communities. Developing digital infrastructure for smart sustainable cities and communities.</w:t>
      </w:r>
    </w:p>
    <w:p w14:paraId="539B9968" w14:textId="5C1856A5" w:rsidR="0001179F" w:rsidRDefault="00956F85" w:rsidP="00F42438">
      <w:pPr>
        <w:spacing w:before="60" w:after="60"/>
        <w:ind w:left="720"/>
        <w:rPr>
          <w:szCs w:val="24"/>
        </w:rPr>
      </w:pPr>
      <w:r w:rsidRPr="00956F85">
        <w:rPr>
          <w:szCs w:val="24"/>
        </w:rPr>
        <w:t>ARB4: Building capacities and encouraging digital innovation, entrepreneurship and future foresight.</w:t>
      </w:r>
    </w:p>
    <w:p w14:paraId="28F14126" w14:textId="295C43A3" w:rsidR="00956F85" w:rsidRPr="00956F85" w:rsidRDefault="00956F85" w:rsidP="00F42438">
      <w:pPr>
        <w:spacing w:before="60" w:after="60"/>
        <w:ind w:left="720"/>
        <w:rPr>
          <w:szCs w:val="24"/>
        </w:rPr>
      </w:pPr>
      <w:r w:rsidRPr="00956F85">
        <w:rPr>
          <w:szCs w:val="24"/>
        </w:rPr>
        <w:t>ARB5: Developing means of digital regulation.</w:t>
      </w:r>
    </w:p>
    <w:p w14:paraId="61178A01" w14:textId="77777777" w:rsidR="00A35146" w:rsidRDefault="00A35146" w:rsidP="0001179F">
      <w:pPr>
        <w:spacing w:after="120"/>
        <w:ind w:left="425"/>
        <w:rPr>
          <w:b/>
          <w:bCs/>
          <w:szCs w:val="24"/>
        </w:rPr>
      </w:pPr>
      <w:r>
        <w:rPr>
          <w:b/>
          <w:bCs/>
          <w:szCs w:val="24"/>
        </w:rPr>
        <w:br w:type="page"/>
      </w:r>
    </w:p>
    <w:p w14:paraId="3CB04E09" w14:textId="4F85F512" w:rsidR="0001179F" w:rsidRDefault="00956F85" w:rsidP="0001179F">
      <w:pPr>
        <w:spacing w:after="120"/>
        <w:ind w:left="425"/>
        <w:rPr>
          <w:b/>
          <w:bCs/>
          <w:szCs w:val="24"/>
        </w:rPr>
      </w:pPr>
      <w:r w:rsidRPr="00956F85">
        <w:rPr>
          <w:b/>
          <w:bCs/>
          <w:szCs w:val="24"/>
        </w:rPr>
        <w:lastRenderedPageBreak/>
        <w:t>Asia-Pacific regional initiatives</w:t>
      </w:r>
    </w:p>
    <w:p w14:paraId="1917B5EE" w14:textId="77777777" w:rsidR="0001179F" w:rsidRDefault="00956F85" w:rsidP="00F42438">
      <w:pPr>
        <w:spacing w:before="60" w:after="60"/>
        <w:ind w:left="720"/>
        <w:rPr>
          <w:szCs w:val="24"/>
        </w:rPr>
      </w:pPr>
      <w:r w:rsidRPr="00956F85">
        <w:rPr>
          <w:szCs w:val="24"/>
        </w:rPr>
        <w:t>ASP1: Addressing special needs of least developed countries, small island developing states, including Pacific island countries, and landlocked developing countries.</w:t>
      </w:r>
    </w:p>
    <w:p w14:paraId="442C5095" w14:textId="77777777" w:rsidR="0001179F" w:rsidRDefault="00956F85" w:rsidP="00F42438">
      <w:pPr>
        <w:spacing w:before="60" w:after="60"/>
        <w:ind w:left="720"/>
        <w:rPr>
          <w:szCs w:val="24"/>
        </w:rPr>
      </w:pPr>
      <w:r w:rsidRPr="00956F85">
        <w:rPr>
          <w:szCs w:val="24"/>
        </w:rPr>
        <w:t>ASP2: Harnessing information and communication technologies to support the digital economy and inclusive digital societies.</w:t>
      </w:r>
    </w:p>
    <w:p w14:paraId="5BBDD5E0" w14:textId="77777777" w:rsidR="0001179F" w:rsidRDefault="00956F85" w:rsidP="00F42438">
      <w:pPr>
        <w:spacing w:before="60" w:after="60"/>
        <w:ind w:left="720"/>
        <w:rPr>
          <w:szCs w:val="24"/>
        </w:rPr>
      </w:pPr>
      <w:r w:rsidRPr="00956F85">
        <w:rPr>
          <w:szCs w:val="24"/>
        </w:rPr>
        <w:t>ASP3: Fostering development of infrastructure to enhance digital connectivity and connecting the unconnected.</w:t>
      </w:r>
    </w:p>
    <w:p w14:paraId="79B9106D" w14:textId="77777777" w:rsidR="0001179F" w:rsidRDefault="00956F85" w:rsidP="00F42438">
      <w:pPr>
        <w:spacing w:before="60" w:after="60"/>
        <w:ind w:left="720"/>
        <w:rPr>
          <w:szCs w:val="24"/>
        </w:rPr>
      </w:pPr>
      <w:r w:rsidRPr="00956F85">
        <w:rPr>
          <w:szCs w:val="24"/>
        </w:rPr>
        <w:t>ASP4: Enabling policy and regulatory environments to accelerate digital transformation.</w:t>
      </w:r>
    </w:p>
    <w:p w14:paraId="4A5D2306" w14:textId="7BE42053" w:rsidR="00956F85" w:rsidRPr="00956F85" w:rsidRDefault="00956F85" w:rsidP="00F42438">
      <w:pPr>
        <w:spacing w:before="60" w:after="60"/>
        <w:ind w:left="720"/>
        <w:rPr>
          <w:szCs w:val="24"/>
        </w:rPr>
      </w:pPr>
      <w:r w:rsidRPr="00956F85">
        <w:rPr>
          <w:szCs w:val="24"/>
        </w:rPr>
        <w:t>ASP5: Contributing to a secure and resilient information and communication technology environment.</w:t>
      </w:r>
    </w:p>
    <w:p w14:paraId="75B8BB12" w14:textId="77777777" w:rsidR="0001179F" w:rsidRDefault="00956F85" w:rsidP="0001179F">
      <w:pPr>
        <w:spacing w:after="120"/>
        <w:ind w:left="425"/>
        <w:rPr>
          <w:szCs w:val="24"/>
        </w:rPr>
      </w:pPr>
      <w:r w:rsidRPr="00956F85">
        <w:rPr>
          <w:b/>
          <w:bCs/>
          <w:szCs w:val="24"/>
        </w:rPr>
        <w:t>CIS regional initiative</w:t>
      </w:r>
      <w:r w:rsidRPr="00956F85">
        <w:rPr>
          <w:szCs w:val="24"/>
        </w:rPr>
        <w:t>s</w:t>
      </w:r>
    </w:p>
    <w:p w14:paraId="306659D4" w14:textId="0C2800F0" w:rsidR="0001179F" w:rsidRDefault="00956F85" w:rsidP="00F42438">
      <w:pPr>
        <w:spacing w:before="60" w:after="60"/>
        <w:ind w:left="720"/>
        <w:rPr>
          <w:szCs w:val="24"/>
        </w:rPr>
      </w:pPr>
      <w:r w:rsidRPr="00956F85">
        <w:rPr>
          <w:szCs w:val="24"/>
        </w:rPr>
        <w:t>CIS1: 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p>
    <w:p w14:paraId="5C86DD32" w14:textId="77777777" w:rsidR="0001179F" w:rsidRDefault="00956F85" w:rsidP="00F42438">
      <w:pPr>
        <w:spacing w:before="60" w:after="60"/>
        <w:ind w:left="720"/>
        <w:rPr>
          <w:szCs w:val="24"/>
        </w:rPr>
      </w:pPr>
      <w:r w:rsidRPr="00956F85">
        <w:rPr>
          <w:szCs w:val="24"/>
        </w:rPr>
        <w:t>CIS2: Cybersecurity and personal data protection.</w:t>
      </w:r>
    </w:p>
    <w:p w14:paraId="29390C0B" w14:textId="77777777" w:rsidR="0001179F" w:rsidRDefault="00956F85" w:rsidP="00F42438">
      <w:pPr>
        <w:spacing w:before="60" w:after="60"/>
        <w:ind w:left="720"/>
        <w:rPr>
          <w:szCs w:val="24"/>
        </w:rPr>
      </w:pPr>
      <w:r w:rsidRPr="00956F85">
        <w:rPr>
          <w:szCs w:val="24"/>
        </w:rPr>
        <w:t>CIS3: Creating an enabling legal and regulatory environment to accelerate digital transformation.</w:t>
      </w:r>
    </w:p>
    <w:p w14:paraId="758432B8" w14:textId="77777777" w:rsidR="0001179F" w:rsidRDefault="00956F85" w:rsidP="00F42438">
      <w:pPr>
        <w:spacing w:before="60" w:after="60"/>
        <w:ind w:left="720"/>
        <w:rPr>
          <w:szCs w:val="24"/>
        </w:rPr>
      </w:pPr>
      <w:r w:rsidRPr="00956F85">
        <w:rPr>
          <w:szCs w:val="24"/>
        </w:rPr>
        <w:t>CIS4: Digital skills and information and communication technology accessibility for the public, in particular for persons with disabilities.</w:t>
      </w:r>
    </w:p>
    <w:p w14:paraId="72157D4F" w14:textId="04D4DF39" w:rsidR="00956F85" w:rsidRPr="00956F85" w:rsidRDefault="00956F85" w:rsidP="00F42438">
      <w:pPr>
        <w:spacing w:before="60" w:after="60"/>
        <w:ind w:left="720"/>
        <w:rPr>
          <w:szCs w:val="24"/>
        </w:rPr>
      </w:pPr>
      <w:r w:rsidRPr="00956F85">
        <w:rPr>
          <w:szCs w:val="24"/>
        </w:rPr>
        <w:t>CIS5: Development of smart cities and communities.</w:t>
      </w:r>
    </w:p>
    <w:p w14:paraId="3898CE33" w14:textId="77777777" w:rsidR="0001179F" w:rsidRDefault="00956F85" w:rsidP="0001179F">
      <w:pPr>
        <w:spacing w:after="120"/>
        <w:ind w:left="425"/>
        <w:rPr>
          <w:b/>
          <w:bCs/>
          <w:szCs w:val="24"/>
          <w:lang w:val="fr-FR"/>
        </w:rPr>
      </w:pPr>
      <w:r w:rsidRPr="00956F85">
        <w:rPr>
          <w:b/>
          <w:bCs/>
          <w:szCs w:val="24"/>
          <w:lang w:val="fr-FR"/>
        </w:rPr>
        <w:t>Europe regional initiatives</w:t>
      </w:r>
    </w:p>
    <w:p w14:paraId="0EB0B8DA" w14:textId="77777777" w:rsidR="0001179F" w:rsidRDefault="00956F85" w:rsidP="00F42438">
      <w:pPr>
        <w:spacing w:before="60" w:after="60"/>
        <w:ind w:left="720"/>
        <w:rPr>
          <w:szCs w:val="24"/>
          <w:lang w:val="fr-FR"/>
        </w:rPr>
      </w:pPr>
      <w:r w:rsidRPr="00956F85">
        <w:rPr>
          <w:szCs w:val="24"/>
          <w:lang w:val="fr-FR"/>
        </w:rPr>
        <w:t>EUR1: Digital infrastructure development.</w:t>
      </w:r>
    </w:p>
    <w:p w14:paraId="252BC9BB" w14:textId="77777777" w:rsidR="0001179F" w:rsidRPr="00F20929" w:rsidRDefault="00956F85" w:rsidP="00F42438">
      <w:pPr>
        <w:spacing w:before="60" w:after="60"/>
        <w:ind w:left="720"/>
        <w:rPr>
          <w:szCs w:val="24"/>
          <w:lang w:val="en-US"/>
        </w:rPr>
      </w:pPr>
      <w:r w:rsidRPr="00F20929">
        <w:rPr>
          <w:szCs w:val="24"/>
          <w:lang w:val="en-US"/>
        </w:rPr>
        <w:t>EUR2: Digital transformation for resilience.</w:t>
      </w:r>
    </w:p>
    <w:p w14:paraId="5CAF123C" w14:textId="77777777" w:rsidR="0001179F" w:rsidRDefault="00956F85" w:rsidP="00F42438">
      <w:pPr>
        <w:spacing w:before="60" w:after="60"/>
        <w:ind w:left="720"/>
        <w:rPr>
          <w:szCs w:val="24"/>
        </w:rPr>
      </w:pPr>
      <w:r w:rsidRPr="00956F85">
        <w:rPr>
          <w:szCs w:val="24"/>
        </w:rPr>
        <w:t>EUR3: Digital inclusion and skills development.</w:t>
      </w:r>
    </w:p>
    <w:p w14:paraId="11720FA3" w14:textId="77777777" w:rsidR="0001179F" w:rsidRDefault="00956F85" w:rsidP="00F42438">
      <w:pPr>
        <w:spacing w:before="60" w:after="60"/>
        <w:ind w:left="720"/>
        <w:rPr>
          <w:szCs w:val="24"/>
        </w:rPr>
      </w:pPr>
      <w:r w:rsidRPr="00956F85">
        <w:rPr>
          <w:szCs w:val="24"/>
        </w:rPr>
        <w:t>EUR4: Trust and confidence in the use of telecommunications/ information and communication technologies.</w:t>
      </w:r>
    </w:p>
    <w:p w14:paraId="4B30FB8E" w14:textId="642B2B34" w:rsidR="00956F85" w:rsidRDefault="00956F85" w:rsidP="00F42438">
      <w:pPr>
        <w:spacing w:before="60" w:after="60"/>
        <w:ind w:left="720"/>
        <w:rPr>
          <w:szCs w:val="24"/>
        </w:rPr>
      </w:pPr>
      <w:r w:rsidRPr="00956F85">
        <w:rPr>
          <w:szCs w:val="24"/>
        </w:rPr>
        <w:t>EUR5: Digital innovation ecosystems.</w:t>
      </w:r>
    </w:p>
    <w:p w14:paraId="672568F8" w14:textId="77777777" w:rsidR="00A35146" w:rsidRPr="00956F85" w:rsidRDefault="00A35146" w:rsidP="00A35146"/>
    <w:p w14:paraId="7759C759" w14:textId="1E49D47B" w:rsidR="00821996" w:rsidRPr="00956F85" w:rsidRDefault="003C58BF" w:rsidP="0001179F">
      <w:pPr>
        <w:tabs>
          <w:tab w:val="clear" w:pos="794"/>
          <w:tab w:val="clear" w:pos="1191"/>
          <w:tab w:val="clear" w:pos="1588"/>
          <w:tab w:val="clear" w:pos="1985"/>
        </w:tabs>
        <w:spacing w:after="120"/>
        <w:jc w:val="center"/>
        <w:rPr>
          <w:szCs w:val="24"/>
        </w:rPr>
      </w:pPr>
      <w:bookmarkStart w:id="6" w:name="Proposal"/>
      <w:bookmarkEnd w:id="6"/>
      <w:r w:rsidRPr="00956F85">
        <w:rPr>
          <w:szCs w:val="24"/>
        </w:rPr>
        <w:t>_____________</w:t>
      </w:r>
      <w:r w:rsidR="004122C5" w:rsidRPr="00956F85">
        <w:rPr>
          <w:szCs w:val="24"/>
        </w:rPr>
        <w:t>_</w:t>
      </w:r>
      <w:r w:rsidR="00922EC1" w:rsidRPr="00956F85">
        <w:rPr>
          <w:szCs w:val="24"/>
        </w:rPr>
        <w:t>_</w:t>
      </w:r>
    </w:p>
    <w:sectPr w:rsidR="00821996" w:rsidRPr="00956F85" w:rsidSect="0047379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9D615" w14:textId="77777777" w:rsidR="00C7183B" w:rsidRDefault="00C7183B">
      <w:r>
        <w:separator/>
      </w:r>
    </w:p>
  </w:endnote>
  <w:endnote w:type="continuationSeparator" w:id="0">
    <w:p w14:paraId="1ADC13DE" w14:textId="77777777" w:rsidR="00C7183B" w:rsidRDefault="00C7183B">
      <w:r>
        <w:continuationSeparator/>
      </w:r>
    </w:p>
  </w:endnote>
  <w:endnote w:type="continuationNotice" w:id="1">
    <w:p w14:paraId="0DC804E2" w14:textId="77777777" w:rsidR="00C7183B" w:rsidRDefault="00C718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E07CA" w14:textId="77777777" w:rsidR="0087134A" w:rsidRDefault="00871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E8E9C" w14:textId="17621019" w:rsidR="008C0EBE" w:rsidRDefault="008C0EBE" w:rsidP="008C0EBE">
    <w:pPr>
      <w:pStyle w:val="Footer"/>
    </w:pPr>
    <w:fldSimple w:instr=" FILENAME \p  \* MERGEFORMAT ">
      <w:r w:rsidR="0087134A">
        <w:t>P:\FRA\ITU-D\CONF-D\TDAG23\TDAG23-30\000\025F.docx</w:t>
      </w:r>
    </w:fldSimple>
    <w:r>
      <w:t xml:space="preserve"> (522340)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tblLayout w:type="fixed"/>
      <w:tblLook w:val="04A0" w:firstRow="1" w:lastRow="0" w:firstColumn="1" w:lastColumn="0" w:noHBand="0" w:noVBand="1"/>
    </w:tblPr>
    <w:tblGrid>
      <w:gridCol w:w="1432"/>
      <w:gridCol w:w="2250"/>
      <w:gridCol w:w="5959"/>
    </w:tblGrid>
    <w:tr w:rsidR="0001179F" w:rsidRPr="00F20929" w14:paraId="547B1C8B" w14:textId="77777777" w:rsidTr="00F20929">
      <w:tc>
        <w:tcPr>
          <w:tcW w:w="1432" w:type="dxa"/>
          <w:tcBorders>
            <w:top w:val="single" w:sz="4" w:space="0" w:color="000000"/>
          </w:tcBorders>
          <w:shd w:val="clear" w:color="auto" w:fill="auto"/>
        </w:tcPr>
        <w:p w14:paraId="4B8B4FFA" w14:textId="77777777" w:rsidR="0001179F" w:rsidRPr="00F20929" w:rsidRDefault="0001179F" w:rsidP="00345002">
          <w:pPr>
            <w:pStyle w:val="FirstFooter"/>
            <w:tabs>
              <w:tab w:val="left" w:pos="1559"/>
              <w:tab w:val="left" w:pos="3828"/>
            </w:tabs>
            <w:rPr>
              <w:sz w:val="18"/>
              <w:szCs w:val="18"/>
            </w:rPr>
          </w:pPr>
          <w:r w:rsidRPr="00F20929">
            <w:rPr>
              <w:sz w:val="18"/>
              <w:szCs w:val="18"/>
            </w:rPr>
            <w:t>Contact:</w:t>
          </w:r>
        </w:p>
      </w:tc>
      <w:tc>
        <w:tcPr>
          <w:tcW w:w="2250" w:type="dxa"/>
          <w:tcBorders>
            <w:top w:val="single" w:sz="4" w:space="0" w:color="000000"/>
          </w:tcBorders>
          <w:shd w:val="clear" w:color="auto" w:fill="auto"/>
        </w:tcPr>
        <w:p w14:paraId="3A881A4A" w14:textId="77777777" w:rsidR="0001179F" w:rsidRPr="00F20929" w:rsidRDefault="0001179F" w:rsidP="00345002">
          <w:pPr>
            <w:pStyle w:val="FirstFooter"/>
            <w:tabs>
              <w:tab w:val="left" w:pos="2302"/>
            </w:tabs>
            <w:ind w:left="2302" w:hanging="2302"/>
            <w:rPr>
              <w:sz w:val="18"/>
              <w:szCs w:val="18"/>
            </w:rPr>
          </w:pPr>
          <w:r w:rsidRPr="00F20929">
            <w:rPr>
              <w:sz w:val="18"/>
              <w:szCs w:val="18"/>
            </w:rPr>
            <w:t>Nom/Organisation/Entité:</w:t>
          </w:r>
        </w:p>
      </w:tc>
      <w:tc>
        <w:tcPr>
          <w:tcW w:w="5959" w:type="dxa"/>
          <w:tcBorders>
            <w:top w:val="single" w:sz="4" w:space="0" w:color="000000"/>
          </w:tcBorders>
        </w:tcPr>
        <w:p w14:paraId="12655503" w14:textId="5EA4F53A" w:rsidR="0001179F" w:rsidRPr="00F20929" w:rsidRDefault="005E69BE" w:rsidP="00345002">
          <w:pPr>
            <w:pStyle w:val="FirstFooter"/>
            <w:tabs>
              <w:tab w:val="left" w:pos="2302"/>
            </w:tabs>
            <w:rPr>
              <w:sz w:val="18"/>
              <w:szCs w:val="18"/>
              <w:highlight w:val="yellow"/>
            </w:rPr>
          </w:pPr>
          <w:r w:rsidRPr="00F20929">
            <w:rPr>
              <w:sz w:val="18"/>
              <w:szCs w:val="18"/>
            </w:rPr>
            <w:t>M. Jose Maria Diaz Batanero, Chef de la Division de l'appui aux projets, Bureau de développement des télécommunications</w:t>
          </w:r>
        </w:p>
      </w:tc>
      <w:bookmarkStart w:id="8" w:name="OrgName"/>
      <w:bookmarkEnd w:id="8"/>
    </w:tr>
    <w:tr w:rsidR="0001179F" w:rsidRPr="004D495C" w14:paraId="2B5C6266" w14:textId="77777777" w:rsidTr="00F20929">
      <w:tc>
        <w:tcPr>
          <w:tcW w:w="1432" w:type="dxa"/>
          <w:shd w:val="clear" w:color="auto" w:fill="auto"/>
        </w:tcPr>
        <w:p w14:paraId="1202F324" w14:textId="77777777" w:rsidR="0001179F" w:rsidRPr="00F20929" w:rsidRDefault="0001179F" w:rsidP="00345002">
          <w:pPr>
            <w:pStyle w:val="FirstFooter"/>
            <w:tabs>
              <w:tab w:val="left" w:pos="1559"/>
              <w:tab w:val="left" w:pos="3828"/>
            </w:tabs>
            <w:rPr>
              <w:sz w:val="18"/>
              <w:szCs w:val="18"/>
            </w:rPr>
          </w:pPr>
        </w:p>
      </w:tc>
      <w:tc>
        <w:tcPr>
          <w:tcW w:w="2250" w:type="dxa"/>
          <w:shd w:val="clear" w:color="auto" w:fill="auto"/>
        </w:tcPr>
        <w:p w14:paraId="16365C1C" w14:textId="77777777" w:rsidR="0001179F" w:rsidRPr="00F20929" w:rsidRDefault="0001179F" w:rsidP="00345002">
          <w:pPr>
            <w:pStyle w:val="FirstFooter"/>
            <w:tabs>
              <w:tab w:val="left" w:pos="2302"/>
            </w:tabs>
            <w:rPr>
              <w:sz w:val="18"/>
              <w:szCs w:val="18"/>
            </w:rPr>
          </w:pPr>
          <w:r w:rsidRPr="00F20929">
            <w:rPr>
              <w:sz w:val="18"/>
              <w:szCs w:val="18"/>
            </w:rPr>
            <w:t>Numéro de téléphone:</w:t>
          </w:r>
        </w:p>
      </w:tc>
      <w:tc>
        <w:tcPr>
          <w:tcW w:w="5959" w:type="dxa"/>
        </w:tcPr>
        <w:p w14:paraId="3E786235" w14:textId="3BB04D45" w:rsidR="0001179F" w:rsidRPr="00F20929" w:rsidRDefault="003B52F8" w:rsidP="00345002">
          <w:pPr>
            <w:pStyle w:val="FirstFooter"/>
            <w:tabs>
              <w:tab w:val="left" w:pos="2302"/>
            </w:tabs>
            <w:rPr>
              <w:sz w:val="18"/>
              <w:szCs w:val="18"/>
              <w:highlight w:val="yellow"/>
            </w:rPr>
          </w:pPr>
          <w:r w:rsidRPr="00F20929">
            <w:rPr>
              <w:sz w:val="18"/>
              <w:szCs w:val="18"/>
            </w:rPr>
            <w:t>+41 22 730 5495</w:t>
          </w:r>
        </w:p>
      </w:tc>
      <w:bookmarkStart w:id="9" w:name="PhoneNo"/>
      <w:bookmarkEnd w:id="9"/>
    </w:tr>
    <w:tr w:rsidR="0001179F" w:rsidRPr="004D495C" w14:paraId="33D13602" w14:textId="77777777" w:rsidTr="00F20929">
      <w:tc>
        <w:tcPr>
          <w:tcW w:w="1432" w:type="dxa"/>
          <w:shd w:val="clear" w:color="auto" w:fill="auto"/>
        </w:tcPr>
        <w:p w14:paraId="1237A00D" w14:textId="77777777" w:rsidR="0001179F" w:rsidRPr="00F20929" w:rsidRDefault="0001179F" w:rsidP="00345002">
          <w:pPr>
            <w:pStyle w:val="FirstFooter"/>
            <w:tabs>
              <w:tab w:val="left" w:pos="1559"/>
              <w:tab w:val="left" w:pos="3828"/>
            </w:tabs>
            <w:rPr>
              <w:sz w:val="18"/>
              <w:szCs w:val="18"/>
            </w:rPr>
          </w:pPr>
        </w:p>
      </w:tc>
      <w:tc>
        <w:tcPr>
          <w:tcW w:w="2250" w:type="dxa"/>
          <w:shd w:val="clear" w:color="auto" w:fill="auto"/>
        </w:tcPr>
        <w:p w14:paraId="7B03C0A7" w14:textId="77777777" w:rsidR="0001179F" w:rsidRPr="00F20929" w:rsidRDefault="0001179F" w:rsidP="00345002">
          <w:pPr>
            <w:pStyle w:val="FirstFooter"/>
            <w:tabs>
              <w:tab w:val="left" w:pos="2302"/>
            </w:tabs>
            <w:rPr>
              <w:sz w:val="18"/>
              <w:szCs w:val="18"/>
            </w:rPr>
          </w:pPr>
          <w:r w:rsidRPr="00F20929">
            <w:rPr>
              <w:sz w:val="18"/>
              <w:szCs w:val="18"/>
            </w:rPr>
            <w:t>Courriel:</w:t>
          </w:r>
        </w:p>
      </w:tc>
      <w:tc>
        <w:tcPr>
          <w:tcW w:w="5959" w:type="dxa"/>
        </w:tcPr>
        <w:p w14:paraId="5A02ADC5" w14:textId="5110D3BF" w:rsidR="0001179F" w:rsidRPr="00F20929" w:rsidRDefault="0087134A" w:rsidP="00345002">
          <w:pPr>
            <w:pStyle w:val="FirstFooter"/>
            <w:tabs>
              <w:tab w:val="left" w:pos="2302"/>
            </w:tabs>
            <w:rPr>
              <w:rStyle w:val="Hyperlink"/>
              <w:sz w:val="18"/>
              <w:szCs w:val="18"/>
              <w:highlight w:val="yellow"/>
            </w:rPr>
          </w:pPr>
          <w:hyperlink r:id="rId1" w:history="1">
            <w:r w:rsidR="001C3A8B" w:rsidRPr="00F20929">
              <w:rPr>
                <w:rStyle w:val="Hyperlink"/>
                <w:sz w:val="18"/>
                <w:szCs w:val="18"/>
              </w:rPr>
              <w:t xml:space="preserve">jose.batanero@itu.int </w:t>
            </w:r>
          </w:hyperlink>
        </w:p>
      </w:tc>
      <w:bookmarkStart w:id="10" w:name="Email"/>
      <w:bookmarkEnd w:id="10"/>
    </w:tr>
  </w:tbl>
  <w:p w14:paraId="50E43B60" w14:textId="77777777" w:rsidR="00F20929" w:rsidRPr="00A05C04" w:rsidRDefault="00F20929" w:rsidP="00F20929">
    <w:pPr>
      <w:pStyle w:val="Footer"/>
      <w:spacing w:before="120"/>
      <w:jc w:val="center"/>
    </w:pPr>
    <w:hyperlink r:id="rId2" w:history="1">
      <w:r w:rsidRPr="00A05C04">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8AA36" w14:textId="77777777" w:rsidR="00C7183B" w:rsidRDefault="00C7183B">
      <w:r>
        <w:t>____________________</w:t>
      </w:r>
    </w:p>
  </w:footnote>
  <w:footnote w:type="continuationSeparator" w:id="0">
    <w:p w14:paraId="09B83CDB" w14:textId="77777777" w:rsidR="00C7183B" w:rsidRDefault="00C7183B">
      <w:r>
        <w:continuationSeparator/>
      </w:r>
    </w:p>
  </w:footnote>
  <w:footnote w:type="continuationNotice" w:id="1">
    <w:p w14:paraId="2626197F" w14:textId="77777777" w:rsidR="00C7183B" w:rsidRDefault="00C7183B">
      <w:pPr>
        <w:spacing w:before="0"/>
      </w:pPr>
    </w:p>
  </w:footnote>
  <w:footnote w:id="2">
    <w:p w14:paraId="4F3929AE" w14:textId="77777777" w:rsidR="008C0EBE" w:rsidRPr="00F20929" w:rsidRDefault="008C0EBE" w:rsidP="00B96663">
      <w:pPr>
        <w:pStyle w:val="FootnoteText"/>
        <w:spacing w:before="80"/>
        <w:rPr>
          <w:lang w:val="fr-FR"/>
        </w:rPr>
      </w:pPr>
      <w:r>
        <w:rPr>
          <w:rStyle w:val="FootnoteReference"/>
        </w:rPr>
        <w:footnoteRef/>
      </w:r>
      <w:r w:rsidRPr="00F20929">
        <w:rPr>
          <w:lang w:val="fr-FR"/>
        </w:rPr>
        <w:t xml:space="preserve"> </w:t>
      </w:r>
      <w:r>
        <w:rPr>
          <w:lang w:val="fr-FR"/>
        </w:rPr>
        <w:tab/>
      </w:r>
      <w:r w:rsidRPr="00B96663">
        <w:rPr>
          <w:sz w:val="22"/>
          <w:szCs w:val="22"/>
          <w:lang w:val="fr-FR"/>
        </w:rPr>
        <w:t>On appelle "projets à moyenne échelle" ceux dont le montant est de 500 000 CHF à 1 million CHF.</w:t>
      </w:r>
    </w:p>
  </w:footnote>
  <w:footnote w:id="3">
    <w:p w14:paraId="1AC1F4B6" w14:textId="49273A5F" w:rsidR="008C0EBE" w:rsidRPr="00B96663" w:rsidRDefault="008C0EBE" w:rsidP="00B96663">
      <w:pPr>
        <w:pStyle w:val="FootnoteText"/>
        <w:spacing w:before="80"/>
        <w:rPr>
          <w:sz w:val="22"/>
          <w:szCs w:val="22"/>
          <w:lang w:val="fr-FR"/>
        </w:rPr>
      </w:pPr>
      <w:r>
        <w:rPr>
          <w:rStyle w:val="FootnoteReference"/>
        </w:rPr>
        <w:footnoteRef/>
      </w:r>
      <w:r w:rsidRPr="00F20929">
        <w:rPr>
          <w:lang w:val="fr-FR"/>
        </w:rPr>
        <w:t xml:space="preserve"> </w:t>
      </w:r>
      <w:r>
        <w:rPr>
          <w:lang w:val="fr-FR"/>
        </w:rPr>
        <w:tab/>
      </w:r>
      <w:r w:rsidRPr="00B96663">
        <w:rPr>
          <w:sz w:val="22"/>
          <w:szCs w:val="22"/>
          <w:lang w:val="fr-FR"/>
        </w:rPr>
        <w:t>On appelle "projets à grande échelle" ceux dont le montant est supérieur à 1 million CHF.</w:t>
      </w:r>
    </w:p>
  </w:footnote>
  <w:footnote w:id="4">
    <w:p w14:paraId="2D8A7F0D" w14:textId="19FDE70E" w:rsidR="008C0EBE" w:rsidRPr="008C0EBE" w:rsidRDefault="008C0EBE" w:rsidP="00B96663">
      <w:pPr>
        <w:pStyle w:val="FootnoteText"/>
        <w:spacing w:before="80"/>
        <w:rPr>
          <w:lang w:val="fr-FR"/>
        </w:rPr>
      </w:pPr>
      <w:r>
        <w:rPr>
          <w:rStyle w:val="FootnoteReference"/>
        </w:rPr>
        <w:footnoteRef/>
      </w:r>
      <w:r w:rsidRPr="008C0EBE">
        <w:rPr>
          <w:lang w:val="fr-FR"/>
        </w:rPr>
        <w:t xml:space="preserve"> </w:t>
      </w:r>
      <w:r>
        <w:rPr>
          <w:lang w:val="fr-FR"/>
        </w:rPr>
        <w:tab/>
      </w:r>
      <w:r w:rsidRPr="00B96663">
        <w:rPr>
          <w:sz w:val="22"/>
          <w:szCs w:val="22"/>
          <w:lang w:val="fr-FR"/>
        </w:rPr>
        <w:t>Période du 1er janvier 2014 au 31 mars 2018, conformément au calendrier établi pour la présentation de rapports au Conseil à sa session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CDE9" w14:textId="77777777" w:rsidR="0087134A" w:rsidRDefault="00871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57D359BF"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01179F">
      <w:rPr>
        <w:sz w:val="22"/>
        <w:szCs w:val="22"/>
        <w:lang w:val="de-CH"/>
      </w:rPr>
      <w:t>25</w:t>
    </w:r>
    <w:r w:rsidRPr="006D271A">
      <w:rPr>
        <w:sz w:val="22"/>
        <w:szCs w:val="22"/>
        <w:lang w:val="de-CH"/>
      </w:rPr>
      <w:t>-</w:t>
    </w:r>
    <w:r w:rsidR="0087134A">
      <w:rPr>
        <w:sz w:val="22"/>
        <w:szCs w:val="22"/>
        <w:lang w:val="de-CH"/>
      </w:rPr>
      <w:t>F</w:t>
    </w:r>
    <w:bookmarkStart w:id="7" w:name="_GoBack"/>
    <w:bookmarkEnd w:id="7"/>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7134A">
      <w:rPr>
        <w:noProof/>
        <w:sz w:val="22"/>
        <w:szCs w:val="22"/>
        <w:lang w:val="de-CH"/>
      </w:rPr>
      <w:t>4</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F4F0" w14:textId="77777777" w:rsidR="0087134A" w:rsidRDefault="00871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72644344"/>
    <w:multiLevelType w:val="multilevel"/>
    <w:tmpl w:val="C8A870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3D9"/>
    <w:rsid w:val="00003C43"/>
    <w:rsid w:val="00005791"/>
    <w:rsid w:val="00010827"/>
    <w:rsid w:val="0001179F"/>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166"/>
    <w:rsid w:val="00107E85"/>
    <w:rsid w:val="00113EE8"/>
    <w:rsid w:val="0011455A"/>
    <w:rsid w:val="00114A65"/>
    <w:rsid w:val="00133061"/>
    <w:rsid w:val="001355A4"/>
    <w:rsid w:val="00141699"/>
    <w:rsid w:val="00147000"/>
    <w:rsid w:val="00163091"/>
    <w:rsid w:val="001645CB"/>
    <w:rsid w:val="00166305"/>
    <w:rsid w:val="00167545"/>
    <w:rsid w:val="001703C6"/>
    <w:rsid w:val="00173781"/>
    <w:rsid w:val="00175ADF"/>
    <w:rsid w:val="00175CAE"/>
    <w:rsid w:val="001828DB"/>
    <w:rsid w:val="001850FE"/>
    <w:rsid w:val="00185135"/>
    <w:rsid w:val="0018743F"/>
    <w:rsid w:val="0019037C"/>
    <w:rsid w:val="001905A9"/>
    <w:rsid w:val="00191273"/>
    <w:rsid w:val="001942A7"/>
    <w:rsid w:val="0019587B"/>
    <w:rsid w:val="001A163D"/>
    <w:rsid w:val="001A1DDA"/>
    <w:rsid w:val="001A441E"/>
    <w:rsid w:val="001A6733"/>
    <w:rsid w:val="001B357F"/>
    <w:rsid w:val="001C3444"/>
    <w:rsid w:val="001C3702"/>
    <w:rsid w:val="001C3A8B"/>
    <w:rsid w:val="001C4656"/>
    <w:rsid w:val="001C46BC"/>
    <w:rsid w:val="001D1E06"/>
    <w:rsid w:val="001F23E6"/>
    <w:rsid w:val="001F4238"/>
    <w:rsid w:val="00200A38"/>
    <w:rsid w:val="00200A46"/>
    <w:rsid w:val="00211B6F"/>
    <w:rsid w:val="00217CC3"/>
    <w:rsid w:val="00220AB6"/>
    <w:rsid w:val="0022120F"/>
    <w:rsid w:val="00225EA8"/>
    <w:rsid w:val="0022754A"/>
    <w:rsid w:val="00236560"/>
    <w:rsid w:val="0023662E"/>
    <w:rsid w:val="002443E1"/>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42BC"/>
    <w:rsid w:val="002E4D03"/>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5002"/>
    <w:rsid w:val="00351C79"/>
    <w:rsid w:val="0035516C"/>
    <w:rsid w:val="00355A4C"/>
    <w:rsid w:val="003604FB"/>
    <w:rsid w:val="00360B73"/>
    <w:rsid w:val="00376832"/>
    <w:rsid w:val="003804CF"/>
    <w:rsid w:val="00380B71"/>
    <w:rsid w:val="0038365A"/>
    <w:rsid w:val="00386A89"/>
    <w:rsid w:val="0039648E"/>
    <w:rsid w:val="003A5AFE"/>
    <w:rsid w:val="003A5D5F"/>
    <w:rsid w:val="003A7FFE"/>
    <w:rsid w:val="003B0A63"/>
    <w:rsid w:val="003B50E1"/>
    <w:rsid w:val="003B52F8"/>
    <w:rsid w:val="003C1746"/>
    <w:rsid w:val="003C2AA9"/>
    <w:rsid w:val="003C58BF"/>
    <w:rsid w:val="003C6142"/>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60089"/>
    <w:rsid w:val="00466398"/>
    <w:rsid w:val="0047306D"/>
    <w:rsid w:val="00473791"/>
    <w:rsid w:val="00476E48"/>
    <w:rsid w:val="00481DE9"/>
    <w:rsid w:val="0049128B"/>
    <w:rsid w:val="00491D39"/>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69BE"/>
    <w:rsid w:val="005E7047"/>
    <w:rsid w:val="005E777F"/>
    <w:rsid w:val="005F151A"/>
    <w:rsid w:val="005F1CA7"/>
    <w:rsid w:val="005F43DD"/>
    <w:rsid w:val="005F46F6"/>
    <w:rsid w:val="005F51A9"/>
    <w:rsid w:val="005F6BE1"/>
    <w:rsid w:val="005F7416"/>
    <w:rsid w:val="005F7B3E"/>
    <w:rsid w:val="00600C11"/>
    <w:rsid w:val="00606B89"/>
    <w:rsid w:val="00611EAF"/>
    <w:rsid w:val="00623F30"/>
    <w:rsid w:val="00625FB8"/>
    <w:rsid w:val="006261BD"/>
    <w:rsid w:val="00635EDB"/>
    <w:rsid w:val="0064734E"/>
    <w:rsid w:val="00650137"/>
    <w:rsid w:val="006509D7"/>
    <w:rsid w:val="006519CF"/>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42D1F"/>
    <w:rsid w:val="00744AA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03AF"/>
    <w:rsid w:val="007F1CC7"/>
    <w:rsid w:val="008027AC"/>
    <w:rsid w:val="008028CE"/>
    <w:rsid w:val="0080332E"/>
    <w:rsid w:val="008118FB"/>
    <w:rsid w:val="008141E0"/>
    <w:rsid w:val="00816EE1"/>
    <w:rsid w:val="00816F88"/>
    <w:rsid w:val="00821996"/>
    <w:rsid w:val="00822323"/>
    <w:rsid w:val="00827BC6"/>
    <w:rsid w:val="008300AD"/>
    <w:rsid w:val="00833024"/>
    <w:rsid w:val="0083346C"/>
    <w:rsid w:val="008419B1"/>
    <w:rsid w:val="00844A56"/>
    <w:rsid w:val="00845B11"/>
    <w:rsid w:val="00852081"/>
    <w:rsid w:val="0087134A"/>
    <w:rsid w:val="008720C9"/>
    <w:rsid w:val="00872B6E"/>
    <w:rsid w:val="00874DFD"/>
    <w:rsid w:val="008802F9"/>
    <w:rsid w:val="00883086"/>
    <w:rsid w:val="008879FD"/>
    <w:rsid w:val="00894C37"/>
    <w:rsid w:val="008A00EA"/>
    <w:rsid w:val="008A3B52"/>
    <w:rsid w:val="008A3F93"/>
    <w:rsid w:val="008A6236"/>
    <w:rsid w:val="008A6E1C"/>
    <w:rsid w:val="008A72FD"/>
    <w:rsid w:val="008B2EDF"/>
    <w:rsid w:val="008B47C7"/>
    <w:rsid w:val="008B54CB"/>
    <w:rsid w:val="008B5A3D"/>
    <w:rsid w:val="008C0EBE"/>
    <w:rsid w:val="008C39EB"/>
    <w:rsid w:val="008C4010"/>
    <w:rsid w:val="008C4FDF"/>
    <w:rsid w:val="008C6B1F"/>
    <w:rsid w:val="008D5E4F"/>
    <w:rsid w:val="008D73C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56F85"/>
    <w:rsid w:val="0096201B"/>
    <w:rsid w:val="00962081"/>
    <w:rsid w:val="00966CB5"/>
    <w:rsid w:val="00975786"/>
    <w:rsid w:val="00981CB7"/>
    <w:rsid w:val="00983E1F"/>
    <w:rsid w:val="00993F46"/>
    <w:rsid w:val="00997358"/>
    <w:rsid w:val="009A452B"/>
    <w:rsid w:val="009B050C"/>
    <w:rsid w:val="009B087F"/>
    <w:rsid w:val="009B2AF4"/>
    <w:rsid w:val="009C110B"/>
    <w:rsid w:val="009C21D2"/>
    <w:rsid w:val="009C5441"/>
    <w:rsid w:val="009D119F"/>
    <w:rsid w:val="009D49A2"/>
    <w:rsid w:val="009F0391"/>
    <w:rsid w:val="009F3940"/>
    <w:rsid w:val="009F3EB2"/>
    <w:rsid w:val="009F6EB1"/>
    <w:rsid w:val="00A02FBA"/>
    <w:rsid w:val="00A05C04"/>
    <w:rsid w:val="00A11D05"/>
    <w:rsid w:val="00A13162"/>
    <w:rsid w:val="00A20267"/>
    <w:rsid w:val="00A3158C"/>
    <w:rsid w:val="00A32DF3"/>
    <w:rsid w:val="00A33E32"/>
    <w:rsid w:val="00A35146"/>
    <w:rsid w:val="00A35E20"/>
    <w:rsid w:val="00A36F6D"/>
    <w:rsid w:val="00A50CA0"/>
    <w:rsid w:val="00A525CC"/>
    <w:rsid w:val="00A53E7C"/>
    <w:rsid w:val="00A60087"/>
    <w:rsid w:val="00A705E8"/>
    <w:rsid w:val="00A721F4"/>
    <w:rsid w:val="00A9392C"/>
    <w:rsid w:val="00A9462B"/>
    <w:rsid w:val="00A97D59"/>
    <w:rsid w:val="00AA3E09"/>
    <w:rsid w:val="00AA4BEF"/>
    <w:rsid w:val="00AB11A8"/>
    <w:rsid w:val="00AB1659"/>
    <w:rsid w:val="00AB4962"/>
    <w:rsid w:val="00AB734E"/>
    <w:rsid w:val="00AB740F"/>
    <w:rsid w:val="00AC6F14"/>
    <w:rsid w:val="00AC7221"/>
    <w:rsid w:val="00AD4677"/>
    <w:rsid w:val="00AE5961"/>
    <w:rsid w:val="00AF0745"/>
    <w:rsid w:val="00AF4971"/>
    <w:rsid w:val="00AF5276"/>
    <w:rsid w:val="00AF7C86"/>
    <w:rsid w:val="00B01046"/>
    <w:rsid w:val="00B25029"/>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6663"/>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17F7A"/>
    <w:rsid w:val="00C34EC3"/>
    <w:rsid w:val="00C37472"/>
    <w:rsid w:val="00C4038C"/>
    <w:rsid w:val="00C42BA2"/>
    <w:rsid w:val="00C44066"/>
    <w:rsid w:val="00C44E13"/>
    <w:rsid w:val="00C60A41"/>
    <w:rsid w:val="00C62DE8"/>
    <w:rsid w:val="00C62DFB"/>
    <w:rsid w:val="00C630E6"/>
    <w:rsid w:val="00C63812"/>
    <w:rsid w:val="00C64AF3"/>
    <w:rsid w:val="00C66F4D"/>
    <w:rsid w:val="00C67BB5"/>
    <w:rsid w:val="00C7183B"/>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4E23"/>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3D"/>
    <w:rsid w:val="00D1519F"/>
    <w:rsid w:val="00D20E99"/>
    <w:rsid w:val="00D21C83"/>
    <w:rsid w:val="00D35BDD"/>
    <w:rsid w:val="00D41396"/>
    <w:rsid w:val="00D44CB5"/>
    <w:rsid w:val="00D5163F"/>
    <w:rsid w:val="00D63006"/>
    <w:rsid w:val="00D72301"/>
    <w:rsid w:val="00D73F7B"/>
    <w:rsid w:val="00D911DE"/>
    <w:rsid w:val="00D91B97"/>
    <w:rsid w:val="00D93ACC"/>
    <w:rsid w:val="00D93C08"/>
    <w:rsid w:val="00D95DAC"/>
    <w:rsid w:val="00DA0B53"/>
    <w:rsid w:val="00DB1171"/>
    <w:rsid w:val="00DB1519"/>
    <w:rsid w:val="00DB2840"/>
    <w:rsid w:val="00DC1BD3"/>
    <w:rsid w:val="00DC2C1A"/>
    <w:rsid w:val="00DD2650"/>
    <w:rsid w:val="00DD3821"/>
    <w:rsid w:val="00DD66B4"/>
    <w:rsid w:val="00DE1972"/>
    <w:rsid w:val="00DE27AB"/>
    <w:rsid w:val="00DF2AB3"/>
    <w:rsid w:val="00DF7250"/>
    <w:rsid w:val="00E00CAA"/>
    <w:rsid w:val="00E03EBF"/>
    <w:rsid w:val="00E05209"/>
    <w:rsid w:val="00E05AC1"/>
    <w:rsid w:val="00E11BCF"/>
    <w:rsid w:val="00E2258E"/>
    <w:rsid w:val="00E24817"/>
    <w:rsid w:val="00E260C2"/>
    <w:rsid w:val="00E2719B"/>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10EE1"/>
    <w:rsid w:val="00F204F3"/>
    <w:rsid w:val="00F20929"/>
    <w:rsid w:val="00F218AB"/>
    <w:rsid w:val="00F238B3"/>
    <w:rsid w:val="00F24FED"/>
    <w:rsid w:val="00F25586"/>
    <w:rsid w:val="00F2651D"/>
    <w:rsid w:val="00F27362"/>
    <w:rsid w:val="00F31498"/>
    <w:rsid w:val="00F32FEF"/>
    <w:rsid w:val="00F41B1C"/>
    <w:rsid w:val="00F42438"/>
    <w:rsid w:val="00F42E13"/>
    <w:rsid w:val="00F42F1C"/>
    <w:rsid w:val="00F43B44"/>
    <w:rsid w:val="00F440E5"/>
    <w:rsid w:val="00F448F6"/>
    <w:rsid w:val="00F52402"/>
    <w:rsid w:val="00F52741"/>
    <w:rsid w:val="00F53D8A"/>
    <w:rsid w:val="00F626F7"/>
    <w:rsid w:val="00F736F9"/>
    <w:rsid w:val="00F73833"/>
    <w:rsid w:val="00F81EEF"/>
    <w:rsid w:val="00F9211C"/>
    <w:rsid w:val="00FA095D"/>
    <w:rsid w:val="00FA6C8B"/>
    <w:rsid w:val="00FA6CDA"/>
    <w:rsid w:val="00FA7C89"/>
    <w:rsid w:val="00FB4139"/>
    <w:rsid w:val="00FB476E"/>
    <w:rsid w:val="00FC0D90"/>
    <w:rsid w:val="00FC73E0"/>
    <w:rsid w:val="00FC7D8C"/>
    <w:rsid w:val="00FD3980"/>
    <w:rsid w:val="00FD431E"/>
    <w:rsid w:val="00FD5A2C"/>
    <w:rsid w:val="00FE0791"/>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F29E"/>
  <w15:docId w15:val="{546D9954-1393-4874-88F6-7CED5AD2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sz w:val="28"/>
    </w:rPr>
  </w:style>
  <w:style w:type="paragraph" w:customStyle="1" w:styleId="Rectitle">
    <w:name w:val="Rec_title"/>
    <w:basedOn w:val="RecNo"/>
    <w:next w:val="Recref"/>
    <w:rsid w:val="00F52741"/>
    <w:pPr>
      <w:spacing w:before="240"/>
    </w:pPr>
    <w:rPr>
      <w:b/>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CommentReference">
    <w:name w:val="annotation reference"/>
    <w:basedOn w:val="DefaultParagraphFont"/>
    <w:semiHidden/>
    <w:unhideWhenUsed/>
    <w:rsid w:val="00956F85"/>
    <w:rPr>
      <w:sz w:val="16"/>
      <w:szCs w:val="16"/>
    </w:rPr>
  </w:style>
  <w:style w:type="paragraph" w:styleId="CommentText">
    <w:name w:val="annotation text"/>
    <w:basedOn w:val="Normal"/>
    <w:link w:val="CommentTextChar"/>
    <w:unhideWhenUsed/>
    <w:rsid w:val="00956F85"/>
    <w:pPr>
      <w:tabs>
        <w:tab w:val="clear" w:pos="794"/>
        <w:tab w:val="clear" w:pos="1191"/>
        <w:tab w:val="clear" w:pos="1588"/>
        <w:tab w:val="clear" w:pos="1985"/>
        <w:tab w:val="left" w:pos="567"/>
        <w:tab w:val="left" w:pos="1134"/>
        <w:tab w:val="left" w:pos="1701"/>
        <w:tab w:val="left" w:pos="2268"/>
        <w:tab w:val="left" w:pos="2835"/>
      </w:tabs>
    </w:pPr>
    <w:rPr>
      <w:rFonts w:ascii="Calibri" w:eastAsia="MS Mincho" w:hAnsi="Calibri"/>
      <w:sz w:val="20"/>
    </w:rPr>
  </w:style>
  <w:style w:type="character" w:customStyle="1" w:styleId="CommentTextChar">
    <w:name w:val="Comment Text Char"/>
    <w:basedOn w:val="DefaultParagraphFont"/>
    <w:link w:val="CommentText"/>
    <w:rsid w:val="00956F85"/>
    <w:rPr>
      <w:rFonts w:ascii="Calibri" w:eastAsia="MS Mincho" w:hAnsi="Calibri"/>
      <w:lang w:val="en-GB" w:eastAsia="en-US"/>
    </w:rPr>
  </w:style>
  <w:style w:type="character" w:customStyle="1" w:styleId="FootnoteTextChar">
    <w:name w:val="Footnote Text Char"/>
    <w:basedOn w:val="DefaultParagraphFont"/>
    <w:link w:val="FootnoteText"/>
    <w:rsid w:val="00956F85"/>
    <w:rPr>
      <w:rFonts w:asciiTheme="minorHAnsi" w:hAnsiTheme="minorHAnsi"/>
      <w:sz w:val="24"/>
      <w:lang w:val="en-GB" w:eastAsia="en-US"/>
    </w:rPr>
  </w:style>
  <w:style w:type="character" w:customStyle="1" w:styleId="Mention">
    <w:name w:val="Mention"/>
    <w:basedOn w:val="DefaultParagraphFont"/>
    <w:uiPriority w:val="99"/>
    <w:unhideWhenUsed/>
    <w:rsid w:val="00956F85"/>
    <w:rPr>
      <w:color w:val="2B579A"/>
      <w:shd w:val="clear" w:color="auto" w:fill="E1DFDD"/>
    </w:rPr>
  </w:style>
  <w:style w:type="paragraph" w:styleId="Revision">
    <w:name w:val="Revision"/>
    <w:hidden/>
    <w:uiPriority w:val="99"/>
    <w:semiHidden/>
    <w:rsid w:val="002443E1"/>
    <w:rPr>
      <w:rFonts w:asciiTheme="minorHAnsi" w:hAnsiTheme="minorHAnsi"/>
      <w:sz w:val="24"/>
      <w:lang w:val="en-GB" w:eastAsia="en-US"/>
    </w:rPr>
  </w:style>
  <w:style w:type="character" w:customStyle="1" w:styleId="UnresolvedMention">
    <w:name w:val="Unresolved Mention"/>
    <w:basedOn w:val="DefaultParagraphFont"/>
    <w:uiPriority w:val="99"/>
    <w:semiHidden/>
    <w:unhideWhenUsed/>
    <w:rsid w:val="00D51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68672">
      <w:bodyDiv w:val="1"/>
      <w:marLeft w:val="0"/>
      <w:marRight w:val="0"/>
      <w:marTop w:val="0"/>
      <w:marBottom w:val="0"/>
      <w:divBdr>
        <w:top w:val="none" w:sz="0" w:space="0" w:color="auto"/>
        <w:left w:val="none" w:sz="0" w:space="0" w:color="auto"/>
        <w:bottom w:val="none" w:sz="0" w:space="0" w:color="auto"/>
        <w:right w:val="none" w:sz="0" w:space="0" w:color="auto"/>
      </w:divBdr>
    </w:div>
    <w:div w:id="14187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meetingdoc.asp?lang=en&amp;parent=D22-TDAG30-C-00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jose.bataner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3038-72C7-4284-B26D-36AE0709D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30029-DE9D-404A-98E8-D325FBCBBF45}">
  <ds:schemaRefs>
    <ds:schemaRef ds:uri="http://purl.org/dc/terms/"/>
    <ds:schemaRef ds:uri="http://schemas.microsoft.com/office/2006/metadata/properties"/>
    <ds:schemaRef ds:uri="d4ea696a-cca3-460b-a983-57ac2621983a"/>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29399490-13b9-4c73-b71e-403b715b75a7"/>
    <ds:schemaRef ds:uri="http://www.w3.org/XML/1998/namespace"/>
  </ds:schemaRefs>
</ds:datastoreItem>
</file>

<file path=customXml/itemProps3.xml><?xml version="1.0" encoding="utf-8"?>
<ds:datastoreItem xmlns:ds="http://schemas.openxmlformats.org/officeDocument/2006/customXml" ds:itemID="{F36CE12B-E065-401D-823E-F83BA22CE731}">
  <ds:schemaRefs>
    <ds:schemaRef ds:uri="http://schemas.microsoft.com/sharepoint/v3/contenttype/forms"/>
  </ds:schemaRefs>
</ds:datastoreItem>
</file>

<file path=customXml/itemProps4.xml><?xml version="1.0" encoding="utf-8"?>
<ds:datastoreItem xmlns:ds="http://schemas.openxmlformats.org/officeDocument/2006/customXml" ds:itemID="{1CBB8BB4-D6E4-42D7-BEC4-2D0D7E45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1664</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11709</CharactersWithSpaces>
  <SharedDoc>false</SharedDoc>
  <HLinks>
    <vt:vector size="24" baseType="variant">
      <vt:variant>
        <vt:i4>8126503</vt:i4>
      </vt:variant>
      <vt:variant>
        <vt:i4>0</vt:i4>
      </vt:variant>
      <vt:variant>
        <vt:i4>0</vt:i4>
      </vt:variant>
      <vt:variant>
        <vt:i4>5</vt:i4>
      </vt:variant>
      <vt:variant>
        <vt:lpwstr>https://www.itu.int/md/meetingdoc.asp?lang=en&amp;parent=D22-TDAG30-C-0025</vt:lpwstr>
      </vt:variant>
      <vt:variant>
        <vt:lpwstr/>
      </vt:variant>
      <vt:variant>
        <vt:i4>3932260</vt:i4>
      </vt:variant>
      <vt:variant>
        <vt:i4>9</vt:i4>
      </vt:variant>
      <vt:variant>
        <vt:i4>0</vt:i4>
      </vt:variant>
      <vt:variant>
        <vt:i4>5</vt:i4>
      </vt:variant>
      <vt:variant>
        <vt:lpwstr>http://www.itu.int/en/ITU-D/Conferences/TDAG/Pages/default.aspx</vt:lpwstr>
      </vt:variant>
      <vt:variant>
        <vt:lpwstr/>
      </vt:variant>
      <vt:variant>
        <vt:i4>6815806</vt:i4>
      </vt:variant>
      <vt:variant>
        <vt:i4>6</vt:i4>
      </vt:variant>
      <vt:variant>
        <vt:i4>0</vt:i4>
      </vt:variant>
      <vt:variant>
        <vt:i4>5</vt:i4>
      </vt:variant>
      <vt:variant>
        <vt:lpwstr>http://www.itu.int/ITU-D/TDAG/</vt:lpwstr>
      </vt:variant>
      <vt:variant>
        <vt:lpwstr/>
      </vt:variant>
      <vt:variant>
        <vt:i4>7995396</vt:i4>
      </vt:variant>
      <vt:variant>
        <vt:i4>3</vt:i4>
      </vt:variant>
      <vt:variant>
        <vt:i4>0</vt:i4>
      </vt:variant>
      <vt:variant>
        <vt:i4>5</vt:i4>
      </vt:variant>
      <vt:variant>
        <vt:lpwstr>mailto:stephen.bereaux@itu.int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Royer, Veronique</cp:lastModifiedBy>
  <cp:revision>5</cp:revision>
  <cp:lastPrinted>2014-11-05T03:22:00Z</cp:lastPrinted>
  <dcterms:created xsi:type="dcterms:W3CDTF">2023-05-25T05:50:00Z</dcterms:created>
  <dcterms:modified xsi:type="dcterms:W3CDTF">2023-05-25T06:25:00Z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TranslatedWith">
    <vt:lpwstr>Mercury</vt:lpwstr>
  </property>
  <property fmtid="{D5CDD505-2E9C-101B-9397-08002B2CF9AE}" pid="10" name="GeneratedBy">
    <vt:lpwstr>severine.fleur</vt:lpwstr>
  </property>
  <property fmtid="{D5CDD505-2E9C-101B-9397-08002B2CF9AE}" pid="11" name="GeneratedDate">
    <vt:lpwstr>05/24/2023 14:04:34</vt:lpwstr>
  </property>
  <property fmtid="{D5CDD505-2E9C-101B-9397-08002B2CF9AE}" pid="12" name="OriginalDocID">
    <vt:lpwstr>e96caddb-5cf6-4c3c-bd50-59dd2962d617</vt:lpwstr>
  </property>
</Properties>
</file>