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00952667">
        <w:trPr>
          <w:cantSplit/>
          <w:trHeight w:val="1134"/>
        </w:trPr>
        <w:tc>
          <w:tcPr>
            <w:tcW w:w="6379" w:type="dxa"/>
          </w:tcPr>
          <w:p w14:paraId="68FE8375" w14:textId="77777777" w:rsidR="00307769" w:rsidRDefault="00307769" w:rsidP="00307769">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37D83956" w:rsidR="00307769" w:rsidRPr="00844A56" w:rsidRDefault="00307769" w:rsidP="00307769">
            <w:pPr>
              <w:tabs>
                <w:tab w:val="clear" w:pos="1191"/>
                <w:tab w:val="clear" w:pos="1588"/>
                <w:tab w:val="clear" w:pos="1985"/>
              </w:tabs>
              <w:spacing w:after="120"/>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353E27A0"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307769">
              <w:rPr>
                <w:b/>
                <w:bCs/>
                <w:lang w:val="en-US"/>
              </w:rPr>
              <w:t>3</w:t>
            </w:r>
            <w:r w:rsidR="0009076F">
              <w:rPr>
                <w:b/>
                <w:bCs/>
                <w:lang w:val="en-US"/>
              </w:rPr>
              <w:t>/</w:t>
            </w:r>
            <w:r w:rsidR="0001179F">
              <w:rPr>
                <w:b/>
                <w:bCs/>
                <w:lang w:val="en-US"/>
              </w:rPr>
              <w:t>25</w:t>
            </w:r>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3E56051A" w:rsidR="00683C32" w:rsidRPr="007F1CC7" w:rsidRDefault="00A05C04" w:rsidP="00B648C7">
            <w:pPr>
              <w:spacing w:before="0"/>
              <w:rPr>
                <w:b/>
                <w:szCs w:val="24"/>
              </w:rPr>
            </w:pPr>
            <w:bookmarkStart w:id="2" w:name="CreationDate"/>
            <w:bookmarkEnd w:id="2"/>
            <w:r w:rsidRPr="00A05C04">
              <w:rPr>
                <w:b/>
                <w:bCs/>
                <w:szCs w:val="28"/>
              </w:rPr>
              <w:t>15</w:t>
            </w:r>
            <w:r w:rsidR="00CE0422" w:rsidRPr="00A05C04">
              <w:rPr>
                <w:b/>
                <w:bCs/>
                <w:szCs w:val="28"/>
              </w:rPr>
              <w:t xml:space="preserve"> </w:t>
            </w:r>
            <w:r w:rsidR="009C21D2" w:rsidRPr="00A05C04">
              <w:rPr>
                <w:b/>
                <w:bCs/>
                <w:szCs w:val="28"/>
              </w:rPr>
              <w:t>May</w:t>
            </w:r>
            <w:r w:rsidR="00CE0422" w:rsidRPr="00A05C04">
              <w:rPr>
                <w:b/>
                <w:bCs/>
                <w:szCs w:val="28"/>
              </w:rPr>
              <w:t xml:space="preserve"> 20</w:t>
            </w:r>
            <w:r w:rsidR="00B648C7" w:rsidRPr="00A05C04">
              <w:rPr>
                <w:b/>
                <w:bCs/>
                <w:szCs w:val="28"/>
              </w:rPr>
              <w:t>2</w:t>
            </w:r>
            <w:r w:rsidR="00307769" w:rsidRPr="00A05C04">
              <w:rPr>
                <w:b/>
                <w:bCs/>
                <w:szCs w:val="28"/>
              </w:rPr>
              <w:t>3</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0BF1F51F" w:rsidR="00514D2F" w:rsidRPr="007F1CC7" w:rsidRDefault="0096201B" w:rsidP="00400CCF">
            <w:pPr>
              <w:spacing w:before="0"/>
              <w:rPr>
                <w:szCs w:val="24"/>
              </w:rPr>
            </w:pPr>
            <w:r>
              <w:rPr>
                <w:b/>
              </w:rPr>
              <w:t>Original:</w:t>
            </w:r>
            <w:bookmarkStart w:id="3" w:name="Original"/>
            <w:bookmarkEnd w:id="3"/>
            <w:r w:rsidR="00CE0422">
              <w:rPr>
                <w:b/>
              </w:rPr>
              <w:t xml:space="preserve"> </w:t>
            </w:r>
            <w:r w:rsidR="00AD4677">
              <w:rPr>
                <w:b/>
              </w:rPr>
              <w:t>English</w:t>
            </w:r>
          </w:p>
        </w:tc>
      </w:tr>
      <w:tr w:rsidR="00A13162" w14:paraId="31656E31" w14:textId="77777777" w:rsidTr="00107E85">
        <w:trPr>
          <w:cantSplit/>
          <w:trHeight w:val="852"/>
        </w:trPr>
        <w:tc>
          <w:tcPr>
            <w:tcW w:w="9888" w:type="dxa"/>
            <w:gridSpan w:val="2"/>
          </w:tcPr>
          <w:p w14:paraId="512FCA01" w14:textId="6C2938EA" w:rsidR="00A13162" w:rsidRPr="0030353C" w:rsidRDefault="0001179F" w:rsidP="0030353C">
            <w:pPr>
              <w:pStyle w:val="Source"/>
            </w:pPr>
            <w:bookmarkStart w:id="4" w:name="Source"/>
            <w:bookmarkEnd w:id="4"/>
            <w:r>
              <w:t>Director, Telecommunication Development Bureau</w:t>
            </w:r>
          </w:p>
        </w:tc>
      </w:tr>
      <w:tr w:rsidR="00AC6F14" w:rsidRPr="002E6963" w14:paraId="2CBD3A36" w14:textId="77777777" w:rsidTr="00107E85">
        <w:trPr>
          <w:cantSplit/>
        </w:trPr>
        <w:tc>
          <w:tcPr>
            <w:tcW w:w="9888" w:type="dxa"/>
            <w:gridSpan w:val="2"/>
          </w:tcPr>
          <w:p w14:paraId="1B4121DF" w14:textId="48E70F7A" w:rsidR="00AC6F14" w:rsidRPr="0001179F" w:rsidRDefault="00956F85" w:rsidP="0030353C">
            <w:pPr>
              <w:pStyle w:val="Title1"/>
              <w:rPr>
                <w:rFonts w:cs="Times New Roman"/>
                <w:bCs/>
              </w:rPr>
            </w:pPr>
            <w:bookmarkStart w:id="5" w:name="Title"/>
            <w:bookmarkEnd w:id="5"/>
            <w:r w:rsidRPr="0001179F">
              <w:rPr>
                <w:rFonts w:cs="Times New Roman"/>
                <w:bCs/>
              </w:rPr>
              <w:t>F</w:t>
            </w:r>
            <w:r w:rsidR="0001179F">
              <w:rPr>
                <w:rFonts w:cs="Times New Roman"/>
                <w:bCs/>
              </w:rPr>
              <w:t>inancial implications of the Regional</w:t>
            </w:r>
            <w:r w:rsidRPr="0001179F">
              <w:rPr>
                <w:rFonts w:cs="Times New Roman"/>
                <w:bCs/>
              </w:rPr>
              <w:t xml:space="preserve"> I</w:t>
            </w:r>
            <w:r w:rsidR="0001179F">
              <w:rPr>
                <w:rFonts w:cs="Times New Roman"/>
                <w:bCs/>
              </w:rPr>
              <w:t xml:space="preserve">nitiatives approved by </w:t>
            </w:r>
            <w:r w:rsidRPr="0001179F">
              <w:rPr>
                <w:rFonts w:cs="Times New Roman"/>
                <w:bCs/>
              </w:rPr>
              <w:t>WTDC-22</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9E8755D" w14:textId="77777777" w:rsidR="00956F85" w:rsidRPr="00D20216" w:rsidRDefault="00956F85" w:rsidP="00A05C04">
            <w:pPr>
              <w:pStyle w:val="Headingb"/>
              <w:spacing w:before="120" w:after="120"/>
              <w:rPr>
                <w:szCs w:val="24"/>
              </w:rPr>
            </w:pPr>
            <w:r w:rsidRPr="00D20216">
              <w:rPr>
                <w:szCs w:val="24"/>
              </w:rPr>
              <w:t>Summary</w:t>
            </w:r>
          </w:p>
          <w:p w14:paraId="25EB4468" w14:textId="6C5B36F5" w:rsidR="00956F85" w:rsidRPr="00D20216" w:rsidRDefault="00956F85" w:rsidP="00A05C04">
            <w:pPr>
              <w:spacing w:after="120"/>
              <w:rPr>
                <w:szCs w:val="24"/>
                <w:lang w:val="en-US"/>
              </w:rPr>
            </w:pPr>
            <w:r w:rsidRPr="00D20216">
              <w:rPr>
                <w:szCs w:val="24"/>
                <w:lang w:val="en-US"/>
              </w:rPr>
              <w:t>The World Telecommunication Development Conference (WTDC-</w:t>
            </w:r>
            <w:r>
              <w:rPr>
                <w:szCs w:val="24"/>
                <w:lang w:val="en-US"/>
              </w:rPr>
              <w:t>22</w:t>
            </w:r>
            <w:r w:rsidRPr="00D20216">
              <w:rPr>
                <w:szCs w:val="24"/>
                <w:lang w:val="en-US"/>
              </w:rPr>
              <w:t xml:space="preserve">), held in </w:t>
            </w:r>
            <w:r>
              <w:rPr>
                <w:szCs w:val="24"/>
                <w:lang w:val="en-US"/>
              </w:rPr>
              <w:t>Kigali, Rwanda</w:t>
            </w:r>
            <w:r w:rsidRPr="00D20216">
              <w:rPr>
                <w:szCs w:val="24"/>
                <w:lang w:val="en-US"/>
              </w:rPr>
              <w:t xml:space="preserve"> from </w:t>
            </w:r>
            <w:r w:rsidR="002E42BC">
              <w:rPr>
                <w:szCs w:val="24"/>
                <w:lang w:val="en-US"/>
              </w:rPr>
              <w:br/>
            </w:r>
            <w:r>
              <w:rPr>
                <w:szCs w:val="24"/>
                <w:lang w:val="en-US"/>
              </w:rPr>
              <w:t>6 to 16 June 2022</w:t>
            </w:r>
            <w:r w:rsidRPr="00D20216">
              <w:rPr>
                <w:szCs w:val="24"/>
                <w:lang w:val="en-US"/>
              </w:rPr>
              <w:t xml:space="preserve">, adopted the </w:t>
            </w:r>
            <w:r>
              <w:rPr>
                <w:szCs w:val="24"/>
                <w:lang w:val="en-US"/>
              </w:rPr>
              <w:t>Kigali</w:t>
            </w:r>
            <w:r w:rsidRPr="00D20216">
              <w:rPr>
                <w:szCs w:val="24"/>
                <w:lang w:val="en-US"/>
              </w:rPr>
              <w:t xml:space="preserve"> Declaration and the </w:t>
            </w:r>
            <w:r>
              <w:rPr>
                <w:szCs w:val="24"/>
                <w:lang w:val="en-US"/>
              </w:rPr>
              <w:t>Kigali</w:t>
            </w:r>
            <w:r w:rsidRPr="00D20216">
              <w:rPr>
                <w:szCs w:val="24"/>
                <w:lang w:val="en-US"/>
              </w:rPr>
              <w:t xml:space="preserve"> Action Plan, including </w:t>
            </w:r>
            <w:r>
              <w:rPr>
                <w:szCs w:val="24"/>
                <w:lang w:val="en-US"/>
              </w:rPr>
              <w:t>28</w:t>
            </w:r>
            <w:r w:rsidRPr="00D20216">
              <w:rPr>
                <w:szCs w:val="24"/>
                <w:lang w:val="en-US"/>
              </w:rPr>
              <w:t xml:space="preserve"> regional initiatives</w:t>
            </w:r>
            <w:r>
              <w:rPr>
                <w:szCs w:val="24"/>
                <w:lang w:val="en-US"/>
              </w:rPr>
              <w:t xml:space="preserve"> (RIs) across the six regions of ITU-D Sector</w:t>
            </w:r>
            <w:r w:rsidRPr="00D20216">
              <w:rPr>
                <w:szCs w:val="24"/>
                <w:lang w:val="en-US"/>
              </w:rPr>
              <w:t>.</w:t>
            </w:r>
          </w:p>
          <w:p w14:paraId="4DAC1888" w14:textId="77777777" w:rsidR="00956F85" w:rsidRDefault="00956F85" w:rsidP="00A05C04">
            <w:pPr>
              <w:spacing w:after="120"/>
              <w:rPr>
                <w:lang w:val="en-US"/>
              </w:rPr>
            </w:pPr>
            <w:r w:rsidRPr="05CAE38D">
              <w:rPr>
                <w:lang w:val="en-US"/>
              </w:rPr>
              <w:t xml:space="preserve">The full implementation of these regional initiatives will require significant financing which would need to be generated by ITU through resource mobilization and other efforts. In the previous cycle, WTDC-17 suggested an allocation of 1 million CHF per RI, to ensure ITU had adequate funding to engage </w:t>
            </w:r>
            <w:r>
              <w:rPr>
                <w:lang w:val="en-US"/>
              </w:rPr>
              <w:t xml:space="preserve">in </w:t>
            </w:r>
            <w:r w:rsidRPr="05CAE38D">
              <w:rPr>
                <w:lang w:val="en-US"/>
              </w:rPr>
              <w:t xml:space="preserve">partnerships and other collaborative efforts that would ensure </w:t>
            </w:r>
            <w:r>
              <w:rPr>
                <w:lang w:val="en-US"/>
              </w:rPr>
              <w:t xml:space="preserve">the </w:t>
            </w:r>
            <w:r w:rsidRPr="05CAE38D">
              <w:rPr>
                <w:lang w:val="en-US"/>
              </w:rPr>
              <w:t>effective and full implementation</w:t>
            </w:r>
            <w:r>
              <w:rPr>
                <w:lang w:val="en-US"/>
              </w:rPr>
              <w:t xml:space="preserve"> of these RIs</w:t>
            </w:r>
            <w:r w:rsidRPr="05CAE38D">
              <w:rPr>
                <w:lang w:val="en-US"/>
              </w:rPr>
              <w:t xml:space="preserve">. </w:t>
            </w:r>
            <w:r>
              <w:rPr>
                <w:lang w:val="en-US"/>
              </w:rPr>
              <w:t xml:space="preserve">No financial resources were allocated for this purpose. </w:t>
            </w:r>
          </w:p>
          <w:p w14:paraId="5E35EF93" w14:textId="12BCD37E" w:rsidR="00956F85" w:rsidRDefault="00956F85" w:rsidP="00A05C04">
            <w:pPr>
              <w:spacing w:after="120"/>
              <w:rPr>
                <w:lang w:val="en-US"/>
              </w:rPr>
            </w:pPr>
            <w:r>
              <w:rPr>
                <w:lang w:val="en-US"/>
              </w:rPr>
              <w:t xml:space="preserve">Following the adoption of Regional Initiatives by WTDC-17, </w:t>
            </w:r>
            <w:r w:rsidRPr="05CAE38D">
              <w:rPr>
                <w:lang w:val="en-US"/>
              </w:rPr>
              <w:t>Council allocated in its 2018 session a total of CHF 5 M</w:t>
            </w:r>
            <w:r w:rsidRPr="05CAE38D" w:rsidDel="00A00799">
              <w:rPr>
                <w:lang w:val="en-US"/>
              </w:rPr>
              <w:t xml:space="preserve"> </w:t>
            </w:r>
            <w:r w:rsidRPr="05CAE38D">
              <w:rPr>
                <w:lang w:val="en-US"/>
              </w:rPr>
              <w:t xml:space="preserve">as seed funding for </w:t>
            </w:r>
            <w:r>
              <w:rPr>
                <w:lang w:val="en-US"/>
              </w:rPr>
              <w:t>the</w:t>
            </w:r>
            <w:r w:rsidRPr="05CAE38D">
              <w:rPr>
                <w:lang w:val="en-US"/>
              </w:rPr>
              <w:t xml:space="preserve"> period from 2018-2021.</w:t>
            </w:r>
          </w:p>
          <w:p w14:paraId="5634AFE5" w14:textId="0B9517B0" w:rsidR="00956F85" w:rsidRPr="00D20216" w:rsidRDefault="00956F85" w:rsidP="00A05C04">
            <w:pPr>
              <w:spacing w:after="120"/>
            </w:pPr>
            <w:r w:rsidRPr="05CAE38D">
              <w:rPr>
                <w:lang w:val="en-US"/>
              </w:rPr>
              <w:t xml:space="preserve">This document provides </w:t>
            </w:r>
            <w:r w:rsidR="005F151A">
              <w:rPr>
                <w:lang w:val="en-US"/>
              </w:rPr>
              <w:t xml:space="preserve">an </w:t>
            </w:r>
            <w:r w:rsidRPr="05CAE38D">
              <w:rPr>
                <w:lang w:val="en-US"/>
              </w:rPr>
              <w:t xml:space="preserve">overview of the </w:t>
            </w:r>
            <w:r>
              <w:rPr>
                <w:lang w:val="en-US"/>
              </w:rPr>
              <w:t xml:space="preserve">WTDC-22 adopted </w:t>
            </w:r>
            <w:r w:rsidRPr="05CAE38D">
              <w:rPr>
                <w:lang w:val="en-US"/>
              </w:rPr>
              <w:t>RIs</w:t>
            </w:r>
            <w:r w:rsidR="005F151A">
              <w:rPr>
                <w:lang w:val="en-US"/>
              </w:rPr>
              <w:t>,</w:t>
            </w:r>
            <w:r w:rsidRPr="05CAE38D">
              <w:rPr>
                <w:lang w:val="en-US"/>
              </w:rPr>
              <w:t xml:space="preserve"> and </w:t>
            </w:r>
            <w:r w:rsidR="005F151A">
              <w:rPr>
                <w:lang w:val="en-US"/>
              </w:rPr>
              <w:t xml:space="preserve">outlines the request being made by BDT to Council </w:t>
            </w:r>
            <w:r w:rsidRPr="05CAE38D">
              <w:rPr>
                <w:lang w:val="en-US"/>
              </w:rPr>
              <w:t xml:space="preserve">for the allocation of financial resources towards accelerating the implementation of </w:t>
            </w:r>
            <w:r>
              <w:rPr>
                <w:lang w:val="en-US"/>
              </w:rPr>
              <w:t xml:space="preserve">the </w:t>
            </w:r>
            <w:r w:rsidRPr="05CAE38D">
              <w:rPr>
                <w:lang w:val="en-US"/>
              </w:rPr>
              <w:t>new RIs</w:t>
            </w:r>
            <w:r>
              <w:rPr>
                <w:lang w:val="en-US"/>
              </w:rPr>
              <w:t>.</w:t>
            </w:r>
            <w:r w:rsidRPr="05CAE38D">
              <w:rPr>
                <w:lang w:val="en-US"/>
              </w:rPr>
              <w:t xml:space="preserve"> </w:t>
            </w:r>
          </w:p>
          <w:p w14:paraId="3E4CC7B2" w14:textId="77777777" w:rsidR="00956F85" w:rsidRPr="00D20216" w:rsidRDefault="00956F85" w:rsidP="00A05C04">
            <w:pPr>
              <w:pStyle w:val="Headingb"/>
              <w:spacing w:before="120" w:after="120"/>
              <w:rPr>
                <w:szCs w:val="24"/>
              </w:rPr>
            </w:pPr>
            <w:r w:rsidRPr="00D20216">
              <w:rPr>
                <w:szCs w:val="24"/>
              </w:rPr>
              <w:t>Action required</w:t>
            </w:r>
          </w:p>
          <w:p w14:paraId="2295D9E6" w14:textId="62E18F87" w:rsidR="00956F85" w:rsidRPr="00D20216" w:rsidRDefault="005F151A" w:rsidP="00A05C04">
            <w:pPr>
              <w:snapToGrid w:val="0"/>
              <w:spacing w:after="120"/>
              <w:rPr>
                <w:rFonts w:cstheme="minorBidi"/>
              </w:rPr>
            </w:pPr>
            <w:r>
              <w:rPr>
                <w:rFonts w:cstheme="minorBidi"/>
              </w:rPr>
              <w:t>TDAG</w:t>
            </w:r>
            <w:r w:rsidR="00956F85" w:rsidRPr="05CAE38D">
              <w:rPr>
                <w:rFonts w:cstheme="minorBidi"/>
              </w:rPr>
              <w:t xml:space="preserve"> </w:t>
            </w:r>
            <w:r>
              <w:rPr>
                <w:rFonts w:cstheme="minorBidi"/>
              </w:rPr>
              <w:t xml:space="preserve">is requested to </w:t>
            </w:r>
            <w:r w:rsidR="00F52402">
              <w:rPr>
                <w:rFonts w:cstheme="minorBidi"/>
              </w:rPr>
              <w:t xml:space="preserve">note this document and </w:t>
            </w:r>
            <w:r>
              <w:rPr>
                <w:rFonts w:cstheme="minorBidi"/>
              </w:rPr>
              <w:t>provide advice</w:t>
            </w:r>
            <w:r w:rsidR="002443E1">
              <w:rPr>
                <w:rFonts w:cstheme="minorBidi"/>
              </w:rPr>
              <w:t xml:space="preserve"> </w:t>
            </w:r>
            <w:r w:rsidR="00F52402">
              <w:rPr>
                <w:rFonts w:cstheme="minorBidi"/>
              </w:rPr>
              <w:t>as deemed necessary</w:t>
            </w:r>
            <w:r>
              <w:rPr>
                <w:rFonts w:cstheme="minorBidi"/>
              </w:rPr>
              <w:t>, in particular</w:t>
            </w:r>
            <w:r w:rsidR="002443E1">
              <w:rPr>
                <w:rFonts w:cstheme="minorBidi"/>
              </w:rPr>
              <w:t>,</w:t>
            </w:r>
            <w:r>
              <w:rPr>
                <w:rFonts w:cstheme="minorBidi"/>
              </w:rPr>
              <w:t xml:space="preserve"> the </w:t>
            </w:r>
            <w:r w:rsidRPr="005F151A">
              <w:rPr>
                <w:rFonts w:cstheme="minorBidi"/>
              </w:rPr>
              <w:t xml:space="preserve">request </w:t>
            </w:r>
            <w:r w:rsidR="002443E1">
              <w:rPr>
                <w:rFonts w:cstheme="minorBidi"/>
              </w:rPr>
              <w:t xml:space="preserve">by </w:t>
            </w:r>
            <w:r>
              <w:rPr>
                <w:rFonts w:cstheme="minorBidi"/>
              </w:rPr>
              <w:t xml:space="preserve">BDT to Council </w:t>
            </w:r>
            <w:r w:rsidR="002443E1">
              <w:rPr>
                <w:rFonts w:cstheme="minorBidi"/>
              </w:rPr>
              <w:t>with</w:t>
            </w:r>
            <w:r>
              <w:rPr>
                <w:rFonts w:cstheme="minorBidi"/>
              </w:rPr>
              <w:t xml:space="preserve">in the 2024-2027 budget process, for </w:t>
            </w:r>
            <w:r w:rsidR="00956F85" w:rsidRPr="05CAE38D">
              <w:rPr>
                <w:rFonts w:cstheme="minorBidi"/>
              </w:rPr>
              <w:t xml:space="preserve">additional resources </w:t>
            </w:r>
            <w:r>
              <w:rPr>
                <w:rFonts w:cstheme="minorBidi"/>
              </w:rPr>
              <w:t xml:space="preserve">to be allocated </w:t>
            </w:r>
            <w:r w:rsidR="00956F85" w:rsidRPr="05CAE38D">
              <w:rPr>
                <w:rFonts w:cstheme="minorBidi"/>
              </w:rPr>
              <w:t>for the implementation of the RIs adopted by WTDC-22</w:t>
            </w:r>
            <w:r w:rsidR="002443E1">
              <w:rPr>
                <w:rFonts w:cstheme="minorBidi"/>
              </w:rPr>
              <w:t xml:space="preserve"> as was the case in 2018</w:t>
            </w:r>
            <w:r w:rsidR="00956F85" w:rsidRPr="05CAE38D">
              <w:rPr>
                <w:rFonts w:cstheme="minorBidi"/>
              </w:rPr>
              <w:t>.</w:t>
            </w:r>
          </w:p>
          <w:p w14:paraId="69D5050C" w14:textId="77777777" w:rsidR="00956F85" w:rsidRPr="00D20216" w:rsidRDefault="00956F85" w:rsidP="00A05C04">
            <w:pPr>
              <w:pStyle w:val="Headingb"/>
              <w:spacing w:before="120" w:after="120"/>
              <w:rPr>
                <w:szCs w:val="24"/>
              </w:rPr>
            </w:pPr>
            <w:r w:rsidRPr="00D20216">
              <w:rPr>
                <w:szCs w:val="24"/>
              </w:rPr>
              <w:t>References</w:t>
            </w:r>
          </w:p>
          <w:p w14:paraId="1ECDD20E" w14:textId="0E445474" w:rsidR="00A721F4" w:rsidRPr="00D9621A" w:rsidRDefault="00D1513D" w:rsidP="00A05C04">
            <w:pPr>
              <w:spacing w:after="120"/>
            </w:pPr>
            <w:proofErr w:type="gramStart"/>
            <w:r>
              <w:rPr>
                <w:szCs w:val="24"/>
                <w:lang w:val="fr-CH"/>
              </w:rPr>
              <w:t>n</w:t>
            </w:r>
            <w:proofErr w:type="gramEnd"/>
            <w:r>
              <w:rPr>
                <w:szCs w:val="24"/>
                <w:lang w:val="fr-CH"/>
              </w:rPr>
              <w:t>/a</w:t>
            </w:r>
          </w:p>
        </w:tc>
      </w:tr>
    </w:tbl>
    <w:p w14:paraId="77CF718B" w14:textId="77777777" w:rsidR="00AC6F14" w:rsidRDefault="00AC6F14" w:rsidP="00EA0C51">
      <w:pPr>
        <w:spacing w:after="120"/>
      </w:pPr>
    </w:p>
    <w:p w14:paraId="72F5CF96" w14:textId="77777777" w:rsidR="00923CF1" w:rsidRDefault="00923CF1" w:rsidP="00935FF0"/>
    <w:p w14:paraId="5B29B2A3" w14:textId="77777777" w:rsidR="00923CF1" w:rsidRDefault="00923CF1">
      <w:pPr>
        <w:tabs>
          <w:tab w:val="clear" w:pos="794"/>
          <w:tab w:val="clear" w:pos="1191"/>
          <w:tab w:val="clear" w:pos="1588"/>
          <w:tab w:val="clear" w:pos="1985"/>
        </w:tabs>
        <w:overflowPunct/>
        <w:autoSpaceDE/>
        <w:autoSpaceDN/>
        <w:adjustRightInd/>
        <w:spacing w:before="0"/>
        <w:textAlignment w:val="auto"/>
      </w:pPr>
      <w:r>
        <w:br w:type="page"/>
      </w:r>
    </w:p>
    <w:p w14:paraId="574F794D" w14:textId="77777777" w:rsidR="00956F85" w:rsidRPr="00956F85" w:rsidRDefault="00956F85" w:rsidP="0001179F">
      <w:pPr>
        <w:pStyle w:val="ListParagraph"/>
        <w:keepNext/>
        <w:numPr>
          <w:ilvl w:val="0"/>
          <w:numId w:val="2"/>
        </w:numPr>
        <w:tabs>
          <w:tab w:val="clear" w:pos="1134"/>
          <w:tab w:val="clear" w:pos="1871"/>
          <w:tab w:val="clear" w:pos="2268"/>
        </w:tabs>
        <w:overflowPunct/>
        <w:autoSpaceDE/>
        <w:autoSpaceDN/>
        <w:adjustRightInd/>
        <w:spacing w:after="120"/>
        <w:ind w:left="357" w:hanging="357"/>
        <w:contextualSpacing w:val="0"/>
        <w:textAlignment w:val="auto"/>
        <w:rPr>
          <w:b/>
          <w:bCs/>
          <w:szCs w:val="24"/>
          <w:lang w:val="en-US"/>
        </w:rPr>
      </w:pPr>
      <w:r w:rsidRPr="00956F85">
        <w:rPr>
          <w:b/>
          <w:bCs/>
          <w:szCs w:val="24"/>
          <w:lang w:val="en-US"/>
        </w:rPr>
        <w:lastRenderedPageBreak/>
        <w:t>Introduction</w:t>
      </w:r>
    </w:p>
    <w:p w14:paraId="1EED6541" w14:textId="56595DD7" w:rsidR="00956F85" w:rsidRPr="00956F85" w:rsidRDefault="00956F85" w:rsidP="0001179F">
      <w:pPr>
        <w:spacing w:after="120"/>
        <w:rPr>
          <w:szCs w:val="24"/>
          <w:lang w:val="en-US"/>
        </w:rPr>
      </w:pPr>
      <w:r w:rsidRPr="00956F85">
        <w:rPr>
          <w:szCs w:val="24"/>
          <w:lang w:val="en-US"/>
        </w:rPr>
        <w:t>The World Telecommunication Development Conference (WTDC-22), held in Kigali, Rwanda</w:t>
      </w:r>
      <w:r w:rsidR="002E42BC">
        <w:rPr>
          <w:szCs w:val="24"/>
          <w:lang w:val="en-US"/>
        </w:rPr>
        <w:t>, from</w:t>
      </w:r>
      <w:r w:rsidRPr="00956F85">
        <w:rPr>
          <w:szCs w:val="24"/>
          <w:lang w:val="en-US"/>
        </w:rPr>
        <w:t xml:space="preserve"> 6 to 16 June 2022, adopted the Kigali Action Plan, including 28 RIs (distributed across ITU-D’s six regions).  Based on the experience during the previous implementation cycle of RIs (2018 to 2022), it was evident that medium</w:t>
      </w:r>
      <w:r w:rsidRPr="00956F85">
        <w:rPr>
          <w:rStyle w:val="FootnoteReference"/>
          <w:sz w:val="24"/>
          <w:szCs w:val="24"/>
          <w:lang w:val="en-US"/>
        </w:rPr>
        <w:footnoteReference w:id="2"/>
      </w:r>
      <w:r w:rsidRPr="00956F85">
        <w:rPr>
          <w:szCs w:val="24"/>
          <w:lang w:val="en-US"/>
        </w:rPr>
        <w:t xml:space="preserve"> to large-scale</w:t>
      </w:r>
      <w:r w:rsidRPr="00956F85">
        <w:rPr>
          <w:rStyle w:val="FootnoteReference"/>
          <w:sz w:val="24"/>
          <w:szCs w:val="24"/>
          <w:lang w:val="en-US"/>
        </w:rPr>
        <w:footnoteReference w:id="3"/>
      </w:r>
      <w:r w:rsidRPr="00956F85">
        <w:rPr>
          <w:szCs w:val="24"/>
          <w:lang w:val="en-US"/>
        </w:rPr>
        <w:t xml:space="preserve"> projects have high impact at national and regional levels.  </w:t>
      </w:r>
    </w:p>
    <w:p w14:paraId="14521FC5" w14:textId="77777777" w:rsidR="00956F85" w:rsidRPr="00956F85" w:rsidRDefault="00956F85" w:rsidP="0001179F">
      <w:pPr>
        <w:spacing w:after="120"/>
        <w:rPr>
          <w:szCs w:val="24"/>
          <w:lang w:val="en-US"/>
        </w:rPr>
      </w:pPr>
      <w:r w:rsidRPr="00956F85">
        <w:rPr>
          <w:szCs w:val="24"/>
          <w:lang w:val="en-US"/>
        </w:rPr>
        <w:t>During the period 2014-2018</w:t>
      </w:r>
      <w:r w:rsidRPr="00956F85">
        <w:rPr>
          <w:rStyle w:val="FootnoteReference"/>
          <w:sz w:val="24"/>
          <w:szCs w:val="24"/>
          <w:lang w:val="en-US"/>
        </w:rPr>
        <w:footnoteReference w:id="4"/>
      </w:r>
      <w:r w:rsidRPr="00956F85">
        <w:rPr>
          <w:szCs w:val="24"/>
          <w:lang w:val="en-US"/>
        </w:rPr>
        <w:t xml:space="preserve">, ITU signed 87 projects with a value of CHF 25.7 million and allocated CHF 3.4 million in cash contribution to these projects (including contributions from the ICT Development Fund (ICTDF) for a value of CHF 1.2 million). However, </w:t>
      </w:r>
      <w:proofErr w:type="gramStart"/>
      <w:r w:rsidRPr="00956F85">
        <w:rPr>
          <w:szCs w:val="24"/>
          <w:lang w:val="en-US"/>
        </w:rPr>
        <w:t>the majority of</w:t>
      </w:r>
      <w:proofErr w:type="gramEnd"/>
      <w:r w:rsidRPr="00956F85">
        <w:rPr>
          <w:szCs w:val="24"/>
          <w:lang w:val="en-US"/>
        </w:rPr>
        <w:t xml:space="preserve"> the projects remained small- and medium-sized due to a lack of meaningful funding that could support large-scale projects. </w:t>
      </w:r>
    </w:p>
    <w:p w14:paraId="2D99820A" w14:textId="77777777" w:rsidR="00956F85" w:rsidRPr="00956F85" w:rsidRDefault="00956F85" w:rsidP="0001179F">
      <w:pPr>
        <w:spacing w:after="120"/>
        <w:rPr>
          <w:szCs w:val="24"/>
          <w:lang w:val="en-US"/>
        </w:rPr>
      </w:pPr>
      <w:r w:rsidRPr="00956F85">
        <w:rPr>
          <w:szCs w:val="24"/>
          <w:lang w:val="en-US"/>
        </w:rPr>
        <w:t>At the 2018 session of ITU Council, in recognition of this issue, the Council approved a total allocation of CHF 5 million to be used as seed funding for ITU projects, which would in turn attract larger funding from donors and partners, thereby improving the size and impact of those projects.</w:t>
      </w:r>
    </w:p>
    <w:p w14:paraId="751E7952" w14:textId="53B2AA0B" w:rsidR="00956F85" w:rsidRDefault="00956F85" w:rsidP="0001179F">
      <w:pPr>
        <w:spacing w:after="120"/>
        <w:rPr>
          <w:szCs w:val="24"/>
          <w:lang w:val="en-US"/>
        </w:rPr>
      </w:pPr>
      <w:r w:rsidRPr="00956F85">
        <w:rPr>
          <w:szCs w:val="24"/>
          <w:lang w:val="en-US"/>
        </w:rPr>
        <w:t>During the period 2019 to 2022, ITU signed 97 projects with a value of CHF 58.9 million and allocated CHF 9.4 million in cash contribution to these projects (including contributions from the ICT-DF for a value of CHF 3.3 million). This represented a significant increase in the funding mobilized by BDT in projects, when compared to the previous period. It should be noted that</w:t>
      </w:r>
      <w:r w:rsidRPr="00956F85" w:rsidDel="00A00799">
        <w:rPr>
          <w:szCs w:val="24"/>
          <w:lang w:val="en-US"/>
        </w:rPr>
        <w:t xml:space="preserve"> </w:t>
      </w:r>
      <w:r w:rsidRPr="00956F85">
        <w:rPr>
          <w:szCs w:val="24"/>
          <w:lang w:val="en-US"/>
        </w:rPr>
        <w:t>60 of these projects (61 % of total projects) benefitted from the Council allocated RIs funding.</w:t>
      </w:r>
    </w:p>
    <w:p w14:paraId="09D36124" w14:textId="53EABE55" w:rsidR="008118FB" w:rsidRPr="00956F85" w:rsidRDefault="008118FB" w:rsidP="0001179F">
      <w:pPr>
        <w:spacing w:after="120"/>
        <w:rPr>
          <w:szCs w:val="24"/>
          <w:lang w:val="en-US"/>
        </w:rPr>
      </w:pPr>
      <w:r>
        <w:rPr>
          <w:szCs w:val="24"/>
          <w:lang w:val="en-US"/>
        </w:rPr>
        <w:t xml:space="preserve">Detailed information on the implementation of WTDC-17 </w:t>
      </w:r>
      <w:r w:rsidR="00D73F7B">
        <w:rPr>
          <w:szCs w:val="24"/>
          <w:lang w:val="en-US"/>
        </w:rPr>
        <w:t>RI</w:t>
      </w:r>
      <w:r w:rsidR="00107166">
        <w:rPr>
          <w:szCs w:val="24"/>
          <w:lang w:val="en-US"/>
        </w:rPr>
        <w:t>s</w:t>
      </w:r>
      <w:r>
        <w:rPr>
          <w:szCs w:val="24"/>
          <w:lang w:val="en-US"/>
        </w:rPr>
        <w:t xml:space="preserve"> co-financed by </w:t>
      </w:r>
      <w:r w:rsidR="0083346C">
        <w:rPr>
          <w:szCs w:val="24"/>
          <w:lang w:val="en-US"/>
        </w:rPr>
        <w:t xml:space="preserve">Council 2018 allocated CHF 5 million and resources arising from our resource mobilization effort is available in Annex </w:t>
      </w:r>
      <w:r w:rsidR="00D73F7B">
        <w:rPr>
          <w:szCs w:val="24"/>
          <w:lang w:val="en-US"/>
        </w:rPr>
        <w:t>1</w:t>
      </w:r>
      <w:r w:rsidR="0083346C">
        <w:rPr>
          <w:szCs w:val="24"/>
          <w:lang w:val="en-US"/>
        </w:rPr>
        <w:t xml:space="preserve"> to this document.</w:t>
      </w:r>
    </w:p>
    <w:p w14:paraId="2D2127C4" w14:textId="77777777" w:rsidR="00956F85" w:rsidRPr="00956F85" w:rsidRDefault="00956F85" w:rsidP="0001179F">
      <w:pPr>
        <w:pStyle w:val="ListParagraph"/>
        <w:keepNext/>
        <w:numPr>
          <w:ilvl w:val="0"/>
          <w:numId w:val="2"/>
        </w:numPr>
        <w:tabs>
          <w:tab w:val="clear" w:pos="1134"/>
          <w:tab w:val="clear" w:pos="1871"/>
          <w:tab w:val="clear" w:pos="2268"/>
        </w:tabs>
        <w:overflowPunct/>
        <w:autoSpaceDE/>
        <w:autoSpaceDN/>
        <w:adjustRightInd/>
        <w:spacing w:after="120"/>
        <w:ind w:left="357" w:hanging="357"/>
        <w:contextualSpacing w:val="0"/>
        <w:textAlignment w:val="auto"/>
        <w:rPr>
          <w:b/>
          <w:bCs/>
          <w:szCs w:val="24"/>
          <w:lang w:val="en-US"/>
        </w:rPr>
      </w:pPr>
      <w:r w:rsidRPr="00956F85">
        <w:rPr>
          <w:b/>
          <w:bCs/>
          <w:szCs w:val="24"/>
          <w:lang w:val="en-US"/>
        </w:rPr>
        <w:t>Overview of the regional initiatives</w:t>
      </w:r>
    </w:p>
    <w:p w14:paraId="6BFF501C" w14:textId="7747F999" w:rsidR="00956F85" w:rsidRPr="00956F85" w:rsidRDefault="00956F85" w:rsidP="0001179F">
      <w:pPr>
        <w:spacing w:after="120"/>
        <w:rPr>
          <w:szCs w:val="24"/>
          <w:lang w:val="en-US"/>
        </w:rPr>
      </w:pPr>
      <w:r w:rsidRPr="00956F85">
        <w:rPr>
          <w:szCs w:val="24"/>
          <w:lang w:val="en-US"/>
        </w:rPr>
        <w:t xml:space="preserve">WTDC-22 approved RIs across ITU’s strategic objectives, creating synergies across regions which will be leveraged in implementing the RIs. The RIs are listed in Annex </w:t>
      </w:r>
      <w:r w:rsidR="009F0391">
        <w:rPr>
          <w:szCs w:val="24"/>
          <w:lang w:val="en-US"/>
        </w:rPr>
        <w:t>2</w:t>
      </w:r>
      <w:r w:rsidRPr="00956F85">
        <w:rPr>
          <w:szCs w:val="24"/>
          <w:lang w:val="en-US"/>
        </w:rPr>
        <w:t>.</w:t>
      </w:r>
    </w:p>
    <w:p w14:paraId="3CB12E12" w14:textId="77777777" w:rsidR="00956F85" w:rsidRPr="00956F85" w:rsidRDefault="00956F85" w:rsidP="0001179F">
      <w:pPr>
        <w:pStyle w:val="ListParagraph"/>
        <w:keepNext/>
        <w:numPr>
          <w:ilvl w:val="0"/>
          <w:numId w:val="2"/>
        </w:numPr>
        <w:tabs>
          <w:tab w:val="clear" w:pos="1134"/>
          <w:tab w:val="clear" w:pos="1871"/>
          <w:tab w:val="clear" w:pos="2268"/>
        </w:tabs>
        <w:overflowPunct/>
        <w:autoSpaceDE/>
        <w:autoSpaceDN/>
        <w:adjustRightInd/>
        <w:spacing w:after="120"/>
        <w:ind w:left="357" w:hanging="357"/>
        <w:contextualSpacing w:val="0"/>
        <w:textAlignment w:val="auto"/>
        <w:rPr>
          <w:b/>
          <w:bCs/>
          <w:szCs w:val="24"/>
          <w:lang w:val="en-US"/>
        </w:rPr>
      </w:pPr>
      <w:r w:rsidRPr="00956F85">
        <w:rPr>
          <w:b/>
          <w:bCs/>
          <w:szCs w:val="24"/>
          <w:lang w:val="en-US"/>
        </w:rPr>
        <w:t>Proposals</w:t>
      </w:r>
    </w:p>
    <w:p w14:paraId="74413197" w14:textId="77777777" w:rsidR="00956F85" w:rsidRPr="00956F85" w:rsidRDefault="00956F85" w:rsidP="0001179F">
      <w:pPr>
        <w:spacing w:after="120"/>
        <w:rPr>
          <w:szCs w:val="24"/>
          <w:lang w:val="en-US"/>
        </w:rPr>
      </w:pPr>
      <w:r w:rsidRPr="00956F85">
        <w:rPr>
          <w:szCs w:val="24"/>
          <w:lang w:val="en-US"/>
        </w:rPr>
        <w:t xml:space="preserve">The implementation of these RIs has already commenced in 2023 as coherence was established among the Operational Planning process, projects planning, and Regional Initiatives implementation based on Results Based Management that focuses on Outcomes rather than fragmented actions. However, effective implementation of these RIs will be limited if dedicated funds are not allocated. Further, successful resource mobilization without seed money will also be compromised. </w:t>
      </w:r>
    </w:p>
    <w:p w14:paraId="041871E2" w14:textId="083242F6" w:rsidR="00956F85" w:rsidRPr="00956F85" w:rsidRDefault="00956F85" w:rsidP="0001179F">
      <w:pPr>
        <w:keepNext/>
        <w:spacing w:after="120"/>
        <w:rPr>
          <w:szCs w:val="24"/>
          <w:lang w:val="en-US"/>
        </w:rPr>
      </w:pPr>
      <w:r w:rsidRPr="00956F85">
        <w:rPr>
          <w:szCs w:val="24"/>
          <w:lang w:val="en-US"/>
        </w:rPr>
        <w:t xml:space="preserve">Based on the previous experience, it is proposed </w:t>
      </w:r>
      <w:r w:rsidR="005F151A">
        <w:rPr>
          <w:szCs w:val="24"/>
          <w:lang w:val="en-US"/>
        </w:rPr>
        <w:t xml:space="preserve">that BDT request </w:t>
      </w:r>
      <w:r w:rsidRPr="00956F85">
        <w:rPr>
          <w:szCs w:val="24"/>
          <w:lang w:val="en-US"/>
        </w:rPr>
        <w:t xml:space="preserve">that </w:t>
      </w:r>
      <w:r w:rsidR="005F151A">
        <w:rPr>
          <w:szCs w:val="24"/>
          <w:lang w:val="en-US"/>
        </w:rPr>
        <w:t xml:space="preserve">Council, </w:t>
      </w:r>
      <w:r w:rsidRPr="00956F85">
        <w:rPr>
          <w:szCs w:val="24"/>
          <w:lang w:val="en-US"/>
        </w:rPr>
        <w:t>to enable more comprehensive implementation</w:t>
      </w:r>
      <w:r w:rsidR="005F151A">
        <w:rPr>
          <w:szCs w:val="24"/>
          <w:lang w:val="en-US"/>
        </w:rPr>
        <w:t xml:space="preserve"> allocates</w:t>
      </w:r>
      <w:r w:rsidRPr="00956F85">
        <w:rPr>
          <w:szCs w:val="24"/>
          <w:lang w:val="en-US"/>
        </w:rPr>
        <w:t xml:space="preserve"> at least the same amount as was allocated in the previous cycle, for the current cycle. It should however be noted that based on our experience during the cycle 2018 – 2022, external partners tend to commit an average of 50% of the ITU contribution for each project. This effectively means, the higher the allocated amount to each of </w:t>
      </w:r>
      <w:r w:rsidRPr="00956F85">
        <w:rPr>
          <w:szCs w:val="24"/>
          <w:lang w:val="en-US"/>
        </w:rPr>
        <w:lastRenderedPageBreak/>
        <w:t xml:space="preserve">the RI, the more likely it is for external partners to commit more funds towards projects related to the RIs. </w:t>
      </w:r>
    </w:p>
    <w:tbl>
      <w:tblPr>
        <w:tblW w:w="9771" w:type="dxa"/>
        <w:tblCellMar>
          <w:left w:w="0" w:type="dxa"/>
          <w:right w:w="0" w:type="dxa"/>
        </w:tblCellMar>
        <w:tblLook w:val="04A0" w:firstRow="1" w:lastRow="0" w:firstColumn="1" w:lastColumn="0" w:noHBand="0" w:noVBand="1"/>
      </w:tblPr>
      <w:tblGrid>
        <w:gridCol w:w="338"/>
        <w:gridCol w:w="3196"/>
        <w:gridCol w:w="2268"/>
        <w:gridCol w:w="1843"/>
        <w:gridCol w:w="2126"/>
      </w:tblGrid>
      <w:tr w:rsidR="00956F85" w:rsidRPr="00956F85" w14:paraId="11A50F2A" w14:textId="77777777">
        <w:trPr>
          <w:tblHeader/>
        </w:trPr>
        <w:tc>
          <w:tcPr>
            <w:tcW w:w="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D5A0AD" w14:textId="77777777" w:rsidR="00956F85" w:rsidRPr="00956F85" w:rsidRDefault="00956F85">
            <w:pPr>
              <w:keepNext/>
              <w:spacing w:after="120"/>
              <w:jc w:val="center"/>
              <w:rPr>
                <w:b/>
                <w:bCs/>
                <w:szCs w:val="24"/>
                <w:lang w:val="en-US" w:eastAsia="zh-CN"/>
              </w:rPr>
            </w:pPr>
          </w:p>
        </w:tc>
        <w:tc>
          <w:tcPr>
            <w:tcW w:w="31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81E1D0" w14:textId="77777777" w:rsidR="00956F85" w:rsidRPr="00956F85" w:rsidRDefault="00956F85">
            <w:pPr>
              <w:keepNext/>
              <w:spacing w:after="120"/>
              <w:rPr>
                <w:b/>
                <w:bCs/>
                <w:szCs w:val="24"/>
              </w:rPr>
            </w:pPr>
            <w:r w:rsidRPr="00956F85">
              <w:rPr>
                <w:b/>
                <w:bCs/>
                <w:szCs w:val="24"/>
              </w:rPr>
              <w:t>Options for partial implementation</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C0E803" w14:textId="77777777" w:rsidR="00956F85" w:rsidRPr="00956F85" w:rsidRDefault="00956F85">
            <w:pPr>
              <w:keepNext/>
              <w:spacing w:after="120"/>
              <w:jc w:val="center"/>
              <w:rPr>
                <w:b/>
                <w:bCs/>
                <w:szCs w:val="24"/>
              </w:rPr>
            </w:pPr>
            <w:r w:rsidRPr="00956F85">
              <w:rPr>
                <w:b/>
                <w:bCs/>
                <w:szCs w:val="24"/>
              </w:rPr>
              <w:t>2024-2025</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91BA3E" w14:textId="77777777" w:rsidR="00956F85" w:rsidRPr="00956F85" w:rsidRDefault="00956F85">
            <w:pPr>
              <w:keepNext/>
              <w:spacing w:after="120"/>
              <w:jc w:val="center"/>
              <w:rPr>
                <w:b/>
                <w:bCs/>
                <w:szCs w:val="24"/>
              </w:rPr>
            </w:pPr>
            <w:r w:rsidRPr="00956F85">
              <w:rPr>
                <w:b/>
                <w:bCs/>
                <w:szCs w:val="24"/>
              </w:rPr>
              <w:t>2026-2027</w:t>
            </w:r>
          </w:p>
        </w:tc>
        <w:tc>
          <w:tcPr>
            <w:tcW w:w="2126" w:type="dxa"/>
            <w:tcBorders>
              <w:top w:val="single" w:sz="8" w:space="0" w:color="auto"/>
              <w:left w:val="nil"/>
              <w:bottom w:val="single" w:sz="8" w:space="0" w:color="auto"/>
              <w:right w:val="single" w:sz="8" w:space="0" w:color="auto"/>
            </w:tcBorders>
          </w:tcPr>
          <w:p w14:paraId="2FA2BFCE" w14:textId="77777777" w:rsidR="00956F85" w:rsidRPr="00956F85" w:rsidRDefault="00956F85">
            <w:pPr>
              <w:keepNext/>
              <w:spacing w:after="120"/>
              <w:jc w:val="center"/>
              <w:rPr>
                <w:b/>
                <w:bCs/>
                <w:szCs w:val="24"/>
              </w:rPr>
            </w:pPr>
            <w:r w:rsidRPr="00956F85">
              <w:rPr>
                <w:b/>
                <w:bCs/>
                <w:szCs w:val="24"/>
              </w:rPr>
              <w:t>TOTAL 2024-2027</w:t>
            </w:r>
          </w:p>
        </w:tc>
      </w:tr>
      <w:tr w:rsidR="00956F85" w:rsidRPr="00956F85" w14:paraId="7DC6F258" w14:textId="77777777">
        <w:tc>
          <w:tcPr>
            <w:tcW w:w="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43831F" w14:textId="77777777" w:rsidR="00956F85" w:rsidRPr="00956F85" w:rsidRDefault="00956F85">
            <w:pPr>
              <w:spacing w:before="60" w:after="60"/>
              <w:rPr>
                <w:szCs w:val="24"/>
              </w:rPr>
            </w:pPr>
            <w:r w:rsidRPr="00956F85">
              <w:rPr>
                <w:szCs w:val="24"/>
              </w:rPr>
              <w:t>1</w:t>
            </w:r>
          </w:p>
        </w:tc>
        <w:tc>
          <w:tcPr>
            <w:tcW w:w="31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ECF7" w14:textId="77777777" w:rsidR="00956F85" w:rsidRPr="00956F85" w:rsidRDefault="00956F85">
            <w:pPr>
              <w:spacing w:before="60" w:after="60"/>
              <w:rPr>
                <w:szCs w:val="24"/>
              </w:rPr>
            </w:pPr>
            <w:r w:rsidRPr="00956F85">
              <w:rPr>
                <w:szCs w:val="24"/>
              </w:rPr>
              <w:t>Allocation of KCHF 100 for 2024-2025 and KCHF</w:t>
            </w:r>
            <w:r w:rsidRPr="00956F85">
              <w:rPr>
                <w:szCs w:val="24"/>
                <w:lang w:val="en-US"/>
              </w:rPr>
              <w:t> </w:t>
            </w:r>
            <w:r w:rsidRPr="00956F85">
              <w:rPr>
                <w:szCs w:val="24"/>
              </w:rPr>
              <w:t>200 for 2026-2027</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D49C1D" w14:textId="77777777" w:rsidR="00956F85" w:rsidRPr="00956F85" w:rsidRDefault="00956F85">
            <w:pPr>
              <w:spacing w:before="60" w:after="60"/>
              <w:jc w:val="center"/>
              <w:rPr>
                <w:szCs w:val="24"/>
              </w:rPr>
            </w:pPr>
            <w:r w:rsidRPr="00956F85">
              <w:rPr>
                <w:szCs w:val="24"/>
              </w:rPr>
              <w:t>Maximum of CHF 2.8 million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760351" w14:textId="77777777" w:rsidR="00956F85" w:rsidRPr="00956F85" w:rsidRDefault="00956F85">
            <w:pPr>
              <w:spacing w:before="60" w:after="60"/>
              <w:jc w:val="center"/>
              <w:rPr>
                <w:szCs w:val="24"/>
              </w:rPr>
            </w:pPr>
            <w:r w:rsidRPr="00956F85">
              <w:rPr>
                <w:szCs w:val="24"/>
              </w:rPr>
              <w:t>CHF 5.6 million</w:t>
            </w:r>
          </w:p>
        </w:tc>
        <w:tc>
          <w:tcPr>
            <w:tcW w:w="2126" w:type="dxa"/>
            <w:tcBorders>
              <w:top w:val="single" w:sz="8" w:space="0" w:color="auto"/>
              <w:left w:val="nil"/>
              <w:bottom w:val="single" w:sz="8" w:space="0" w:color="auto"/>
              <w:right w:val="single" w:sz="8" w:space="0" w:color="auto"/>
            </w:tcBorders>
          </w:tcPr>
          <w:p w14:paraId="7569FAC9" w14:textId="77777777" w:rsidR="00956F85" w:rsidRPr="00956F85" w:rsidRDefault="00956F85">
            <w:pPr>
              <w:spacing w:before="60" w:after="60"/>
              <w:jc w:val="center"/>
              <w:rPr>
                <w:b/>
                <w:bCs/>
                <w:szCs w:val="24"/>
              </w:rPr>
            </w:pPr>
            <w:r w:rsidRPr="00956F85">
              <w:rPr>
                <w:b/>
                <w:bCs/>
                <w:szCs w:val="24"/>
              </w:rPr>
              <w:t>CHF 8.4 million</w:t>
            </w:r>
          </w:p>
        </w:tc>
      </w:tr>
      <w:tr w:rsidR="00956F85" w:rsidRPr="00956F85" w14:paraId="24808650" w14:textId="77777777">
        <w:trPr>
          <w:trHeight w:val="969"/>
        </w:trPr>
        <w:tc>
          <w:tcPr>
            <w:tcW w:w="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4C0797" w14:textId="77777777" w:rsidR="00956F85" w:rsidRPr="00956F85" w:rsidRDefault="00956F85">
            <w:pPr>
              <w:spacing w:before="60" w:after="60"/>
              <w:rPr>
                <w:szCs w:val="24"/>
              </w:rPr>
            </w:pPr>
            <w:r w:rsidRPr="00956F85">
              <w:rPr>
                <w:szCs w:val="24"/>
              </w:rPr>
              <w:t>2</w:t>
            </w:r>
          </w:p>
        </w:tc>
        <w:tc>
          <w:tcPr>
            <w:tcW w:w="31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CBFBCF" w14:textId="77777777" w:rsidR="00956F85" w:rsidRPr="00956F85" w:rsidRDefault="00956F85">
            <w:pPr>
              <w:spacing w:before="60" w:after="60"/>
              <w:rPr>
                <w:szCs w:val="24"/>
              </w:rPr>
            </w:pPr>
            <w:r w:rsidRPr="00956F85">
              <w:rPr>
                <w:szCs w:val="24"/>
              </w:rPr>
              <w:t>Allocation of KCHF 100 to each RI for 2024-2025 and KCHF 100 for 2026-2027</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87E068" w14:textId="77777777" w:rsidR="00956F85" w:rsidRPr="00956F85" w:rsidRDefault="00956F85">
            <w:pPr>
              <w:spacing w:before="60" w:after="60"/>
              <w:jc w:val="center"/>
              <w:rPr>
                <w:szCs w:val="24"/>
              </w:rPr>
            </w:pPr>
            <w:r w:rsidRPr="00956F85">
              <w:rPr>
                <w:szCs w:val="24"/>
              </w:rPr>
              <w:t>Maximum of CHF 2.8 million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B8D610" w14:textId="77777777" w:rsidR="00956F85" w:rsidRPr="00956F85" w:rsidRDefault="00956F85">
            <w:pPr>
              <w:spacing w:before="60" w:after="60"/>
              <w:jc w:val="center"/>
              <w:rPr>
                <w:szCs w:val="24"/>
              </w:rPr>
            </w:pPr>
            <w:r w:rsidRPr="00956F85">
              <w:rPr>
                <w:szCs w:val="24"/>
              </w:rPr>
              <w:t>CHF 2.8 million</w:t>
            </w:r>
          </w:p>
        </w:tc>
        <w:tc>
          <w:tcPr>
            <w:tcW w:w="2126" w:type="dxa"/>
            <w:tcBorders>
              <w:top w:val="single" w:sz="8" w:space="0" w:color="auto"/>
              <w:left w:val="nil"/>
              <w:bottom w:val="single" w:sz="8" w:space="0" w:color="auto"/>
              <w:right w:val="single" w:sz="8" w:space="0" w:color="auto"/>
            </w:tcBorders>
          </w:tcPr>
          <w:p w14:paraId="23F90D50" w14:textId="77777777" w:rsidR="00956F85" w:rsidRPr="00956F85" w:rsidRDefault="00956F85">
            <w:pPr>
              <w:spacing w:before="60" w:after="60"/>
              <w:jc w:val="center"/>
              <w:rPr>
                <w:b/>
                <w:bCs/>
                <w:szCs w:val="24"/>
              </w:rPr>
            </w:pPr>
            <w:r w:rsidRPr="00956F85">
              <w:rPr>
                <w:b/>
                <w:bCs/>
                <w:szCs w:val="24"/>
              </w:rPr>
              <w:t>CHF 5.6 million</w:t>
            </w:r>
          </w:p>
        </w:tc>
      </w:tr>
    </w:tbl>
    <w:p w14:paraId="71AD7324" w14:textId="77777777" w:rsidR="00956F85" w:rsidRPr="00956F85" w:rsidRDefault="00956F85" w:rsidP="0001179F">
      <w:pPr>
        <w:keepNext/>
        <w:overflowPunct/>
        <w:autoSpaceDE/>
        <w:autoSpaceDN/>
        <w:adjustRightInd/>
        <w:spacing w:after="120"/>
        <w:ind w:left="567" w:hanging="567"/>
        <w:textAlignment w:val="auto"/>
        <w:rPr>
          <w:rFonts w:cstheme="minorHAnsi"/>
          <w:b/>
          <w:bCs/>
          <w:szCs w:val="24"/>
        </w:rPr>
      </w:pPr>
      <w:r w:rsidRPr="00956F85">
        <w:rPr>
          <w:rFonts w:cstheme="minorHAnsi"/>
          <w:b/>
          <w:bCs/>
          <w:szCs w:val="24"/>
        </w:rPr>
        <w:t>Explanatory note on the options for partial implementation</w:t>
      </w:r>
    </w:p>
    <w:p w14:paraId="2627223E" w14:textId="77777777" w:rsidR="00956F85" w:rsidRPr="00956F85" w:rsidRDefault="00956F85" w:rsidP="00F42438">
      <w:pPr>
        <w:overflowPunct/>
        <w:autoSpaceDE/>
        <w:autoSpaceDN/>
        <w:adjustRightInd/>
        <w:spacing w:after="120"/>
        <w:ind w:left="357"/>
        <w:textAlignment w:val="auto"/>
        <w:rPr>
          <w:rFonts w:cstheme="minorHAnsi"/>
          <w:szCs w:val="24"/>
        </w:rPr>
      </w:pPr>
      <w:r w:rsidRPr="00956F85">
        <w:rPr>
          <w:rFonts w:cstheme="minorHAnsi"/>
          <w:b/>
          <w:szCs w:val="24"/>
        </w:rPr>
        <w:t>Option 1:</w:t>
      </w:r>
      <w:r w:rsidRPr="00956F85">
        <w:rPr>
          <w:rFonts w:cstheme="minorHAnsi"/>
          <w:szCs w:val="24"/>
        </w:rPr>
        <w:t xml:space="preserve"> Allocation of KCHF 100 for each Regional Initiative for the first two years and KCHF 200 in the next two years would most likely attract funding for medium-sized projects. </w:t>
      </w:r>
    </w:p>
    <w:p w14:paraId="4659693C" w14:textId="22AF7042" w:rsidR="00956F85" w:rsidRPr="00956F85" w:rsidRDefault="00956F85" w:rsidP="00F42438">
      <w:pPr>
        <w:overflowPunct/>
        <w:autoSpaceDE/>
        <w:autoSpaceDN/>
        <w:adjustRightInd/>
        <w:spacing w:after="120"/>
        <w:ind w:left="357"/>
        <w:textAlignment w:val="auto"/>
        <w:rPr>
          <w:rFonts w:cstheme="minorHAnsi"/>
          <w:szCs w:val="24"/>
        </w:rPr>
      </w:pPr>
      <w:r w:rsidRPr="00956F85">
        <w:rPr>
          <w:rFonts w:cstheme="minorHAnsi"/>
          <w:b/>
          <w:szCs w:val="24"/>
        </w:rPr>
        <w:t>Option 2:</w:t>
      </w:r>
      <w:r w:rsidRPr="00956F85">
        <w:rPr>
          <w:rFonts w:cstheme="minorHAnsi"/>
          <w:szCs w:val="24"/>
        </w:rPr>
        <w:t xml:space="preserve"> Allocation of KCHF 100 in the first two years and the same amount for the next two years will most likely attract financing for small and medium-scale projects. The enhancements in ITU’s other resource mobilization effort and leveraging the Partner2Connect Digital Development Coalition may improve the ability of the ITU to attract partners, further enhancing the impact of the RI funding. </w:t>
      </w:r>
    </w:p>
    <w:p w14:paraId="4335C7BA" w14:textId="77777777" w:rsidR="00956F85" w:rsidRPr="00956F85" w:rsidRDefault="00956F85" w:rsidP="0001179F">
      <w:pPr>
        <w:overflowPunct/>
        <w:autoSpaceDE/>
        <w:autoSpaceDN/>
        <w:adjustRightInd/>
        <w:spacing w:after="120"/>
        <w:textAlignment w:val="auto"/>
        <w:rPr>
          <w:b/>
          <w:szCs w:val="24"/>
          <w:lang w:val="en-US"/>
        </w:rPr>
      </w:pPr>
      <w:r w:rsidRPr="00956F85">
        <w:rPr>
          <w:b/>
          <w:szCs w:val="24"/>
          <w:lang w:val="en-US"/>
        </w:rPr>
        <w:t>Conclusion</w:t>
      </w:r>
    </w:p>
    <w:p w14:paraId="7631856F" w14:textId="4D63DAAD" w:rsidR="00956F85" w:rsidRPr="00956F85" w:rsidRDefault="005F151A" w:rsidP="0001179F">
      <w:pPr>
        <w:overflowPunct/>
        <w:autoSpaceDE/>
        <w:autoSpaceDN/>
        <w:adjustRightInd/>
        <w:spacing w:after="120"/>
        <w:textAlignment w:val="auto"/>
        <w:rPr>
          <w:caps/>
          <w:szCs w:val="24"/>
          <w:lang w:val="en-US"/>
        </w:rPr>
      </w:pPr>
      <w:r>
        <w:rPr>
          <w:szCs w:val="24"/>
          <w:lang w:val="en-US"/>
        </w:rPr>
        <w:t xml:space="preserve">In the budget approval process for 2024-2027 BDT proposes to </w:t>
      </w:r>
      <w:r w:rsidR="00956F85" w:rsidRPr="00956F85">
        <w:rPr>
          <w:szCs w:val="24"/>
          <w:lang w:val="en-US"/>
        </w:rPr>
        <w:t>request</w:t>
      </w:r>
      <w:r>
        <w:rPr>
          <w:szCs w:val="24"/>
          <w:lang w:val="en-US"/>
        </w:rPr>
        <w:t xml:space="preserve"> that Council</w:t>
      </w:r>
      <w:r w:rsidR="00956F85" w:rsidRPr="00956F85">
        <w:rPr>
          <w:szCs w:val="24"/>
          <w:lang w:val="en-US"/>
        </w:rPr>
        <w:t xml:space="preserve"> consider the allocation of dedicated financial resources for the implementation of the Regional Initiatives adopted by WTDC-22 for all the six regions. </w:t>
      </w:r>
      <w:r w:rsidR="00956F85" w:rsidRPr="00956F85">
        <w:rPr>
          <w:szCs w:val="24"/>
          <w:lang w:val="en-US"/>
        </w:rPr>
        <w:br w:type="page"/>
      </w:r>
    </w:p>
    <w:p w14:paraId="7CEF01BF" w14:textId="2283064B" w:rsidR="00D1513D" w:rsidRPr="00956F85" w:rsidRDefault="00D1513D" w:rsidP="00D1513D">
      <w:pPr>
        <w:pStyle w:val="AnnexNo"/>
        <w:rPr>
          <w:sz w:val="24"/>
          <w:szCs w:val="24"/>
          <w:lang w:val="en-US"/>
        </w:rPr>
      </w:pPr>
      <w:r w:rsidRPr="00956F85">
        <w:rPr>
          <w:sz w:val="24"/>
          <w:szCs w:val="24"/>
          <w:lang w:val="en-US"/>
        </w:rPr>
        <w:lastRenderedPageBreak/>
        <w:t xml:space="preserve">Annex </w:t>
      </w:r>
      <w:r>
        <w:rPr>
          <w:sz w:val="24"/>
          <w:szCs w:val="24"/>
          <w:lang w:val="en-US"/>
        </w:rPr>
        <w:t>1</w:t>
      </w:r>
    </w:p>
    <w:p w14:paraId="7822F5B1" w14:textId="064FD9F4" w:rsidR="00D1513D" w:rsidRPr="00956F85" w:rsidRDefault="00742D1F" w:rsidP="00D1513D">
      <w:pPr>
        <w:pStyle w:val="Annextitle"/>
        <w:rPr>
          <w:sz w:val="24"/>
          <w:szCs w:val="24"/>
          <w:lang w:val="en-US"/>
        </w:rPr>
      </w:pPr>
      <w:r w:rsidRPr="00742D1F">
        <w:rPr>
          <w:sz w:val="24"/>
          <w:szCs w:val="24"/>
        </w:rPr>
        <w:t xml:space="preserve">Utilization of the financial resources approved by Council </w:t>
      </w:r>
      <w:r>
        <w:rPr>
          <w:sz w:val="24"/>
          <w:szCs w:val="24"/>
        </w:rPr>
        <w:br/>
      </w:r>
      <w:r w:rsidRPr="00742D1F">
        <w:rPr>
          <w:sz w:val="24"/>
          <w:szCs w:val="24"/>
        </w:rPr>
        <w:t>to support the implementation of the WTDC-17 Regional Initiatives </w:t>
      </w:r>
    </w:p>
    <w:p w14:paraId="70388A7F" w14:textId="37313F26" w:rsidR="00D1513D" w:rsidRPr="00956F85" w:rsidRDefault="00D1513D" w:rsidP="00A05C04">
      <w:pPr>
        <w:spacing w:after="120"/>
        <w:rPr>
          <w:szCs w:val="24"/>
        </w:rPr>
      </w:pPr>
      <w:r>
        <w:rPr>
          <w:szCs w:val="24"/>
        </w:rPr>
        <w:t xml:space="preserve">Annex 1 is available in a </w:t>
      </w:r>
      <w:hyperlink r:id="rId12" w:history="1">
        <w:r w:rsidRPr="00D5163F">
          <w:rPr>
            <w:rStyle w:val="Hyperlink"/>
            <w:szCs w:val="24"/>
          </w:rPr>
          <w:t>separate file</w:t>
        </w:r>
      </w:hyperlink>
      <w:r>
        <w:rPr>
          <w:szCs w:val="24"/>
        </w:rPr>
        <w:t>.</w:t>
      </w:r>
    </w:p>
    <w:p w14:paraId="3D197CBC" w14:textId="77777777" w:rsidR="00D1513D" w:rsidRDefault="00D1513D">
      <w:pPr>
        <w:tabs>
          <w:tab w:val="clear" w:pos="794"/>
          <w:tab w:val="clear" w:pos="1191"/>
          <w:tab w:val="clear" w:pos="1588"/>
          <w:tab w:val="clear" w:pos="1985"/>
        </w:tabs>
        <w:overflowPunct/>
        <w:autoSpaceDE/>
        <w:autoSpaceDN/>
        <w:adjustRightInd/>
        <w:spacing w:before="0"/>
        <w:textAlignment w:val="auto"/>
        <w:rPr>
          <w:caps/>
          <w:szCs w:val="24"/>
          <w:lang w:val="en-US"/>
        </w:rPr>
      </w:pPr>
      <w:r>
        <w:rPr>
          <w:szCs w:val="24"/>
          <w:lang w:val="en-US"/>
        </w:rPr>
        <w:br w:type="page"/>
      </w:r>
    </w:p>
    <w:p w14:paraId="64D8F360" w14:textId="41C950D8" w:rsidR="00956F85" w:rsidRPr="00956F85" w:rsidRDefault="00956F85" w:rsidP="00956F85">
      <w:pPr>
        <w:pStyle w:val="AnnexNo"/>
        <w:rPr>
          <w:sz w:val="24"/>
          <w:szCs w:val="24"/>
          <w:lang w:val="en-US"/>
        </w:rPr>
      </w:pPr>
      <w:r w:rsidRPr="00956F85">
        <w:rPr>
          <w:sz w:val="24"/>
          <w:szCs w:val="24"/>
          <w:lang w:val="en-US"/>
        </w:rPr>
        <w:lastRenderedPageBreak/>
        <w:t xml:space="preserve">Annex </w:t>
      </w:r>
      <w:r w:rsidR="001355A4">
        <w:rPr>
          <w:sz w:val="24"/>
          <w:szCs w:val="24"/>
          <w:lang w:val="en-US"/>
        </w:rPr>
        <w:t>2</w:t>
      </w:r>
    </w:p>
    <w:p w14:paraId="71FD9F96" w14:textId="77777777" w:rsidR="00956F85" w:rsidRPr="00956F85" w:rsidRDefault="00956F85" w:rsidP="00956F85">
      <w:pPr>
        <w:pStyle w:val="Annextitle"/>
        <w:rPr>
          <w:sz w:val="24"/>
          <w:szCs w:val="24"/>
          <w:lang w:val="en-US"/>
        </w:rPr>
      </w:pPr>
      <w:r w:rsidRPr="00956F85">
        <w:rPr>
          <w:sz w:val="24"/>
          <w:szCs w:val="24"/>
          <w:lang w:val="en-US"/>
        </w:rPr>
        <w:t>WTDC-22 Regional Initiatives</w:t>
      </w:r>
    </w:p>
    <w:p w14:paraId="29E0250B" w14:textId="77777777" w:rsidR="00956F85" w:rsidRPr="00956F85" w:rsidRDefault="00956F85" w:rsidP="0001179F">
      <w:pPr>
        <w:spacing w:after="120"/>
        <w:ind w:left="425"/>
        <w:rPr>
          <w:szCs w:val="24"/>
        </w:rPr>
      </w:pPr>
      <w:r w:rsidRPr="00956F85">
        <w:rPr>
          <w:szCs w:val="24"/>
        </w:rPr>
        <w:t>During the six regional preparatory meetings in 2022, the regions articulated their specific priorities in a set of regional initiatives, which can be found in the Kigali Action Plan. These regional initiatives (twenty-eight in total) are intended to address specific telecommunication/ICT priority areas, through partnerships and resource mobilization to implement projects. Under each regional initiative, projects are developed and implemented to meet the region's needs.</w:t>
      </w:r>
    </w:p>
    <w:p w14:paraId="4CB92A2E" w14:textId="77777777" w:rsidR="0001179F" w:rsidRDefault="00956F85" w:rsidP="0001179F">
      <w:pPr>
        <w:spacing w:after="120"/>
        <w:ind w:left="425"/>
        <w:jc w:val="both"/>
        <w:rPr>
          <w:b/>
          <w:bCs/>
          <w:szCs w:val="24"/>
        </w:rPr>
      </w:pPr>
      <w:r w:rsidRPr="00956F85">
        <w:rPr>
          <w:b/>
          <w:bCs/>
          <w:szCs w:val="24"/>
        </w:rPr>
        <w:t>Africa regional initiatives</w:t>
      </w:r>
    </w:p>
    <w:p w14:paraId="701F708C" w14:textId="77777777" w:rsidR="0001179F" w:rsidRDefault="00956F85" w:rsidP="00F42438">
      <w:pPr>
        <w:spacing w:before="60" w:after="60"/>
        <w:ind w:left="720"/>
        <w:rPr>
          <w:szCs w:val="24"/>
        </w:rPr>
      </w:pPr>
      <w:r w:rsidRPr="00956F85">
        <w:rPr>
          <w:szCs w:val="24"/>
        </w:rPr>
        <w:t>AFR1: Supporting digital transformation to usher in a rapid transition to a digital economy while accelerating innovation in Africa.</w:t>
      </w:r>
    </w:p>
    <w:p w14:paraId="50D46D74" w14:textId="77777777" w:rsidR="0001179F" w:rsidRDefault="00956F85" w:rsidP="00F42438">
      <w:pPr>
        <w:spacing w:before="60" w:after="60"/>
        <w:ind w:left="720"/>
        <w:rPr>
          <w:szCs w:val="24"/>
        </w:rPr>
      </w:pPr>
      <w:r w:rsidRPr="00956F85">
        <w:rPr>
          <w:szCs w:val="24"/>
        </w:rPr>
        <w:t>AFR2: Implementation and expansion of broadband infrastructures, connectivity and emerging technologies.</w:t>
      </w:r>
    </w:p>
    <w:p w14:paraId="5CD6A4AF" w14:textId="77777777" w:rsidR="0001179F" w:rsidRDefault="00956F85" w:rsidP="00F42438">
      <w:pPr>
        <w:spacing w:before="60" w:after="60"/>
        <w:ind w:left="720"/>
        <w:rPr>
          <w:szCs w:val="24"/>
        </w:rPr>
      </w:pPr>
      <w:r w:rsidRPr="00956F85">
        <w:rPr>
          <w:szCs w:val="24"/>
        </w:rPr>
        <w:t>AFR3: Building trust, safety and security in the use of telecommunications/information and communication technologies and protection of personal data.</w:t>
      </w:r>
    </w:p>
    <w:p w14:paraId="16F9F209" w14:textId="3F5C8E94" w:rsidR="00956F85" w:rsidRPr="00956F85" w:rsidRDefault="00956F85" w:rsidP="00F42438">
      <w:pPr>
        <w:spacing w:before="60" w:after="60"/>
        <w:ind w:left="720"/>
        <w:rPr>
          <w:szCs w:val="24"/>
        </w:rPr>
      </w:pPr>
      <w:r w:rsidRPr="00956F85">
        <w:rPr>
          <w:szCs w:val="24"/>
        </w:rPr>
        <w:t>AFR4: Fostering emerging technologies and innovation ecosystems.</w:t>
      </w:r>
    </w:p>
    <w:p w14:paraId="3CC8CDD8" w14:textId="77777777" w:rsidR="0001179F" w:rsidRDefault="00956F85" w:rsidP="0001179F">
      <w:pPr>
        <w:spacing w:after="120"/>
        <w:ind w:left="425"/>
        <w:rPr>
          <w:b/>
          <w:bCs/>
          <w:szCs w:val="24"/>
        </w:rPr>
      </w:pPr>
      <w:r w:rsidRPr="00956F85">
        <w:rPr>
          <w:b/>
          <w:bCs/>
          <w:szCs w:val="24"/>
        </w:rPr>
        <w:t>Americas regional initiatives</w:t>
      </w:r>
    </w:p>
    <w:p w14:paraId="4D5329AD" w14:textId="77777777" w:rsidR="0001179F" w:rsidRDefault="00956F85" w:rsidP="00F42438">
      <w:pPr>
        <w:spacing w:before="60" w:after="60"/>
        <w:ind w:left="720"/>
        <w:rPr>
          <w:szCs w:val="24"/>
        </w:rPr>
      </w:pPr>
      <w:r w:rsidRPr="00956F85">
        <w:rPr>
          <w:szCs w:val="24"/>
        </w:rPr>
        <w:t>AMS1: Deployment of modern, resilient, secure and sustainable telecommunication/information and communication technology infrastructure.</w:t>
      </w:r>
    </w:p>
    <w:p w14:paraId="647379CA" w14:textId="77777777" w:rsidR="0001179F" w:rsidRDefault="00956F85" w:rsidP="00F42438">
      <w:pPr>
        <w:spacing w:before="60" w:after="60"/>
        <w:ind w:left="720"/>
        <w:rPr>
          <w:szCs w:val="24"/>
        </w:rPr>
      </w:pPr>
      <w:r w:rsidRPr="00956F85">
        <w:rPr>
          <w:szCs w:val="24"/>
        </w:rPr>
        <w:t>AMS2: Enhancement and expansion of digital-literacy, digital-skills and digital-inclusion programmes, especially among vulnerable populations.</w:t>
      </w:r>
    </w:p>
    <w:p w14:paraId="75ACE444" w14:textId="77777777" w:rsidR="0001179F" w:rsidRDefault="00956F85" w:rsidP="00F42438">
      <w:pPr>
        <w:spacing w:before="60" w:after="60"/>
        <w:ind w:left="720"/>
        <w:rPr>
          <w:szCs w:val="24"/>
        </w:rPr>
      </w:pPr>
      <w:r w:rsidRPr="00956F85">
        <w:rPr>
          <w:szCs w:val="24"/>
        </w:rPr>
        <w:t>AMS3: Effective support for digital transformation and innovation ecosystems through scalable, funded and sustainable connectivity projects.</w:t>
      </w:r>
    </w:p>
    <w:p w14:paraId="0DC71159" w14:textId="4B1B698B" w:rsidR="00956F85" w:rsidRPr="00956F85" w:rsidRDefault="00956F85" w:rsidP="00F42438">
      <w:pPr>
        <w:spacing w:before="60" w:after="60"/>
        <w:ind w:left="720"/>
        <w:rPr>
          <w:szCs w:val="24"/>
        </w:rPr>
      </w:pPr>
      <w:r w:rsidRPr="00956F85">
        <w:rPr>
          <w:szCs w:val="24"/>
        </w:rPr>
        <w:t>AMS4: Development of enabling policy and regulatory environments to connect the unconnected through accessible and affordable telecommunications/information and communication technologies that support achievement of the Sustainable Development Goals and progress towards the digital economy.</w:t>
      </w:r>
    </w:p>
    <w:p w14:paraId="72710798" w14:textId="77777777" w:rsidR="0001179F" w:rsidRDefault="00956F85" w:rsidP="0001179F">
      <w:pPr>
        <w:spacing w:after="120"/>
        <w:ind w:left="425"/>
        <w:rPr>
          <w:b/>
          <w:bCs/>
          <w:szCs w:val="24"/>
        </w:rPr>
      </w:pPr>
      <w:r w:rsidRPr="00956F85">
        <w:rPr>
          <w:b/>
          <w:bCs/>
          <w:szCs w:val="24"/>
        </w:rPr>
        <w:t>Arab States regional initiatives</w:t>
      </w:r>
    </w:p>
    <w:p w14:paraId="4161FE93" w14:textId="77777777" w:rsidR="0001179F" w:rsidRDefault="00956F85" w:rsidP="00F42438">
      <w:pPr>
        <w:spacing w:before="60" w:after="60"/>
        <w:ind w:left="720"/>
        <w:rPr>
          <w:szCs w:val="24"/>
        </w:rPr>
      </w:pPr>
      <w:r w:rsidRPr="00956F85">
        <w:rPr>
          <w:szCs w:val="24"/>
        </w:rPr>
        <w:t>ARB1: Sustainable digital economy through digital transformation.</w:t>
      </w:r>
    </w:p>
    <w:p w14:paraId="18998A1F" w14:textId="77777777" w:rsidR="0001179F" w:rsidRDefault="00956F85" w:rsidP="00F42438">
      <w:pPr>
        <w:spacing w:before="60" w:after="60"/>
        <w:ind w:left="720"/>
        <w:rPr>
          <w:szCs w:val="24"/>
        </w:rPr>
      </w:pPr>
      <w:r w:rsidRPr="00956F85">
        <w:rPr>
          <w:szCs w:val="24"/>
        </w:rPr>
        <w:t>ARB2: Enhancing confidence, security and privacy in the use of telecommunications/information and communication technologies in the era of new and emerging digital technologies.</w:t>
      </w:r>
    </w:p>
    <w:p w14:paraId="2CC0D54E" w14:textId="77777777" w:rsidR="0001179F" w:rsidRDefault="00956F85" w:rsidP="00F42438">
      <w:pPr>
        <w:spacing w:before="60" w:after="60"/>
        <w:ind w:left="720"/>
        <w:rPr>
          <w:szCs w:val="24"/>
        </w:rPr>
      </w:pPr>
      <w:r w:rsidRPr="00956F85">
        <w:rPr>
          <w:szCs w:val="24"/>
        </w:rPr>
        <w:t>ARB3: Developing digital infrastructure for smart sustainable cities and communities. Developing digital infrastructure for smart sustainable cities and communities.</w:t>
      </w:r>
    </w:p>
    <w:p w14:paraId="539B9968" w14:textId="5C1856A5" w:rsidR="0001179F" w:rsidRDefault="00956F85" w:rsidP="00F42438">
      <w:pPr>
        <w:spacing w:before="60" w:after="60"/>
        <w:ind w:left="720"/>
        <w:rPr>
          <w:szCs w:val="24"/>
        </w:rPr>
      </w:pPr>
      <w:r w:rsidRPr="00956F85">
        <w:rPr>
          <w:szCs w:val="24"/>
        </w:rPr>
        <w:t>ARB4: Building capacities and encouraging digital innovation, entrepreneurship and future foresight.</w:t>
      </w:r>
    </w:p>
    <w:p w14:paraId="28F14126" w14:textId="295C43A3" w:rsidR="00956F85" w:rsidRPr="00956F85" w:rsidRDefault="00956F85" w:rsidP="00F42438">
      <w:pPr>
        <w:spacing w:before="60" w:after="60"/>
        <w:ind w:left="720"/>
        <w:rPr>
          <w:szCs w:val="24"/>
        </w:rPr>
      </w:pPr>
      <w:r w:rsidRPr="00956F85">
        <w:rPr>
          <w:szCs w:val="24"/>
        </w:rPr>
        <w:t>ARB5: Developing means of digital regulation.</w:t>
      </w:r>
    </w:p>
    <w:p w14:paraId="3CB04E09" w14:textId="77777777" w:rsidR="0001179F" w:rsidRDefault="00956F85" w:rsidP="0001179F">
      <w:pPr>
        <w:spacing w:after="120"/>
        <w:ind w:left="425"/>
        <w:rPr>
          <w:b/>
          <w:bCs/>
          <w:szCs w:val="24"/>
        </w:rPr>
      </w:pPr>
      <w:r w:rsidRPr="00956F85">
        <w:rPr>
          <w:b/>
          <w:bCs/>
          <w:szCs w:val="24"/>
        </w:rPr>
        <w:t>Asia-Pacific regional initiatives</w:t>
      </w:r>
    </w:p>
    <w:p w14:paraId="1917B5EE" w14:textId="77777777" w:rsidR="0001179F" w:rsidRDefault="00956F85" w:rsidP="00F42438">
      <w:pPr>
        <w:spacing w:before="60" w:after="60"/>
        <w:ind w:left="720"/>
        <w:rPr>
          <w:szCs w:val="24"/>
        </w:rPr>
      </w:pPr>
      <w:r w:rsidRPr="00956F85">
        <w:rPr>
          <w:szCs w:val="24"/>
        </w:rPr>
        <w:t>ASP1: Addressing special needs of least developed countries, small island developing states, including Pacific island countries, and landlocked developing countries.</w:t>
      </w:r>
    </w:p>
    <w:p w14:paraId="442C5095" w14:textId="77777777" w:rsidR="0001179F" w:rsidRDefault="00956F85" w:rsidP="00F42438">
      <w:pPr>
        <w:spacing w:before="60" w:after="60"/>
        <w:ind w:left="720"/>
        <w:rPr>
          <w:szCs w:val="24"/>
        </w:rPr>
      </w:pPr>
      <w:r w:rsidRPr="00956F85">
        <w:rPr>
          <w:szCs w:val="24"/>
        </w:rPr>
        <w:lastRenderedPageBreak/>
        <w:t>ASP2: Harnessing information and communication technologies to support the digital economy and inclusive digital societies.</w:t>
      </w:r>
    </w:p>
    <w:p w14:paraId="5BBDD5E0" w14:textId="77777777" w:rsidR="0001179F" w:rsidRDefault="00956F85" w:rsidP="00F42438">
      <w:pPr>
        <w:spacing w:before="60" w:after="60"/>
        <w:ind w:left="720"/>
        <w:rPr>
          <w:szCs w:val="24"/>
        </w:rPr>
      </w:pPr>
      <w:r w:rsidRPr="00956F85">
        <w:rPr>
          <w:szCs w:val="24"/>
        </w:rPr>
        <w:t>ASP3: Fostering development of infrastructure to enhance digital connectivity and connecting the unconnected.</w:t>
      </w:r>
    </w:p>
    <w:p w14:paraId="79B9106D" w14:textId="77777777" w:rsidR="0001179F" w:rsidRDefault="00956F85" w:rsidP="00F42438">
      <w:pPr>
        <w:spacing w:before="60" w:after="60"/>
        <w:ind w:left="720"/>
        <w:rPr>
          <w:szCs w:val="24"/>
        </w:rPr>
      </w:pPr>
      <w:r w:rsidRPr="00956F85">
        <w:rPr>
          <w:szCs w:val="24"/>
        </w:rPr>
        <w:t>ASP4: Enabling policy and regulatory environments to accelerate digital transformation.</w:t>
      </w:r>
    </w:p>
    <w:p w14:paraId="4A5D2306" w14:textId="7BE42053" w:rsidR="00956F85" w:rsidRPr="00956F85" w:rsidRDefault="00956F85" w:rsidP="00F42438">
      <w:pPr>
        <w:spacing w:before="60" w:after="60"/>
        <w:ind w:left="720"/>
        <w:rPr>
          <w:szCs w:val="24"/>
        </w:rPr>
      </w:pPr>
      <w:r w:rsidRPr="00956F85">
        <w:rPr>
          <w:szCs w:val="24"/>
        </w:rPr>
        <w:t>ASP5: Contributing to a secure and resilient information and communication technology environment.</w:t>
      </w:r>
    </w:p>
    <w:p w14:paraId="75B8BB12" w14:textId="77777777" w:rsidR="0001179F" w:rsidRDefault="00956F85" w:rsidP="0001179F">
      <w:pPr>
        <w:spacing w:after="120"/>
        <w:ind w:left="425"/>
        <w:rPr>
          <w:szCs w:val="24"/>
        </w:rPr>
      </w:pPr>
      <w:r w:rsidRPr="00956F85">
        <w:rPr>
          <w:b/>
          <w:bCs/>
          <w:szCs w:val="24"/>
        </w:rPr>
        <w:t>CIS regional initiative</w:t>
      </w:r>
      <w:r w:rsidRPr="00956F85">
        <w:rPr>
          <w:szCs w:val="24"/>
        </w:rPr>
        <w:t>s</w:t>
      </w:r>
    </w:p>
    <w:p w14:paraId="306659D4" w14:textId="0C2800F0" w:rsidR="0001179F" w:rsidRDefault="00956F85" w:rsidP="00F42438">
      <w:pPr>
        <w:spacing w:before="60" w:after="60"/>
        <w:ind w:left="720"/>
        <w:rPr>
          <w:szCs w:val="24"/>
        </w:rPr>
      </w:pPr>
      <w:r w:rsidRPr="00956F85">
        <w:rPr>
          <w:szCs w:val="24"/>
        </w:rPr>
        <w:t>CIS1: Developing infrastructure to promote innovation and partnerships in the introduction of new technologies – the Internet of Things, including the industrial Internet, smart cities and communities, 5G/IMT-2020 and next-generation NET-2030 communication networks, quantum technologies, artificial intelligence, digital health, digital skills and environmental protection.</w:t>
      </w:r>
    </w:p>
    <w:p w14:paraId="5C86DD32" w14:textId="77777777" w:rsidR="0001179F" w:rsidRDefault="00956F85" w:rsidP="00F42438">
      <w:pPr>
        <w:spacing w:before="60" w:after="60"/>
        <w:ind w:left="720"/>
        <w:rPr>
          <w:szCs w:val="24"/>
        </w:rPr>
      </w:pPr>
      <w:r w:rsidRPr="00956F85">
        <w:rPr>
          <w:szCs w:val="24"/>
        </w:rPr>
        <w:t>CIS2: Cybersecurity and personal data protection.</w:t>
      </w:r>
    </w:p>
    <w:p w14:paraId="29390C0B" w14:textId="77777777" w:rsidR="0001179F" w:rsidRDefault="00956F85" w:rsidP="00F42438">
      <w:pPr>
        <w:spacing w:before="60" w:after="60"/>
        <w:ind w:left="720"/>
        <w:rPr>
          <w:szCs w:val="24"/>
        </w:rPr>
      </w:pPr>
      <w:r w:rsidRPr="00956F85">
        <w:rPr>
          <w:szCs w:val="24"/>
        </w:rPr>
        <w:t>CIS3: Creating an enabling legal and regulatory environment to accelerate digital transformation.</w:t>
      </w:r>
    </w:p>
    <w:p w14:paraId="758432B8" w14:textId="77777777" w:rsidR="0001179F" w:rsidRDefault="00956F85" w:rsidP="00F42438">
      <w:pPr>
        <w:spacing w:before="60" w:after="60"/>
        <w:ind w:left="720"/>
        <w:rPr>
          <w:szCs w:val="24"/>
        </w:rPr>
      </w:pPr>
      <w:r w:rsidRPr="00956F85">
        <w:rPr>
          <w:szCs w:val="24"/>
        </w:rPr>
        <w:t xml:space="preserve">CIS4: Digital skills and information and communication technology accessibility for the public, </w:t>
      </w:r>
      <w:proofErr w:type="gramStart"/>
      <w:r w:rsidRPr="00956F85">
        <w:rPr>
          <w:szCs w:val="24"/>
        </w:rPr>
        <w:t>in particular for</w:t>
      </w:r>
      <w:proofErr w:type="gramEnd"/>
      <w:r w:rsidRPr="00956F85">
        <w:rPr>
          <w:szCs w:val="24"/>
        </w:rPr>
        <w:t xml:space="preserve"> persons with disabilities.</w:t>
      </w:r>
    </w:p>
    <w:p w14:paraId="72157D4F" w14:textId="04D4DF39" w:rsidR="00956F85" w:rsidRPr="00956F85" w:rsidRDefault="00956F85" w:rsidP="00F42438">
      <w:pPr>
        <w:spacing w:before="60" w:after="60"/>
        <w:ind w:left="720"/>
        <w:rPr>
          <w:szCs w:val="24"/>
        </w:rPr>
      </w:pPr>
      <w:r w:rsidRPr="00956F85">
        <w:rPr>
          <w:szCs w:val="24"/>
        </w:rPr>
        <w:t>CIS5: Development of smart cities and communities.</w:t>
      </w:r>
    </w:p>
    <w:p w14:paraId="3898CE33" w14:textId="77777777" w:rsidR="0001179F" w:rsidRDefault="00956F85" w:rsidP="0001179F">
      <w:pPr>
        <w:spacing w:after="120"/>
        <w:ind w:left="425"/>
        <w:rPr>
          <w:b/>
          <w:bCs/>
          <w:szCs w:val="24"/>
          <w:lang w:val="fr-FR"/>
        </w:rPr>
      </w:pPr>
      <w:r w:rsidRPr="00956F85">
        <w:rPr>
          <w:b/>
          <w:bCs/>
          <w:szCs w:val="24"/>
          <w:lang w:val="fr-FR"/>
        </w:rPr>
        <w:t xml:space="preserve">Europe </w:t>
      </w:r>
      <w:proofErr w:type="spellStart"/>
      <w:r w:rsidRPr="00956F85">
        <w:rPr>
          <w:b/>
          <w:bCs/>
          <w:szCs w:val="24"/>
          <w:lang w:val="fr-FR"/>
        </w:rPr>
        <w:t>regional</w:t>
      </w:r>
      <w:proofErr w:type="spellEnd"/>
      <w:r w:rsidRPr="00956F85">
        <w:rPr>
          <w:b/>
          <w:bCs/>
          <w:szCs w:val="24"/>
          <w:lang w:val="fr-FR"/>
        </w:rPr>
        <w:t xml:space="preserve"> initiatives</w:t>
      </w:r>
    </w:p>
    <w:p w14:paraId="0EB0B8DA" w14:textId="77777777" w:rsidR="0001179F" w:rsidRDefault="00956F85" w:rsidP="00F42438">
      <w:pPr>
        <w:spacing w:before="60" w:after="60"/>
        <w:ind w:left="720"/>
        <w:rPr>
          <w:szCs w:val="24"/>
          <w:lang w:val="fr-FR"/>
        </w:rPr>
      </w:pPr>
      <w:r w:rsidRPr="00956F85">
        <w:rPr>
          <w:szCs w:val="24"/>
          <w:lang w:val="fr-FR"/>
        </w:rPr>
        <w:t>EUR</w:t>
      </w:r>
      <w:proofErr w:type="gramStart"/>
      <w:r w:rsidRPr="00956F85">
        <w:rPr>
          <w:szCs w:val="24"/>
          <w:lang w:val="fr-FR"/>
        </w:rPr>
        <w:t>1:</w:t>
      </w:r>
      <w:proofErr w:type="gramEnd"/>
      <w:r w:rsidRPr="00956F85">
        <w:rPr>
          <w:szCs w:val="24"/>
          <w:lang w:val="fr-FR"/>
        </w:rPr>
        <w:t xml:space="preserve"> Digital infrastructure </w:t>
      </w:r>
      <w:proofErr w:type="spellStart"/>
      <w:r w:rsidRPr="00956F85">
        <w:rPr>
          <w:szCs w:val="24"/>
          <w:lang w:val="fr-FR"/>
        </w:rPr>
        <w:t>development</w:t>
      </w:r>
      <w:proofErr w:type="spellEnd"/>
      <w:r w:rsidRPr="00956F85">
        <w:rPr>
          <w:szCs w:val="24"/>
          <w:lang w:val="fr-FR"/>
        </w:rPr>
        <w:t>.</w:t>
      </w:r>
    </w:p>
    <w:p w14:paraId="252BC9BB" w14:textId="77777777" w:rsidR="0001179F" w:rsidRPr="00A05C04" w:rsidRDefault="00956F85" w:rsidP="00F42438">
      <w:pPr>
        <w:spacing w:before="60" w:after="60"/>
        <w:ind w:left="720"/>
        <w:rPr>
          <w:szCs w:val="24"/>
          <w:lang w:val="fr-FR"/>
        </w:rPr>
      </w:pPr>
      <w:r w:rsidRPr="00A05C04">
        <w:rPr>
          <w:szCs w:val="24"/>
          <w:lang w:val="fr-FR"/>
        </w:rPr>
        <w:t>EUR</w:t>
      </w:r>
      <w:proofErr w:type="gramStart"/>
      <w:r w:rsidRPr="00A05C04">
        <w:rPr>
          <w:szCs w:val="24"/>
          <w:lang w:val="fr-FR"/>
        </w:rPr>
        <w:t>2:</w:t>
      </w:r>
      <w:proofErr w:type="gramEnd"/>
      <w:r w:rsidRPr="00A05C04">
        <w:rPr>
          <w:szCs w:val="24"/>
          <w:lang w:val="fr-FR"/>
        </w:rPr>
        <w:t xml:space="preserve"> Digital transformation for </w:t>
      </w:r>
      <w:proofErr w:type="spellStart"/>
      <w:r w:rsidRPr="00A05C04">
        <w:rPr>
          <w:szCs w:val="24"/>
          <w:lang w:val="fr-FR"/>
        </w:rPr>
        <w:t>resilience</w:t>
      </w:r>
      <w:proofErr w:type="spellEnd"/>
      <w:r w:rsidRPr="00A05C04">
        <w:rPr>
          <w:szCs w:val="24"/>
          <w:lang w:val="fr-FR"/>
        </w:rPr>
        <w:t>.</w:t>
      </w:r>
    </w:p>
    <w:p w14:paraId="5CAF123C" w14:textId="77777777" w:rsidR="0001179F" w:rsidRDefault="00956F85" w:rsidP="00F42438">
      <w:pPr>
        <w:spacing w:before="60" w:after="60"/>
        <w:ind w:left="720"/>
        <w:rPr>
          <w:szCs w:val="24"/>
        </w:rPr>
      </w:pPr>
      <w:r w:rsidRPr="00956F85">
        <w:rPr>
          <w:szCs w:val="24"/>
        </w:rPr>
        <w:t>EUR3: Digital inclusion and skills development.</w:t>
      </w:r>
    </w:p>
    <w:p w14:paraId="11720FA3" w14:textId="77777777" w:rsidR="0001179F" w:rsidRDefault="00956F85" w:rsidP="00F42438">
      <w:pPr>
        <w:spacing w:before="60" w:after="60"/>
        <w:ind w:left="720"/>
        <w:rPr>
          <w:szCs w:val="24"/>
        </w:rPr>
      </w:pPr>
      <w:r w:rsidRPr="00956F85">
        <w:rPr>
          <w:szCs w:val="24"/>
        </w:rPr>
        <w:t>EUR4: Trust and confidence in the use of telecommunications/ information and communication technologies.</w:t>
      </w:r>
    </w:p>
    <w:p w14:paraId="4B30FB8E" w14:textId="2347B832" w:rsidR="00956F85" w:rsidRPr="00956F85" w:rsidRDefault="00956F85" w:rsidP="00F42438">
      <w:pPr>
        <w:spacing w:before="60" w:after="60"/>
        <w:ind w:left="720"/>
        <w:rPr>
          <w:szCs w:val="24"/>
        </w:rPr>
      </w:pPr>
      <w:r w:rsidRPr="00956F85">
        <w:rPr>
          <w:szCs w:val="24"/>
        </w:rPr>
        <w:t>EUR5: Digital innovation ecosystems.</w:t>
      </w:r>
    </w:p>
    <w:p w14:paraId="7759C759" w14:textId="1E49D47B" w:rsidR="00821996" w:rsidRPr="00956F85" w:rsidRDefault="003C58BF" w:rsidP="0001179F">
      <w:pPr>
        <w:tabs>
          <w:tab w:val="clear" w:pos="794"/>
          <w:tab w:val="clear" w:pos="1191"/>
          <w:tab w:val="clear" w:pos="1588"/>
          <w:tab w:val="clear" w:pos="1985"/>
        </w:tabs>
        <w:spacing w:after="120"/>
        <w:jc w:val="center"/>
        <w:rPr>
          <w:szCs w:val="24"/>
        </w:rPr>
      </w:pPr>
      <w:bookmarkStart w:id="6" w:name="Proposal"/>
      <w:bookmarkEnd w:id="6"/>
      <w:r w:rsidRPr="00956F85">
        <w:rPr>
          <w:szCs w:val="24"/>
        </w:rPr>
        <w:t>_____________</w:t>
      </w:r>
      <w:r w:rsidR="004122C5" w:rsidRPr="00956F85">
        <w:rPr>
          <w:szCs w:val="24"/>
        </w:rPr>
        <w:t>_</w:t>
      </w:r>
      <w:r w:rsidR="00922EC1" w:rsidRPr="00956F85">
        <w:rPr>
          <w:szCs w:val="24"/>
        </w:rPr>
        <w:t>_</w:t>
      </w:r>
    </w:p>
    <w:sectPr w:rsidR="00821996" w:rsidRPr="00956F85" w:rsidSect="00473791">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9D615" w14:textId="77777777" w:rsidR="00C7183B" w:rsidRDefault="00C7183B">
      <w:r>
        <w:separator/>
      </w:r>
    </w:p>
  </w:endnote>
  <w:endnote w:type="continuationSeparator" w:id="0">
    <w:p w14:paraId="1ADC13DE" w14:textId="77777777" w:rsidR="00C7183B" w:rsidRDefault="00C7183B">
      <w:r>
        <w:continuationSeparator/>
      </w:r>
    </w:p>
  </w:endnote>
  <w:endnote w:type="continuationNotice" w:id="1">
    <w:p w14:paraId="0DC804E2" w14:textId="77777777" w:rsidR="00C7183B" w:rsidRDefault="00C7183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A1C35" w14:textId="77777777" w:rsidR="005E69BE" w:rsidRDefault="005E69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0E63A" w14:textId="77777777" w:rsidR="005E69BE" w:rsidRDefault="005E69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9"/>
    </w:tblGrid>
    <w:tr w:rsidR="0001179F" w:rsidRPr="004D495C" w14:paraId="547B1C8B" w14:textId="77777777">
      <w:tc>
        <w:tcPr>
          <w:tcW w:w="1432" w:type="dxa"/>
          <w:tcBorders>
            <w:top w:val="single" w:sz="4" w:space="0" w:color="000000"/>
          </w:tcBorders>
          <w:shd w:val="clear" w:color="auto" w:fill="auto"/>
        </w:tcPr>
        <w:p w14:paraId="4B8B4FFA" w14:textId="77777777" w:rsidR="0001179F" w:rsidRPr="004D495C" w:rsidRDefault="0001179F" w:rsidP="00345002">
          <w:pPr>
            <w:pStyle w:val="FirstFooter"/>
            <w:tabs>
              <w:tab w:val="left" w:pos="1559"/>
              <w:tab w:val="left" w:pos="3828"/>
            </w:tabs>
            <w:rPr>
              <w:sz w:val="18"/>
              <w:szCs w:val="18"/>
            </w:rPr>
          </w:pPr>
          <w:bookmarkStart w:id="7" w:name="_GoBack" w:colFirst="0" w:colLast="2"/>
          <w:proofErr w:type="gramStart"/>
          <w:r w:rsidRPr="004D495C">
            <w:rPr>
              <w:sz w:val="18"/>
              <w:szCs w:val="18"/>
            </w:rPr>
            <w:t>Contact:</w:t>
          </w:r>
          <w:proofErr w:type="gramEnd"/>
        </w:p>
      </w:tc>
      <w:tc>
        <w:tcPr>
          <w:tcW w:w="2250" w:type="dxa"/>
          <w:tcBorders>
            <w:top w:val="single" w:sz="4" w:space="0" w:color="000000"/>
          </w:tcBorders>
          <w:shd w:val="clear" w:color="auto" w:fill="auto"/>
        </w:tcPr>
        <w:p w14:paraId="3A881A4A" w14:textId="77777777" w:rsidR="0001179F" w:rsidRPr="004D495C" w:rsidRDefault="0001179F" w:rsidP="00345002">
          <w:pPr>
            <w:pStyle w:val="FirstFooter"/>
            <w:tabs>
              <w:tab w:val="left" w:pos="2302"/>
            </w:tabs>
            <w:ind w:left="2302" w:hanging="2302"/>
            <w:rPr>
              <w:sz w:val="18"/>
              <w:szCs w:val="18"/>
            </w:rPr>
          </w:pPr>
          <w:r w:rsidRPr="004D495C">
            <w:rPr>
              <w:sz w:val="18"/>
              <w:szCs w:val="18"/>
            </w:rPr>
            <w:t>Name/</w:t>
          </w:r>
          <w:proofErr w:type="spellStart"/>
          <w:r w:rsidRPr="004D495C">
            <w:rPr>
              <w:sz w:val="18"/>
              <w:szCs w:val="18"/>
            </w:rPr>
            <w:t>Organization</w:t>
          </w:r>
          <w:proofErr w:type="spellEnd"/>
          <w:r w:rsidRPr="004D495C">
            <w:rPr>
              <w:sz w:val="18"/>
              <w:szCs w:val="18"/>
            </w:rPr>
            <w:t>/</w:t>
          </w:r>
          <w:proofErr w:type="spellStart"/>
          <w:proofErr w:type="gramStart"/>
          <w:r w:rsidRPr="004D495C">
            <w:rPr>
              <w:sz w:val="18"/>
              <w:szCs w:val="18"/>
            </w:rPr>
            <w:t>Entity</w:t>
          </w:r>
          <w:proofErr w:type="spellEnd"/>
          <w:r w:rsidRPr="004D495C">
            <w:rPr>
              <w:sz w:val="18"/>
              <w:szCs w:val="18"/>
            </w:rPr>
            <w:t>:</w:t>
          </w:r>
          <w:proofErr w:type="gramEnd"/>
        </w:p>
      </w:tc>
      <w:tc>
        <w:tcPr>
          <w:tcW w:w="5958" w:type="dxa"/>
          <w:tcBorders>
            <w:top w:val="single" w:sz="4" w:space="0" w:color="000000"/>
          </w:tcBorders>
        </w:tcPr>
        <w:p w14:paraId="12655503" w14:textId="5EA4F53A" w:rsidR="0001179F" w:rsidRPr="003F4270" w:rsidRDefault="005E69BE" w:rsidP="00345002">
          <w:pPr>
            <w:pStyle w:val="FirstFooter"/>
            <w:tabs>
              <w:tab w:val="left" w:pos="2302"/>
            </w:tabs>
            <w:rPr>
              <w:sz w:val="18"/>
              <w:szCs w:val="18"/>
              <w:highlight w:val="yellow"/>
              <w:lang w:val="en-GB"/>
            </w:rPr>
          </w:pPr>
          <w:r>
            <w:rPr>
              <w:sz w:val="18"/>
              <w:szCs w:val="18"/>
              <w:lang w:val="en-GB"/>
            </w:rPr>
            <w:t xml:space="preserve">Mr </w:t>
          </w:r>
          <w:r w:rsidRPr="005E69BE">
            <w:rPr>
              <w:sz w:val="18"/>
              <w:szCs w:val="18"/>
              <w:lang w:val="en-GB"/>
            </w:rPr>
            <w:t xml:space="preserve">Jose Maria Diaz </w:t>
          </w:r>
          <w:proofErr w:type="spellStart"/>
          <w:r w:rsidRPr="005E69BE">
            <w:rPr>
              <w:sz w:val="18"/>
              <w:szCs w:val="18"/>
              <w:lang w:val="en-GB"/>
            </w:rPr>
            <w:t>Batanero</w:t>
          </w:r>
          <w:proofErr w:type="spellEnd"/>
          <w:r w:rsidR="001C3A8B">
            <w:rPr>
              <w:sz w:val="18"/>
              <w:szCs w:val="18"/>
              <w:lang w:val="en-GB"/>
            </w:rPr>
            <w:t xml:space="preserve">, </w:t>
          </w:r>
          <w:r w:rsidRPr="005E69BE">
            <w:rPr>
              <w:sz w:val="18"/>
              <w:szCs w:val="18"/>
              <w:lang w:val="en-GB"/>
            </w:rPr>
            <w:t>Head, Project Support Division</w:t>
          </w:r>
          <w:r>
            <w:rPr>
              <w:sz w:val="18"/>
              <w:szCs w:val="18"/>
              <w:lang w:val="en-GB"/>
            </w:rPr>
            <w:t xml:space="preserve">, </w:t>
          </w:r>
          <w:r w:rsidR="0001179F" w:rsidRPr="003F4270">
            <w:rPr>
              <w:sz w:val="18"/>
              <w:szCs w:val="18"/>
              <w:lang w:val="en-GB"/>
            </w:rPr>
            <w:t>Telecommunication Development Bureau</w:t>
          </w:r>
        </w:p>
      </w:tc>
      <w:bookmarkStart w:id="8" w:name="OrgName"/>
      <w:bookmarkEnd w:id="8"/>
    </w:tr>
    <w:tr w:rsidR="0001179F" w:rsidRPr="004D495C" w14:paraId="2B5C6266" w14:textId="77777777">
      <w:tc>
        <w:tcPr>
          <w:tcW w:w="1432" w:type="dxa"/>
          <w:shd w:val="clear" w:color="auto" w:fill="auto"/>
        </w:tcPr>
        <w:p w14:paraId="1202F324" w14:textId="77777777" w:rsidR="0001179F" w:rsidRPr="003F4270" w:rsidRDefault="0001179F" w:rsidP="00345002">
          <w:pPr>
            <w:pStyle w:val="FirstFooter"/>
            <w:tabs>
              <w:tab w:val="left" w:pos="1559"/>
              <w:tab w:val="left" w:pos="3828"/>
            </w:tabs>
            <w:rPr>
              <w:sz w:val="20"/>
              <w:lang w:val="en-GB"/>
            </w:rPr>
          </w:pPr>
        </w:p>
      </w:tc>
      <w:tc>
        <w:tcPr>
          <w:tcW w:w="2250" w:type="dxa"/>
          <w:shd w:val="clear" w:color="auto" w:fill="auto"/>
        </w:tcPr>
        <w:p w14:paraId="16365C1C" w14:textId="77777777" w:rsidR="0001179F" w:rsidRPr="004D495C" w:rsidRDefault="0001179F" w:rsidP="00345002">
          <w:pPr>
            <w:pStyle w:val="FirstFooter"/>
            <w:tabs>
              <w:tab w:val="left" w:pos="2302"/>
            </w:tabs>
            <w:rPr>
              <w:sz w:val="18"/>
              <w:szCs w:val="18"/>
            </w:rPr>
          </w:pPr>
          <w:r w:rsidRPr="004D495C">
            <w:rPr>
              <w:sz w:val="18"/>
              <w:szCs w:val="18"/>
            </w:rPr>
            <w:t xml:space="preserve">Phone </w:t>
          </w:r>
          <w:proofErr w:type="spellStart"/>
          <w:proofErr w:type="gramStart"/>
          <w:r w:rsidRPr="004D495C">
            <w:rPr>
              <w:sz w:val="18"/>
              <w:szCs w:val="18"/>
            </w:rPr>
            <w:t>number</w:t>
          </w:r>
          <w:proofErr w:type="spellEnd"/>
          <w:r w:rsidRPr="004D495C">
            <w:rPr>
              <w:sz w:val="18"/>
              <w:szCs w:val="18"/>
            </w:rPr>
            <w:t>:</w:t>
          </w:r>
          <w:proofErr w:type="gramEnd"/>
        </w:p>
      </w:tc>
      <w:tc>
        <w:tcPr>
          <w:tcW w:w="5958" w:type="dxa"/>
        </w:tcPr>
        <w:p w14:paraId="3E786235" w14:textId="3BB04D45" w:rsidR="0001179F" w:rsidRPr="004D495C" w:rsidRDefault="003B52F8" w:rsidP="00345002">
          <w:pPr>
            <w:pStyle w:val="FirstFooter"/>
            <w:tabs>
              <w:tab w:val="left" w:pos="2302"/>
            </w:tabs>
            <w:rPr>
              <w:sz w:val="18"/>
              <w:szCs w:val="18"/>
              <w:highlight w:val="yellow"/>
            </w:rPr>
          </w:pPr>
          <w:r w:rsidRPr="003B52F8">
            <w:rPr>
              <w:sz w:val="18"/>
              <w:szCs w:val="18"/>
            </w:rPr>
            <w:t>+41</w:t>
          </w:r>
          <w:r>
            <w:rPr>
              <w:sz w:val="18"/>
              <w:szCs w:val="18"/>
            </w:rPr>
            <w:t xml:space="preserve"> </w:t>
          </w:r>
          <w:r w:rsidRPr="003B52F8">
            <w:rPr>
              <w:sz w:val="18"/>
              <w:szCs w:val="18"/>
            </w:rPr>
            <w:t>22</w:t>
          </w:r>
          <w:r>
            <w:rPr>
              <w:sz w:val="18"/>
              <w:szCs w:val="18"/>
            </w:rPr>
            <w:t xml:space="preserve"> </w:t>
          </w:r>
          <w:r w:rsidRPr="003B52F8">
            <w:rPr>
              <w:sz w:val="18"/>
              <w:szCs w:val="18"/>
            </w:rPr>
            <w:t>730</w:t>
          </w:r>
          <w:r>
            <w:rPr>
              <w:sz w:val="18"/>
              <w:szCs w:val="18"/>
            </w:rPr>
            <w:t xml:space="preserve"> </w:t>
          </w:r>
          <w:r w:rsidRPr="003B52F8">
            <w:rPr>
              <w:sz w:val="18"/>
              <w:szCs w:val="18"/>
            </w:rPr>
            <w:t>5495</w:t>
          </w:r>
        </w:p>
      </w:tc>
      <w:bookmarkStart w:id="9" w:name="PhoneNo"/>
      <w:bookmarkEnd w:id="9"/>
    </w:tr>
    <w:tr w:rsidR="0001179F" w:rsidRPr="004D495C" w14:paraId="33D13602" w14:textId="77777777">
      <w:tc>
        <w:tcPr>
          <w:tcW w:w="1432" w:type="dxa"/>
          <w:shd w:val="clear" w:color="auto" w:fill="auto"/>
        </w:tcPr>
        <w:p w14:paraId="1237A00D" w14:textId="77777777" w:rsidR="0001179F" w:rsidRPr="004D495C" w:rsidRDefault="0001179F" w:rsidP="00345002">
          <w:pPr>
            <w:pStyle w:val="FirstFooter"/>
            <w:tabs>
              <w:tab w:val="left" w:pos="1559"/>
              <w:tab w:val="left" w:pos="3828"/>
            </w:tabs>
            <w:rPr>
              <w:sz w:val="20"/>
            </w:rPr>
          </w:pPr>
        </w:p>
      </w:tc>
      <w:tc>
        <w:tcPr>
          <w:tcW w:w="2250" w:type="dxa"/>
          <w:shd w:val="clear" w:color="auto" w:fill="auto"/>
        </w:tcPr>
        <w:p w14:paraId="7B03C0A7" w14:textId="77777777" w:rsidR="0001179F" w:rsidRPr="004D495C" w:rsidRDefault="0001179F" w:rsidP="00345002">
          <w:pPr>
            <w:pStyle w:val="FirstFooter"/>
            <w:tabs>
              <w:tab w:val="left" w:pos="2302"/>
            </w:tabs>
            <w:rPr>
              <w:sz w:val="18"/>
              <w:szCs w:val="18"/>
            </w:rPr>
          </w:pPr>
          <w:proofErr w:type="gramStart"/>
          <w:r w:rsidRPr="004D495C">
            <w:rPr>
              <w:sz w:val="18"/>
              <w:szCs w:val="18"/>
            </w:rPr>
            <w:t>E-mail:</w:t>
          </w:r>
          <w:proofErr w:type="gramEnd"/>
        </w:p>
      </w:tc>
      <w:tc>
        <w:tcPr>
          <w:tcW w:w="5958" w:type="dxa"/>
        </w:tcPr>
        <w:p w14:paraId="5A02ADC5" w14:textId="5110D3BF" w:rsidR="0001179F" w:rsidRPr="004D495C" w:rsidRDefault="001C3A8B" w:rsidP="00345002">
          <w:pPr>
            <w:pStyle w:val="FirstFooter"/>
            <w:tabs>
              <w:tab w:val="left" w:pos="2302"/>
            </w:tabs>
            <w:rPr>
              <w:sz w:val="18"/>
              <w:szCs w:val="18"/>
              <w:highlight w:val="yellow"/>
            </w:rPr>
          </w:pPr>
          <w:hyperlink r:id="rId1" w:history="1">
            <w:r w:rsidRPr="001C3A8B">
              <w:rPr>
                <w:rStyle w:val="Hyperlink"/>
                <w:sz w:val="18"/>
                <w:szCs w:val="22"/>
              </w:rPr>
              <w:t>jose.batanero@itu.int</w:t>
            </w:r>
          </w:hyperlink>
          <w:r w:rsidRPr="001C3A8B">
            <w:rPr>
              <w:sz w:val="18"/>
              <w:szCs w:val="22"/>
            </w:rPr>
            <w:t xml:space="preserve"> </w:t>
          </w:r>
        </w:p>
      </w:tc>
      <w:bookmarkStart w:id="10" w:name="Email"/>
      <w:bookmarkEnd w:id="10"/>
    </w:tr>
    <w:bookmarkEnd w:id="7"/>
  </w:tbl>
  <w:p w14:paraId="7C11C397" w14:textId="77777777" w:rsidR="0001179F" w:rsidRDefault="0001179F" w:rsidP="0001179F">
    <w:pPr>
      <w:pStyle w:val="Footer"/>
      <w:jc w:val="center"/>
      <w:rPr>
        <w:lang w:val="en-GB"/>
      </w:rPr>
    </w:pPr>
  </w:p>
  <w:p w14:paraId="40A321D0" w14:textId="61095148" w:rsidR="00721657" w:rsidRPr="00A05C04" w:rsidRDefault="00345002" w:rsidP="0001179F">
    <w:pPr>
      <w:pStyle w:val="Footer"/>
      <w:jc w:val="center"/>
    </w:pPr>
    <w:hyperlink r:id="rId2" w:history="1">
      <w:r w:rsidR="0001179F" w:rsidRPr="00A05C04">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8AA36" w14:textId="77777777" w:rsidR="00C7183B" w:rsidRDefault="00C7183B">
      <w:r>
        <w:t>____________________</w:t>
      </w:r>
    </w:p>
  </w:footnote>
  <w:footnote w:type="continuationSeparator" w:id="0">
    <w:p w14:paraId="09B83CDB" w14:textId="77777777" w:rsidR="00C7183B" w:rsidRDefault="00C7183B">
      <w:r>
        <w:continuationSeparator/>
      </w:r>
    </w:p>
  </w:footnote>
  <w:footnote w:type="continuationNotice" w:id="1">
    <w:p w14:paraId="2626197F" w14:textId="77777777" w:rsidR="00C7183B" w:rsidRDefault="00C7183B">
      <w:pPr>
        <w:spacing w:before="0"/>
      </w:pPr>
    </w:p>
  </w:footnote>
  <w:footnote w:id="2">
    <w:p w14:paraId="1D811130" w14:textId="77777777" w:rsidR="00956F85" w:rsidRPr="00A05C04" w:rsidRDefault="00956F85" w:rsidP="00A05C04">
      <w:pPr>
        <w:pStyle w:val="FootnoteText"/>
        <w:spacing w:before="0"/>
        <w:ind w:left="261" w:hanging="261"/>
        <w:jc w:val="both"/>
        <w:rPr>
          <w:sz w:val="20"/>
          <w:lang w:val="en-US"/>
        </w:rPr>
      </w:pPr>
      <w:r w:rsidRPr="00A05C04">
        <w:rPr>
          <w:rStyle w:val="FootnoteReference"/>
          <w:sz w:val="20"/>
        </w:rPr>
        <w:footnoteRef/>
      </w:r>
      <w:r w:rsidRPr="00A05C04">
        <w:rPr>
          <w:sz w:val="20"/>
        </w:rPr>
        <w:t xml:space="preserve"> </w:t>
      </w:r>
      <w:r w:rsidRPr="00A05C04">
        <w:rPr>
          <w:sz w:val="20"/>
        </w:rPr>
        <w:tab/>
      </w:r>
      <w:r w:rsidRPr="00A05C04">
        <w:rPr>
          <w:sz w:val="20"/>
          <w:lang w:val="en-US"/>
        </w:rPr>
        <w:t>Medium-scale projects being those valued at CHF 500,000 to CHF 1,000,000.</w:t>
      </w:r>
    </w:p>
  </w:footnote>
  <w:footnote w:id="3">
    <w:p w14:paraId="7B7D2E02" w14:textId="77777777" w:rsidR="00956F85" w:rsidRPr="00A05C04" w:rsidRDefault="00956F85" w:rsidP="00A05C04">
      <w:pPr>
        <w:pStyle w:val="FootnoteText"/>
        <w:spacing w:before="0"/>
        <w:ind w:left="261" w:hanging="261"/>
        <w:jc w:val="both"/>
        <w:rPr>
          <w:sz w:val="20"/>
          <w:lang w:val="en-US"/>
        </w:rPr>
      </w:pPr>
      <w:r w:rsidRPr="00A05C04">
        <w:rPr>
          <w:rStyle w:val="FootnoteReference"/>
          <w:sz w:val="20"/>
        </w:rPr>
        <w:footnoteRef/>
      </w:r>
      <w:r w:rsidRPr="00A05C04">
        <w:rPr>
          <w:sz w:val="20"/>
        </w:rPr>
        <w:t xml:space="preserve"> </w:t>
      </w:r>
      <w:r w:rsidRPr="00A05C04">
        <w:rPr>
          <w:sz w:val="20"/>
        </w:rPr>
        <w:tab/>
      </w:r>
      <w:r w:rsidRPr="00A05C04">
        <w:rPr>
          <w:sz w:val="20"/>
          <w:lang w:val="en-US"/>
        </w:rPr>
        <w:t>Large-scale projects being those valued at more than CHF 1,000,000.</w:t>
      </w:r>
    </w:p>
  </w:footnote>
  <w:footnote w:id="4">
    <w:p w14:paraId="0C5AFF30" w14:textId="77777777" w:rsidR="00956F85" w:rsidRPr="00A05C04" w:rsidRDefault="00956F85" w:rsidP="00A05C04">
      <w:pPr>
        <w:pStyle w:val="FootnoteText"/>
        <w:spacing w:before="0"/>
        <w:ind w:left="261" w:hanging="261"/>
        <w:rPr>
          <w:sz w:val="20"/>
          <w:lang w:val="en-US"/>
        </w:rPr>
      </w:pPr>
      <w:r w:rsidRPr="00A05C04">
        <w:rPr>
          <w:rStyle w:val="FootnoteReference"/>
          <w:sz w:val="20"/>
        </w:rPr>
        <w:footnoteRef/>
      </w:r>
      <w:r w:rsidRPr="00A05C04">
        <w:rPr>
          <w:sz w:val="20"/>
        </w:rPr>
        <w:t xml:space="preserve">  </w:t>
      </w:r>
      <w:r w:rsidRPr="00A05C04">
        <w:rPr>
          <w:sz w:val="20"/>
          <w:lang w:val="en-US"/>
        </w:rPr>
        <w:t>Period from 1 January 2014 to 31 March 2018, in line with reporting timeline for Council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3EE13" w14:textId="77777777" w:rsidR="005E69BE" w:rsidRDefault="005E69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03C812C8"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01179F">
      <w:rPr>
        <w:sz w:val="22"/>
        <w:szCs w:val="22"/>
        <w:lang w:val="de-CH"/>
      </w:rPr>
      <w:t>25</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44FF0" w14:textId="77777777" w:rsidR="005E69BE" w:rsidRDefault="005E69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 w15:restartNumberingAfterBreak="0">
    <w:nsid w:val="72644344"/>
    <w:multiLevelType w:val="multilevel"/>
    <w:tmpl w:val="C8A8705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3D9"/>
    <w:rsid w:val="00003C43"/>
    <w:rsid w:val="00005791"/>
    <w:rsid w:val="00010827"/>
    <w:rsid w:val="0001179F"/>
    <w:rsid w:val="00015089"/>
    <w:rsid w:val="0002520B"/>
    <w:rsid w:val="00030397"/>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166"/>
    <w:rsid w:val="00107E85"/>
    <w:rsid w:val="00113EE8"/>
    <w:rsid w:val="0011455A"/>
    <w:rsid w:val="00114A65"/>
    <w:rsid w:val="00133061"/>
    <w:rsid w:val="001355A4"/>
    <w:rsid w:val="00141699"/>
    <w:rsid w:val="00147000"/>
    <w:rsid w:val="00163091"/>
    <w:rsid w:val="001645CB"/>
    <w:rsid w:val="00166305"/>
    <w:rsid w:val="00167545"/>
    <w:rsid w:val="001703C6"/>
    <w:rsid w:val="00173781"/>
    <w:rsid w:val="00175ADF"/>
    <w:rsid w:val="00175CAE"/>
    <w:rsid w:val="001828DB"/>
    <w:rsid w:val="001850FE"/>
    <w:rsid w:val="00185135"/>
    <w:rsid w:val="0018743F"/>
    <w:rsid w:val="0019037C"/>
    <w:rsid w:val="001905A9"/>
    <w:rsid w:val="00191273"/>
    <w:rsid w:val="001942A7"/>
    <w:rsid w:val="0019587B"/>
    <w:rsid w:val="001A163D"/>
    <w:rsid w:val="001A1DDA"/>
    <w:rsid w:val="001A441E"/>
    <w:rsid w:val="001A6733"/>
    <w:rsid w:val="001B357F"/>
    <w:rsid w:val="001C3444"/>
    <w:rsid w:val="001C3702"/>
    <w:rsid w:val="001C3A8B"/>
    <w:rsid w:val="001C4656"/>
    <w:rsid w:val="001C46BC"/>
    <w:rsid w:val="001D1E06"/>
    <w:rsid w:val="001F23E6"/>
    <w:rsid w:val="001F4238"/>
    <w:rsid w:val="00200A38"/>
    <w:rsid w:val="00200A46"/>
    <w:rsid w:val="00211B6F"/>
    <w:rsid w:val="00217CC3"/>
    <w:rsid w:val="00220AB6"/>
    <w:rsid w:val="0022120F"/>
    <w:rsid w:val="00225EA8"/>
    <w:rsid w:val="0022754A"/>
    <w:rsid w:val="00236560"/>
    <w:rsid w:val="0023662E"/>
    <w:rsid w:val="002443E1"/>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42BC"/>
    <w:rsid w:val="002E4D03"/>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45002"/>
    <w:rsid w:val="00351C79"/>
    <w:rsid w:val="0035516C"/>
    <w:rsid w:val="00355A4C"/>
    <w:rsid w:val="003604FB"/>
    <w:rsid w:val="00360B73"/>
    <w:rsid w:val="00376832"/>
    <w:rsid w:val="003804CF"/>
    <w:rsid w:val="00380B71"/>
    <w:rsid w:val="0038365A"/>
    <w:rsid w:val="00386A89"/>
    <w:rsid w:val="0039648E"/>
    <w:rsid w:val="003A5AFE"/>
    <w:rsid w:val="003A5D5F"/>
    <w:rsid w:val="003A7FFE"/>
    <w:rsid w:val="003B0A63"/>
    <w:rsid w:val="003B50E1"/>
    <w:rsid w:val="003B52F8"/>
    <w:rsid w:val="003C1746"/>
    <w:rsid w:val="003C2AA9"/>
    <w:rsid w:val="003C58BF"/>
    <w:rsid w:val="003C6142"/>
    <w:rsid w:val="003D451D"/>
    <w:rsid w:val="003F2DD8"/>
    <w:rsid w:val="003F3F2D"/>
    <w:rsid w:val="003F50B2"/>
    <w:rsid w:val="00400CCF"/>
    <w:rsid w:val="00401BFF"/>
    <w:rsid w:val="00404424"/>
    <w:rsid w:val="0041156B"/>
    <w:rsid w:val="004122C5"/>
    <w:rsid w:val="00413B78"/>
    <w:rsid w:val="004146FD"/>
    <w:rsid w:val="00416DDE"/>
    <w:rsid w:val="0044411E"/>
    <w:rsid w:val="00453435"/>
    <w:rsid w:val="00460089"/>
    <w:rsid w:val="00466398"/>
    <w:rsid w:val="0047306D"/>
    <w:rsid w:val="00473791"/>
    <w:rsid w:val="00476E48"/>
    <w:rsid w:val="00481DE9"/>
    <w:rsid w:val="0049128B"/>
    <w:rsid w:val="00491D39"/>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69BE"/>
    <w:rsid w:val="005E7047"/>
    <w:rsid w:val="005E777F"/>
    <w:rsid w:val="005F151A"/>
    <w:rsid w:val="005F1CA7"/>
    <w:rsid w:val="005F43DD"/>
    <w:rsid w:val="005F46F6"/>
    <w:rsid w:val="005F51A9"/>
    <w:rsid w:val="005F6BE1"/>
    <w:rsid w:val="005F7416"/>
    <w:rsid w:val="005F7B3E"/>
    <w:rsid w:val="00600C11"/>
    <w:rsid w:val="00606B89"/>
    <w:rsid w:val="00611EAF"/>
    <w:rsid w:val="00623F30"/>
    <w:rsid w:val="00625FB8"/>
    <w:rsid w:val="006261BD"/>
    <w:rsid w:val="00635EDB"/>
    <w:rsid w:val="0064734E"/>
    <w:rsid w:val="00650137"/>
    <w:rsid w:val="006509D7"/>
    <w:rsid w:val="006519CF"/>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42D1F"/>
    <w:rsid w:val="00744AA0"/>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03AF"/>
    <w:rsid w:val="007F1CC7"/>
    <w:rsid w:val="008027AC"/>
    <w:rsid w:val="008028CE"/>
    <w:rsid w:val="0080332E"/>
    <w:rsid w:val="008118FB"/>
    <w:rsid w:val="008141E0"/>
    <w:rsid w:val="00816EE1"/>
    <w:rsid w:val="00816F88"/>
    <w:rsid w:val="00821996"/>
    <w:rsid w:val="00822323"/>
    <w:rsid w:val="00827BC6"/>
    <w:rsid w:val="008300AD"/>
    <w:rsid w:val="00833024"/>
    <w:rsid w:val="0083346C"/>
    <w:rsid w:val="008419B1"/>
    <w:rsid w:val="00844A56"/>
    <w:rsid w:val="00845B11"/>
    <w:rsid w:val="00852081"/>
    <w:rsid w:val="008720C9"/>
    <w:rsid w:val="00872B6E"/>
    <w:rsid w:val="00874DFD"/>
    <w:rsid w:val="008802F9"/>
    <w:rsid w:val="00883086"/>
    <w:rsid w:val="008879FD"/>
    <w:rsid w:val="00894C37"/>
    <w:rsid w:val="008A00EA"/>
    <w:rsid w:val="008A3B52"/>
    <w:rsid w:val="008A3F93"/>
    <w:rsid w:val="008A6236"/>
    <w:rsid w:val="008A6E1C"/>
    <w:rsid w:val="008A72FD"/>
    <w:rsid w:val="008B2EDF"/>
    <w:rsid w:val="008B47C7"/>
    <w:rsid w:val="008B54CB"/>
    <w:rsid w:val="008B5A3D"/>
    <w:rsid w:val="008C39EB"/>
    <w:rsid w:val="008C4010"/>
    <w:rsid w:val="008C4FDF"/>
    <w:rsid w:val="008C6B1F"/>
    <w:rsid w:val="008D5E4F"/>
    <w:rsid w:val="008D73C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56F85"/>
    <w:rsid w:val="0096201B"/>
    <w:rsid w:val="00962081"/>
    <w:rsid w:val="00966CB5"/>
    <w:rsid w:val="00975786"/>
    <w:rsid w:val="00981CB7"/>
    <w:rsid w:val="00983E1F"/>
    <w:rsid w:val="00993F46"/>
    <w:rsid w:val="00997358"/>
    <w:rsid w:val="009A452B"/>
    <w:rsid w:val="009B050C"/>
    <w:rsid w:val="009B087F"/>
    <w:rsid w:val="009B2AF4"/>
    <w:rsid w:val="009C110B"/>
    <w:rsid w:val="009C21D2"/>
    <w:rsid w:val="009C5441"/>
    <w:rsid w:val="009D119F"/>
    <w:rsid w:val="009D49A2"/>
    <w:rsid w:val="009F0391"/>
    <w:rsid w:val="009F3940"/>
    <w:rsid w:val="009F3EB2"/>
    <w:rsid w:val="009F6EB1"/>
    <w:rsid w:val="00A02FBA"/>
    <w:rsid w:val="00A05C04"/>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1A8"/>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37472"/>
    <w:rsid w:val="00C4038C"/>
    <w:rsid w:val="00C42BA2"/>
    <w:rsid w:val="00C44066"/>
    <w:rsid w:val="00C44E13"/>
    <w:rsid w:val="00C60A41"/>
    <w:rsid w:val="00C62DE8"/>
    <w:rsid w:val="00C62DFB"/>
    <w:rsid w:val="00C630E6"/>
    <w:rsid w:val="00C63812"/>
    <w:rsid w:val="00C64AF3"/>
    <w:rsid w:val="00C66F4D"/>
    <w:rsid w:val="00C67BB5"/>
    <w:rsid w:val="00C7183B"/>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4E23"/>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3D"/>
    <w:rsid w:val="00D1519F"/>
    <w:rsid w:val="00D20E99"/>
    <w:rsid w:val="00D21C83"/>
    <w:rsid w:val="00D35BDD"/>
    <w:rsid w:val="00D44CB5"/>
    <w:rsid w:val="00D5163F"/>
    <w:rsid w:val="00D63006"/>
    <w:rsid w:val="00D72301"/>
    <w:rsid w:val="00D73F7B"/>
    <w:rsid w:val="00D911DE"/>
    <w:rsid w:val="00D91B97"/>
    <w:rsid w:val="00D93ACC"/>
    <w:rsid w:val="00D93C08"/>
    <w:rsid w:val="00D95DAC"/>
    <w:rsid w:val="00DA0B53"/>
    <w:rsid w:val="00DB1171"/>
    <w:rsid w:val="00DB1519"/>
    <w:rsid w:val="00DB2840"/>
    <w:rsid w:val="00DC1BD3"/>
    <w:rsid w:val="00DC2C1A"/>
    <w:rsid w:val="00DD3821"/>
    <w:rsid w:val="00DD66B4"/>
    <w:rsid w:val="00DE1972"/>
    <w:rsid w:val="00DE27AB"/>
    <w:rsid w:val="00DF2AB3"/>
    <w:rsid w:val="00DF7250"/>
    <w:rsid w:val="00E00CAA"/>
    <w:rsid w:val="00E03EBF"/>
    <w:rsid w:val="00E05209"/>
    <w:rsid w:val="00E05AC1"/>
    <w:rsid w:val="00E11BCF"/>
    <w:rsid w:val="00E2258E"/>
    <w:rsid w:val="00E260C2"/>
    <w:rsid w:val="00E2719B"/>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438"/>
    <w:rsid w:val="00F42E13"/>
    <w:rsid w:val="00F42F1C"/>
    <w:rsid w:val="00F43B44"/>
    <w:rsid w:val="00F440E5"/>
    <w:rsid w:val="00F448F6"/>
    <w:rsid w:val="00F52402"/>
    <w:rsid w:val="00F52741"/>
    <w:rsid w:val="00F53D8A"/>
    <w:rsid w:val="00F626F7"/>
    <w:rsid w:val="00F736F9"/>
    <w:rsid w:val="00F73833"/>
    <w:rsid w:val="00F81EEF"/>
    <w:rsid w:val="00F9211C"/>
    <w:rsid w:val="00FA095D"/>
    <w:rsid w:val="00FA6C8B"/>
    <w:rsid w:val="00FA6CDA"/>
    <w:rsid w:val="00FA7C89"/>
    <w:rsid w:val="00FB4139"/>
    <w:rsid w:val="00FB476E"/>
    <w:rsid w:val="00FC0D90"/>
    <w:rsid w:val="00FC73E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FAF29E"/>
  <w15:docId w15:val="{546D9954-1393-4874-88F6-7CED5AD2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CommentReference">
    <w:name w:val="annotation reference"/>
    <w:basedOn w:val="DefaultParagraphFont"/>
    <w:semiHidden/>
    <w:unhideWhenUsed/>
    <w:rsid w:val="00956F85"/>
    <w:rPr>
      <w:sz w:val="16"/>
      <w:szCs w:val="16"/>
    </w:rPr>
  </w:style>
  <w:style w:type="paragraph" w:styleId="CommentText">
    <w:name w:val="annotation text"/>
    <w:basedOn w:val="Normal"/>
    <w:link w:val="CommentTextChar"/>
    <w:unhideWhenUsed/>
    <w:rsid w:val="00956F85"/>
    <w:pPr>
      <w:tabs>
        <w:tab w:val="clear" w:pos="794"/>
        <w:tab w:val="clear" w:pos="1191"/>
        <w:tab w:val="clear" w:pos="1588"/>
        <w:tab w:val="clear" w:pos="1985"/>
        <w:tab w:val="left" w:pos="567"/>
        <w:tab w:val="left" w:pos="1134"/>
        <w:tab w:val="left" w:pos="1701"/>
        <w:tab w:val="left" w:pos="2268"/>
        <w:tab w:val="left" w:pos="2835"/>
      </w:tabs>
    </w:pPr>
    <w:rPr>
      <w:rFonts w:ascii="Calibri" w:eastAsia="MS Mincho" w:hAnsi="Calibri"/>
      <w:sz w:val="20"/>
    </w:rPr>
  </w:style>
  <w:style w:type="character" w:customStyle="1" w:styleId="CommentTextChar">
    <w:name w:val="Comment Text Char"/>
    <w:basedOn w:val="DefaultParagraphFont"/>
    <w:link w:val="CommentText"/>
    <w:rsid w:val="00956F85"/>
    <w:rPr>
      <w:rFonts w:ascii="Calibri" w:eastAsia="MS Mincho" w:hAnsi="Calibri"/>
      <w:lang w:val="en-GB" w:eastAsia="en-US"/>
    </w:rPr>
  </w:style>
  <w:style w:type="character" w:customStyle="1" w:styleId="FootnoteTextChar">
    <w:name w:val="Footnote Text Char"/>
    <w:basedOn w:val="DefaultParagraphFont"/>
    <w:link w:val="FootnoteText"/>
    <w:rsid w:val="00956F85"/>
    <w:rPr>
      <w:rFonts w:asciiTheme="minorHAnsi" w:hAnsiTheme="minorHAnsi"/>
      <w:sz w:val="24"/>
      <w:lang w:val="en-GB" w:eastAsia="en-US"/>
    </w:rPr>
  </w:style>
  <w:style w:type="character" w:styleId="Mention">
    <w:name w:val="Mention"/>
    <w:basedOn w:val="DefaultParagraphFont"/>
    <w:uiPriority w:val="99"/>
    <w:unhideWhenUsed/>
    <w:rsid w:val="00956F85"/>
    <w:rPr>
      <w:color w:val="2B579A"/>
      <w:shd w:val="clear" w:color="auto" w:fill="E1DFDD"/>
    </w:rPr>
  </w:style>
  <w:style w:type="paragraph" w:styleId="Revision">
    <w:name w:val="Revision"/>
    <w:hidden/>
    <w:uiPriority w:val="99"/>
    <w:semiHidden/>
    <w:rsid w:val="002443E1"/>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D51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268672">
      <w:bodyDiv w:val="1"/>
      <w:marLeft w:val="0"/>
      <w:marRight w:val="0"/>
      <w:marTop w:val="0"/>
      <w:marBottom w:val="0"/>
      <w:divBdr>
        <w:top w:val="none" w:sz="0" w:space="0" w:color="auto"/>
        <w:left w:val="none" w:sz="0" w:space="0" w:color="auto"/>
        <w:bottom w:val="none" w:sz="0" w:space="0" w:color="auto"/>
        <w:right w:val="none" w:sz="0" w:space="0" w:color="auto"/>
      </w:divBdr>
    </w:div>
    <w:div w:id="141879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meetingdoc.asp?lang=en&amp;parent=D22-TDAG30-C-002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jose.batanero@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30029-DE9D-404A-98E8-D325FBCBBF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6CE12B-E065-401D-823E-F83BA22CE731}">
  <ds:schemaRefs>
    <ds:schemaRef ds:uri="http://schemas.microsoft.com/sharepoint/v3/contenttype/forms"/>
  </ds:schemaRefs>
</ds:datastoreItem>
</file>

<file path=customXml/itemProps3.xml><?xml version="1.0" encoding="utf-8"?>
<ds:datastoreItem xmlns:ds="http://schemas.openxmlformats.org/officeDocument/2006/customXml" ds:itemID="{E8383038-72C7-4284-B26D-36AE0709D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6C04A7-1D33-4FC0-92CF-2797BAA1D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1437</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10256</CharactersWithSpaces>
  <SharedDoc>false</SharedDoc>
  <HLinks>
    <vt:vector size="24" baseType="variant">
      <vt:variant>
        <vt:i4>8126503</vt:i4>
      </vt:variant>
      <vt:variant>
        <vt:i4>0</vt:i4>
      </vt:variant>
      <vt:variant>
        <vt:i4>0</vt:i4>
      </vt:variant>
      <vt:variant>
        <vt:i4>5</vt:i4>
      </vt:variant>
      <vt:variant>
        <vt:lpwstr>https://www.itu.int/md/meetingdoc.asp?lang=en&amp;parent=D22-TDAG30-C-0025</vt:lpwstr>
      </vt:variant>
      <vt:variant>
        <vt:lpwstr/>
      </vt:variant>
      <vt:variant>
        <vt:i4>3932260</vt:i4>
      </vt:variant>
      <vt:variant>
        <vt:i4>9</vt:i4>
      </vt:variant>
      <vt:variant>
        <vt:i4>0</vt:i4>
      </vt:variant>
      <vt:variant>
        <vt:i4>5</vt:i4>
      </vt:variant>
      <vt:variant>
        <vt:lpwstr>http://www.itu.int/en/ITU-D/Conferences/TDAG/Pages/default.aspx</vt:lpwstr>
      </vt:variant>
      <vt:variant>
        <vt:lpwstr/>
      </vt:variant>
      <vt:variant>
        <vt:i4>6815806</vt:i4>
      </vt:variant>
      <vt:variant>
        <vt:i4>6</vt:i4>
      </vt:variant>
      <vt:variant>
        <vt:i4>0</vt:i4>
      </vt:variant>
      <vt:variant>
        <vt:i4>5</vt:i4>
      </vt:variant>
      <vt:variant>
        <vt:lpwstr>http://www.itu.int/ITU-D/TDAG/</vt:lpwstr>
      </vt:variant>
      <vt:variant>
        <vt:lpwstr/>
      </vt:variant>
      <vt:variant>
        <vt:i4>7995396</vt:i4>
      </vt:variant>
      <vt:variant>
        <vt:i4>3</vt:i4>
      </vt:variant>
      <vt:variant>
        <vt:i4>0</vt:i4>
      </vt:variant>
      <vt:variant>
        <vt:i4>5</vt:i4>
      </vt:variant>
      <vt:variant>
        <vt:lpwstr>mailto:stephen.bereaux@itu.int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BDT-nd</cp:lastModifiedBy>
  <cp:revision>27</cp:revision>
  <cp:lastPrinted>2014-11-05T03:22:00Z</cp:lastPrinted>
  <dcterms:created xsi:type="dcterms:W3CDTF">2023-05-12T07:56:00Z</dcterms:created>
  <dcterms:modified xsi:type="dcterms:W3CDTF">2023-05-16T06:30:00Z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