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48"/>
        <w:gridCol w:w="3091"/>
      </w:tblGrid>
      <w:tr w:rsidR="0094065A" w:rsidRPr="00783A69" w14:paraId="05F82855" w14:textId="77777777" w:rsidTr="00F77022">
        <w:trPr>
          <w:cantSplit/>
          <w:trHeight w:val="1310"/>
          <w:jc w:val="center"/>
        </w:trPr>
        <w:tc>
          <w:tcPr>
            <w:tcW w:w="6548" w:type="dxa"/>
            <w:tcBorders>
              <w:bottom w:val="single" w:sz="12" w:space="0" w:color="auto"/>
            </w:tcBorders>
          </w:tcPr>
          <w:p w14:paraId="6E023771" w14:textId="77777777" w:rsidR="0094065A" w:rsidRPr="00C85CB5" w:rsidRDefault="0094065A" w:rsidP="00C85CB5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C85CB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C85CB5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6615CDC7" w14:textId="77777777" w:rsidR="0094065A" w:rsidRPr="00CA08BA" w:rsidRDefault="0094065A" w:rsidP="00C85CB5">
            <w:pPr>
              <w:rPr>
                <w:b/>
                <w:bCs/>
                <w:spacing w:val="-6"/>
                <w:sz w:val="28"/>
                <w:szCs w:val="28"/>
                <w:rtl/>
                <w:lang w:bidi="ar-SY"/>
              </w:rPr>
            </w:pPr>
            <w:r w:rsidRPr="00CA08BA">
              <w:rPr>
                <w:b/>
                <w:bCs/>
                <w:spacing w:val="-6"/>
                <w:sz w:val="26"/>
                <w:szCs w:val="26"/>
                <w:rtl/>
                <w:lang w:bidi="ar-EG"/>
              </w:rPr>
              <w:t>الاجتماع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الثلاثون</w:t>
            </w:r>
            <w:r w:rsidRPr="00CA08BA"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جنيف، سويسرا،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23-19</w:t>
            </w:r>
            <w:r>
              <w:rPr>
                <w:rFonts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 xml:space="preserve"> يونيو </w:t>
            </w:r>
            <w:r>
              <w:rPr>
                <w:b/>
                <w:bCs/>
                <w:spacing w:val="-6"/>
                <w:sz w:val="26"/>
                <w:szCs w:val="26"/>
                <w:lang w:bidi="ar-EG"/>
              </w:rPr>
              <w:t>2023</w:t>
            </w:r>
          </w:p>
        </w:tc>
        <w:tc>
          <w:tcPr>
            <w:tcW w:w="3091" w:type="dxa"/>
            <w:tcBorders>
              <w:bottom w:val="single" w:sz="12" w:space="0" w:color="auto"/>
            </w:tcBorders>
          </w:tcPr>
          <w:p w14:paraId="6D844280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50E78B86" wp14:editId="5DE06B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1C3DE9E3" w14:textId="77777777" w:rsidTr="00F77022">
        <w:trPr>
          <w:cantSplit/>
          <w:jc w:val="center"/>
        </w:trPr>
        <w:tc>
          <w:tcPr>
            <w:tcW w:w="6548" w:type="dxa"/>
            <w:tcBorders>
              <w:top w:val="single" w:sz="12" w:space="0" w:color="auto"/>
            </w:tcBorders>
          </w:tcPr>
          <w:p w14:paraId="1C2FF3DD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76AB147D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0F5070C2" w14:textId="77777777" w:rsidTr="00F77022">
        <w:trPr>
          <w:cantSplit/>
          <w:jc w:val="center"/>
        </w:trPr>
        <w:tc>
          <w:tcPr>
            <w:tcW w:w="6548" w:type="dxa"/>
          </w:tcPr>
          <w:p w14:paraId="0E42614A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91" w:type="dxa"/>
          </w:tcPr>
          <w:p w14:paraId="239B13B9" w14:textId="2404BC6D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53471">
              <w:rPr>
                <w:b/>
                <w:bCs/>
                <w:lang w:bidi="ar-EG"/>
              </w:rPr>
              <w:t>TDAG-</w:t>
            </w:r>
            <w:r w:rsidR="00153471" w:rsidRPr="00153471">
              <w:rPr>
                <w:b/>
                <w:bCs/>
                <w:lang w:bidi="ar-EG"/>
              </w:rPr>
              <w:t>23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1344CE">
              <w:rPr>
                <w:b/>
                <w:bCs/>
                <w:lang w:bidi="ar-EG"/>
              </w:rPr>
              <w:t>25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110624B2" w14:textId="77777777" w:rsidTr="00F77022">
        <w:trPr>
          <w:cantSplit/>
          <w:jc w:val="center"/>
        </w:trPr>
        <w:tc>
          <w:tcPr>
            <w:tcW w:w="6548" w:type="dxa"/>
          </w:tcPr>
          <w:p w14:paraId="1C02801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26F7F1DB" w14:textId="0B703866" w:rsidR="00783A69" w:rsidRPr="00C85CB5" w:rsidRDefault="001344CE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 w:rsidRPr="001344CE">
              <w:rPr>
                <w:rFonts w:hint="cs"/>
                <w:b/>
                <w:bCs/>
                <w:rtl/>
                <w:lang w:bidi="ar-EG"/>
              </w:rPr>
              <w:t xml:space="preserve">15 مايو </w:t>
            </w:r>
            <w:r w:rsidR="00153471" w:rsidRPr="001344CE">
              <w:rPr>
                <w:b/>
                <w:bCs/>
                <w:lang w:bidi="ar-EG"/>
              </w:rPr>
              <w:t>2023</w:t>
            </w:r>
          </w:p>
        </w:tc>
      </w:tr>
      <w:tr w:rsidR="00783A69" w:rsidRPr="00783A69" w14:paraId="6807A043" w14:textId="77777777" w:rsidTr="00F77022">
        <w:trPr>
          <w:cantSplit/>
          <w:jc w:val="center"/>
        </w:trPr>
        <w:tc>
          <w:tcPr>
            <w:tcW w:w="6548" w:type="dxa"/>
          </w:tcPr>
          <w:p w14:paraId="33BA74BE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91" w:type="dxa"/>
          </w:tcPr>
          <w:p w14:paraId="131D59B8" w14:textId="77777777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0BCE570B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79C21EE" w14:textId="11352C71" w:rsidR="00783A69" w:rsidRPr="00783A69" w:rsidRDefault="001344CE" w:rsidP="00EE5CF2">
            <w:pPr>
              <w:pStyle w:val="Source"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 مكتب تنمية الاتصالات</w:t>
            </w:r>
          </w:p>
        </w:tc>
      </w:tr>
      <w:tr w:rsidR="00783A69" w:rsidRPr="00783A69" w14:paraId="16BFA100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05EE0197" w14:textId="1875FF16" w:rsidR="00783A69" w:rsidRPr="00783A69" w:rsidRDefault="00223E42" w:rsidP="00EE5CF2">
            <w:pPr>
              <w:pStyle w:val="Title1"/>
              <w:rPr>
                <w:lang w:bidi="ar-EG"/>
              </w:rPr>
            </w:pPr>
            <w:r w:rsidRPr="00223E42">
              <w:rPr>
                <w:rtl/>
                <w:lang w:bidi="ar-EG"/>
              </w:rPr>
              <w:t xml:space="preserve">الآثار المالية المترتبة على المبادرات الإقليمية التي وافق عليها </w:t>
            </w:r>
            <w:r w:rsidR="0022683C">
              <w:rPr>
                <w:rtl/>
                <w:lang w:bidi="ar-EG"/>
              </w:rPr>
              <w:br/>
            </w:r>
            <w:r w:rsidRPr="00223E42">
              <w:rPr>
                <w:rtl/>
                <w:lang w:bidi="ar-EG"/>
              </w:rPr>
              <w:t>المؤتمر العالمي لتنمية الاتصالات لعام 2022 (</w:t>
            </w:r>
            <w:r w:rsidRPr="00223E42">
              <w:rPr>
                <w:lang w:bidi="ar-EG"/>
              </w:rPr>
              <w:t>WTDC-22</w:t>
            </w:r>
            <w:r w:rsidRPr="00223E42">
              <w:rPr>
                <w:rtl/>
                <w:lang w:bidi="ar-EG"/>
              </w:rPr>
              <w:t>)</w:t>
            </w:r>
          </w:p>
        </w:tc>
      </w:tr>
    </w:tbl>
    <w:p w14:paraId="509037BE" w14:textId="77777777" w:rsidR="00EE5CF2" w:rsidRDefault="00EE5CF2"/>
    <w:tbl>
      <w:tblPr>
        <w:bidiVisual/>
        <w:tblW w:w="5008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9638"/>
      </w:tblGrid>
      <w:tr w:rsidR="00783A69" w:rsidRPr="00153471" w14:paraId="2CAA52F5" w14:textId="77777777" w:rsidTr="001344CE">
        <w:trPr>
          <w:cantSplit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5D73" w14:textId="477EDF4C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088CE0E" w14:textId="6CF49776" w:rsidR="00783A69" w:rsidRPr="00223E42" w:rsidRDefault="00223E42" w:rsidP="00EE5CF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اعتمد المؤتمر العالمي لتنمية الاتصالات </w:t>
            </w:r>
            <w:r>
              <w:t>(WTDC-22)</w:t>
            </w:r>
            <w:r>
              <w:rPr>
                <w:rFonts w:hint="cs"/>
                <w:rtl/>
              </w:rPr>
              <w:t xml:space="preserve"> الذي عُقد في كيغالي، رواندا، في الفترة من 6 إلى 16 يونيو 2022، إعلان كيغالي وخطة عمل كيغالي، بما يشمل 28 مبادرة إقليمية </w:t>
            </w:r>
            <w:r>
              <w:t>(RI)</w:t>
            </w:r>
            <w:r>
              <w:rPr>
                <w:rFonts w:hint="cs"/>
                <w:rtl/>
              </w:rPr>
              <w:t xml:space="preserve"> عبر المناطق الست لقطاع تنمية الاتصالات</w:t>
            </w:r>
            <w:r w:rsidR="00750EA1">
              <w:rPr>
                <w:rFonts w:hint="cs"/>
                <w:rtl/>
              </w:rPr>
              <w:t>.</w:t>
            </w:r>
          </w:p>
          <w:p w14:paraId="192F6E3F" w14:textId="235E679A" w:rsidR="001344CE" w:rsidRPr="00750EA1" w:rsidRDefault="00750EA1" w:rsidP="001344CE">
            <w:pPr>
              <w:rPr>
                <w:rtl/>
              </w:rPr>
            </w:pPr>
            <w:r w:rsidRPr="00750EA1">
              <w:rPr>
                <w:rtl/>
                <w:lang w:bidi="ar-SY"/>
              </w:rPr>
              <w:t xml:space="preserve">وسيتطلب التنفيذ الكامل لهذه المبادرات الإقليمية تمويلاً كبيراً يتعين </w:t>
            </w:r>
            <w:r>
              <w:rPr>
                <w:rFonts w:hint="cs"/>
                <w:rtl/>
                <w:lang w:bidi="ar-SY"/>
              </w:rPr>
              <w:t>على</w:t>
            </w:r>
            <w:r w:rsidRPr="00750EA1">
              <w:rPr>
                <w:rtl/>
                <w:lang w:bidi="ar-SY"/>
              </w:rPr>
              <w:t xml:space="preserve"> الاتحاد توليده من خلال تعبئة الموارد </w:t>
            </w:r>
            <w:r>
              <w:rPr>
                <w:rFonts w:hint="cs"/>
                <w:rtl/>
                <w:lang w:bidi="ar-SY"/>
              </w:rPr>
              <w:t>و</w:t>
            </w:r>
            <w:r w:rsidR="00807E8D">
              <w:rPr>
                <w:rFonts w:hint="cs"/>
                <w:rtl/>
                <w:lang w:bidi="ar-SY"/>
              </w:rPr>
              <w:t>ال</w:t>
            </w:r>
            <w:r>
              <w:rPr>
                <w:rFonts w:hint="cs"/>
                <w:rtl/>
                <w:lang w:bidi="ar-SY"/>
              </w:rPr>
              <w:t xml:space="preserve">جهود </w:t>
            </w:r>
            <w:r w:rsidR="00807E8D">
              <w:rPr>
                <w:rFonts w:hint="cs"/>
                <w:rtl/>
                <w:lang w:bidi="ar-SY"/>
              </w:rPr>
              <w:t>ال</w:t>
            </w:r>
            <w:r>
              <w:rPr>
                <w:rFonts w:hint="cs"/>
                <w:rtl/>
                <w:lang w:bidi="ar-SY"/>
              </w:rPr>
              <w:t xml:space="preserve">أخرى. وفي الدورة السابقة، اقترح المؤتمر العالمي لتنمية الاتصالات لعام 2017 </w:t>
            </w:r>
            <w:r>
              <w:rPr>
                <w:lang w:bidi="ar-SY"/>
              </w:rPr>
              <w:t>(WTDC-17)</w:t>
            </w:r>
            <w:r>
              <w:rPr>
                <w:rFonts w:hint="cs"/>
                <w:rtl/>
              </w:rPr>
              <w:t xml:space="preserve"> تخصيص مبلغ مليون فرنك سويسري لكل مبادرة إقليمية لضمان </w:t>
            </w:r>
            <w:r w:rsidR="00CE4E39">
              <w:rPr>
                <w:rFonts w:hint="cs"/>
                <w:rtl/>
              </w:rPr>
              <w:t>أن ي</w:t>
            </w:r>
            <w:r>
              <w:rPr>
                <w:rFonts w:hint="cs"/>
                <w:rtl/>
              </w:rPr>
              <w:t>توفر</w:t>
            </w:r>
            <w:r w:rsidR="00CE4E39">
              <w:rPr>
                <w:rFonts w:hint="cs"/>
                <w:rtl/>
              </w:rPr>
              <w:t xml:space="preserve"> للاتحاد</w:t>
            </w:r>
            <w:r>
              <w:rPr>
                <w:rFonts w:hint="cs"/>
                <w:rtl/>
              </w:rPr>
              <w:t xml:space="preserve"> التمويل الكافي </w:t>
            </w:r>
            <w:r w:rsidR="00CE4E39">
              <w:rPr>
                <w:rFonts w:hint="cs"/>
                <w:rtl/>
              </w:rPr>
              <w:t>لعقد شراكات والمشاركة في جهود تعاونية أخرى من شأنها أن تضمن التنفيذ الف</w:t>
            </w:r>
            <w:r w:rsidR="00386938">
              <w:rPr>
                <w:rFonts w:hint="cs"/>
                <w:rtl/>
              </w:rPr>
              <w:t>عّ</w:t>
            </w:r>
            <w:r w:rsidR="00CE4E39">
              <w:rPr>
                <w:rFonts w:hint="cs"/>
                <w:rtl/>
              </w:rPr>
              <w:t>ال والكامل لهذه المبادرات الإقليمية. ولم تخصَّص أي موارد مالية لهذا الغرض.</w:t>
            </w:r>
          </w:p>
          <w:p w14:paraId="4BA51B09" w14:textId="12027ACF" w:rsidR="001344CE" w:rsidRPr="00CE4E39" w:rsidRDefault="00CE4E39" w:rsidP="001344CE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وبعد اعتماد المؤتمر </w:t>
            </w:r>
            <w:r>
              <w:rPr>
                <w:lang w:bidi="ar-EG"/>
              </w:rPr>
              <w:t>WTDC-17</w:t>
            </w:r>
            <w:r>
              <w:rPr>
                <w:rFonts w:hint="cs"/>
                <w:rtl/>
              </w:rPr>
              <w:t xml:space="preserve"> للمبادرات الإقليمية، خصص المجلس في دورته لعام 2018 ما مجموعة 5 ملايين فر</w:t>
            </w:r>
            <w:r w:rsidR="00807E8D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>ك سويسري كتمويل أولي للفترة 2018-2021.</w:t>
            </w:r>
          </w:p>
          <w:p w14:paraId="1A10FFBB" w14:textId="4A312F60" w:rsidR="001344CE" w:rsidRPr="00CE4E39" w:rsidRDefault="00CE4E39" w:rsidP="001344CE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وتقدم هذه الوثيقة نظرة عامة على المبادرات الإقليمية التي اعتمدها المؤتمر </w:t>
            </w:r>
            <w:r>
              <w:rPr>
                <w:lang w:bidi="ar-EG"/>
              </w:rPr>
              <w:t>WTDC-22</w:t>
            </w:r>
            <w:r>
              <w:rPr>
                <w:rFonts w:hint="cs"/>
                <w:rtl/>
              </w:rPr>
              <w:t xml:space="preserve">، وتعرض الطلب الذي يتقدم به مكتب تنمية الاتصالات </w:t>
            </w:r>
            <w:r w:rsidR="00D523DB">
              <w:rPr>
                <w:rFonts w:hint="cs"/>
                <w:rtl/>
              </w:rPr>
              <w:t>إلى المجلس من أجل تخصيص موارد مالية لتسريع تنفيذ المبادرات الإقليمية.</w:t>
            </w:r>
          </w:p>
          <w:p w14:paraId="7B55E1A6" w14:textId="6949417F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862E322" w14:textId="490FF6CC" w:rsidR="001344CE" w:rsidRPr="00D523DB" w:rsidRDefault="00D523DB" w:rsidP="001344CE">
            <w:pPr>
              <w:rPr>
                <w:rtl/>
                <w:lang w:val="fr-CH"/>
              </w:rPr>
            </w:pPr>
            <w:r>
              <w:rPr>
                <w:rFonts w:hint="cs"/>
                <w:rtl/>
                <w:lang w:bidi="ar-EG"/>
              </w:rPr>
              <w:t xml:space="preserve">يُرجى من الفريق الاستشاري لتنمية الاتصالات أن يحيط علماً بهذه الوثيقة ويقدم المشورة التي يراها ضرورية، خاصة فيما يتعلق بالطلب </w:t>
            </w:r>
            <w:r w:rsidR="0020576D">
              <w:rPr>
                <w:rFonts w:hint="cs"/>
                <w:rtl/>
                <w:lang w:bidi="ar-EG"/>
              </w:rPr>
              <w:t>المقدم من</w:t>
            </w:r>
            <w:r>
              <w:rPr>
                <w:rFonts w:hint="cs"/>
                <w:rtl/>
                <w:lang w:bidi="ar-EG"/>
              </w:rPr>
              <w:t xml:space="preserve"> مكتب تنمية الاتصالات إلى المجلس في إطار عملية ميزانية 2024-2027</w:t>
            </w:r>
            <w:r>
              <w:rPr>
                <w:lang w:val="fr-CH" w:bidi="ar-EG"/>
              </w:rPr>
              <w:t xml:space="preserve"> </w:t>
            </w:r>
            <w:r w:rsidR="0020576D">
              <w:rPr>
                <w:rFonts w:hint="cs"/>
                <w:rtl/>
              </w:rPr>
              <w:t>من أجل</w:t>
            </w:r>
            <w:r>
              <w:rPr>
                <w:rFonts w:hint="cs"/>
                <w:rtl/>
              </w:rPr>
              <w:t xml:space="preserve"> تخصيص موارد إضافية لتنفيذ المبادرات الإقليمية التي اعتمدها المؤتمر </w:t>
            </w:r>
            <w:r>
              <w:t>WTDC-22</w:t>
            </w:r>
            <w:r>
              <w:rPr>
                <w:rFonts w:hint="cs"/>
                <w:rtl/>
              </w:rPr>
              <w:t>، كما كان الحال في عام 2018.</w:t>
            </w:r>
          </w:p>
          <w:p w14:paraId="321DC7E0" w14:textId="3A628BA4" w:rsidR="00783A69" w:rsidRPr="00153471" w:rsidRDefault="00783A69" w:rsidP="00EE5CF2">
            <w:pPr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B89B324" w14:textId="042E1458" w:rsidR="00783A69" w:rsidRPr="00153471" w:rsidRDefault="00D523DB" w:rsidP="00EE5CF2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لا توجد</w:t>
            </w:r>
            <w:r w:rsidR="00807E8D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20746713" w14:textId="77777777" w:rsidR="0006468A" w:rsidRDefault="0006468A" w:rsidP="0006468A">
      <w:pPr>
        <w:rPr>
          <w:rtl/>
          <w:lang w:bidi="ar-EG"/>
        </w:rPr>
      </w:pPr>
    </w:p>
    <w:p w14:paraId="2CA2F74E" w14:textId="77777777" w:rsidR="00882A17" w:rsidRDefault="00882A17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02F6360B" w14:textId="10CBFBE5" w:rsidR="00882A17" w:rsidRDefault="001344CE" w:rsidP="001344CE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5FF18981" w14:textId="004CDEB2" w:rsidR="001344CE" w:rsidRDefault="0020576D" w:rsidP="001344CE">
      <w:pPr>
        <w:rPr>
          <w:lang w:bidi="ar-EG"/>
        </w:rPr>
      </w:pPr>
      <w:r>
        <w:rPr>
          <w:rFonts w:hint="cs"/>
          <w:rtl/>
        </w:rPr>
        <w:t xml:space="preserve">اعتمد المؤتمر العالمي لتنمية الاتصالات </w:t>
      </w:r>
      <w:r>
        <w:t>(WTDC-22)</w:t>
      </w:r>
      <w:r>
        <w:rPr>
          <w:rFonts w:hint="cs"/>
          <w:rtl/>
        </w:rPr>
        <w:t xml:space="preserve"> الذي عُقد في كيغالي، رواندا، في الفترة من 6 إلى 16 يونيو 2022، خطة عمل كيغالي بما يشمل 28 مبادرة إقليمية (موزعة عبر المناطق الست لقطاع تنمية الاتصالات). و</w:t>
      </w:r>
      <w:r w:rsidR="004933BB">
        <w:rPr>
          <w:rFonts w:hint="cs"/>
          <w:rtl/>
        </w:rPr>
        <w:t>استناداً إلى</w:t>
      </w:r>
      <w:r>
        <w:rPr>
          <w:rFonts w:hint="cs"/>
          <w:rtl/>
        </w:rPr>
        <w:t xml:space="preserve"> الخبرة المكتسبة خلال الدورة السابقة لتنفيذ المبادرات الإقليمية (من 2018 إلى 2022)، اتضح أن </w:t>
      </w:r>
      <w:r w:rsidR="001C36C5">
        <w:rPr>
          <w:rFonts w:hint="cs"/>
          <w:rtl/>
        </w:rPr>
        <w:t>ا</w:t>
      </w:r>
      <w:r>
        <w:rPr>
          <w:rFonts w:hint="cs"/>
          <w:rtl/>
        </w:rPr>
        <w:t>لمشاريع من المتوسطة</w:t>
      </w:r>
      <w:r w:rsidR="001344CE">
        <w:rPr>
          <w:rStyle w:val="FootnoteReference"/>
          <w:rtl/>
          <w:lang w:bidi="ar-EG"/>
        </w:rPr>
        <w:footnoteReference w:id="1"/>
      </w:r>
      <w:r w:rsidR="001344C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إلى الكبيرة</w:t>
      </w:r>
      <w:r w:rsidR="001344CE">
        <w:rPr>
          <w:rStyle w:val="FootnoteReference"/>
          <w:rtl/>
          <w:lang w:bidi="ar-EG"/>
        </w:rPr>
        <w:footnoteReference w:id="2"/>
      </w:r>
      <w:r>
        <w:rPr>
          <w:rFonts w:hint="cs"/>
          <w:rtl/>
          <w:lang w:bidi="ar-EG"/>
        </w:rPr>
        <w:t xml:space="preserve"> </w:t>
      </w:r>
      <w:r w:rsidR="001C36C5">
        <w:rPr>
          <w:rFonts w:hint="cs"/>
          <w:rtl/>
          <w:lang w:bidi="ar-EG"/>
        </w:rPr>
        <w:t xml:space="preserve">لها </w:t>
      </w:r>
      <w:r>
        <w:rPr>
          <w:rFonts w:hint="cs"/>
          <w:rtl/>
          <w:lang w:bidi="ar-EG"/>
        </w:rPr>
        <w:t>أثر كبير على الصعيدين الوطني والإقليمي.</w:t>
      </w:r>
    </w:p>
    <w:p w14:paraId="3240FEE5" w14:textId="6F1F5F67" w:rsidR="001344CE" w:rsidRPr="001C36C5" w:rsidRDefault="0020576D" w:rsidP="001344CE">
      <w:pPr>
        <w:rPr>
          <w:rtl/>
        </w:rPr>
      </w:pPr>
      <w:r>
        <w:rPr>
          <w:rFonts w:hint="cs"/>
          <w:rtl/>
          <w:lang w:bidi="ar-EG"/>
        </w:rPr>
        <w:t>وخلال الفترة 2014-2018</w:t>
      </w:r>
      <w:r w:rsidR="001344CE">
        <w:rPr>
          <w:rStyle w:val="FootnoteReference"/>
          <w:rtl/>
          <w:lang w:bidi="ar-EG"/>
        </w:rPr>
        <w:footnoteReference w:id="3"/>
      </w:r>
      <w:r>
        <w:rPr>
          <w:rFonts w:hint="cs"/>
          <w:rtl/>
        </w:rPr>
        <w:t xml:space="preserve">، وقّع الاتحاد 87 مشروعاً بقيمة </w:t>
      </w:r>
      <w:r>
        <w:t>25,7</w:t>
      </w:r>
      <w:r>
        <w:rPr>
          <w:rFonts w:hint="cs"/>
          <w:rtl/>
        </w:rPr>
        <w:t xml:space="preserve"> مليون فرنك سويسري وخصص مبلغ </w:t>
      </w:r>
      <w:r>
        <w:t>3,4</w:t>
      </w:r>
      <w:r>
        <w:rPr>
          <w:rFonts w:hint="cs"/>
          <w:rtl/>
        </w:rPr>
        <w:t xml:space="preserve"> ملايين فرنك سويسري كمساهمة نقدية في هذه المشاريع (بما </w:t>
      </w:r>
      <w:r w:rsidR="001C36C5">
        <w:rPr>
          <w:rFonts w:hint="cs"/>
          <w:rtl/>
        </w:rPr>
        <w:t>يشمل مساهمات من صندوق تنمية تكنولوجيا المعلومات والاتصالات</w:t>
      </w:r>
      <w:r w:rsidR="00386938">
        <w:rPr>
          <w:rFonts w:hint="eastAsia"/>
          <w:rtl/>
        </w:rPr>
        <w:t> </w:t>
      </w:r>
      <w:r w:rsidR="001C36C5">
        <w:t>(ICTDF)</w:t>
      </w:r>
      <w:r w:rsidR="001C36C5">
        <w:rPr>
          <w:rFonts w:hint="cs"/>
          <w:rtl/>
        </w:rPr>
        <w:t xml:space="preserve"> بقيمة </w:t>
      </w:r>
      <w:r w:rsidR="00557904">
        <w:t>1</w:t>
      </w:r>
      <w:r w:rsidR="001C36C5">
        <w:t>,</w:t>
      </w:r>
      <w:r w:rsidR="00557904">
        <w:t>2</w:t>
      </w:r>
      <w:r w:rsidR="001C36C5">
        <w:rPr>
          <w:rFonts w:hint="cs"/>
          <w:rtl/>
        </w:rPr>
        <w:t xml:space="preserve"> مل</w:t>
      </w:r>
      <w:r w:rsidR="00557904">
        <w:rPr>
          <w:rFonts w:hint="cs"/>
          <w:rtl/>
        </w:rPr>
        <w:t>يون</w:t>
      </w:r>
      <w:r w:rsidR="001C36C5">
        <w:rPr>
          <w:rFonts w:hint="cs"/>
          <w:rtl/>
        </w:rPr>
        <w:t xml:space="preserve"> فرنك سويسري)</w:t>
      </w:r>
      <w:r w:rsidR="00557904">
        <w:rPr>
          <w:rFonts w:hint="cs"/>
          <w:rtl/>
        </w:rPr>
        <w:t xml:space="preserve">. ومع ذلك، </w:t>
      </w:r>
      <w:r w:rsidR="00557904" w:rsidRPr="00557904">
        <w:rPr>
          <w:rtl/>
        </w:rPr>
        <w:t xml:space="preserve">ظلت </w:t>
      </w:r>
      <w:r w:rsidR="00557904">
        <w:rPr>
          <w:rFonts w:hint="cs"/>
          <w:rtl/>
        </w:rPr>
        <w:t>أغلبية</w:t>
      </w:r>
      <w:r w:rsidR="00557904" w:rsidRPr="00557904">
        <w:rPr>
          <w:rtl/>
        </w:rPr>
        <w:t xml:space="preserve"> المشاريع صغيرة ومتوسطة بسبب </w:t>
      </w:r>
      <w:r w:rsidR="00557904">
        <w:rPr>
          <w:rFonts w:hint="cs"/>
          <w:rtl/>
        </w:rPr>
        <w:t>انعدام</w:t>
      </w:r>
      <w:r w:rsidR="00557904" w:rsidRPr="00557904">
        <w:rPr>
          <w:rtl/>
        </w:rPr>
        <w:t xml:space="preserve"> التمويل </w:t>
      </w:r>
      <w:r w:rsidR="00557904">
        <w:rPr>
          <w:rFonts w:hint="cs"/>
          <w:rtl/>
        </w:rPr>
        <w:t>المجدي</w:t>
      </w:r>
      <w:r w:rsidR="00557904" w:rsidRPr="00557904">
        <w:rPr>
          <w:rtl/>
        </w:rPr>
        <w:t xml:space="preserve"> الذي من شأنه أن يدعم المشاريع الكبيرة.</w:t>
      </w:r>
    </w:p>
    <w:p w14:paraId="7C8B30F7" w14:textId="39915B1A" w:rsidR="001344CE" w:rsidRDefault="00557904" w:rsidP="000646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واعترافاً بهذه المسألة، وافق مجلس الاتحاد في دورته لعام 2018 على تخصيص مبلغ إجمالي يبلغ 5 ملايين فرنك سويسري لاستخدامه كتمويل أولي </w:t>
      </w:r>
      <w:r w:rsidR="00911CCD">
        <w:rPr>
          <w:rFonts w:hint="cs"/>
          <w:rtl/>
          <w:lang w:bidi="ar-EG"/>
        </w:rPr>
        <w:t>لمشاريع الاتحاد، ما من شأنه أن يجذب بدوره تمويلاً أكبر من المانحين والشركاء، ويحسن بذلك من حجم هذه المشاريع وتأثيرها.</w:t>
      </w:r>
    </w:p>
    <w:p w14:paraId="427825A0" w14:textId="7BF818D1" w:rsidR="001344CE" w:rsidRDefault="00911CCD" w:rsidP="0006468A">
      <w:pPr>
        <w:rPr>
          <w:rtl/>
          <w:lang w:bidi="ar-EG"/>
        </w:rPr>
      </w:pPr>
      <w:r>
        <w:rPr>
          <w:rFonts w:hint="cs"/>
          <w:rtl/>
        </w:rPr>
        <w:t xml:space="preserve">وخلال الفترة من 2019 إلى 2022، وقّع الاتحاد 97 مشروعاً بقيمة </w:t>
      </w:r>
      <w:r>
        <w:t>58,9</w:t>
      </w:r>
      <w:r>
        <w:rPr>
          <w:rFonts w:hint="cs"/>
          <w:rtl/>
        </w:rPr>
        <w:t xml:space="preserve"> مليون فرنك سويسري وخصص مبلغ </w:t>
      </w:r>
      <w:r>
        <w:t>9,4</w:t>
      </w:r>
      <w:r>
        <w:rPr>
          <w:rFonts w:hint="cs"/>
          <w:rtl/>
        </w:rPr>
        <w:t xml:space="preserve"> ملايين فرنك سويسري كمساهمة نقدية في هذه المشاريع (بما يشمل مساهمات من صندوق تنمية تكنولوجيا المعلومات والاتصالات </w:t>
      </w:r>
      <w:r w:rsidR="00557904">
        <w:rPr>
          <w:rFonts w:hint="cs"/>
          <w:rtl/>
        </w:rPr>
        <w:t xml:space="preserve">بقيمة </w:t>
      </w:r>
      <w:r w:rsidR="00557904">
        <w:t>3,3</w:t>
      </w:r>
      <w:r w:rsidR="00557904">
        <w:rPr>
          <w:rFonts w:hint="cs"/>
          <w:rtl/>
        </w:rPr>
        <w:t xml:space="preserve"> ملايين فرنك سويسري</w:t>
      </w:r>
      <w:r>
        <w:rPr>
          <w:rFonts w:hint="cs"/>
          <w:rtl/>
        </w:rPr>
        <w:t xml:space="preserve">). ويمثّل ذلك زيادة كبيرة في التمويل الذي حشده مكتب تنمية الاتصالات للمشاريع مقارنة بالفترة السابقة. ويجدر بالملاحظة أن 60 في </w:t>
      </w:r>
      <w:proofErr w:type="gramStart"/>
      <w:r>
        <w:rPr>
          <w:rFonts w:hint="cs"/>
          <w:rtl/>
        </w:rPr>
        <w:t>المائة</w:t>
      </w:r>
      <w:proofErr w:type="gramEnd"/>
      <w:r>
        <w:rPr>
          <w:rFonts w:hint="cs"/>
          <w:rtl/>
        </w:rPr>
        <w:t xml:space="preserve"> من هذه المشاريع (</w:t>
      </w:r>
      <w:r>
        <w:t>%61</w:t>
      </w:r>
      <w:r>
        <w:rPr>
          <w:rFonts w:hint="cs"/>
          <w:rtl/>
        </w:rPr>
        <w:t xml:space="preserve"> من مجموع المشاريع) استفادت من التمويل الذي خصصه المجلس للمبادرات الإقليمية.</w:t>
      </w:r>
    </w:p>
    <w:p w14:paraId="4F08A508" w14:textId="6978D277" w:rsidR="001344CE" w:rsidRDefault="00FF5A43" w:rsidP="0006468A">
      <w:pPr>
        <w:rPr>
          <w:lang w:bidi="ar-EG"/>
        </w:rPr>
      </w:pPr>
      <w:r>
        <w:rPr>
          <w:rFonts w:hint="cs"/>
          <w:rtl/>
          <w:lang w:bidi="ar-EG"/>
        </w:rPr>
        <w:t xml:space="preserve">وترد في الملحق 1 بهذه الوثيقة معلومات تفصيلية عن تنفيذ المبادرات الإقليمية للمؤتمر </w:t>
      </w:r>
      <w:r>
        <w:rPr>
          <w:lang w:bidi="ar-EG"/>
        </w:rPr>
        <w:t>WTDC-17</w:t>
      </w:r>
      <w:r>
        <w:rPr>
          <w:rFonts w:hint="cs"/>
          <w:rtl/>
        </w:rPr>
        <w:t xml:space="preserve"> الممولة على نحو مشترك من الأموال التي خصصها المجلس في دورته لعام 2018 والبالغة 5 ملايين فرنك سويسري والموارد المجمعة من خلال جهود تعبئة الموارد</w:t>
      </w:r>
      <w:r w:rsidR="001344CE">
        <w:rPr>
          <w:rFonts w:hint="cs"/>
          <w:rtl/>
          <w:lang w:bidi="ar-EG"/>
        </w:rPr>
        <w:t>.</w:t>
      </w:r>
    </w:p>
    <w:p w14:paraId="3A83FB25" w14:textId="759790EB" w:rsidR="0019128D" w:rsidRDefault="001344CE" w:rsidP="001344CE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FF5A43">
        <w:rPr>
          <w:rFonts w:hint="cs"/>
          <w:rtl/>
          <w:lang w:bidi="ar-EG"/>
        </w:rPr>
        <w:t>نظرة عامة على المبادرات الإقليمية</w:t>
      </w:r>
    </w:p>
    <w:p w14:paraId="09E0E9C8" w14:textId="0B7D83DB" w:rsidR="001344CE" w:rsidRDefault="00FF5A43" w:rsidP="001344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وافق المؤتمر العالمي لتنمية الاتصالات لعام 2022 على المبادرات الإقليمية </w:t>
      </w:r>
      <w:r w:rsidR="00C82BF8">
        <w:rPr>
          <w:rFonts w:hint="cs"/>
          <w:rtl/>
          <w:lang w:bidi="ar-EG"/>
        </w:rPr>
        <w:t>التي تشمل</w:t>
      </w:r>
      <w:r>
        <w:rPr>
          <w:rFonts w:hint="cs"/>
          <w:rtl/>
          <w:lang w:bidi="ar-EG"/>
        </w:rPr>
        <w:t xml:space="preserve"> </w:t>
      </w:r>
      <w:r w:rsidR="00C82BF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لأهداف الاستراتيجية للاتحاد</w:t>
      </w:r>
      <w:r w:rsidR="005F1FEE">
        <w:rPr>
          <w:rFonts w:hint="cs"/>
          <w:rtl/>
          <w:lang w:bidi="ar-EG"/>
        </w:rPr>
        <w:t xml:space="preserve"> وتتيح </w:t>
      </w:r>
      <w:r w:rsidR="00C82BF8">
        <w:rPr>
          <w:rFonts w:hint="cs"/>
          <w:rtl/>
          <w:lang w:bidi="ar-EG"/>
        </w:rPr>
        <w:t xml:space="preserve">لسائر المناطق فرص التآزر الذي سيُستفاد منه في تنفيذ المبادرات الإقليمية. </w:t>
      </w:r>
      <w:r w:rsidR="005F1FEE">
        <w:rPr>
          <w:rFonts w:hint="cs"/>
          <w:rtl/>
          <w:lang w:bidi="ar-EG"/>
        </w:rPr>
        <w:t>وترد المبادرات الإقليمية في الملحق 2.</w:t>
      </w:r>
    </w:p>
    <w:p w14:paraId="734EDBAD" w14:textId="26F71FE6" w:rsidR="001344CE" w:rsidRDefault="001344CE" w:rsidP="001344CE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5F1FEE">
        <w:rPr>
          <w:rFonts w:hint="cs"/>
          <w:rtl/>
          <w:lang w:bidi="ar-EG"/>
        </w:rPr>
        <w:t>المقترحات</w:t>
      </w:r>
    </w:p>
    <w:p w14:paraId="1FC8DFD8" w14:textId="42E17A16" w:rsidR="001344CE" w:rsidRDefault="005F1FEE" w:rsidP="001344CE">
      <w:pPr>
        <w:rPr>
          <w:lang w:bidi="ar-EG"/>
        </w:rPr>
      </w:pPr>
      <w:r w:rsidRPr="005F1FEE">
        <w:rPr>
          <w:rtl/>
          <w:lang w:bidi="ar-EG"/>
        </w:rPr>
        <w:t xml:space="preserve">بدأ تنفيذ هذه المبادرات الإقليمية بالفعل في عام 2023 نظراً للاتساق القائم بين عملية التخطيط التشغيلي، وتخطيط المشاريع، وتنفيذ المبادرات الإقليمية استناداً إلى </w:t>
      </w:r>
      <w:r>
        <w:rPr>
          <w:rFonts w:hint="cs"/>
          <w:rtl/>
          <w:lang w:bidi="ar-EG"/>
        </w:rPr>
        <w:t xml:space="preserve">نهج </w:t>
      </w:r>
      <w:r w:rsidRPr="005F1FEE">
        <w:rPr>
          <w:rtl/>
          <w:lang w:bidi="ar-EG"/>
        </w:rPr>
        <w:t>الإدارة القائمة على النتائج، ال</w:t>
      </w:r>
      <w:r>
        <w:rPr>
          <w:rFonts w:hint="cs"/>
          <w:rtl/>
          <w:lang w:bidi="ar-EG"/>
        </w:rPr>
        <w:t>ذ</w:t>
      </w:r>
      <w:r w:rsidRPr="005F1FEE">
        <w:rPr>
          <w:rtl/>
          <w:lang w:bidi="ar-EG"/>
        </w:rPr>
        <w:t xml:space="preserve">ي </w:t>
      </w:r>
      <w:r>
        <w:rPr>
          <w:rFonts w:hint="cs"/>
          <w:rtl/>
          <w:lang w:bidi="ar-EG"/>
        </w:rPr>
        <w:t>ي</w:t>
      </w:r>
      <w:r w:rsidRPr="005F1FEE">
        <w:rPr>
          <w:rtl/>
          <w:lang w:bidi="ar-EG"/>
        </w:rPr>
        <w:t>ركز على النتائج بدلاً من الأعمال المجزأة.</w:t>
      </w:r>
      <w:r w:rsidRPr="005F1FEE">
        <w:rPr>
          <w:rtl/>
        </w:rPr>
        <w:t xml:space="preserve"> </w:t>
      </w:r>
      <w:r>
        <w:rPr>
          <w:rFonts w:hint="cs"/>
          <w:rtl/>
          <w:lang w:bidi="ar-EG"/>
        </w:rPr>
        <w:t>ومع ذلك، فإن</w:t>
      </w:r>
      <w:r w:rsidRPr="005F1FEE">
        <w:rPr>
          <w:rtl/>
          <w:lang w:bidi="ar-EG"/>
        </w:rPr>
        <w:t xml:space="preserve"> التنفيذ الفع</w:t>
      </w:r>
      <w:r w:rsidR="00386938">
        <w:rPr>
          <w:rFonts w:hint="cs"/>
          <w:rtl/>
          <w:lang w:bidi="ar-EG"/>
        </w:rPr>
        <w:t>ّ</w:t>
      </w:r>
      <w:r w:rsidRPr="005F1FEE">
        <w:rPr>
          <w:rtl/>
          <w:lang w:bidi="ar-EG"/>
        </w:rPr>
        <w:t>ال لهذه المبادرات الإقليمية سيكون محدوداً إذا لم تخص</w:t>
      </w:r>
      <w:r>
        <w:rPr>
          <w:rFonts w:hint="cs"/>
          <w:rtl/>
          <w:lang w:bidi="ar-EG"/>
        </w:rPr>
        <w:t>َّ</w:t>
      </w:r>
      <w:r w:rsidRPr="005F1FEE">
        <w:rPr>
          <w:rtl/>
          <w:lang w:bidi="ar-EG"/>
        </w:rPr>
        <w:t>ص</w:t>
      </w:r>
      <w:r>
        <w:rPr>
          <w:rFonts w:hint="cs"/>
          <w:rtl/>
          <w:lang w:bidi="ar-EG"/>
        </w:rPr>
        <w:t xml:space="preserve"> له</w:t>
      </w:r>
      <w:r w:rsidRPr="005F1F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5F1FEE">
        <w:rPr>
          <w:rtl/>
          <w:lang w:bidi="ar-EG"/>
        </w:rPr>
        <w:t xml:space="preserve">أموال </w:t>
      </w:r>
      <w:r>
        <w:rPr>
          <w:rFonts w:hint="cs"/>
          <w:rtl/>
          <w:lang w:bidi="ar-EG"/>
        </w:rPr>
        <w:t xml:space="preserve">اللازمة. </w:t>
      </w:r>
      <w:r w:rsidRPr="005F1FEE">
        <w:rPr>
          <w:rtl/>
          <w:lang w:bidi="ar-EG"/>
        </w:rPr>
        <w:t xml:space="preserve">وعلاوة على ذلك، </w:t>
      </w:r>
      <w:r w:rsidR="00822834">
        <w:rPr>
          <w:rFonts w:hint="cs"/>
          <w:rtl/>
          <w:lang w:bidi="ar-EG"/>
        </w:rPr>
        <w:t>سيعر</w:t>
      </w:r>
      <w:r w:rsidR="00807E8D">
        <w:rPr>
          <w:rFonts w:hint="cs"/>
          <w:rtl/>
          <w:lang w:bidi="ar-EG"/>
        </w:rPr>
        <w:t>ّ</w:t>
      </w:r>
      <w:r w:rsidR="00822834">
        <w:rPr>
          <w:rFonts w:hint="cs"/>
          <w:rtl/>
          <w:lang w:bidi="ar-EG"/>
        </w:rPr>
        <w:t>ض</w:t>
      </w:r>
      <w:r>
        <w:rPr>
          <w:rFonts w:hint="cs"/>
          <w:rtl/>
          <w:lang w:bidi="ar-EG"/>
        </w:rPr>
        <w:t xml:space="preserve"> عدم توفير الأموال الأولية أيضاً </w:t>
      </w:r>
      <w:r w:rsidRPr="005F1FEE">
        <w:rPr>
          <w:rtl/>
          <w:lang w:bidi="ar-EG"/>
        </w:rPr>
        <w:t xml:space="preserve">نجاح </w:t>
      </w:r>
      <w:r w:rsidR="00822834">
        <w:rPr>
          <w:rFonts w:hint="cs"/>
          <w:rtl/>
          <w:lang w:bidi="ar-EG"/>
        </w:rPr>
        <w:t xml:space="preserve">جهود </w:t>
      </w:r>
      <w:r w:rsidRPr="005F1FEE">
        <w:rPr>
          <w:rtl/>
          <w:lang w:bidi="ar-EG"/>
        </w:rPr>
        <w:t>تعبئة الموارد</w:t>
      </w:r>
      <w:r w:rsidR="00822834">
        <w:rPr>
          <w:rFonts w:hint="cs"/>
          <w:rtl/>
          <w:lang w:bidi="ar-EG"/>
        </w:rPr>
        <w:t xml:space="preserve"> للضرر</w:t>
      </w:r>
      <w:r w:rsidRPr="005F1FEE">
        <w:rPr>
          <w:rtl/>
          <w:lang w:bidi="ar-EG"/>
        </w:rPr>
        <w:t>.</w:t>
      </w:r>
    </w:p>
    <w:p w14:paraId="78402ABF" w14:textId="18B96524" w:rsidR="001344CE" w:rsidRPr="000471C7" w:rsidRDefault="00822834" w:rsidP="001344CE">
      <w:pPr>
        <w:rPr>
          <w:rtl/>
        </w:rPr>
      </w:pPr>
      <w:r>
        <w:rPr>
          <w:rFonts w:hint="cs"/>
          <w:rtl/>
          <w:lang w:bidi="ar-EG"/>
        </w:rPr>
        <w:t xml:space="preserve">واستناداً إلى الخبرة السابقة، يُقترح أن يطلب مكتب تنمية الاتصالات إلى المجلس </w:t>
      </w:r>
      <w:r w:rsidR="004933BB">
        <w:rPr>
          <w:rFonts w:hint="cs"/>
          <w:rtl/>
          <w:lang w:bidi="ar-EG"/>
        </w:rPr>
        <w:t>أن يخصص</w:t>
      </w:r>
      <w:r w:rsidR="000471C7">
        <w:rPr>
          <w:rFonts w:hint="cs"/>
          <w:rtl/>
          <w:lang w:bidi="ar-EG"/>
        </w:rPr>
        <w:t xml:space="preserve"> للدورة الحالية</w:t>
      </w:r>
      <w:r w:rsidR="004933BB">
        <w:rPr>
          <w:rFonts w:hint="cs"/>
          <w:rtl/>
          <w:lang w:bidi="ar-EG"/>
        </w:rPr>
        <w:t xml:space="preserve"> على الأقل نفس المبلغ </w:t>
      </w:r>
      <w:r w:rsidR="000471C7">
        <w:rPr>
          <w:rFonts w:hint="cs"/>
          <w:rtl/>
          <w:lang w:bidi="ar-EG"/>
        </w:rPr>
        <w:t>الذي خصصه في الدورة السابقة</w:t>
      </w:r>
      <w:r>
        <w:rPr>
          <w:rFonts w:hint="cs"/>
          <w:rtl/>
          <w:lang w:bidi="ar-EG"/>
        </w:rPr>
        <w:t xml:space="preserve">، </w:t>
      </w:r>
      <w:r w:rsidR="000471C7">
        <w:rPr>
          <w:rFonts w:hint="cs"/>
          <w:rtl/>
          <w:lang w:bidi="ar-EG"/>
        </w:rPr>
        <w:t xml:space="preserve">لتمكين تنفيذ </w:t>
      </w:r>
      <w:r w:rsidR="00807E8D">
        <w:rPr>
          <w:rFonts w:hint="cs"/>
          <w:rtl/>
          <w:lang w:bidi="ar-EG"/>
        </w:rPr>
        <w:t>أشمل</w:t>
      </w:r>
      <w:r w:rsidR="000471C7">
        <w:rPr>
          <w:rFonts w:hint="cs"/>
          <w:rtl/>
          <w:lang w:bidi="ar-EG"/>
        </w:rPr>
        <w:t xml:space="preserve">. ومع ذلك، يجدر بالإشارة، استناداً إلى الخبرة التي اكتسبناها خلال الدورة 2018-2022، إلى أن الشركاء الخارجيين غالباً ما </w:t>
      </w:r>
      <w:r w:rsidR="000F231B">
        <w:rPr>
          <w:rFonts w:hint="cs"/>
          <w:rtl/>
          <w:lang w:bidi="ar-EG"/>
        </w:rPr>
        <w:t>يقدمون</w:t>
      </w:r>
      <w:r w:rsidR="000471C7">
        <w:rPr>
          <w:rFonts w:hint="cs"/>
          <w:rtl/>
          <w:lang w:bidi="ar-EG"/>
        </w:rPr>
        <w:t xml:space="preserve"> ما متوسطه </w:t>
      </w:r>
      <w:r w:rsidR="000471C7">
        <w:rPr>
          <w:lang w:bidi="ar-EG"/>
        </w:rPr>
        <w:t>%50</w:t>
      </w:r>
      <w:r w:rsidR="000471C7">
        <w:rPr>
          <w:rFonts w:hint="cs"/>
          <w:rtl/>
        </w:rPr>
        <w:t xml:space="preserve"> من مساهمة الاتحاد في كل مشروع. وهذا يعني فعلياً أن احتمال </w:t>
      </w:r>
      <w:r w:rsidR="000F231B">
        <w:rPr>
          <w:rFonts w:hint="cs"/>
          <w:rtl/>
        </w:rPr>
        <w:t>تقديم</w:t>
      </w:r>
      <w:r w:rsidR="000471C7">
        <w:rPr>
          <w:rFonts w:hint="cs"/>
          <w:rtl/>
        </w:rPr>
        <w:t xml:space="preserve"> الشركاء الخارجيين مزيد</w:t>
      </w:r>
      <w:r w:rsidR="000F231B">
        <w:rPr>
          <w:rFonts w:hint="cs"/>
          <w:rtl/>
        </w:rPr>
        <w:t>اً</w:t>
      </w:r>
      <w:r w:rsidR="000471C7">
        <w:rPr>
          <w:rFonts w:hint="cs"/>
          <w:rtl/>
        </w:rPr>
        <w:t xml:space="preserve"> من الأموال من أجل </w:t>
      </w:r>
      <w:r w:rsidR="000F231B">
        <w:rPr>
          <w:rFonts w:hint="cs"/>
          <w:rtl/>
        </w:rPr>
        <w:t xml:space="preserve">تنفيذ </w:t>
      </w:r>
      <w:r w:rsidR="000471C7">
        <w:rPr>
          <w:rFonts w:hint="cs"/>
          <w:rtl/>
        </w:rPr>
        <w:t xml:space="preserve">المشاريع المتعلقة بالمبادرات الإقليمية يزيد </w:t>
      </w:r>
      <w:r w:rsidR="000F231B">
        <w:rPr>
          <w:rFonts w:hint="cs"/>
          <w:rtl/>
        </w:rPr>
        <w:t xml:space="preserve">كلما زاد المبلغ المخصص لكل مبادرة إقليمية. 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137"/>
        <w:gridCol w:w="2234"/>
        <w:gridCol w:w="1820"/>
        <w:gridCol w:w="2091"/>
      </w:tblGrid>
      <w:tr w:rsidR="00CE7A26" w:rsidRPr="001344CE" w14:paraId="64850033" w14:textId="77777777" w:rsidTr="001344CE">
        <w:trPr>
          <w:tblHeader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8536" w14:textId="77777777" w:rsidR="001344CE" w:rsidRPr="001344CE" w:rsidRDefault="001344CE" w:rsidP="001344CE">
            <w:pPr>
              <w:keepNext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3950" w14:textId="5AA6CD64" w:rsidR="001344CE" w:rsidRPr="001344CE" w:rsidRDefault="000F231B" w:rsidP="001344CE">
            <w:pPr>
              <w:keepNext/>
              <w:spacing w:after="12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خيارا التنفيذ الجزئي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A3F4" w14:textId="4A056B4E" w:rsidR="001344CE" w:rsidRPr="001344CE" w:rsidRDefault="001344CE" w:rsidP="001344CE">
            <w:pPr>
              <w:keepNext/>
              <w:spacing w:after="120"/>
              <w:jc w:val="center"/>
              <w:rPr>
                <w:b/>
                <w:bCs/>
              </w:rPr>
            </w:pPr>
            <w:r w:rsidRPr="001344CE">
              <w:rPr>
                <w:rFonts w:hint="cs"/>
                <w:b/>
                <w:bCs/>
                <w:rtl/>
              </w:rPr>
              <w:t>2024-2025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A514" w14:textId="62489675" w:rsidR="001344CE" w:rsidRPr="001344CE" w:rsidRDefault="001344CE" w:rsidP="001344CE">
            <w:pPr>
              <w:keepNext/>
              <w:spacing w:after="120"/>
              <w:jc w:val="center"/>
              <w:rPr>
                <w:b/>
                <w:bCs/>
              </w:rPr>
            </w:pPr>
            <w:r w:rsidRPr="001344CE">
              <w:rPr>
                <w:rFonts w:hint="cs"/>
                <w:b/>
                <w:bCs/>
                <w:rtl/>
              </w:rPr>
              <w:t>2026-2027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BEB726" w14:textId="16230EB9" w:rsidR="001344CE" w:rsidRPr="001344CE" w:rsidRDefault="000F231B" w:rsidP="001344CE">
            <w:pPr>
              <w:keepNext/>
              <w:spacing w:after="12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المجموع </w:t>
            </w:r>
            <w:r w:rsidR="00386938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للفترة</w:t>
            </w:r>
            <w:r w:rsidR="001344CE" w:rsidRPr="001344CE">
              <w:rPr>
                <w:rFonts w:hint="cs"/>
                <w:b/>
                <w:bCs/>
                <w:rtl/>
              </w:rPr>
              <w:t xml:space="preserve"> 2024-2027</w:t>
            </w:r>
          </w:p>
        </w:tc>
      </w:tr>
      <w:tr w:rsidR="00CE7A26" w:rsidRPr="001344CE" w14:paraId="28F73114" w14:textId="77777777" w:rsidTr="001344CE">
        <w:trPr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84BC" w14:textId="77777777" w:rsidR="001344CE" w:rsidRPr="001344CE" w:rsidRDefault="001344CE" w:rsidP="001344CE">
            <w:pPr>
              <w:spacing w:after="60"/>
            </w:pPr>
            <w:r w:rsidRPr="001344CE">
              <w:t>1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02D5" w14:textId="6BC4FD09" w:rsidR="001344CE" w:rsidRPr="000F231B" w:rsidRDefault="000F231B" w:rsidP="001344CE">
            <w:pPr>
              <w:spacing w:after="60"/>
              <w:rPr>
                <w:rtl/>
              </w:rPr>
            </w:pPr>
            <w:r>
              <w:rPr>
                <w:rFonts w:hint="cs"/>
                <w:rtl/>
              </w:rPr>
              <w:t>تخصيص</w:t>
            </w:r>
            <w:r w:rsidR="00CE7A26">
              <w:rPr>
                <w:rFonts w:hint="cs"/>
                <w:rtl/>
              </w:rPr>
              <w:t xml:space="preserve"> مبلغ</w:t>
            </w:r>
            <w:r>
              <w:rPr>
                <w:rFonts w:hint="cs"/>
                <w:rtl/>
              </w:rPr>
              <w:t xml:space="preserve"> </w:t>
            </w:r>
            <w:r>
              <w:t>100 000</w:t>
            </w:r>
            <w:r>
              <w:rPr>
                <w:rFonts w:hint="cs"/>
                <w:rtl/>
              </w:rPr>
              <w:t xml:space="preserve"> فرنك سويسري للفترة 2024-2025 و</w:t>
            </w:r>
            <w:r w:rsidR="00CE7A26">
              <w:rPr>
                <w:rFonts w:hint="cs"/>
                <w:rtl/>
              </w:rPr>
              <w:t xml:space="preserve">مبلغ </w:t>
            </w:r>
            <w:r>
              <w:t>200 000</w:t>
            </w:r>
            <w:r>
              <w:rPr>
                <w:rFonts w:hint="cs"/>
                <w:rtl/>
              </w:rPr>
              <w:t xml:space="preserve"> فرنك سويسري للفترة 2026-2027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5362" w14:textId="47C11DCE" w:rsidR="001344CE" w:rsidRPr="001344CE" w:rsidRDefault="001344CE" w:rsidP="001344CE">
            <w:pPr>
              <w:spacing w:after="60"/>
              <w:jc w:val="center"/>
              <w:rPr>
                <w:rtl/>
              </w:rPr>
            </w:pPr>
            <w:r w:rsidRPr="001344CE">
              <w:rPr>
                <w:lang w:bidi="ar-EG"/>
              </w:rPr>
              <w:t>2,8</w:t>
            </w:r>
            <w:r w:rsidRPr="001344CE">
              <w:rPr>
                <w:rFonts w:hint="cs"/>
                <w:rtl/>
                <w:lang w:bidi="ar-EG"/>
              </w:rPr>
              <w:t xml:space="preserve"> مليون فرنك سويسري</w:t>
            </w:r>
            <w:r w:rsidR="000F231B">
              <w:rPr>
                <w:rFonts w:hint="cs"/>
                <w:rtl/>
                <w:lang w:bidi="ar-EG"/>
              </w:rPr>
              <w:t xml:space="preserve"> </w:t>
            </w:r>
            <w:r w:rsidR="000F231B">
              <w:rPr>
                <w:rFonts w:hint="cs"/>
                <w:rtl/>
              </w:rPr>
              <w:t>كحد أقصى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C4AC" w14:textId="404175CE" w:rsidR="001344CE" w:rsidRPr="001344CE" w:rsidRDefault="001344CE" w:rsidP="001344CE">
            <w:pPr>
              <w:spacing w:after="60"/>
              <w:jc w:val="center"/>
            </w:pPr>
            <w:r w:rsidRPr="001344CE">
              <w:t>5,6</w:t>
            </w:r>
            <w:r w:rsidRPr="001344CE">
              <w:rPr>
                <w:rFonts w:hint="cs"/>
                <w:rtl/>
                <w:lang w:bidi="ar-EG"/>
              </w:rPr>
              <w:t xml:space="preserve"> مليون فرنك سويسري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2FCDCE" w14:textId="4B290BA9" w:rsidR="001344CE" w:rsidRPr="001344CE" w:rsidRDefault="001344CE" w:rsidP="001344CE">
            <w:pPr>
              <w:spacing w:after="60"/>
              <w:jc w:val="center"/>
              <w:rPr>
                <w:b/>
                <w:bCs/>
                <w:rtl/>
                <w:lang w:bidi="ar-EG"/>
              </w:rPr>
            </w:pPr>
            <w:r w:rsidRPr="001344CE">
              <w:rPr>
                <w:b/>
                <w:bCs/>
              </w:rPr>
              <w:t>8,4</w:t>
            </w:r>
            <w:r w:rsidRPr="001344CE">
              <w:rPr>
                <w:rFonts w:hint="cs"/>
                <w:b/>
                <w:bCs/>
                <w:rtl/>
                <w:lang w:bidi="ar-EG"/>
              </w:rPr>
              <w:t xml:space="preserve"> مليون فرنك سويسري</w:t>
            </w:r>
          </w:p>
        </w:tc>
      </w:tr>
      <w:tr w:rsidR="00CE7A26" w:rsidRPr="001344CE" w14:paraId="568E70E7" w14:textId="77777777" w:rsidTr="001344CE">
        <w:trPr>
          <w:trHeight w:val="969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8C8E" w14:textId="77777777" w:rsidR="001344CE" w:rsidRPr="001344CE" w:rsidRDefault="001344CE" w:rsidP="001344CE">
            <w:pPr>
              <w:spacing w:after="60"/>
            </w:pPr>
            <w:r w:rsidRPr="001344CE">
              <w:t>2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F794" w14:textId="459A1035" w:rsidR="001344CE" w:rsidRPr="000F231B" w:rsidRDefault="000F231B" w:rsidP="001344CE">
            <w:pPr>
              <w:spacing w:after="60"/>
            </w:pPr>
            <w:r>
              <w:rPr>
                <w:rFonts w:hint="cs"/>
                <w:rtl/>
              </w:rPr>
              <w:t>تخصيص</w:t>
            </w:r>
            <w:r w:rsidR="00CE7A26">
              <w:rPr>
                <w:rFonts w:hint="cs"/>
                <w:rtl/>
              </w:rPr>
              <w:t xml:space="preserve"> مبلغ</w:t>
            </w:r>
            <w:r>
              <w:rPr>
                <w:rFonts w:hint="cs"/>
                <w:rtl/>
              </w:rPr>
              <w:t xml:space="preserve"> </w:t>
            </w:r>
            <w:r>
              <w:t>100 000</w:t>
            </w:r>
            <w:r>
              <w:rPr>
                <w:rFonts w:hint="cs"/>
                <w:rtl/>
              </w:rPr>
              <w:t xml:space="preserve"> فرنك سويسري لكل مبادرة إقليمية في الفترة 2024-2025 و</w:t>
            </w:r>
            <w:r w:rsidR="00CE7A26">
              <w:rPr>
                <w:rFonts w:hint="cs"/>
                <w:rtl/>
              </w:rPr>
              <w:t xml:space="preserve">مبلغ </w:t>
            </w:r>
            <w:r>
              <w:t>100 000</w:t>
            </w:r>
            <w:r>
              <w:rPr>
                <w:rFonts w:hint="cs"/>
                <w:rtl/>
              </w:rPr>
              <w:t xml:space="preserve"> فرنك سويسري للفترة </w:t>
            </w:r>
            <w:r>
              <w:t>2027-2026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DA5C" w14:textId="64CB2779" w:rsidR="001344CE" w:rsidRPr="001344CE" w:rsidRDefault="001344CE" w:rsidP="001344CE">
            <w:pPr>
              <w:spacing w:after="60"/>
              <w:jc w:val="center"/>
            </w:pPr>
            <w:r w:rsidRPr="001344CE">
              <w:rPr>
                <w:rFonts w:hint="cs"/>
                <w:rtl/>
                <w:lang w:bidi="ar-EG"/>
              </w:rPr>
              <w:t xml:space="preserve"> </w:t>
            </w:r>
            <w:r w:rsidRPr="001344CE">
              <w:rPr>
                <w:lang w:bidi="ar-EG"/>
              </w:rPr>
              <w:t>2,8</w:t>
            </w:r>
            <w:r w:rsidRPr="001344CE">
              <w:rPr>
                <w:rFonts w:hint="cs"/>
                <w:rtl/>
                <w:lang w:bidi="ar-EG"/>
              </w:rPr>
              <w:t xml:space="preserve"> مليون فرنك سويسري</w:t>
            </w:r>
            <w:r w:rsidR="000F231B">
              <w:rPr>
                <w:rFonts w:hint="cs"/>
                <w:rtl/>
              </w:rPr>
              <w:t xml:space="preserve"> كحد أقصى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BCFD" w14:textId="500233E2" w:rsidR="001344CE" w:rsidRPr="001344CE" w:rsidRDefault="001344CE" w:rsidP="001344CE">
            <w:pPr>
              <w:spacing w:after="60"/>
              <w:jc w:val="center"/>
            </w:pPr>
            <w:r w:rsidRPr="001344CE">
              <w:rPr>
                <w:lang w:bidi="ar-EG"/>
              </w:rPr>
              <w:t>2,8</w:t>
            </w:r>
            <w:r w:rsidRPr="001344CE">
              <w:rPr>
                <w:rFonts w:hint="cs"/>
                <w:rtl/>
                <w:lang w:bidi="ar-EG"/>
              </w:rPr>
              <w:t xml:space="preserve"> مليون فرنك سويسري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13E6EA" w14:textId="439EA6AE" w:rsidR="001344CE" w:rsidRPr="001344CE" w:rsidRDefault="001344CE" w:rsidP="001344CE">
            <w:pPr>
              <w:spacing w:after="60"/>
              <w:jc w:val="center"/>
              <w:rPr>
                <w:b/>
                <w:bCs/>
              </w:rPr>
            </w:pPr>
            <w:r w:rsidRPr="001344CE">
              <w:rPr>
                <w:b/>
                <w:bCs/>
                <w:lang w:bidi="ar-EG"/>
              </w:rPr>
              <w:t>5,6</w:t>
            </w:r>
            <w:r w:rsidRPr="001344CE">
              <w:rPr>
                <w:rFonts w:hint="cs"/>
                <w:b/>
                <w:bCs/>
                <w:rtl/>
                <w:lang w:bidi="ar-EG"/>
              </w:rPr>
              <w:t xml:space="preserve"> مليون فرنك سويسري</w:t>
            </w:r>
          </w:p>
        </w:tc>
      </w:tr>
    </w:tbl>
    <w:p w14:paraId="10A83368" w14:textId="58D78C92" w:rsidR="001344CE" w:rsidRDefault="000F231B" w:rsidP="001344CE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ملاحظة توضيحية بشأن خياري التنفيذ الجزئي</w:t>
      </w:r>
    </w:p>
    <w:p w14:paraId="71B951DA" w14:textId="32F9B3A5" w:rsidR="001344CE" w:rsidRPr="00CE7A26" w:rsidRDefault="000F231B" w:rsidP="001344CE">
      <w:pPr>
        <w:rPr>
          <w:rtl/>
          <w:lang w:bidi="ar-EG"/>
        </w:rPr>
      </w:pPr>
      <w:r w:rsidRPr="00CE7A26">
        <w:rPr>
          <w:rFonts w:hint="cs"/>
          <w:b/>
          <w:bCs/>
          <w:rtl/>
          <w:lang w:bidi="ar-EG"/>
        </w:rPr>
        <w:t>الخيار 1</w:t>
      </w:r>
      <w:r>
        <w:rPr>
          <w:rFonts w:hint="cs"/>
          <w:rtl/>
          <w:lang w:bidi="ar-EG"/>
        </w:rPr>
        <w:t xml:space="preserve">: </w:t>
      </w:r>
      <w:r w:rsidR="00CE7A26">
        <w:rPr>
          <w:rFonts w:hint="cs"/>
          <w:rtl/>
          <w:lang w:bidi="ar-EG"/>
        </w:rPr>
        <w:t xml:space="preserve">من شأن </w:t>
      </w:r>
      <w:r w:rsidR="00CE7A26">
        <w:rPr>
          <w:rFonts w:hint="cs"/>
          <w:rtl/>
        </w:rPr>
        <w:t xml:space="preserve">تخصيص مبلغ </w:t>
      </w:r>
      <w:r w:rsidR="00CE7A26">
        <w:t>100 000</w:t>
      </w:r>
      <w:r w:rsidR="00CE7A26">
        <w:rPr>
          <w:rFonts w:hint="cs"/>
          <w:rtl/>
        </w:rPr>
        <w:t xml:space="preserve"> فرنك سويسري لكل مبادرة إقليمية في العامين الأولين ومبلغ </w:t>
      </w:r>
      <w:r w:rsidR="00CE7A26">
        <w:t>200 000</w:t>
      </w:r>
      <w:r w:rsidR="00CE7A26">
        <w:rPr>
          <w:rFonts w:hint="cs"/>
          <w:rtl/>
        </w:rPr>
        <w:t xml:space="preserve"> فرنك سويسري في العامين التاليين أن يجذب على الأرجح تمويلاً للمشاريع المتوسطة.</w:t>
      </w:r>
    </w:p>
    <w:p w14:paraId="27474F56" w14:textId="696E0D22" w:rsidR="001344CE" w:rsidRPr="001344CE" w:rsidRDefault="00CE7A26" w:rsidP="001344CE">
      <w:pPr>
        <w:rPr>
          <w:lang w:bidi="ar-EG"/>
        </w:rPr>
      </w:pPr>
      <w:r w:rsidRPr="00CE7A26">
        <w:rPr>
          <w:rFonts w:hint="cs"/>
          <w:b/>
          <w:bCs/>
          <w:rtl/>
          <w:lang w:bidi="ar-EG"/>
        </w:rPr>
        <w:t>الخيار 2</w:t>
      </w:r>
      <w:r>
        <w:rPr>
          <w:rFonts w:hint="cs"/>
          <w:rtl/>
          <w:lang w:bidi="ar-EG"/>
        </w:rPr>
        <w:t xml:space="preserve">: </w:t>
      </w:r>
      <w:r w:rsidRPr="00CE7A26">
        <w:rPr>
          <w:rtl/>
          <w:lang w:bidi="ar-EG"/>
        </w:rPr>
        <w:t xml:space="preserve">من شأن تخصيص مبلغ </w:t>
      </w:r>
      <w:r>
        <w:t>100 000</w:t>
      </w:r>
      <w:r>
        <w:rPr>
          <w:rFonts w:hint="cs"/>
          <w:rtl/>
        </w:rPr>
        <w:t xml:space="preserve"> فرنك </w:t>
      </w:r>
      <w:r w:rsidRPr="00CE7A26">
        <w:rPr>
          <w:rtl/>
          <w:lang w:bidi="ar-EG"/>
        </w:rPr>
        <w:t>سويسري في العامين الأولين وتخصيص المبلغ نفسه في العامين التاليين أن يجذب على الأرجح تمويلاً للمشاريع الصغيرة</w:t>
      </w:r>
      <w:r>
        <w:rPr>
          <w:rFonts w:hint="cs"/>
          <w:rtl/>
          <w:lang w:bidi="ar-EG"/>
        </w:rPr>
        <w:t xml:space="preserve"> والمتوسطة. وقد تؤدي عمليات النهوض بجهود الاتحاد الأخرى لتعبئة الموارد والاستفادة من </w:t>
      </w:r>
      <w:r w:rsidR="000A72AA">
        <w:rPr>
          <w:rFonts w:hint="cs"/>
          <w:rtl/>
          <w:lang w:bidi="ar-EG"/>
        </w:rPr>
        <w:t>تحالف</w:t>
      </w:r>
      <w:r w:rsidR="00A30FC2">
        <w:rPr>
          <w:rFonts w:hint="cs"/>
          <w:rtl/>
          <w:lang w:bidi="ar-EG"/>
        </w:rPr>
        <w:t xml:space="preserve"> التنمية</w:t>
      </w:r>
      <w:r w:rsidR="000A72AA">
        <w:rPr>
          <w:rFonts w:hint="cs"/>
          <w:rtl/>
          <w:lang w:bidi="ar-EG"/>
        </w:rPr>
        <w:t xml:space="preserve"> الرقمي</w:t>
      </w:r>
      <w:r w:rsidR="00A30FC2">
        <w:rPr>
          <w:rFonts w:hint="cs"/>
          <w:rtl/>
          <w:lang w:bidi="ar-EG"/>
        </w:rPr>
        <w:t>ة</w:t>
      </w:r>
      <w:r w:rsidR="000A72AA">
        <w:rPr>
          <w:rFonts w:hint="cs"/>
          <w:rtl/>
          <w:lang w:bidi="ar-EG"/>
        </w:rPr>
        <w:t xml:space="preserve"> لمبادرة الشراكة من أجل التوصيل إلى تحسين قدرة الاتحاد على جذب الشركاء وزيادة تعزيز أثر تمويل المبادرات الإقليمية. </w:t>
      </w:r>
    </w:p>
    <w:p w14:paraId="5459AF02" w14:textId="1A7DEB3C" w:rsidR="001344CE" w:rsidRPr="001344CE" w:rsidRDefault="000A72AA" w:rsidP="001344CE">
      <w:pPr>
        <w:pStyle w:val="Headingb"/>
        <w:rPr>
          <w:lang w:bidi="ar-EG"/>
        </w:rPr>
      </w:pPr>
      <w:r>
        <w:rPr>
          <w:rFonts w:hint="cs"/>
          <w:rtl/>
          <w:lang w:bidi="ar-EG"/>
        </w:rPr>
        <w:t>الخلاصة</w:t>
      </w:r>
    </w:p>
    <w:p w14:paraId="0F9BBEE4" w14:textId="3DFAB741" w:rsidR="001344CE" w:rsidRPr="00386938" w:rsidRDefault="000A72AA" w:rsidP="001344CE">
      <w:pPr>
        <w:rPr>
          <w:spacing w:val="-2"/>
          <w:rtl/>
        </w:rPr>
      </w:pPr>
      <w:r w:rsidRPr="00386938">
        <w:rPr>
          <w:rFonts w:hint="cs"/>
          <w:spacing w:val="-2"/>
          <w:rtl/>
          <w:lang w:bidi="ar-EG"/>
        </w:rPr>
        <w:t xml:space="preserve">في إطار عملية الموافقة على ميزانية </w:t>
      </w:r>
      <w:r w:rsidRPr="00386938">
        <w:rPr>
          <w:spacing w:val="-2"/>
          <w:lang w:bidi="ar-EG"/>
        </w:rPr>
        <w:t>2027-2024</w:t>
      </w:r>
      <w:r w:rsidRPr="00386938">
        <w:rPr>
          <w:rFonts w:hint="cs"/>
          <w:spacing w:val="-2"/>
          <w:rtl/>
        </w:rPr>
        <w:t>، يقترح مكتب تنمية الاتصالات أن يُطلب إلى المجلس النظر في تخصيص موارد مالية لتنفيذ المبادرات الإقليمية التي اعتمدها المؤتمر العالمي لتنمية الاتصالات لعام 2022 من أجل المناطق الست كافةً.</w:t>
      </w:r>
    </w:p>
    <w:p w14:paraId="18EF16B8" w14:textId="330039DA" w:rsidR="001344CE" w:rsidRDefault="001344CE" w:rsidP="001F14A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A151EA1" w14:textId="77777777" w:rsidR="00517339" w:rsidRPr="00517339" w:rsidRDefault="00517339" w:rsidP="0051733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eastAsia="Times New Roman"/>
          <w:caps/>
          <w:sz w:val="24"/>
          <w:szCs w:val="24"/>
          <w:lang w:eastAsia="en-US"/>
        </w:rPr>
      </w:pPr>
      <w:r w:rsidRPr="00517339">
        <w:rPr>
          <w:rFonts w:eastAsia="Times New Roman"/>
          <w:caps/>
          <w:sz w:val="24"/>
          <w:szCs w:val="24"/>
          <w:lang w:eastAsia="en-US"/>
        </w:rPr>
        <w:lastRenderedPageBreak/>
        <w:t>Annex 1</w:t>
      </w:r>
    </w:p>
    <w:p w14:paraId="3744B731" w14:textId="77777777" w:rsidR="00517339" w:rsidRPr="00517339" w:rsidRDefault="00517339" w:rsidP="0051733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en-US"/>
        </w:rPr>
      </w:pPr>
      <w:r w:rsidRPr="00517339">
        <w:rPr>
          <w:rFonts w:eastAsia="Times New Roman"/>
          <w:b/>
          <w:sz w:val="24"/>
          <w:szCs w:val="24"/>
          <w:lang w:val="en-GB" w:eastAsia="en-US"/>
        </w:rPr>
        <w:t xml:space="preserve">Utilization of the financial resources approved by Council </w:t>
      </w:r>
      <w:r w:rsidRPr="00517339">
        <w:rPr>
          <w:rFonts w:eastAsia="Times New Roman"/>
          <w:b/>
          <w:sz w:val="24"/>
          <w:szCs w:val="24"/>
          <w:lang w:val="en-GB" w:eastAsia="en-US"/>
        </w:rPr>
        <w:br/>
        <w:t>to support the implementation of the WTDC-17 Regional Initiatives </w:t>
      </w:r>
    </w:p>
    <w:p w14:paraId="6234AF3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Annex 1 is available in a </w:t>
      </w:r>
      <w:hyperlink r:id="rId9" w:history="1">
        <w:r w:rsidRPr="00517339">
          <w:rPr>
            <w:rFonts w:eastAsia="Times New Roman"/>
            <w:color w:val="0000FF"/>
            <w:sz w:val="24"/>
            <w:szCs w:val="24"/>
            <w:u w:val="single"/>
            <w:lang w:val="en-GB" w:eastAsia="en-US"/>
          </w:rPr>
          <w:t>separate file</w:t>
        </w:r>
      </w:hyperlink>
      <w:r w:rsidRPr="00517339">
        <w:rPr>
          <w:rFonts w:eastAsia="Times New Roman"/>
          <w:sz w:val="24"/>
          <w:szCs w:val="24"/>
          <w:lang w:val="en-GB" w:eastAsia="en-US"/>
        </w:rPr>
        <w:t>.</w:t>
      </w:r>
    </w:p>
    <w:p w14:paraId="2FD6892F" w14:textId="22C6E55A" w:rsidR="001344CE" w:rsidRDefault="001344CE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205ED9DF" w14:textId="77777777" w:rsidR="00517339" w:rsidRPr="00517339" w:rsidRDefault="00517339" w:rsidP="0051733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eastAsia="Times New Roman"/>
          <w:caps/>
          <w:sz w:val="24"/>
          <w:szCs w:val="24"/>
          <w:lang w:eastAsia="en-US"/>
        </w:rPr>
      </w:pPr>
      <w:r w:rsidRPr="00517339">
        <w:rPr>
          <w:rFonts w:eastAsia="Times New Roman"/>
          <w:caps/>
          <w:sz w:val="24"/>
          <w:szCs w:val="24"/>
          <w:lang w:eastAsia="en-US"/>
        </w:rPr>
        <w:lastRenderedPageBreak/>
        <w:t>Annex 2</w:t>
      </w:r>
    </w:p>
    <w:p w14:paraId="71D90983" w14:textId="77777777" w:rsidR="00517339" w:rsidRPr="00517339" w:rsidRDefault="00517339" w:rsidP="00517339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eastAsia="Times New Roman"/>
          <w:b/>
          <w:sz w:val="24"/>
          <w:szCs w:val="24"/>
          <w:lang w:eastAsia="en-US"/>
        </w:rPr>
      </w:pPr>
      <w:r w:rsidRPr="00517339">
        <w:rPr>
          <w:rFonts w:eastAsia="Times New Roman"/>
          <w:b/>
          <w:sz w:val="24"/>
          <w:szCs w:val="24"/>
          <w:lang w:eastAsia="en-US"/>
        </w:rPr>
        <w:t>WTDC-22 Regional Initiatives</w:t>
      </w:r>
    </w:p>
    <w:p w14:paraId="2E4EEE1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During the six regional preparatory meetings in 2022, the regions articulated their specific priorities in a set of regional initiatives, which can be found in the Kigali Action Plan. These regional initiatives (twenty-eight in total) are intended to address specific telecommunication/ICT priority areas, through partnerships and resource mobilization to implement projects. Under each regional initiative, projects are developed and implemented to meet the region's needs.</w:t>
      </w:r>
    </w:p>
    <w:p w14:paraId="250F9EE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textAlignment w:val="baseline"/>
        <w:rPr>
          <w:rFonts w:eastAsia="Times New Roman"/>
          <w:b/>
          <w:bCs/>
          <w:sz w:val="24"/>
          <w:szCs w:val="24"/>
          <w:lang w:val="en-GB" w:eastAsia="en-US"/>
        </w:rPr>
      </w:pPr>
      <w:r w:rsidRPr="00517339">
        <w:rPr>
          <w:rFonts w:eastAsia="Times New Roman"/>
          <w:b/>
          <w:bCs/>
          <w:sz w:val="24"/>
          <w:szCs w:val="24"/>
          <w:lang w:val="en-GB" w:eastAsia="en-US"/>
        </w:rPr>
        <w:t>Africa regional initiatives</w:t>
      </w:r>
    </w:p>
    <w:p w14:paraId="634EC0A7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AFR1: Supporting digital transformation to usher in a rapid transition to a digital economy while accelerating innovation in Africa.</w:t>
      </w:r>
    </w:p>
    <w:p w14:paraId="5F41B93B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AFR2: Implementation and expansion of broadband infrastructures,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connectivity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emerging technologies.</w:t>
      </w:r>
    </w:p>
    <w:p w14:paraId="776C0238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AFR3: Building trust,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safety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security in the use of telecommunications/information and communication technologies and protection of personal data.</w:t>
      </w:r>
    </w:p>
    <w:p w14:paraId="059E0CDE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AFR4: Fostering emerging technologies and innovation ecosystems.</w:t>
      </w:r>
    </w:p>
    <w:p w14:paraId="1B605121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b/>
          <w:bCs/>
          <w:sz w:val="24"/>
          <w:szCs w:val="24"/>
          <w:lang w:val="en-GB" w:eastAsia="en-US"/>
        </w:rPr>
      </w:pPr>
      <w:r w:rsidRPr="00517339">
        <w:rPr>
          <w:rFonts w:eastAsia="Times New Roman"/>
          <w:b/>
          <w:bCs/>
          <w:sz w:val="24"/>
          <w:szCs w:val="24"/>
          <w:lang w:val="en-GB" w:eastAsia="en-US"/>
        </w:rPr>
        <w:t>Americas regional initiatives</w:t>
      </w:r>
    </w:p>
    <w:p w14:paraId="59152678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AMS1: Deployment of modern, resilient,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secure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sustainable telecommunication/information and communication technology infrastructure.</w:t>
      </w:r>
    </w:p>
    <w:p w14:paraId="1B71AE6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AMS2: Enhancement and expansion of digital-literacy, digital-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skills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digital-inclusion programmes, especially among vulnerable populations.</w:t>
      </w:r>
    </w:p>
    <w:p w14:paraId="733B581D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AMS3: Effective support for digital transformation and innovation ecosystems through scalable,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funded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sustainable connectivity projects.</w:t>
      </w:r>
    </w:p>
    <w:p w14:paraId="46B0361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AMS4: Development of enabling policy and regulatory environments to connect the unconnected through accessible and affordable telecommunications/information and communication technologies that support achievement of the Sustainable Development Goals and progress towards the digital economy.</w:t>
      </w:r>
    </w:p>
    <w:p w14:paraId="7116E272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b/>
          <w:bCs/>
          <w:sz w:val="24"/>
          <w:szCs w:val="24"/>
          <w:lang w:val="en-GB" w:eastAsia="en-US"/>
        </w:rPr>
      </w:pPr>
      <w:r w:rsidRPr="00517339">
        <w:rPr>
          <w:rFonts w:eastAsia="Times New Roman"/>
          <w:b/>
          <w:bCs/>
          <w:sz w:val="24"/>
          <w:szCs w:val="24"/>
          <w:lang w:val="en-GB" w:eastAsia="en-US"/>
        </w:rPr>
        <w:t>Arab States regional initiatives</w:t>
      </w:r>
    </w:p>
    <w:p w14:paraId="15FA1911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ARB1: Sustainable digital economy through digital transformation.</w:t>
      </w:r>
    </w:p>
    <w:p w14:paraId="36A05926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lastRenderedPageBreak/>
        <w:t xml:space="preserve">ARB2: Enhancing confidence,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security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privacy in the use of telecommunications/information and communication technologies in the era of new and emerging digital technologies.</w:t>
      </w:r>
    </w:p>
    <w:p w14:paraId="4088D495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ARB3: Developing digital infrastructure for smart sustainable cities and communities. Developing digital infrastructure for smart sustainable cities and communities.</w:t>
      </w:r>
    </w:p>
    <w:p w14:paraId="5C50206F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ARB4: Building capacities and encouraging digital innovation,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entrepreneurship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future foresight.</w:t>
      </w:r>
    </w:p>
    <w:p w14:paraId="08F92708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ARB5: Developing means of digital regulation.</w:t>
      </w:r>
    </w:p>
    <w:p w14:paraId="595B162D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b/>
          <w:bCs/>
          <w:sz w:val="24"/>
          <w:szCs w:val="24"/>
          <w:lang w:val="en-GB" w:eastAsia="en-US"/>
        </w:rPr>
      </w:pPr>
      <w:r w:rsidRPr="00517339">
        <w:rPr>
          <w:rFonts w:eastAsia="Times New Roman"/>
          <w:b/>
          <w:bCs/>
          <w:sz w:val="24"/>
          <w:szCs w:val="24"/>
          <w:lang w:val="en-GB" w:eastAsia="en-US"/>
        </w:rPr>
        <w:t>Asia-Pacific regional initiatives</w:t>
      </w:r>
    </w:p>
    <w:p w14:paraId="166EA600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ASP1: Addressing special needs of least developed countries, small island developing states, including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Pacific island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countries, and landlocked developing countries.</w:t>
      </w:r>
    </w:p>
    <w:p w14:paraId="2DE305D3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ASP2: Harnessing information and communication technologies to support the digital economy and inclusive digital societies.</w:t>
      </w:r>
    </w:p>
    <w:p w14:paraId="79632F7D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ASP3: Fostering development of infrastructure to enhance digital connectivity and connecting the unconnected.</w:t>
      </w:r>
    </w:p>
    <w:p w14:paraId="6D21C552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ASP4: Enabling policy and regulatory environments to accelerate digital transformation.</w:t>
      </w:r>
    </w:p>
    <w:p w14:paraId="439BBED2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ASP5: Contributing to a secure and resilient information and communication technology environment.</w:t>
      </w:r>
    </w:p>
    <w:p w14:paraId="48F444A6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b/>
          <w:bCs/>
          <w:sz w:val="24"/>
          <w:szCs w:val="24"/>
          <w:lang w:val="en-GB" w:eastAsia="en-US"/>
        </w:rPr>
        <w:t>CIS regional initiative</w:t>
      </w:r>
      <w:r w:rsidRPr="00517339">
        <w:rPr>
          <w:rFonts w:eastAsia="Times New Roman"/>
          <w:sz w:val="24"/>
          <w:szCs w:val="24"/>
          <w:lang w:val="en-GB" w:eastAsia="en-US"/>
        </w:rPr>
        <w:t>s</w:t>
      </w:r>
    </w:p>
    <w:p w14:paraId="5DFA5D49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CIS1: Developing infrastructure to promote innovation and partnerships in the introduction of new technologies – the Internet of Things, including the industrial Internet, smart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cities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and communities, 5G/IMT-2020 and next-generation NET-2030 communication networks, quantum technologies, artificial intelligence, digital health, digital skills and environmental protection.</w:t>
      </w:r>
    </w:p>
    <w:p w14:paraId="68D99036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CIS2: Cybersecurity and personal data protection.</w:t>
      </w:r>
    </w:p>
    <w:p w14:paraId="7D7E4786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CIS3: Creating an enabling legal and regulatory environment to accelerate digital transformation.</w:t>
      </w:r>
    </w:p>
    <w:p w14:paraId="708ACCB3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 xml:space="preserve">CIS4: Digital skills and information and communication technology accessibility for the public, </w:t>
      </w:r>
      <w:proofErr w:type="gramStart"/>
      <w:r w:rsidRPr="00517339">
        <w:rPr>
          <w:rFonts w:eastAsia="Times New Roman"/>
          <w:sz w:val="24"/>
          <w:szCs w:val="24"/>
          <w:lang w:val="en-GB" w:eastAsia="en-US"/>
        </w:rPr>
        <w:t>in particular for</w:t>
      </w:r>
      <w:proofErr w:type="gramEnd"/>
      <w:r w:rsidRPr="00517339">
        <w:rPr>
          <w:rFonts w:eastAsia="Times New Roman"/>
          <w:sz w:val="24"/>
          <w:szCs w:val="24"/>
          <w:lang w:val="en-GB" w:eastAsia="en-US"/>
        </w:rPr>
        <w:t xml:space="preserve"> persons with disabilities.</w:t>
      </w:r>
    </w:p>
    <w:p w14:paraId="17DBD3F5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CIS5: Development of smart cities and communities.</w:t>
      </w:r>
    </w:p>
    <w:p w14:paraId="675F2B41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ind w:left="425"/>
        <w:jc w:val="left"/>
        <w:textAlignment w:val="baseline"/>
        <w:rPr>
          <w:rFonts w:eastAsia="Times New Roman"/>
          <w:b/>
          <w:bCs/>
          <w:sz w:val="24"/>
          <w:szCs w:val="24"/>
          <w:lang w:val="fr-FR" w:eastAsia="en-US"/>
        </w:rPr>
      </w:pPr>
      <w:r w:rsidRPr="00517339">
        <w:rPr>
          <w:rFonts w:eastAsia="Times New Roman"/>
          <w:b/>
          <w:bCs/>
          <w:sz w:val="24"/>
          <w:szCs w:val="24"/>
          <w:lang w:val="fr-FR" w:eastAsia="en-US"/>
        </w:rPr>
        <w:t xml:space="preserve">Europe </w:t>
      </w:r>
      <w:proofErr w:type="spellStart"/>
      <w:r w:rsidRPr="00517339">
        <w:rPr>
          <w:rFonts w:eastAsia="Times New Roman"/>
          <w:b/>
          <w:bCs/>
          <w:sz w:val="24"/>
          <w:szCs w:val="24"/>
          <w:lang w:val="fr-FR" w:eastAsia="en-US"/>
        </w:rPr>
        <w:t>regional</w:t>
      </w:r>
      <w:proofErr w:type="spellEnd"/>
      <w:r w:rsidRPr="00517339">
        <w:rPr>
          <w:rFonts w:eastAsia="Times New Roman"/>
          <w:b/>
          <w:bCs/>
          <w:sz w:val="24"/>
          <w:szCs w:val="24"/>
          <w:lang w:val="fr-FR" w:eastAsia="en-US"/>
        </w:rPr>
        <w:t xml:space="preserve"> initiatives</w:t>
      </w:r>
    </w:p>
    <w:p w14:paraId="490B40DE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fr-FR" w:eastAsia="en-US"/>
        </w:rPr>
      </w:pPr>
      <w:r w:rsidRPr="00517339">
        <w:rPr>
          <w:rFonts w:eastAsia="Times New Roman"/>
          <w:sz w:val="24"/>
          <w:szCs w:val="24"/>
          <w:lang w:val="fr-FR" w:eastAsia="en-US"/>
        </w:rPr>
        <w:lastRenderedPageBreak/>
        <w:t>EUR</w:t>
      </w:r>
      <w:proofErr w:type="gramStart"/>
      <w:r w:rsidRPr="00517339">
        <w:rPr>
          <w:rFonts w:eastAsia="Times New Roman"/>
          <w:sz w:val="24"/>
          <w:szCs w:val="24"/>
          <w:lang w:val="fr-FR" w:eastAsia="en-US"/>
        </w:rPr>
        <w:t>1:</w:t>
      </w:r>
      <w:proofErr w:type="gramEnd"/>
      <w:r w:rsidRPr="00517339">
        <w:rPr>
          <w:rFonts w:eastAsia="Times New Roman"/>
          <w:sz w:val="24"/>
          <w:szCs w:val="24"/>
          <w:lang w:val="fr-FR" w:eastAsia="en-US"/>
        </w:rPr>
        <w:t xml:space="preserve"> Digital infrastructure </w:t>
      </w:r>
      <w:proofErr w:type="spellStart"/>
      <w:r w:rsidRPr="00517339">
        <w:rPr>
          <w:rFonts w:eastAsia="Times New Roman"/>
          <w:sz w:val="24"/>
          <w:szCs w:val="24"/>
          <w:lang w:val="fr-FR" w:eastAsia="en-US"/>
        </w:rPr>
        <w:t>development</w:t>
      </w:r>
      <w:proofErr w:type="spellEnd"/>
      <w:r w:rsidRPr="00517339">
        <w:rPr>
          <w:rFonts w:eastAsia="Times New Roman"/>
          <w:sz w:val="24"/>
          <w:szCs w:val="24"/>
          <w:lang w:val="fr-FR" w:eastAsia="en-US"/>
        </w:rPr>
        <w:t>.</w:t>
      </w:r>
    </w:p>
    <w:p w14:paraId="4FC45FD6" w14:textId="77777777" w:rsidR="00517339" w:rsidRPr="0022683C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fr-FR" w:eastAsia="en-US"/>
        </w:rPr>
      </w:pPr>
      <w:r w:rsidRPr="0022683C">
        <w:rPr>
          <w:rFonts w:eastAsia="Times New Roman"/>
          <w:sz w:val="24"/>
          <w:szCs w:val="24"/>
          <w:lang w:val="fr-FR" w:eastAsia="en-US"/>
        </w:rPr>
        <w:t>EUR</w:t>
      </w:r>
      <w:proofErr w:type="gramStart"/>
      <w:r w:rsidRPr="0022683C">
        <w:rPr>
          <w:rFonts w:eastAsia="Times New Roman"/>
          <w:sz w:val="24"/>
          <w:szCs w:val="24"/>
          <w:lang w:val="fr-FR" w:eastAsia="en-US"/>
        </w:rPr>
        <w:t>2:</w:t>
      </w:r>
      <w:proofErr w:type="gramEnd"/>
      <w:r w:rsidRPr="0022683C">
        <w:rPr>
          <w:rFonts w:eastAsia="Times New Roman"/>
          <w:sz w:val="24"/>
          <w:szCs w:val="24"/>
          <w:lang w:val="fr-FR" w:eastAsia="en-US"/>
        </w:rPr>
        <w:t xml:space="preserve"> Digital transformation for </w:t>
      </w:r>
      <w:proofErr w:type="spellStart"/>
      <w:r w:rsidRPr="0022683C">
        <w:rPr>
          <w:rFonts w:eastAsia="Times New Roman"/>
          <w:sz w:val="24"/>
          <w:szCs w:val="24"/>
          <w:lang w:val="fr-FR" w:eastAsia="en-US"/>
        </w:rPr>
        <w:t>resilience</w:t>
      </w:r>
      <w:proofErr w:type="spellEnd"/>
      <w:r w:rsidRPr="0022683C">
        <w:rPr>
          <w:rFonts w:eastAsia="Times New Roman"/>
          <w:sz w:val="24"/>
          <w:szCs w:val="24"/>
          <w:lang w:val="fr-FR" w:eastAsia="en-US"/>
        </w:rPr>
        <w:t>.</w:t>
      </w:r>
    </w:p>
    <w:p w14:paraId="3B9D70C1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EUR3: Digital inclusion and skills development.</w:t>
      </w:r>
    </w:p>
    <w:p w14:paraId="21FB780D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EUR4: Trust and confidence in the use of telecommunications/ information and communication technologies.</w:t>
      </w:r>
    </w:p>
    <w:p w14:paraId="47395FB1" w14:textId="77777777" w:rsidR="00517339" w:rsidRPr="00517339" w:rsidRDefault="00517339" w:rsidP="00517339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" w:after="60" w:line="240" w:lineRule="auto"/>
        <w:ind w:left="720"/>
        <w:jc w:val="left"/>
        <w:textAlignment w:val="baseline"/>
        <w:rPr>
          <w:rFonts w:eastAsia="Times New Roman"/>
          <w:sz w:val="24"/>
          <w:szCs w:val="24"/>
          <w:lang w:val="en-GB" w:eastAsia="en-US"/>
        </w:rPr>
      </w:pPr>
      <w:r w:rsidRPr="00517339">
        <w:rPr>
          <w:rFonts w:eastAsia="Times New Roman"/>
          <w:sz w:val="24"/>
          <w:szCs w:val="24"/>
          <w:lang w:val="en-GB" w:eastAsia="en-US"/>
        </w:rPr>
        <w:t>EUR5: Digital innovation ecosystems.</w:t>
      </w:r>
    </w:p>
    <w:p w14:paraId="7446884B" w14:textId="77777777" w:rsidR="007B4FA0" w:rsidRDefault="00153471" w:rsidP="00666A8A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2DF1" w14:textId="77777777" w:rsidR="001344CE" w:rsidRDefault="001344CE" w:rsidP="006C3242">
      <w:pPr>
        <w:spacing w:before="0" w:line="240" w:lineRule="auto"/>
      </w:pPr>
      <w:r>
        <w:separator/>
      </w:r>
    </w:p>
  </w:endnote>
  <w:endnote w:type="continuationSeparator" w:id="0">
    <w:p w14:paraId="12CEF0A0" w14:textId="77777777" w:rsidR="001344CE" w:rsidRDefault="001344C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2F0D" w14:textId="1DC65DD4" w:rsidR="006C3242" w:rsidRPr="00983DA5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983DA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17339">
      <w:rPr>
        <w:noProof/>
        <w:sz w:val="16"/>
        <w:szCs w:val="16"/>
        <w:lang w:val="pt-PT"/>
      </w:rPr>
      <w:t>P:\ARA\ITU-D\CONF-D\TDAG23\TDAG23-30\000\025A.docx</w:t>
    </w:r>
    <w:r w:rsidRPr="0026373E">
      <w:rPr>
        <w:sz w:val="16"/>
        <w:szCs w:val="16"/>
      </w:rPr>
      <w:fldChar w:fldCharType="end"/>
    </w:r>
    <w:r w:rsidRPr="00983DA5">
      <w:rPr>
        <w:sz w:val="16"/>
        <w:szCs w:val="16"/>
        <w:lang w:val="pt-PT"/>
      </w:rPr>
      <w:t xml:space="preserve">   (</w:t>
    </w:r>
    <w:r w:rsidR="009B44C7">
      <w:rPr>
        <w:sz w:val="16"/>
        <w:szCs w:val="16"/>
        <w:lang w:val="pt-PT"/>
      </w:rPr>
      <w:t>522340</w:t>
    </w:r>
    <w:r w:rsidRPr="00983DA5">
      <w:rPr>
        <w:sz w:val="16"/>
        <w:szCs w:val="16"/>
        <w:lang w:val="pt-PT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1344CE" w14:paraId="18E16F40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D285CC1" w14:textId="77777777" w:rsidR="00882A17" w:rsidRPr="001344C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344CE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07B504C" w14:textId="77777777" w:rsidR="00882A17" w:rsidRPr="001344CE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344CE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5C45AEF" w14:textId="55FC5710" w:rsidR="00882A17" w:rsidRPr="001344CE" w:rsidRDefault="00D523DB" w:rsidP="00D523DB">
          <w:pPr>
            <w:tabs>
              <w:tab w:val="clear" w:pos="794"/>
              <w:tab w:val="left" w:pos="1309"/>
            </w:tabs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 xml:space="preserve">السيد </w:t>
          </w:r>
          <w:r w:rsidRPr="005E69BE">
            <w:rPr>
              <w:sz w:val="18"/>
              <w:szCs w:val="18"/>
              <w:lang w:val="en-GB"/>
            </w:rPr>
            <w:t xml:space="preserve">Jose Maria Diaz </w:t>
          </w:r>
          <w:proofErr w:type="spellStart"/>
          <w:r w:rsidRPr="005E69BE">
            <w:rPr>
              <w:sz w:val="18"/>
              <w:szCs w:val="18"/>
              <w:lang w:val="en-GB"/>
            </w:rPr>
            <w:t>Batanero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، رئيس شعبة دعم المشاريع</w:t>
          </w:r>
          <w:r w:rsidR="0020576D">
            <w:rPr>
              <w:rFonts w:hint="cs"/>
              <w:position w:val="2"/>
              <w:sz w:val="18"/>
              <w:szCs w:val="18"/>
              <w:rtl/>
              <w:lang w:val="en-GB" w:bidi="ar-EG"/>
            </w:rPr>
            <w:t>، مكتب تنمية الاتصالات</w:t>
          </w:r>
        </w:p>
      </w:tc>
    </w:tr>
    <w:tr w:rsidR="001344CE" w:rsidRPr="001344CE" w14:paraId="62A9FEFF" w14:textId="77777777" w:rsidTr="00F03E94">
      <w:tc>
        <w:tcPr>
          <w:tcW w:w="991" w:type="dxa"/>
        </w:tcPr>
        <w:p w14:paraId="1B75975C" w14:textId="77777777" w:rsidR="001344CE" w:rsidRPr="001344CE" w:rsidRDefault="001344CE" w:rsidP="001344C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93C653D" w14:textId="77777777" w:rsidR="001344CE" w:rsidRPr="001344CE" w:rsidRDefault="001344CE" w:rsidP="001344C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344CE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6D048D34" w14:textId="004EA8B9" w:rsidR="001344CE" w:rsidRPr="001344CE" w:rsidRDefault="001344CE" w:rsidP="001344C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344CE">
            <w:rPr>
              <w:sz w:val="18"/>
              <w:szCs w:val="18"/>
            </w:rPr>
            <w:t>+41 22 730 5495</w:t>
          </w:r>
        </w:p>
      </w:tc>
    </w:tr>
    <w:tr w:rsidR="001344CE" w:rsidRPr="001344CE" w14:paraId="245A6968" w14:textId="77777777" w:rsidTr="00F03E94">
      <w:tc>
        <w:tcPr>
          <w:tcW w:w="991" w:type="dxa"/>
        </w:tcPr>
        <w:p w14:paraId="2EA86743" w14:textId="77777777" w:rsidR="001344CE" w:rsidRPr="001344CE" w:rsidRDefault="001344CE" w:rsidP="001344C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D8E3B07" w14:textId="77777777" w:rsidR="001344CE" w:rsidRPr="001344CE" w:rsidRDefault="001344CE" w:rsidP="001344CE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1344CE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47B2C2C" w14:textId="64AB82FE" w:rsidR="001344CE" w:rsidRPr="001344CE" w:rsidRDefault="001F14AE" w:rsidP="001344CE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1344CE" w:rsidRPr="001344CE">
              <w:rPr>
                <w:rStyle w:val="Hyperlink"/>
                <w:sz w:val="18"/>
                <w:szCs w:val="18"/>
              </w:rPr>
              <w:t>jose.batanero@itu.int</w:t>
            </w:r>
          </w:hyperlink>
          <w:r w:rsidR="001344CE" w:rsidRPr="001344CE">
            <w:rPr>
              <w:sz w:val="18"/>
              <w:szCs w:val="18"/>
            </w:rPr>
            <w:t xml:space="preserve"> </w:t>
          </w:r>
        </w:p>
      </w:tc>
    </w:tr>
  </w:tbl>
  <w:p w14:paraId="3B8A70F4" w14:textId="77777777" w:rsidR="0006468A" w:rsidRPr="003971E3" w:rsidRDefault="001F14AE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1CDF" w14:textId="77777777" w:rsidR="001344CE" w:rsidRDefault="001344CE" w:rsidP="006C3242">
      <w:pPr>
        <w:spacing w:before="0" w:line="240" w:lineRule="auto"/>
      </w:pPr>
      <w:r>
        <w:separator/>
      </w:r>
    </w:p>
  </w:footnote>
  <w:footnote w:type="continuationSeparator" w:id="0">
    <w:p w14:paraId="1ECCE11E" w14:textId="77777777" w:rsidR="001344CE" w:rsidRDefault="001344CE" w:rsidP="006C3242">
      <w:pPr>
        <w:spacing w:before="0" w:line="240" w:lineRule="auto"/>
      </w:pPr>
      <w:r>
        <w:continuationSeparator/>
      </w:r>
    </w:p>
  </w:footnote>
  <w:footnote w:id="1">
    <w:p w14:paraId="5CF7D91E" w14:textId="77384924" w:rsidR="001344CE" w:rsidRPr="001C36C5" w:rsidRDefault="001344C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C36C5">
        <w:rPr>
          <w:rFonts w:hint="cs"/>
          <w:rtl/>
        </w:rPr>
        <w:t xml:space="preserve">المشاريع المتوسطة هي المشاريع التي تتراوح قيمتها بين </w:t>
      </w:r>
      <w:r w:rsidR="001C36C5">
        <w:t>500 000</w:t>
      </w:r>
      <w:r w:rsidR="001C36C5">
        <w:rPr>
          <w:rFonts w:hint="cs"/>
          <w:rtl/>
        </w:rPr>
        <w:t xml:space="preserve"> فرنك سويسري و</w:t>
      </w:r>
      <w:r w:rsidR="001C36C5">
        <w:t>1 000 000</w:t>
      </w:r>
      <w:r w:rsidR="001C36C5">
        <w:rPr>
          <w:rFonts w:hint="cs"/>
          <w:rtl/>
        </w:rPr>
        <w:t xml:space="preserve"> فرنك سويسري.</w:t>
      </w:r>
    </w:p>
  </w:footnote>
  <w:footnote w:id="2">
    <w:p w14:paraId="1A7EB1AD" w14:textId="5ABAB91F" w:rsidR="001344CE" w:rsidRPr="001C36C5" w:rsidRDefault="001344CE" w:rsidP="001344CE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C36C5">
        <w:rPr>
          <w:rFonts w:hint="cs"/>
          <w:rtl/>
        </w:rPr>
        <w:t xml:space="preserve">المشاريع الكبيرة هي المشاريع التي تزيد قيمتها على </w:t>
      </w:r>
      <w:r w:rsidR="001C36C5">
        <w:t>1 000 000</w:t>
      </w:r>
      <w:r w:rsidR="001C36C5">
        <w:rPr>
          <w:rFonts w:hint="cs"/>
          <w:rtl/>
        </w:rPr>
        <w:t xml:space="preserve"> فرنك سويسري.</w:t>
      </w:r>
    </w:p>
  </w:footnote>
  <w:footnote w:id="3">
    <w:p w14:paraId="027F698B" w14:textId="15178361" w:rsidR="001344CE" w:rsidRDefault="001344CE" w:rsidP="001344C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C36C5">
        <w:rPr>
          <w:rFonts w:hint="cs"/>
          <w:rtl/>
        </w:rPr>
        <w:t>الفترة من 1 يناير 2014 إلى 31 مارس 2018، تماشياً مع الجدول الزمني لتقديم التقارير لدورة المجلس لعام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76FD05C" w14:textId="2A8CA8DB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83DA5">
          <w:rPr>
            <w:sz w:val="20"/>
            <w:szCs w:val="20"/>
            <w:lang w:val="es-ES_tradnl"/>
          </w:rPr>
          <w:t>TDAG</w:t>
        </w:r>
        <w:r>
          <w:rPr>
            <w:sz w:val="20"/>
            <w:szCs w:val="20"/>
            <w:lang w:val="es-ES_tradnl"/>
          </w:rPr>
          <w:t>-2</w:t>
        </w:r>
        <w:r w:rsidR="00153471">
          <w:rPr>
            <w:sz w:val="20"/>
            <w:szCs w:val="20"/>
            <w:lang w:val="es-ES_tradnl"/>
          </w:rPr>
          <w:t>3</w:t>
        </w:r>
        <w:bookmarkStart w:id="1" w:name="DocNo2"/>
        <w:bookmarkEnd w:id="1"/>
        <w:r w:rsidR="00D8311F">
          <w:rPr>
            <w:sz w:val="20"/>
            <w:szCs w:val="20"/>
            <w:lang w:val="es-ES_tradnl"/>
          </w:rPr>
          <w:t>/</w:t>
        </w:r>
        <w:r w:rsidR="001344CE">
          <w:rPr>
            <w:sz w:val="20"/>
            <w:szCs w:val="20"/>
            <w:lang w:val="es-ES_tradnl"/>
          </w:rPr>
          <w:t>25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CE"/>
    <w:rsid w:val="00026D7C"/>
    <w:rsid w:val="000471C7"/>
    <w:rsid w:val="0006468A"/>
    <w:rsid w:val="00090574"/>
    <w:rsid w:val="000A72AA"/>
    <w:rsid w:val="000C1C0E"/>
    <w:rsid w:val="000C548A"/>
    <w:rsid w:val="000F231B"/>
    <w:rsid w:val="001344CE"/>
    <w:rsid w:val="00153471"/>
    <w:rsid w:val="0019128D"/>
    <w:rsid w:val="001C0169"/>
    <w:rsid w:val="001C36C5"/>
    <w:rsid w:val="001D1D50"/>
    <w:rsid w:val="001D6745"/>
    <w:rsid w:val="001E446E"/>
    <w:rsid w:val="001F14AE"/>
    <w:rsid w:val="0020576D"/>
    <w:rsid w:val="0021016E"/>
    <w:rsid w:val="002154EE"/>
    <w:rsid w:val="00223E42"/>
    <w:rsid w:val="0022683C"/>
    <w:rsid w:val="002276D2"/>
    <w:rsid w:val="0023283D"/>
    <w:rsid w:val="002354AB"/>
    <w:rsid w:val="0026373E"/>
    <w:rsid w:val="00271C43"/>
    <w:rsid w:val="00290728"/>
    <w:rsid w:val="002978F4"/>
    <w:rsid w:val="002B028D"/>
    <w:rsid w:val="002E6541"/>
    <w:rsid w:val="00317741"/>
    <w:rsid w:val="00334924"/>
    <w:rsid w:val="003409BC"/>
    <w:rsid w:val="00357185"/>
    <w:rsid w:val="00383829"/>
    <w:rsid w:val="00386938"/>
    <w:rsid w:val="003971E3"/>
    <w:rsid w:val="003C4402"/>
    <w:rsid w:val="003F4B29"/>
    <w:rsid w:val="0042686F"/>
    <w:rsid w:val="004317D8"/>
    <w:rsid w:val="00434183"/>
    <w:rsid w:val="00443869"/>
    <w:rsid w:val="00447F32"/>
    <w:rsid w:val="004933BB"/>
    <w:rsid w:val="004E11DC"/>
    <w:rsid w:val="004F3C48"/>
    <w:rsid w:val="00506E94"/>
    <w:rsid w:val="00517339"/>
    <w:rsid w:val="00525DDD"/>
    <w:rsid w:val="005409AC"/>
    <w:rsid w:val="0055516A"/>
    <w:rsid w:val="00557904"/>
    <w:rsid w:val="0058491B"/>
    <w:rsid w:val="005874F2"/>
    <w:rsid w:val="00592EA5"/>
    <w:rsid w:val="005A3170"/>
    <w:rsid w:val="005B2C89"/>
    <w:rsid w:val="005D610E"/>
    <w:rsid w:val="005E1E6D"/>
    <w:rsid w:val="005F1FEE"/>
    <w:rsid w:val="006128FC"/>
    <w:rsid w:val="00666A8A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50EA1"/>
    <w:rsid w:val="00783A69"/>
    <w:rsid w:val="00783E26"/>
    <w:rsid w:val="007A1D77"/>
    <w:rsid w:val="007B4FA0"/>
    <w:rsid w:val="007C3BC7"/>
    <w:rsid w:val="007C3BCD"/>
    <w:rsid w:val="007D4ACF"/>
    <w:rsid w:val="007F0787"/>
    <w:rsid w:val="00807E8D"/>
    <w:rsid w:val="00810B7B"/>
    <w:rsid w:val="00822834"/>
    <w:rsid w:val="0082358A"/>
    <w:rsid w:val="008235CD"/>
    <w:rsid w:val="008247DE"/>
    <w:rsid w:val="00840B10"/>
    <w:rsid w:val="008513CB"/>
    <w:rsid w:val="008562F3"/>
    <w:rsid w:val="00874F08"/>
    <w:rsid w:val="00882A17"/>
    <w:rsid w:val="008A7F84"/>
    <w:rsid w:val="00911CCD"/>
    <w:rsid w:val="0091702E"/>
    <w:rsid w:val="00923B0C"/>
    <w:rsid w:val="0094021C"/>
    <w:rsid w:val="0094065A"/>
    <w:rsid w:val="00952F86"/>
    <w:rsid w:val="00982B28"/>
    <w:rsid w:val="00983DA5"/>
    <w:rsid w:val="009B44C7"/>
    <w:rsid w:val="009D313F"/>
    <w:rsid w:val="009E74A6"/>
    <w:rsid w:val="00A24359"/>
    <w:rsid w:val="00A30FC2"/>
    <w:rsid w:val="00A47A5A"/>
    <w:rsid w:val="00A6683B"/>
    <w:rsid w:val="00A97F94"/>
    <w:rsid w:val="00AA7EA2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2BF8"/>
    <w:rsid w:val="00C85CB5"/>
    <w:rsid w:val="00C93701"/>
    <w:rsid w:val="00CA08BA"/>
    <w:rsid w:val="00CE2EE1"/>
    <w:rsid w:val="00CE3349"/>
    <w:rsid w:val="00CE36E5"/>
    <w:rsid w:val="00CE4081"/>
    <w:rsid w:val="00CE4E39"/>
    <w:rsid w:val="00CE7A26"/>
    <w:rsid w:val="00CF27F5"/>
    <w:rsid w:val="00CF3FFD"/>
    <w:rsid w:val="00D10CCF"/>
    <w:rsid w:val="00D523DB"/>
    <w:rsid w:val="00D77D0F"/>
    <w:rsid w:val="00D8311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EE5CF2"/>
    <w:rsid w:val="00F058DC"/>
    <w:rsid w:val="00F24FC4"/>
    <w:rsid w:val="00F2676C"/>
    <w:rsid w:val="00F43D01"/>
    <w:rsid w:val="00F77022"/>
    <w:rsid w:val="00F84366"/>
    <w:rsid w:val="00F85089"/>
    <w:rsid w:val="00F974C5"/>
    <w:rsid w:val="00FA6F46"/>
    <w:rsid w:val="00FE5872"/>
    <w:rsid w:val="00FE7FCA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29DD"/>
  <w15:chartTrackingRefBased/>
  <w15:docId w15:val="{2F0272FB-11CF-4D4E-8845-C49E546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meetingdoc.asp?lang=en&amp;parent=D22-TDAG30-C-0025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jose.bataner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Arabic-IR</cp:lastModifiedBy>
  <cp:revision>5</cp:revision>
  <dcterms:created xsi:type="dcterms:W3CDTF">2023-05-24T07:11:00Z</dcterms:created>
  <dcterms:modified xsi:type="dcterms:W3CDTF">2023-05-24T08:07:00Z</dcterms:modified>
</cp:coreProperties>
</file>