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2AB969B"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34412E">
              <w:rPr>
                <w:b/>
                <w:bCs/>
                <w:lang w:val="en-US"/>
              </w:rPr>
              <w:t>2</w:t>
            </w:r>
            <w:r w:rsidR="00AF7E39">
              <w:rPr>
                <w:b/>
                <w:bCs/>
                <w:lang w:val="en-US"/>
              </w:rPr>
              <w:t>4</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7D2E26B2" w:rsidR="00683C32" w:rsidRPr="007F1CC7" w:rsidRDefault="0034412E" w:rsidP="00B648C7">
            <w:pPr>
              <w:spacing w:before="0"/>
              <w:rPr>
                <w:b/>
                <w:szCs w:val="24"/>
              </w:rPr>
            </w:pPr>
            <w:bookmarkStart w:id="2" w:name="CreationDate"/>
            <w:bookmarkEnd w:id="2"/>
            <w:r>
              <w:rPr>
                <w:b/>
                <w:bCs/>
                <w:szCs w:val="28"/>
              </w:rPr>
              <w:t>8</w:t>
            </w:r>
            <w:r w:rsidR="00EC5653">
              <w:rPr>
                <w:b/>
                <w:bCs/>
                <w:szCs w:val="28"/>
              </w:rPr>
              <w:t xml:space="preserve"> March 2022</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78045AA8" w:rsidR="00A13162" w:rsidRPr="0030353C" w:rsidRDefault="00EC5653" w:rsidP="0030353C">
            <w:pPr>
              <w:pStyle w:val="Source"/>
            </w:pPr>
            <w:bookmarkStart w:id="4" w:name="Source"/>
            <w:bookmarkEnd w:id="4"/>
            <w:r w:rsidRPr="00EC5653">
              <w:t>Inter-Sector Coordination Group (ISCG) on issues of mutual interest</w:t>
            </w:r>
          </w:p>
        </w:tc>
      </w:tr>
      <w:tr w:rsidR="00AC6F14" w:rsidRPr="002E6963" w14:paraId="2CBD3A36" w14:textId="77777777" w:rsidTr="00107E85">
        <w:trPr>
          <w:cantSplit/>
        </w:trPr>
        <w:tc>
          <w:tcPr>
            <w:tcW w:w="9888" w:type="dxa"/>
            <w:gridSpan w:val="2"/>
          </w:tcPr>
          <w:p w14:paraId="1B4121DF" w14:textId="65421FDB" w:rsidR="00AC6F14" w:rsidRPr="0030353C" w:rsidRDefault="0034412E" w:rsidP="0030353C">
            <w:pPr>
              <w:pStyle w:val="Title1"/>
            </w:pPr>
            <w:bookmarkStart w:id="5" w:name="Title"/>
            <w:bookmarkEnd w:id="5"/>
            <w:r w:rsidRPr="0034412E">
              <w:t xml:space="preserve">Incoming LS – Liaison Statement on Governance </w:t>
            </w:r>
            <w:r>
              <w:br/>
            </w:r>
            <w:r w:rsidRPr="0034412E">
              <w:t>and management of virtual meetings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7B7F303D" w14:textId="77777777" w:rsidR="0034412E" w:rsidRDefault="0034412E" w:rsidP="00EC5653">
            <w:pPr>
              <w:spacing w:after="120"/>
            </w:pPr>
            <w:r w:rsidRPr="0034412E">
              <w:t>The ISCG presents information on virtual meetings and request the Sectors advisory groups to share their procedures for the management of those meetings.</w:t>
            </w:r>
          </w:p>
          <w:p w14:paraId="76A1C541" w14:textId="61364EF0" w:rsidR="00A721F4" w:rsidRPr="00D9621A" w:rsidRDefault="00A721F4" w:rsidP="00EC5653">
            <w:pPr>
              <w:spacing w:after="120"/>
              <w:rPr>
                <w:b/>
                <w:bCs/>
                <w:szCs w:val="24"/>
              </w:rPr>
            </w:pPr>
            <w:r w:rsidRPr="005E090D">
              <w:rPr>
                <w:b/>
                <w:bCs/>
              </w:rPr>
              <w:t>Action required:</w:t>
            </w:r>
          </w:p>
          <w:p w14:paraId="1ECDD20E" w14:textId="3FF38E8B" w:rsidR="00A721F4" w:rsidRPr="00D9621A" w:rsidRDefault="00EC5653" w:rsidP="00EA0C51">
            <w:pPr>
              <w:spacing w:after="120"/>
            </w:pPr>
            <w:r w:rsidRPr="00EC5653">
              <w:t xml:space="preserve">TDAG is invited to note this document and provide guidance as deemed appropriate. </w:t>
            </w:r>
          </w:p>
        </w:tc>
      </w:tr>
    </w:tbl>
    <w:p w14:paraId="77CF718B" w14:textId="77777777" w:rsidR="00AC6F14" w:rsidRDefault="00AC6F14" w:rsidP="00EA0C51">
      <w:pPr>
        <w:spacing w:after="120"/>
      </w:pPr>
    </w:p>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vertAnchor="page" w:horzAnchor="margin" w:tblpY="1336"/>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661"/>
        <w:gridCol w:w="3224"/>
      </w:tblGrid>
      <w:tr w:rsidR="0034412E" w14:paraId="0832F70A" w14:textId="77777777" w:rsidTr="0034412E">
        <w:trPr>
          <w:cantSplit/>
          <w:trHeight w:val="1134"/>
        </w:trPr>
        <w:tc>
          <w:tcPr>
            <w:tcW w:w="6661" w:type="dxa"/>
          </w:tcPr>
          <w:p w14:paraId="11389F4C" w14:textId="77777777" w:rsidR="0034412E" w:rsidRPr="002E621B" w:rsidRDefault="0034412E" w:rsidP="0034412E">
            <w:pPr>
              <w:spacing w:before="20" w:after="48" w:line="240" w:lineRule="atLeast"/>
              <w:ind w:left="34"/>
              <w:rPr>
                <w:rFonts w:cstheme="minorHAnsi"/>
                <w:b/>
                <w:bCs/>
                <w:sz w:val="32"/>
                <w:szCs w:val="32"/>
                <w:lang w:val="en-US"/>
              </w:rPr>
            </w:pPr>
            <w:r w:rsidRPr="002E621B">
              <w:rPr>
                <w:rFonts w:cstheme="minorHAnsi"/>
                <w:b/>
                <w:bCs/>
                <w:sz w:val="32"/>
                <w:szCs w:val="32"/>
                <w:lang w:val="en-US"/>
              </w:rPr>
              <w:lastRenderedPageBreak/>
              <w:t>Inter-Sector Coordination Group (ISCG) on issues of mutual interest</w:t>
            </w:r>
          </w:p>
          <w:p w14:paraId="4443D55D" w14:textId="77777777" w:rsidR="0034412E" w:rsidRPr="002E621B" w:rsidRDefault="0034412E" w:rsidP="0034412E">
            <w:pPr>
              <w:spacing w:before="100" w:after="120"/>
              <w:ind w:left="34"/>
              <w:rPr>
                <w:rFonts w:cstheme="minorHAnsi"/>
                <w:sz w:val="28"/>
                <w:szCs w:val="28"/>
                <w:lang w:val="en-US"/>
              </w:rPr>
            </w:pPr>
          </w:p>
        </w:tc>
        <w:tc>
          <w:tcPr>
            <w:tcW w:w="3224" w:type="dxa"/>
            <w:hideMark/>
          </w:tcPr>
          <w:p w14:paraId="795D37CF" w14:textId="77777777" w:rsidR="0034412E" w:rsidRPr="002E621B" w:rsidRDefault="0034412E" w:rsidP="0034412E">
            <w:pPr>
              <w:spacing w:before="0"/>
              <w:ind w:right="142"/>
              <w:jc w:val="right"/>
              <w:rPr>
                <w:rFonts w:cstheme="minorHAnsi"/>
                <w:lang w:val="en-US"/>
              </w:rPr>
            </w:pPr>
            <w:r w:rsidRPr="002E621B">
              <w:rPr>
                <w:rFonts w:cstheme="minorHAnsi"/>
                <w:noProof/>
                <w:color w:val="3399FF"/>
                <w:lang w:val="en-US" w:eastAsia="zh-CN"/>
              </w:rPr>
              <w:drawing>
                <wp:inline distT="0" distB="0" distL="0" distR="0" wp14:anchorId="0CEA5EB0" wp14:editId="163F2F87">
                  <wp:extent cx="838200" cy="8382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34412E" w14:paraId="40AB600C" w14:textId="77777777" w:rsidTr="0034412E">
        <w:trPr>
          <w:cantSplit/>
        </w:trPr>
        <w:tc>
          <w:tcPr>
            <w:tcW w:w="6661" w:type="dxa"/>
            <w:tcBorders>
              <w:top w:val="single" w:sz="12" w:space="0" w:color="auto"/>
              <w:left w:val="nil"/>
              <w:bottom w:val="nil"/>
              <w:right w:val="nil"/>
            </w:tcBorders>
          </w:tcPr>
          <w:p w14:paraId="263BF168" w14:textId="77777777" w:rsidR="0034412E" w:rsidRPr="002E621B" w:rsidRDefault="0034412E" w:rsidP="0034412E">
            <w:pPr>
              <w:spacing w:before="0"/>
              <w:rPr>
                <w:rFonts w:cstheme="minorHAnsi"/>
                <w:b/>
                <w:bCs/>
                <w:sz w:val="20"/>
                <w:lang w:val="en-US"/>
              </w:rPr>
            </w:pPr>
          </w:p>
        </w:tc>
        <w:tc>
          <w:tcPr>
            <w:tcW w:w="3224" w:type="dxa"/>
            <w:tcBorders>
              <w:top w:val="single" w:sz="12" w:space="0" w:color="auto"/>
              <w:left w:val="nil"/>
              <w:bottom w:val="nil"/>
              <w:right w:val="nil"/>
            </w:tcBorders>
          </w:tcPr>
          <w:p w14:paraId="64A8F427" w14:textId="77777777" w:rsidR="0034412E" w:rsidRPr="002E621B" w:rsidRDefault="0034412E" w:rsidP="0034412E">
            <w:pPr>
              <w:tabs>
                <w:tab w:val="left" w:pos="851"/>
              </w:tabs>
              <w:spacing w:before="0" w:line="240" w:lineRule="atLeast"/>
              <w:rPr>
                <w:rFonts w:cstheme="minorHAnsi"/>
                <w:b/>
                <w:bCs/>
                <w:szCs w:val="24"/>
                <w:lang w:val="en-US"/>
              </w:rPr>
            </w:pPr>
          </w:p>
        </w:tc>
      </w:tr>
      <w:tr w:rsidR="0034412E" w14:paraId="2A4F74D0" w14:textId="77777777" w:rsidTr="0034412E">
        <w:trPr>
          <w:cantSplit/>
        </w:trPr>
        <w:tc>
          <w:tcPr>
            <w:tcW w:w="6661" w:type="dxa"/>
          </w:tcPr>
          <w:p w14:paraId="09908B13" w14:textId="77777777" w:rsidR="0034412E" w:rsidRPr="002E621B" w:rsidRDefault="0034412E" w:rsidP="0034412E">
            <w:pPr>
              <w:pStyle w:val="Committee"/>
              <w:rPr>
                <w:rFonts w:cstheme="minorHAnsi"/>
                <w:b w:val="0"/>
                <w:szCs w:val="24"/>
                <w:lang w:val="en-US"/>
              </w:rPr>
            </w:pPr>
          </w:p>
        </w:tc>
        <w:tc>
          <w:tcPr>
            <w:tcW w:w="3224" w:type="dxa"/>
            <w:hideMark/>
          </w:tcPr>
          <w:p w14:paraId="0933FBCC" w14:textId="77777777" w:rsidR="0034412E" w:rsidRPr="002E621B" w:rsidRDefault="0034412E" w:rsidP="0034412E">
            <w:pPr>
              <w:tabs>
                <w:tab w:val="left" w:pos="851"/>
              </w:tabs>
              <w:spacing w:before="0" w:line="240" w:lineRule="atLeast"/>
              <w:rPr>
                <w:rFonts w:cstheme="minorHAnsi"/>
                <w:sz w:val="22"/>
                <w:szCs w:val="22"/>
                <w:lang w:val="en-US"/>
              </w:rPr>
            </w:pPr>
            <w:r w:rsidRPr="002E621B">
              <w:rPr>
                <w:rFonts w:cstheme="minorHAnsi"/>
                <w:lang w:val="en-US"/>
              </w:rPr>
              <w:t>Geneva, 2 May 2023</w:t>
            </w:r>
          </w:p>
        </w:tc>
      </w:tr>
      <w:tr w:rsidR="0034412E" w14:paraId="6656A323" w14:textId="77777777" w:rsidTr="0034412E">
        <w:trPr>
          <w:cantSplit/>
        </w:trPr>
        <w:tc>
          <w:tcPr>
            <w:tcW w:w="6661" w:type="dxa"/>
          </w:tcPr>
          <w:p w14:paraId="45410FC7" w14:textId="77777777" w:rsidR="0034412E" w:rsidRPr="002E621B" w:rsidRDefault="0034412E" w:rsidP="0034412E">
            <w:pPr>
              <w:spacing w:before="0"/>
              <w:rPr>
                <w:rFonts w:cstheme="minorHAnsi"/>
                <w:b/>
                <w:bCs/>
                <w:smallCaps/>
                <w:szCs w:val="24"/>
                <w:lang w:val="en-US"/>
              </w:rPr>
            </w:pPr>
          </w:p>
        </w:tc>
        <w:tc>
          <w:tcPr>
            <w:tcW w:w="3224" w:type="dxa"/>
            <w:hideMark/>
          </w:tcPr>
          <w:p w14:paraId="6C071251" w14:textId="77777777" w:rsidR="0034412E" w:rsidRPr="002E621B" w:rsidRDefault="0034412E" w:rsidP="0034412E">
            <w:pPr>
              <w:spacing w:before="0" w:line="240" w:lineRule="atLeast"/>
              <w:rPr>
                <w:rFonts w:cstheme="minorHAnsi"/>
                <w:szCs w:val="24"/>
                <w:lang w:val="en-US"/>
              </w:rPr>
            </w:pPr>
            <w:r w:rsidRPr="002E621B">
              <w:rPr>
                <w:rFonts w:cstheme="minorHAnsi"/>
                <w:b/>
                <w:bCs/>
                <w:szCs w:val="24"/>
                <w:lang w:val="en-US"/>
              </w:rPr>
              <w:t>English only</w:t>
            </w:r>
          </w:p>
        </w:tc>
      </w:tr>
      <w:tr w:rsidR="0034412E" w14:paraId="55C1F53F" w14:textId="77777777" w:rsidTr="0034412E">
        <w:trPr>
          <w:cantSplit/>
        </w:trPr>
        <w:tc>
          <w:tcPr>
            <w:tcW w:w="6661" w:type="dxa"/>
          </w:tcPr>
          <w:p w14:paraId="24BD5D58" w14:textId="77777777" w:rsidR="0034412E" w:rsidRPr="002E621B" w:rsidRDefault="0034412E" w:rsidP="0034412E">
            <w:pPr>
              <w:spacing w:before="0"/>
              <w:rPr>
                <w:rFonts w:cstheme="minorHAnsi"/>
                <w:b/>
                <w:bCs/>
                <w:smallCaps/>
                <w:szCs w:val="24"/>
                <w:lang w:val="en-US"/>
              </w:rPr>
            </w:pPr>
          </w:p>
        </w:tc>
        <w:tc>
          <w:tcPr>
            <w:tcW w:w="3224" w:type="dxa"/>
          </w:tcPr>
          <w:p w14:paraId="0FB2B477" w14:textId="77777777" w:rsidR="0034412E" w:rsidRPr="002E621B" w:rsidRDefault="0034412E" w:rsidP="0034412E">
            <w:pPr>
              <w:tabs>
                <w:tab w:val="left" w:pos="993"/>
              </w:tabs>
              <w:spacing w:before="0"/>
              <w:rPr>
                <w:rFonts w:cstheme="minorHAnsi"/>
                <w:b/>
                <w:szCs w:val="24"/>
                <w:lang w:val="en-US"/>
              </w:rPr>
            </w:pPr>
          </w:p>
        </w:tc>
      </w:tr>
    </w:tbl>
    <w:p w14:paraId="1650CA90" w14:textId="77777777" w:rsidR="0034412E" w:rsidRPr="0034412E" w:rsidRDefault="0034412E" w:rsidP="0034412E">
      <w:pPr>
        <w:tabs>
          <w:tab w:val="center" w:pos="7371"/>
        </w:tabs>
        <w:spacing w:before="0"/>
        <w:jc w:val="center"/>
        <w:rPr>
          <w:rFonts w:cstheme="minorHAnsi"/>
          <w:szCs w:val="24"/>
        </w:rPr>
      </w:pPr>
    </w:p>
    <w:p w14:paraId="3477A166" w14:textId="77777777" w:rsidR="0034412E" w:rsidRPr="0034412E" w:rsidRDefault="0034412E" w:rsidP="0034412E">
      <w:pPr>
        <w:tabs>
          <w:tab w:val="center" w:pos="7371"/>
        </w:tabs>
        <w:spacing w:before="0"/>
        <w:jc w:val="center"/>
        <w:rPr>
          <w:rFonts w:cstheme="minorHAnsi"/>
          <w:szCs w:val="24"/>
        </w:rPr>
      </w:pPr>
      <w:r w:rsidRPr="0034412E">
        <w:rPr>
          <w:rFonts w:cstheme="minorHAnsi"/>
          <w:b/>
          <w:bCs/>
          <w:szCs w:val="24"/>
        </w:rPr>
        <w:t>LIAISON STATEMENT</w:t>
      </w:r>
    </w:p>
    <w:tbl>
      <w:tblPr>
        <w:tblW w:w="9645" w:type="dxa"/>
        <w:jc w:val="center"/>
        <w:tblLayout w:type="fixed"/>
        <w:tblCellMar>
          <w:left w:w="57" w:type="dxa"/>
          <w:right w:w="57" w:type="dxa"/>
        </w:tblCellMar>
        <w:tblLook w:val="04A0" w:firstRow="1" w:lastRow="0" w:firstColumn="1" w:lastColumn="0" w:noHBand="0" w:noVBand="1"/>
      </w:tblPr>
      <w:tblGrid>
        <w:gridCol w:w="1419"/>
        <w:gridCol w:w="8226"/>
      </w:tblGrid>
      <w:tr w:rsidR="0034412E" w:rsidRPr="0034412E" w14:paraId="03EBA0F6" w14:textId="77777777" w:rsidTr="0034412E">
        <w:trPr>
          <w:cantSplit/>
          <w:jc w:val="center"/>
        </w:trPr>
        <w:tc>
          <w:tcPr>
            <w:tcW w:w="1419" w:type="dxa"/>
            <w:hideMark/>
          </w:tcPr>
          <w:p w14:paraId="43A9A162" w14:textId="77777777" w:rsidR="0034412E" w:rsidRPr="0034412E" w:rsidRDefault="0034412E">
            <w:pPr>
              <w:rPr>
                <w:rFonts w:cstheme="minorHAnsi"/>
                <w:b/>
                <w:bCs/>
                <w:szCs w:val="24"/>
                <w:lang w:val="en-US"/>
              </w:rPr>
            </w:pPr>
            <w:r w:rsidRPr="0034412E">
              <w:rPr>
                <w:rFonts w:cstheme="minorHAnsi"/>
                <w:b/>
                <w:bCs/>
                <w:szCs w:val="24"/>
                <w:lang w:val="en-US"/>
              </w:rPr>
              <w:t>Source:</w:t>
            </w:r>
          </w:p>
        </w:tc>
        <w:sdt>
          <w:sdtPr>
            <w:rPr>
              <w:rFonts w:cstheme="minorHAnsi"/>
              <w:szCs w:val="24"/>
              <w:lang w:val="en-US"/>
            </w:rPr>
            <w:alias w:val="DocumentSource"/>
            <w:tag w:val="DocumentSource"/>
            <w:id w:val="-1547363769"/>
            <w:placeholder>
              <w:docPart w:val="AEE0FC91304C43F2A02606397A667A0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6" w:type="dxa"/>
                <w:hideMark/>
              </w:tcPr>
              <w:p w14:paraId="5DA0FBE0" w14:textId="77777777" w:rsidR="0034412E" w:rsidRPr="0034412E" w:rsidRDefault="0034412E">
                <w:pPr>
                  <w:rPr>
                    <w:rFonts w:cstheme="minorHAnsi"/>
                    <w:szCs w:val="24"/>
                    <w:lang w:val="en-US"/>
                  </w:rPr>
                </w:pPr>
                <w:r w:rsidRPr="0034412E">
                  <w:rPr>
                    <w:rFonts w:cstheme="minorHAnsi"/>
                    <w:szCs w:val="24"/>
                    <w:lang w:val="en-US"/>
                  </w:rPr>
                  <w:t>ISCG</w:t>
                </w:r>
              </w:p>
            </w:tc>
          </w:sdtContent>
        </w:sdt>
      </w:tr>
      <w:tr w:rsidR="0034412E" w:rsidRPr="0034412E" w14:paraId="526B68EC" w14:textId="77777777" w:rsidTr="0034412E">
        <w:trPr>
          <w:cantSplit/>
          <w:jc w:val="center"/>
        </w:trPr>
        <w:tc>
          <w:tcPr>
            <w:tcW w:w="1419" w:type="dxa"/>
            <w:hideMark/>
          </w:tcPr>
          <w:p w14:paraId="018AB604" w14:textId="77777777" w:rsidR="0034412E" w:rsidRPr="0034412E" w:rsidRDefault="0034412E">
            <w:pPr>
              <w:rPr>
                <w:rFonts w:cstheme="minorHAnsi"/>
                <w:szCs w:val="24"/>
                <w:lang w:val="en-US"/>
              </w:rPr>
            </w:pPr>
            <w:r w:rsidRPr="0034412E">
              <w:rPr>
                <w:rFonts w:cstheme="minorHAnsi"/>
                <w:b/>
                <w:bCs/>
                <w:szCs w:val="24"/>
                <w:lang w:val="en-US"/>
              </w:rPr>
              <w:t>Title:</w:t>
            </w:r>
          </w:p>
        </w:tc>
        <w:tc>
          <w:tcPr>
            <w:tcW w:w="8226" w:type="dxa"/>
            <w:hideMark/>
          </w:tcPr>
          <w:p w14:paraId="41757738" w14:textId="77777777" w:rsidR="0034412E" w:rsidRPr="0034412E" w:rsidRDefault="0034412E">
            <w:pPr>
              <w:rPr>
                <w:rFonts w:cstheme="minorHAnsi"/>
                <w:szCs w:val="24"/>
                <w:lang w:val="en-US"/>
              </w:rPr>
            </w:pPr>
            <w:r w:rsidRPr="0034412E">
              <w:rPr>
                <w:rFonts w:cstheme="minorHAnsi"/>
                <w:szCs w:val="24"/>
                <w:lang w:val="en-US"/>
              </w:rPr>
              <w:t>LS on Governance and management of virtual meetings</w:t>
            </w:r>
          </w:p>
        </w:tc>
      </w:tr>
      <w:tr w:rsidR="0034412E" w:rsidRPr="0034412E" w14:paraId="1B159EDE" w14:textId="77777777" w:rsidTr="0034412E">
        <w:trPr>
          <w:cantSplit/>
          <w:jc w:val="center"/>
        </w:trPr>
        <w:tc>
          <w:tcPr>
            <w:tcW w:w="1419" w:type="dxa"/>
            <w:hideMark/>
          </w:tcPr>
          <w:p w14:paraId="7DA51945" w14:textId="77777777" w:rsidR="0034412E" w:rsidRPr="0034412E" w:rsidRDefault="0034412E">
            <w:pPr>
              <w:rPr>
                <w:rFonts w:cstheme="minorHAnsi"/>
                <w:b/>
                <w:bCs/>
                <w:szCs w:val="24"/>
                <w:lang w:val="en-US"/>
              </w:rPr>
            </w:pPr>
            <w:r w:rsidRPr="0034412E">
              <w:rPr>
                <w:rFonts w:cstheme="minorHAnsi"/>
                <w:b/>
                <w:bCs/>
                <w:szCs w:val="24"/>
                <w:lang w:val="en-US"/>
              </w:rPr>
              <w:t>Purpose:</w:t>
            </w:r>
          </w:p>
        </w:tc>
        <w:tc>
          <w:tcPr>
            <w:tcW w:w="8226" w:type="dxa"/>
            <w:hideMark/>
          </w:tcPr>
          <w:p w14:paraId="41C76FB7" w14:textId="77777777" w:rsidR="0034412E" w:rsidRPr="0034412E" w:rsidRDefault="0034412E">
            <w:pPr>
              <w:rPr>
                <w:rFonts w:cstheme="minorHAnsi"/>
                <w:szCs w:val="24"/>
                <w:lang w:val="en-US"/>
              </w:rPr>
            </w:pPr>
            <w:r w:rsidRPr="0034412E">
              <w:rPr>
                <w:rFonts w:cstheme="minorHAnsi"/>
                <w:szCs w:val="24"/>
                <w:lang w:val="en-US"/>
              </w:rPr>
              <w:t>Action</w:t>
            </w:r>
          </w:p>
        </w:tc>
      </w:tr>
    </w:tbl>
    <w:p w14:paraId="277C66E5" w14:textId="3B8BD567" w:rsidR="0034412E" w:rsidRPr="0034412E" w:rsidRDefault="0034412E" w:rsidP="0034412E">
      <w:pPr>
        <w:pBdr>
          <w:top w:val="single" w:sz="4" w:space="1" w:color="auto"/>
        </w:pBdr>
        <w:rPr>
          <w:rFonts w:cstheme="minorHAnsi"/>
          <w:szCs w:val="24"/>
        </w:rPr>
      </w:pPr>
      <w:r w:rsidRPr="0034412E">
        <w:rPr>
          <w:rFonts w:cstheme="minorHAnsi"/>
          <w:b/>
          <w:bCs/>
          <w:szCs w:val="24"/>
        </w:rPr>
        <w:t xml:space="preserve">For action to: </w:t>
      </w:r>
      <w:r w:rsidRPr="0034412E">
        <w:rPr>
          <w:rFonts w:cstheme="minorHAnsi"/>
          <w:b/>
          <w:bCs/>
          <w:szCs w:val="24"/>
        </w:rPr>
        <w:tab/>
      </w:r>
      <w:r w:rsidRPr="0034412E">
        <w:rPr>
          <w:rFonts w:cstheme="minorHAnsi"/>
          <w:b/>
          <w:bCs/>
          <w:szCs w:val="24"/>
        </w:rPr>
        <w:tab/>
      </w:r>
      <w:r w:rsidRPr="0034412E">
        <w:rPr>
          <w:rFonts w:cstheme="minorHAnsi"/>
          <w:szCs w:val="24"/>
        </w:rPr>
        <w:t>RAG, TDAG</w:t>
      </w:r>
    </w:p>
    <w:p w14:paraId="6A84142A" w14:textId="7E869E91" w:rsidR="0034412E" w:rsidRPr="0034412E" w:rsidRDefault="0034412E" w:rsidP="0034412E">
      <w:pPr>
        <w:rPr>
          <w:rFonts w:cstheme="minorHAnsi"/>
          <w:b/>
          <w:bCs/>
          <w:szCs w:val="24"/>
        </w:rPr>
      </w:pPr>
      <w:r w:rsidRPr="0034412E">
        <w:rPr>
          <w:rFonts w:cstheme="minorHAnsi"/>
          <w:b/>
          <w:bCs/>
          <w:szCs w:val="24"/>
        </w:rPr>
        <w:t xml:space="preserve">For comment to: </w:t>
      </w:r>
      <w:r w:rsidRPr="0034412E">
        <w:rPr>
          <w:rFonts w:cstheme="minorHAnsi"/>
          <w:b/>
          <w:bCs/>
          <w:szCs w:val="24"/>
        </w:rPr>
        <w:tab/>
      </w:r>
      <w:r w:rsidRPr="0034412E">
        <w:rPr>
          <w:rFonts w:cstheme="minorHAnsi"/>
          <w:b/>
          <w:bCs/>
          <w:szCs w:val="24"/>
        </w:rPr>
        <w:tab/>
      </w:r>
      <w:r w:rsidRPr="0034412E">
        <w:rPr>
          <w:rFonts w:cstheme="minorHAnsi"/>
          <w:szCs w:val="24"/>
        </w:rPr>
        <w:t>-</w:t>
      </w:r>
    </w:p>
    <w:p w14:paraId="68067934" w14:textId="0D7E0BD4" w:rsidR="0034412E" w:rsidRPr="0034412E" w:rsidRDefault="0034412E" w:rsidP="0034412E">
      <w:pPr>
        <w:rPr>
          <w:rFonts w:cstheme="minorHAnsi"/>
          <w:b/>
          <w:bCs/>
          <w:szCs w:val="24"/>
        </w:rPr>
      </w:pPr>
      <w:r w:rsidRPr="0034412E">
        <w:rPr>
          <w:rFonts w:cstheme="minorHAnsi"/>
          <w:b/>
          <w:bCs/>
          <w:szCs w:val="24"/>
        </w:rPr>
        <w:t xml:space="preserve">For information to: </w:t>
      </w:r>
      <w:r w:rsidRPr="0034412E">
        <w:rPr>
          <w:rFonts w:cstheme="minorHAnsi"/>
          <w:b/>
          <w:bCs/>
          <w:szCs w:val="24"/>
        </w:rPr>
        <w:tab/>
      </w:r>
      <w:r w:rsidRPr="0034412E">
        <w:rPr>
          <w:rFonts w:cstheme="minorHAnsi"/>
          <w:szCs w:val="24"/>
        </w:rPr>
        <w:t>TSAG</w:t>
      </w:r>
    </w:p>
    <w:p w14:paraId="5B64B9F3" w14:textId="37986DE7" w:rsidR="0034412E" w:rsidRPr="0034412E" w:rsidRDefault="0034412E" w:rsidP="0034412E">
      <w:pPr>
        <w:rPr>
          <w:rFonts w:cstheme="minorHAnsi"/>
          <w:szCs w:val="24"/>
        </w:rPr>
      </w:pPr>
      <w:r w:rsidRPr="0034412E">
        <w:rPr>
          <w:rFonts w:cstheme="minorHAnsi"/>
          <w:b/>
          <w:bCs/>
          <w:szCs w:val="24"/>
        </w:rPr>
        <w:t xml:space="preserve">Approval: </w:t>
      </w:r>
      <w:r w:rsidRPr="0034412E">
        <w:rPr>
          <w:rFonts w:cstheme="minorHAnsi"/>
          <w:b/>
          <w:bCs/>
          <w:szCs w:val="24"/>
        </w:rPr>
        <w:tab/>
      </w:r>
      <w:r w:rsidRPr="0034412E">
        <w:rPr>
          <w:rFonts w:cstheme="minorHAnsi"/>
          <w:b/>
          <w:bCs/>
          <w:szCs w:val="24"/>
        </w:rPr>
        <w:tab/>
      </w:r>
      <w:r>
        <w:rPr>
          <w:rFonts w:cstheme="minorHAnsi"/>
          <w:b/>
          <w:bCs/>
          <w:szCs w:val="24"/>
        </w:rPr>
        <w:tab/>
      </w:r>
      <w:r>
        <w:rPr>
          <w:rFonts w:cstheme="minorHAnsi"/>
          <w:b/>
          <w:bCs/>
          <w:szCs w:val="24"/>
        </w:rPr>
        <w:tab/>
      </w:r>
      <w:r w:rsidRPr="0034412E">
        <w:rPr>
          <w:rFonts w:cstheme="minorHAnsi"/>
          <w:szCs w:val="24"/>
        </w:rPr>
        <w:t>ISCG meeting (2 May 2023)</w:t>
      </w:r>
    </w:p>
    <w:p w14:paraId="423E74FF" w14:textId="6DBCFEFF" w:rsidR="0034412E" w:rsidRPr="0034412E" w:rsidRDefault="0034412E" w:rsidP="0034412E">
      <w:pPr>
        <w:rPr>
          <w:rFonts w:cstheme="minorHAnsi"/>
          <w:szCs w:val="24"/>
        </w:rPr>
      </w:pPr>
      <w:r w:rsidRPr="0034412E">
        <w:rPr>
          <w:rFonts w:cstheme="minorHAnsi"/>
          <w:b/>
          <w:bCs/>
          <w:szCs w:val="24"/>
        </w:rPr>
        <w:t>Deadline:</w:t>
      </w:r>
      <w:r w:rsidRPr="0034412E">
        <w:rPr>
          <w:rFonts w:cstheme="minorHAnsi"/>
          <w:b/>
          <w:bCs/>
          <w:szCs w:val="24"/>
        </w:rPr>
        <w:tab/>
      </w:r>
      <w:r w:rsidRPr="0034412E">
        <w:rPr>
          <w:rFonts w:cstheme="minorHAnsi"/>
          <w:b/>
          <w:bCs/>
          <w:szCs w:val="24"/>
        </w:rPr>
        <w:tab/>
      </w:r>
      <w:r>
        <w:rPr>
          <w:rFonts w:cstheme="minorHAnsi"/>
          <w:b/>
          <w:bCs/>
          <w:szCs w:val="24"/>
        </w:rPr>
        <w:tab/>
      </w:r>
      <w:r>
        <w:rPr>
          <w:rFonts w:cstheme="minorHAnsi"/>
          <w:b/>
          <w:bCs/>
          <w:szCs w:val="24"/>
        </w:rPr>
        <w:tab/>
      </w:r>
      <w:r w:rsidRPr="0034412E">
        <w:rPr>
          <w:rFonts w:cstheme="minorHAnsi"/>
          <w:szCs w:val="24"/>
        </w:rPr>
        <w:t>30 September 2023</w:t>
      </w:r>
    </w:p>
    <w:tbl>
      <w:tblPr>
        <w:tblW w:w="9930" w:type="dxa"/>
        <w:tblLayout w:type="fixed"/>
        <w:tblCellMar>
          <w:left w:w="57" w:type="dxa"/>
          <w:right w:w="57" w:type="dxa"/>
        </w:tblCellMar>
        <w:tblLook w:val="04A0" w:firstRow="1" w:lastRow="0" w:firstColumn="1" w:lastColumn="0" w:noHBand="0" w:noVBand="1"/>
      </w:tblPr>
      <w:tblGrid>
        <w:gridCol w:w="1642"/>
        <w:gridCol w:w="541"/>
        <w:gridCol w:w="3825"/>
        <w:gridCol w:w="3910"/>
        <w:gridCol w:w="12"/>
      </w:tblGrid>
      <w:tr w:rsidR="0034412E" w:rsidRPr="0034412E" w14:paraId="511C91DB" w14:textId="77777777" w:rsidTr="0034412E">
        <w:trPr>
          <w:gridAfter w:val="1"/>
          <w:wAfter w:w="12" w:type="dxa"/>
          <w:cantSplit/>
          <w:trHeight w:val="204"/>
        </w:trPr>
        <w:tc>
          <w:tcPr>
            <w:tcW w:w="2184" w:type="dxa"/>
            <w:gridSpan w:val="2"/>
            <w:tcBorders>
              <w:top w:val="single" w:sz="12" w:space="0" w:color="auto"/>
              <w:left w:val="nil"/>
              <w:bottom w:val="single" w:sz="4" w:space="0" w:color="auto"/>
              <w:right w:val="nil"/>
            </w:tcBorders>
            <w:hideMark/>
          </w:tcPr>
          <w:p w14:paraId="711B2CAE" w14:textId="77777777" w:rsidR="0034412E" w:rsidRPr="0034412E" w:rsidRDefault="0034412E">
            <w:pPr>
              <w:rPr>
                <w:rFonts w:cstheme="minorHAnsi"/>
                <w:b/>
                <w:bCs/>
                <w:szCs w:val="24"/>
                <w:lang w:val="en-US"/>
              </w:rPr>
            </w:pPr>
            <w:r w:rsidRPr="0034412E">
              <w:rPr>
                <w:rFonts w:cstheme="minorHAnsi"/>
                <w:b/>
                <w:bCs/>
                <w:szCs w:val="24"/>
                <w:lang w:val="en-US"/>
              </w:rPr>
              <w:t>Contact:</w:t>
            </w:r>
          </w:p>
        </w:tc>
        <w:tc>
          <w:tcPr>
            <w:tcW w:w="3827" w:type="dxa"/>
            <w:tcBorders>
              <w:top w:val="single" w:sz="12" w:space="0" w:color="auto"/>
              <w:left w:val="nil"/>
              <w:bottom w:val="single" w:sz="4" w:space="0" w:color="auto"/>
              <w:right w:val="nil"/>
            </w:tcBorders>
            <w:hideMark/>
          </w:tcPr>
          <w:p w14:paraId="3A8E0B71" w14:textId="77777777" w:rsidR="0034412E" w:rsidRPr="0034412E" w:rsidRDefault="0034412E">
            <w:pPr>
              <w:rPr>
                <w:rFonts w:cstheme="minorHAnsi"/>
                <w:b/>
                <w:bCs/>
                <w:szCs w:val="24"/>
                <w:lang w:val="en-US"/>
              </w:rPr>
            </w:pPr>
            <w:r w:rsidRPr="0034412E">
              <w:rPr>
                <w:rFonts w:cstheme="minorHAnsi"/>
                <w:szCs w:val="24"/>
                <w:lang w:val="en-US"/>
              </w:rPr>
              <w:t>Phil Rushton</w:t>
            </w:r>
            <w:r w:rsidRPr="0034412E">
              <w:rPr>
                <w:rFonts w:cstheme="minorHAnsi"/>
                <w:b/>
                <w:bCs/>
                <w:szCs w:val="24"/>
                <w:lang w:val="en-US"/>
              </w:rPr>
              <w:br/>
            </w:r>
            <w:r w:rsidRPr="0034412E">
              <w:rPr>
                <w:rFonts w:cstheme="minorHAnsi"/>
                <w:szCs w:val="24"/>
                <w:lang w:val="en-AU"/>
              </w:rPr>
              <w:t>TSAG Representative on remote participation</w:t>
            </w:r>
          </w:p>
        </w:tc>
        <w:tc>
          <w:tcPr>
            <w:tcW w:w="3912" w:type="dxa"/>
            <w:tcBorders>
              <w:top w:val="single" w:sz="12" w:space="0" w:color="auto"/>
              <w:left w:val="nil"/>
              <w:bottom w:val="single" w:sz="4" w:space="0" w:color="auto"/>
              <w:right w:val="nil"/>
            </w:tcBorders>
            <w:hideMark/>
          </w:tcPr>
          <w:p w14:paraId="7659CE2E" w14:textId="1572A964" w:rsidR="0034412E" w:rsidRPr="0034412E" w:rsidRDefault="0034412E">
            <w:pPr>
              <w:rPr>
                <w:rFonts w:cstheme="minorHAnsi"/>
                <w:b/>
                <w:bCs/>
                <w:szCs w:val="24"/>
                <w:lang w:val="fr-FR"/>
              </w:rPr>
            </w:pPr>
            <w:r w:rsidRPr="0034412E">
              <w:rPr>
                <w:rFonts w:cstheme="minorHAnsi"/>
                <w:b/>
                <w:bCs/>
                <w:szCs w:val="24"/>
                <w:lang w:val="de-DE"/>
              </w:rPr>
              <w:t xml:space="preserve">E-mail: </w:t>
            </w:r>
            <w:r>
              <w:rPr>
                <w:rFonts w:cstheme="minorHAnsi"/>
                <w:b/>
                <w:bCs/>
                <w:szCs w:val="24"/>
                <w:lang w:val="de-DE"/>
              </w:rPr>
              <w:tab/>
            </w:r>
            <w:hyperlink r:id="rId10" w:history="1">
              <w:r w:rsidRPr="00BF0B11">
                <w:rPr>
                  <w:rStyle w:val="Hyperlink"/>
                  <w:rFonts w:cstheme="minorHAnsi"/>
                  <w:szCs w:val="24"/>
                  <w:lang w:val="de-DE"/>
                </w:rPr>
                <w:t>philrushton@rcc-uk.uk</w:t>
              </w:r>
            </w:hyperlink>
            <w:r w:rsidRPr="0034412E">
              <w:rPr>
                <w:rFonts w:cstheme="minorHAnsi"/>
                <w:lang w:val="fr-FR"/>
              </w:rPr>
              <w:t xml:space="preserve"> </w:t>
            </w:r>
          </w:p>
          <w:p w14:paraId="6E47BCA2" w14:textId="403145F1" w:rsidR="0034412E" w:rsidRPr="0034412E" w:rsidRDefault="0034412E">
            <w:pPr>
              <w:rPr>
                <w:rFonts w:cstheme="minorHAnsi"/>
                <w:szCs w:val="24"/>
                <w:lang w:val="de-DE"/>
              </w:rPr>
            </w:pPr>
            <w:r w:rsidRPr="0034412E">
              <w:rPr>
                <w:rFonts w:cstheme="minorHAnsi"/>
                <w:lang w:val="fr-FR"/>
              </w:rPr>
              <w:tab/>
            </w:r>
            <w:hyperlink r:id="rId11" w:history="1">
              <w:r w:rsidRPr="0034412E">
                <w:rPr>
                  <w:rStyle w:val="Hyperlink"/>
                  <w:rFonts w:cstheme="minorHAnsi"/>
                  <w:szCs w:val="24"/>
                  <w:lang w:val="de-DE"/>
                </w:rPr>
                <w:t>iscg@itu.int</w:t>
              </w:r>
            </w:hyperlink>
            <w:r w:rsidRPr="0034412E">
              <w:rPr>
                <w:rFonts w:cstheme="minorHAnsi"/>
                <w:szCs w:val="24"/>
                <w:lang w:val="de-DE"/>
              </w:rPr>
              <w:t xml:space="preserve"> </w:t>
            </w:r>
          </w:p>
        </w:tc>
      </w:tr>
      <w:tr w:rsidR="0034412E" w:rsidRPr="0034412E" w14:paraId="54AA7185" w14:textId="77777777" w:rsidTr="0034412E">
        <w:trPr>
          <w:cantSplit/>
          <w:trHeight w:val="489"/>
        </w:trPr>
        <w:tc>
          <w:tcPr>
            <w:tcW w:w="1643" w:type="dxa"/>
            <w:hideMark/>
          </w:tcPr>
          <w:p w14:paraId="501453E7" w14:textId="77777777" w:rsidR="0034412E" w:rsidRPr="0034412E" w:rsidRDefault="0034412E">
            <w:pPr>
              <w:spacing w:after="40"/>
              <w:rPr>
                <w:rFonts w:cstheme="minorHAnsi"/>
                <w:b/>
                <w:bCs/>
                <w:lang w:val="en-US"/>
              </w:rPr>
            </w:pPr>
            <w:r w:rsidRPr="0034412E">
              <w:rPr>
                <w:rFonts w:cstheme="minorHAnsi"/>
                <w:b/>
                <w:bCs/>
                <w:lang w:val="en-US"/>
              </w:rPr>
              <w:t>Keywords:</w:t>
            </w:r>
          </w:p>
        </w:tc>
        <w:tc>
          <w:tcPr>
            <w:tcW w:w="8292" w:type="dxa"/>
            <w:gridSpan w:val="4"/>
            <w:hideMark/>
          </w:tcPr>
          <w:p w14:paraId="36E39A7D" w14:textId="77777777" w:rsidR="0034412E" w:rsidRPr="0034412E" w:rsidRDefault="0034412E">
            <w:pPr>
              <w:spacing w:after="40"/>
              <w:rPr>
                <w:rFonts w:cstheme="minorHAnsi"/>
                <w:lang w:val="en-US"/>
              </w:rPr>
            </w:pPr>
            <w:r w:rsidRPr="0034412E">
              <w:rPr>
                <w:rFonts w:cstheme="minorHAnsi"/>
                <w:lang w:val="en-US"/>
              </w:rPr>
              <w:t>Inter-Sector coordination; ISCG, Virtual meetings, Remote participation.</w:t>
            </w:r>
          </w:p>
        </w:tc>
      </w:tr>
      <w:tr w:rsidR="0034412E" w:rsidRPr="0034412E" w14:paraId="7479050C" w14:textId="77777777" w:rsidTr="0034412E">
        <w:trPr>
          <w:cantSplit/>
          <w:trHeight w:val="888"/>
        </w:trPr>
        <w:tc>
          <w:tcPr>
            <w:tcW w:w="1643" w:type="dxa"/>
            <w:hideMark/>
          </w:tcPr>
          <w:p w14:paraId="29D1D96E" w14:textId="77777777" w:rsidR="0034412E" w:rsidRPr="0034412E" w:rsidRDefault="0034412E">
            <w:pPr>
              <w:spacing w:after="40"/>
              <w:rPr>
                <w:rFonts w:cstheme="minorHAnsi"/>
                <w:b/>
                <w:bCs/>
                <w:lang w:val="en-US"/>
              </w:rPr>
            </w:pPr>
            <w:r w:rsidRPr="0034412E">
              <w:rPr>
                <w:rFonts w:cstheme="minorHAnsi"/>
                <w:b/>
                <w:bCs/>
                <w:lang w:val="en-US"/>
              </w:rPr>
              <w:t>Abstract:</w:t>
            </w:r>
          </w:p>
        </w:tc>
        <w:tc>
          <w:tcPr>
            <w:tcW w:w="8292" w:type="dxa"/>
            <w:gridSpan w:val="4"/>
            <w:hideMark/>
          </w:tcPr>
          <w:p w14:paraId="728F09D4" w14:textId="77777777" w:rsidR="0034412E" w:rsidRPr="0034412E" w:rsidRDefault="0034412E">
            <w:pPr>
              <w:spacing w:after="40"/>
              <w:rPr>
                <w:rFonts w:cstheme="minorHAnsi"/>
                <w:lang w:val="en-US"/>
              </w:rPr>
            </w:pPr>
            <w:r w:rsidRPr="0034412E">
              <w:rPr>
                <w:rFonts w:cstheme="minorHAnsi"/>
                <w:lang w:val="en-US"/>
              </w:rPr>
              <w:t>The ISCG presents information on virtual meetings and request the Sectors advisory groups to share their procedures for the management of those meetings.</w:t>
            </w:r>
          </w:p>
        </w:tc>
      </w:tr>
    </w:tbl>
    <w:p w14:paraId="243C2035" w14:textId="77777777" w:rsidR="0034412E" w:rsidRPr="0034412E" w:rsidRDefault="0034412E" w:rsidP="0034412E">
      <w:pPr>
        <w:spacing w:after="120"/>
        <w:rPr>
          <w:rFonts w:cstheme="minorHAnsi"/>
          <w:szCs w:val="24"/>
        </w:rPr>
      </w:pPr>
      <w:r w:rsidRPr="0034412E">
        <w:rPr>
          <w:rFonts w:cstheme="minorHAnsi"/>
          <w:szCs w:val="24"/>
        </w:rPr>
        <w:t xml:space="preserve">The Inter-Sector Coordination Group (ISCG) on issues of mutual interest would like to present to the attention of the Radiocommunication Advisory Groups (RAG) and the Telecommunication Development Advisory Group (TDAG) document </w:t>
      </w:r>
      <w:hyperlink r:id="rId12" w:history="1">
        <w:r w:rsidRPr="0034412E">
          <w:rPr>
            <w:rStyle w:val="Hyperlink"/>
            <w:rFonts w:cstheme="minorHAnsi"/>
            <w:szCs w:val="24"/>
          </w:rPr>
          <w:t>ISCG/23-1/04</w:t>
        </w:r>
      </w:hyperlink>
      <w:r w:rsidRPr="0034412E">
        <w:rPr>
          <w:rFonts w:cstheme="minorHAnsi"/>
          <w:szCs w:val="24"/>
        </w:rPr>
        <w:t xml:space="preserve"> presented, by the Telecommunication Standardization Advisory Group (TSAG) representative on remote participation, to the ISCG meeting on 2 May 2023.</w:t>
      </w:r>
    </w:p>
    <w:p w14:paraId="31AC445B" w14:textId="77777777" w:rsidR="0034412E" w:rsidRPr="0034412E" w:rsidRDefault="0034412E" w:rsidP="0034412E">
      <w:pPr>
        <w:spacing w:after="120"/>
        <w:rPr>
          <w:rFonts w:cstheme="minorHAnsi"/>
          <w:szCs w:val="24"/>
        </w:rPr>
      </w:pPr>
      <w:r w:rsidRPr="0034412E">
        <w:rPr>
          <w:rFonts w:cstheme="minorHAnsi"/>
          <w:szCs w:val="24"/>
        </w:rPr>
        <w:t xml:space="preserve">The ISCG would also like to share with RAG and TDAG the revised Supplement 4 to ITU-T A-series of Recommendations, </w:t>
      </w:r>
      <w:hyperlink r:id="rId13" w:history="1">
        <w:r w:rsidRPr="0034412E">
          <w:rPr>
            <w:rStyle w:val="Hyperlink"/>
            <w:rFonts w:cstheme="minorHAnsi"/>
            <w:szCs w:val="24"/>
          </w:rPr>
          <w:t>Supplement on Guidelines for remote participation</w:t>
        </w:r>
      </w:hyperlink>
      <w:r w:rsidRPr="0034412E">
        <w:rPr>
          <w:rFonts w:cstheme="minorHAnsi"/>
          <w:szCs w:val="24"/>
        </w:rPr>
        <w:t>.</w:t>
      </w:r>
    </w:p>
    <w:p w14:paraId="38C72C41" w14:textId="77777777" w:rsidR="0034412E" w:rsidRPr="0034412E" w:rsidRDefault="0034412E" w:rsidP="0034412E">
      <w:pPr>
        <w:spacing w:after="120"/>
        <w:rPr>
          <w:rFonts w:cstheme="minorHAnsi"/>
          <w:szCs w:val="24"/>
        </w:rPr>
      </w:pPr>
      <w:r w:rsidRPr="0034412E">
        <w:rPr>
          <w:rFonts w:cstheme="minorHAnsi"/>
          <w:szCs w:val="24"/>
        </w:rPr>
        <w:t>The ISCG invites RAG and TDAG to share the rules that they have on governance and management of virtual meetings to try and identify an agreed common best practice to be provided to the ITU Council to assist them in their deliberations as stated in PP-Resolution 167 (Rev. Bucharest, 2022), to develop a Union wide common approach in the longer term.</w:t>
      </w:r>
    </w:p>
    <w:p w14:paraId="4BF9813F" w14:textId="77777777" w:rsidR="0034412E" w:rsidRPr="0034412E" w:rsidRDefault="0034412E" w:rsidP="0034412E">
      <w:pPr>
        <w:tabs>
          <w:tab w:val="left" w:pos="0"/>
        </w:tabs>
        <w:spacing w:after="120"/>
        <w:rPr>
          <w:rFonts w:cstheme="minorHAnsi"/>
          <w:szCs w:val="24"/>
        </w:rPr>
      </w:pPr>
      <w:r w:rsidRPr="0034412E">
        <w:rPr>
          <w:rFonts w:cstheme="minorHAnsi"/>
          <w:szCs w:val="24"/>
        </w:rPr>
        <w:t>Looking forward to receiving your feedback, the ISCG thanks RAG and TDAG for its collaboration and contributions.</w:t>
      </w:r>
    </w:p>
    <w:p w14:paraId="7759C759" w14:textId="01A435A1" w:rsidR="00821996" w:rsidRPr="0034412E" w:rsidRDefault="005568E0" w:rsidP="005568E0">
      <w:pPr>
        <w:tabs>
          <w:tab w:val="clear" w:pos="794"/>
          <w:tab w:val="clear" w:pos="1191"/>
          <w:tab w:val="clear" w:pos="1588"/>
          <w:tab w:val="clear" w:pos="1985"/>
        </w:tabs>
        <w:spacing w:after="120"/>
        <w:jc w:val="center"/>
        <w:rPr>
          <w:rFonts w:cstheme="minorHAnsi"/>
        </w:rPr>
      </w:pPr>
      <w:bookmarkStart w:id="6" w:name="Proposal"/>
      <w:bookmarkEnd w:id="6"/>
      <w:r w:rsidRPr="0034412E">
        <w:rPr>
          <w:rFonts w:cstheme="minorHAnsi"/>
        </w:rPr>
        <w:t>________________</w:t>
      </w:r>
    </w:p>
    <w:sectPr w:rsidR="00821996" w:rsidRPr="0034412E" w:rsidSect="00473791">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ahoma"/>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4998E" w14:textId="77777777" w:rsidR="00AF7E39" w:rsidRDefault="00AF7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5E19B" w14:textId="77777777" w:rsidR="00AF7E39" w:rsidRDefault="00AF7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5D59875B" w:rsidR="0059420B" w:rsidRPr="00AF7A97" w:rsidRDefault="0034412E" w:rsidP="0034412E">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r w:rsidRPr="0034412E">
            <w:rPr>
              <w:sz w:val="18"/>
              <w:szCs w:val="18"/>
              <w:lang w:val="en-US"/>
            </w:rPr>
            <w:t>Phil Rushton</w:t>
          </w:r>
          <w:r>
            <w:rPr>
              <w:sz w:val="18"/>
              <w:szCs w:val="18"/>
              <w:lang w:val="en-US"/>
            </w:rPr>
            <w:t xml:space="preserve">, </w:t>
          </w:r>
          <w:r w:rsidRPr="0034412E">
            <w:rPr>
              <w:sz w:val="18"/>
              <w:szCs w:val="18"/>
              <w:lang w:val="en-US"/>
            </w:rPr>
            <w:t>TSAG Representative on remote participation</w:t>
          </w:r>
        </w:p>
      </w:tc>
      <w:bookmarkStart w:id="8" w:name="OrgName"/>
      <w:bookmarkEnd w:id="8"/>
    </w:tr>
    <w:tr w:rsidR="0059420B" w:rsidRPr="004D495C" w14:paraId="61167678" w14:textId="77777777" w:rsidTr="004E3CF5">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1DDDD54D" w:rsidR="0059420B" w:rsidRPr="00AF7A97" w:rsidRDefault="00EC5653" w:rsidP="0059420B">
          <w:pPr>
            <w:pStyle w:val="FirstFooter"/>
            <w:tabs>
              <w:tab w:val="left" w:pos="2302"/>
            </w:tabs>
            <w:rPr>
              <w:sz w:val="18"/>
              <w:szCs w:val="18"/>
              <w:lang w:val="en-US"/>
            </w:rPr>
          </w:pPr>
          <w:r>
            <w:rPr>
              <w:sz w:val="18"/>
              <w:szCs w:val="18"/>
              <w:lang w:val="en-US"/>
            </w:rPr>
            <w:t>n/a</w:t>
          </w:r>
        </w:p>
      </w:tc>
      <w:bookmarkStart w:id="9" w:name="PhoneNo"/>
      <w:bookmarkEnd w:id="9"/>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2BF333E2" w:rsidR="0059420B" w:rsidRPr="0034412E" w:rsidRDefault="00AF7E39" w:rsidP="0034412E">
          <w:pPr>
            <w:pStyle w:val="FirstFooter"/>
            <w:tabs>
              <w:tab w:val="left" w:pos="2302"/>
            </w:tabs>
            <w:rPr>
              <w:sz w:val="18"/>
              <w:szCs w:val="18"/>
              <w:lang w:val="en-US"/>
            </w:rPr>
          </w:pPr>
          <w:hyperlink r:id="rId1" w:history="1">
            <w:r w:rsidR="0034412E" w:rsidRPr="0034412E">
              <w:rPr>
                <w:rStyle w:val="Hyperlink"/>
                <w:sz w:val="18"/>
                <w:szCs w:val="22"/>
                <w:lang w:val="en-US"/>
              </w:rPr>
              <w:t>philrushton@rcc-uk.uk</w:t>
            </w:r>
          </w:hyperlink>
          <w:r w:rsidR="0034412E" w:rsidRPr="0034412E">
            <w:rPr>
              <w:sz w:val="18"/>
              <w:szCs w:val="22"/>
              <w:lang w:val="en-US"/>
            </w:rPr>
            <w:t xml:space="preserve">, </w:t>
          </w:r>
          <w:hyperlink r:id="rId2" w:history="1">
            <w:r w:rsidR="0034412E" w:rsidRPr="0034412E">
              <w:rPr>
                <w:rStyle w:val="Hyperlink"/>
                <w:sz w:val="18"/>
                <w:szCs w:val="22"/>
                <w:lang w:val="en-US"/>
              </w:rPr>
              <w:t>iscg@itu.int</w:t>
            </w:r>
          </w:hyperlink>
          <w:r w:rsidR="0034412E" w:rsidRPr="0034412E">
            <w:rPr>
              <w:sz w:val="18"/>
              <w:szCs w:val="22"/>
              <w:lang w:val="en-US"/>
            </w:rPr>
            <w:t xml:space="preserve"> </w:t>
          </w:r>
        </w:p>
      </w:tc>
      <w:bookmarkStart w:id="10" w:name="Email"/>
      <w:bookmarkEnd w:id="10"/>
    </w:tr>
  </w:tbl>
  <w:p w14:paraId="5AEFE7F9" w14:textId="77777777" w:rsidR="0059420B" w:rsidRPr="004146FD" w:rsidRDefault="0059420B" w:rsidP="00B80157">
    <w:pPr>
      <w:pStyle w:val="Footer"/>
      <w:jc w:val="center"/>
      <w:rPr>
        <w:sz w:val="18"/>
        <w:szCs w:val="18"/>
        <w:lang w:val="en-GB"/>
      </w:rPr>
    </w:pPr>
  </w:p>
  <w:p w14:paraId="40A321D0" w14:textId="77777777" w:rsidR="00721657" w:rsidRPr="004146FD" w:rsidRDefault="00AF7E39" w:rsidP="00B80157">
    <w:pPr>
      <w:pStyle w:val="Footer"/>
      <w:jc w:val="center"/>
      <w:rPr>
        <w:sz w:val="18"/>
        <w:szCs w:val="18"/>
        <w:lang w:val="en-GB"/>
      </w:rPr>
    </w:pPr>
    <w:hyperlink r:id="rId3" w:history="1">
      <w:r w:rsidR="008B47C7" w:rsidRPr="004146FD">
        <w:rPr>
          <w:rStyle w:val="Hyperlink"/>
          <w:caps w:val="0"/>
          <w:noProof w:val="0"/>
          <w:sz w:val="18"/>
          <w:szCs w:val="18"/>
          <w:lang w:val="en-US"/>
        </w:rPr>
        <w:t>TDAG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0810F" w14:textId="77777777" w:rsidR="00AF7E39" w:rsidRDefault="00AF7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2969B29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407435">
      <w:rPr>
        <w:sz w:val="22"/>
        <w:szCs w:val="22"/>
        <w:lang w:val="de-CH"/>
      </w:rPr>
      <w:t>TDAG</w:t>
    </w:r>
    <w:r w:rsidR="003242AB" w:rsidRPr="00407435">
      <w:rPr>
        <w:sz w:val="22"/>
        <w:szCs w:val="22"/>
        <w:lang w:val="de-CH"/>
      </w:rPr>
      <w:t>-</w:t>
    </w:r>
    <w:r w:rsidR="00923CF1" w:rsidRPr="00407435">
      <w:rPr>
        <w:sz w:val="22"/>
        <w:szCs w:val="22"/>
        <w:lang w:val="de-CH"/>
      </w:rPr>
      <w:t>2</w:t>
    </w:r>
    <w:r w:rsidR="00307769" w:rsidRPr="00407435">
      <w:rPr>
        <w:sz w:val="22"/>
        <w:szCs w:val="22"/>
        <w:lang w:val="de-CH"/>
      </w:rPr>
      <w:t>3</w:t>
    </w:r>
    <w:r w:rsidRPr="00407435">
      <w:rPr>
        <w:sz w:val="22"/>
        <w:szCs w:val="22"/>
        <w:lang w:val="de-CH"/>
      </w:rPr>
      <w:t>/</w:t>
    </w:r>
    <w:r w:rsidR="0034412E">
      <w:rPr>
        <w:sz w:val="22"/>
        <w:szCs w:val="22"/>
        <w:lang w:val="de-CH"/>
      </w:rPr>
      <w:t>2</w:t>
    </w:r>
    <w:r w:rsidR="00AF7E39">
      <w:rPr>
        <w:sz w:val="22"/>
        <w:szCs w:val="22"/>
        <w:lang w:val="de-CH"/>
      </w:rPr>
      <w:t>4</w:t>
    </w:r>
    <w:r w:rsidRPr="00407435">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bookmarkStart w:id="7" w:name="_GoBack"/>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44308" w14:textId="77777777" w:rsidR="00AF7E39" w:rsidRDefault="00AF7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21B"/>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412E"/>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07435"/>
    <w:rsid w:val="0041156B"/>
    <w:rsid w:val="004122C5"/>
    <w:rsid w:val="00413B78"/>
    <w:rsid w:val="004146FD"/>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68E0"/>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7EFC"/>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6539"/>
    <w:rsid w:val="00852081"/>
    <w:rsid w:val="00872B6E"/>
    <w:rsid w:val="00874DFD"/>
    <w:rsid w:val="008802F9"/>
    <w:rsid w:val="00883086"/>
    <w:rsid w:val="008879FD"/>
    <w:rsid w:val="00894C37"/>
    <w:rsid w:val="008A00EA"/>
    <w:rsid w:val="008A3F93"/>
    <w:rsid w:val="008A6236"/>
    <w:rsid w:val="008A6E1C"/>
    <w:rsid w:val="008A72FD"/>
    <w:rsid w:val="008B2EDF"/>
    <w:rsid w:val="008B3ACB"/>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3DEC"/>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AF7E39"/>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5653"/>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4E9F"/>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EC5653"/>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C5653"/>
    <w:rPr>
      <w:color w:val="605E5C"/>
      <w:shd w:val="clear" w:color="auto" w:fill="E1DFDD"/>
    </w:rPr>
  </w:style>
  <w:style w:type="character" w:customStyle="1" w:styleId="Title1Char">
    <w:name w:val="Title 1 Char"/>
    <w:link w:val="Title1"/>
    <w:qFormat/>
    <w:locked/>
    <w:rsid w:val="0034412E"/>
    <w:rPr>
      <w:rFonts w:asciiTheme="minorHAnsi" w:hAnsiTheme="minorHAnsi" w:cs="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1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rec/T-REC-A.Sup4-202212-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en/general-secretariat/ties/ISCGDocumentLibrary/1st%20Meeting%202023/Virtual%20meetings-Contribution%20ISCG%2023-1.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cg@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hilrushton@rcc-uk.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iscg@itu.int" TargetMode="External"/><Relationship Id="rId1" Type="http://schemas.openxmlformats.org/officeDocument/2006/relationships/hyperlink" Target="mailto:philrushton@rcc-uk.uk" TargetMode="External"/><Relationship Id="rId4" Type="http://schemas.openxmlformats.org/officeDocument/2006/relationships/hyperlink" Target="http://www.itu.int/en/ITU-D/Conferences/TDAG/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E0FC91304C43F2A02606397A667A09"/>
        <w:category>
          <w:name w:val="General"/>
          <w:gallery w:val="placeholder"/>
        </w:category>
        <w:types>
          <w:type w:val="bbPlcHdr"/>
        </w:types>
        <w:behaviors>
          <w:behavior w:val="content"/>
        </w:behaviors>
        <w:guid w:val="{A89BADFC-958E-4B58-B244-8BDC9D7DD2DE}"/>
      </w:docPartPr>
      <w:docPartBody>
        <w:p w:rsidR="00D502B6" w:rsidRDefault="00922808" w:rsidP="00922808">
          <w:pPr>
            <w:pStyle w:val="AEE0FC91304C43F2A02606397A667A09"/>
          </w:pPr>
          <w:r>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ahoma"/>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36"/>
    <w:rsid w:val="001A1336"/>
    <w:rsid w:val="00570512"/>
    <w:rsid w:val="00922808"/>
    <w:rsid w:val="00D502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808"/>
  </w:style>
  <w:style w:type="paragraph" w:customStyle="1" w:styleId="C00626E39B12415992DA71BBF889DDFF">
    <w:name w:val="C00626E39B12415992DA71BBF889DDFF"/>
    <w:rsid w:val="001A1336"/>
  </w:style>
  <w:style w:type="paragraph" w:customStyle="1" w:styleId="AEE0FC91304C43F2A02606397A667A09">
    <w:name w:val="AEE0FC91304C43F2A02606397A667A09"/>
    <w:rsid w:val="00922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4C732-50AB-425D-B848-5097146A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331</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19</cp:revision>
  <cp:lastPrinted>2014-11-04T09:22:00Z</cp:lastPrinted>
  <dcterms:created xsi:type="dcterms:W3CDTF">2020-08-10T08:59:00Z</dcterms:created>
  <dcterms:modified xsi:type="dcterms:W3CDTF">2023-05-08T07:35:00Z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