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gridCol w:w="35"/>
      </w:tblGrid>
      <w:tr w:rsidR="00D20099" w:rsidRPr="00373F39" w14:paraId="3A9B6842" w14:textId="77777777" w:rsidTr="000D2722">
        <w:trPr>
          <w:cantSplit/>
          <w:trHeight w:val="1134"/>
        </w:trPr>
        <w:tc>
          <w:tcPr>
            <w:tcW w:w="6663" w:type="dxa"/>
          </w:tcPr>
          <w:p w14:paraId="0F5F3168" w14:textId="55C14E0D" w:rsidR="00D20099" w:rsidRPr="0018133B" w:rsidRDefault="00D13185" w:rsidP="00D13185">
            <w:pPr>
              <w:tabs>
                <w:tab w:val="clear" w:pos="1191"/>
                <w:tab w:val="clear" w:pos="1588"/>
                <w:tab w:val="clear" w:pos="1985"/>
              </w:tabs>
              <w:ind w:left="34" w:right="-142"/>
              <w:rPr>
                <w:b/>
                <w:bCs/>
                <w:sz w:val="32"/>
                <w:szCs w:val="32"/>
                <w:lang w:val="es-ES_tradnl"/>
              </w:rPr>
            </w:pPr>
            <w:bookmarkStart w:id="0" w:name="lt_pId011"/>
            <w:r w:rsidRPr="0018133B">
              <w:rPr>
                <w:b/>
                <w:bCs/>
                <w:sz w:val="32"/>
                <w:szCs w:val="32"/>
                <w:lang w:val="es-ES_tradnl"/>
              </w:rPr>
              <w:t>Grupo Asesor de Desarrollo</w:t>
            </w:r>
            <w:bookmarkEnd w:id="0"/>
            <w:r w:rsidRPr="0018133B">
              <w:rPr>
                <w:b/>
                <w:bCs/>
                <w:sz w:val="32"/>
                <w:szCs w:val="32"/>
                <w:lang w:val="es-ES_tradnl"/>
              </w:rPr>
              <w:t xml:space="preserve"> </w:t>
            </w:r>
            <w:r w:rsidRPr="0018133B">
              <w:rPr>
                <w:b/>
                <w:bCs/>
                <w:sz w:val="32"/>
                <w:szCs w:val="32"/>
                <w:lang w:val="es-ES_tradnl"/>
              </w:rPr>
              <w:br/>
            </w:r>
            <w:bookmarkStart w:id="1" w:name="lt_pId012"/>
            <w:r w:rsidRPr="0018133B">
              <w:rPr>
                <w:b/>
                <w:bCs/>
                <w:sz w:val="32"/>
                <w:szCs w:val="32"/>
                <w:lang w:val="es-ES_tradnl"/>
              </w:rPr>
              <w:t>de las Telecomunicaciones (GADT)</w:t>
            </w:r>
            <w:bookmarkEnd w:id="1"/>
          </w:p>
          <w:p w14:paraId="51F7168E" w14:textId="77777777" w:rsidR="00D20099" w:rsidRPr="00373F39" w:rsidRDefault="00013D7B" w:rsidP="00977AF0">
            <w:pPr>
              <w:tabs>
                <w:tab w:val="clear" w:pos="1191"/>
                <w:tab w:val="clear" w:pos="1588"/>
                <w:tab w:val="clear" w:pos="1985"/>
              </w:tabs>
              <w:spacing w:before="100" w:after="120"/>
              <w:ind w:left="34" w:right="-142"/>
              <w:rPr>
                <w:rFonts w:ascii="Verdana" w:hAnsi="Verdana"/>
                <w:sz w:val="28"/>
                <w:szCs w:val="28"/>
                <w:lang w:val="es-ES_tradnl"/>
              </w:rPr>
            </w:pPr>
            <w:r w:rsidRPr="0018133B">
              <w:rPr>
                <w:b/>
                <w:bCs/>
                <w:lang w:val="es-ES_tradnl"/>
              </w:rPr>
              <w:t>30ª reunión, Ginebra, Suiza, 19-23 de junio de 2023</w:t>
            </w:r>
          </w:p>
        </w:tc>
        <w:tc>
          <w:tcPr>
            <w:tcW w:w="3260" w:type="dxa"/>
            <w:gridSpan w:val="2"/>
          </w:tcPr>
          <w:p w14:paraId="0F293322" w14:textId="77777777" w:rsidR="00D20099" w:rsidRPr="00373F39" w:rsidRDefault="002A7DEE" w:rsidP="00255A4F">
            <w:pPr>
              <w:spacing w:before="0"/>
              <w:jc w:val="right"/>
              <w:rPr>
                <w:lang w:val="es-ES_tradnl"/>
              </w:rPr>
            </w:pPr>
            <w:r w:rsidRPr="00373F39">
              <w:rPr>
                <w:noProof/>
                <w:lang w:val="es-ES_tradnl" w:eastAsia="es-ES"/>
              </w:rPr>
              <w:drawing>
                <wp:inline distT="0" distB="0" distL="0" distR="0" wp14:anchorId="1E88CDF1" wp14:editId="015161C9">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373F39" w14:paraId="37E913CF" w14:textId="77777777" w:rsidTr="00D20099">
        <w:trPr>
          <w:gridAfter w:val="1"/>
          <w:wAfter w:w="35" w:type="dxa"/>
          <w:cantSplit/>
        </w:trPr>
        <w:tc>
          <w:tcPr>
            <w:tcW w:w="6663" w:type="dxa"/>
            <w:tcBorders>
              <w:top w:val="single" w:sz="12" w:space="0" w:color="auto"/>
            </w:tcBorders>
          </w:tcPr>
          <w:p w14:paraId="76FB7BB2" w14:textId="77777777" w:rsidR="00683C32" w:rsidRPr="00373F39" w:rsidRDefault="00683C32" w:rsidP="00D20099">
            <w:pPr>
              <w:spacing w:before="0"/>
              <w:ind w:left="34" w:right="-142"/>
              <w:rPr>
                <w:rFonts w:cs="Arial"/>
                <w:b/>
                <w:bCs/>
                <w:sz w:val="20"/>
                <w:lang w:val="es-ES_tradnl"/>
              </w:rPr>
            </w:pPr>
          </w:p>
        </w:tc>
        <w:tc>
          <w:tcPr>
            <w:tcW w:w="3225" w:type="dxa"/>
            <w:tcBorders>
              <w:top w:val="single" w:sz="12" w:space="0" w:color="auto"/>
            </w:tcBorders>
          </w:tcPr>
          <w:p w14:paraId="28C5660F" w14:textId="77777777" w:rsidR="00683C32" w:rsidRPr="00373F39" w:rsidRDefault="00683C32" w:rsidP="00D20099">
            <w:pPr>
              <w:spacing w:before="0"/>
              <w:ind w:left="34" w:right="-142"/>
              <w:rPr>
                <w:b/>
                <w:bCs/>
                <w:sz w:val="20"/>
                <w:lang w:val="es-ES_tradnl"/>
              </w:rPr>
            </w:pPr>
          </w:p>
        </w:tc>
      </w:tr>
      <w:tr w:rsidR="00683C32" w:rsidRPr="00373F39" w14:paraId="14E95B54" w14:textId="77777777" w:rsidTr="00D20099">
        <w:trPr>
          <w:gridAfter w:val="1"/>
          <w:wAfter w:w="35" w:type="dxa"/>
          <w:cantSplit/>
        </w:trPr>
        <w:tc>
          <w:tcPr>
            <w:tcW w:w="6663" w:type="dxa"/>
          </w:tcPr>
          <w:p w14:paraId="03A9B52F" w14:textId="77777777" w:rsidR="00683C32" w:rsidRPr="00373F39" w:rsidRDefault="00683C32" w:rsidP="00D20099">
            <w:pPr>
              <w:pStyle w:val="Committee"/>
              <w:spacing w:before="0"/>
              <w:ind w:left="34" w:right="-142"/>
              <w:rPr>
                <w:b w:val="0"/>
                <w:szCs w:val="24"/>
                <w:lang w:val="es-ES_tradnl"/>
              </w:rPr>
            </w:pPr>
          </w:p>
        </w:tc>
        <w:tc>
          <w:tcPr>
            <w:tcW w:w="3225" w:type="dxa"/>
          </w:tcPr>
          <w:p w14:paraId="20987C68" w14:textId="498E0255" w:rsidR="00683C32" w:rsidRPr="00373F39" w:rsidRDefault="0096201B" w:rsidP="00D20099">
            <w:pPr>
              <w:spacing w:before="0"/>
              <w:ind w:left="34" w:right="-142"/>
              <w:jc w:val="both"/>
              <w:rPr>
                <w:bCs/>
                <w:szCs w:val="24"/>
                <w:lang w:val="es-ES_tradnl"/>
              </w:rPr>
            </w:pPr>
            <w:r w:rsidRPr="00373F39">
              <w:rPr>
                <w:b/>
                <w:bCs/>
                <w:lang w:val="es-ES_tradnl"/>
              </w:rPr>
              <w:t>Documento TDAG-23/23-S</w:t>
            </w:r>
            <w:bookmarkStart w:id="2" w:name="DocRef1"/>
            <w:bookmarkStart w:id="3" w:name="DocNo1"/>
            <w:bookmarkEnd w:id="2"/>
            <w:bookmarkEnd w:id="3"/>
          </w:p>
        </w:tc>
      </w:tr>
      <w:tr w:rsidR="00683C32" w:rsidRPr="00373F39" w14:paraId="71E2D650" w14:textId="77777777" w:rsidTr="00D20099">
        <w:trPr>
          <w:gridAfter w:val="1"/>
          <w:wAfter w:w="35" w:type="dxa"/>
          <w:cantSplit/>
        </w:trPr>
        <w:tc>
          <w:tcPr>
            <w:tcW w:w="6663" w:type="dxa"/>
          </w:tcPr>
          <w:p w14:paraId="57616C2C" w14:textId="77777777" w:rsidR="00683C32" w:rsidRPr="00373F39" w:rsidRDefault="00683C32" w:rsidP="00D20099">
            <w:pPr>
              <w:spacing w:before="0"/>
              <w:ind w:left="34" w:right="-142"/>
              <w:rPr>
                <w:b/>
                <w:bCs/>
                <w:smallCaps/>
                <w:szCs w:val="24"/>
                <w:lang w:val="es-ES_tradnl"/>
              </w:rPr>
            </w:pPr>
          </w:p>
        </w:tc>
        <w:tc>
          <w:tcPr>
            <w:tcW w:w="3225" w:type="dxa"/>
          </w:tcPr>
          <w:p w14:paraId="4F7FB8D6" w14:textId="77777777" w:rsidR="00683C32" w:rsidRPr="00373F39" w:rsidRDefault="00034B1C" w:rsidP="00D20099">
            <w:pPr>
              <w:spacing w:before="0"/>
              <w:ind w:left="34" w:right="-142"/>
              <w:rPr>
                <w:b/>
                <w:szCs w:val="24"/>
                <w:lang w:val="es-ES_tradnl"/>
              </w:rPr>
            </w:pPr>
            <w:bookmarkStart w:id="4" w:name="CreationDate"/>
            <w:bookmarkEnd w:id="4"/>
            <w:r w:rsidRPr="00373F39">
              <w:rPr>
                <w:b/>
                <w:bCs/>
                <w:lang w:val="es-ES_tradnl"/>
              </w:rPr>
              <w:t>5 de mayo de 2023</w:t>
            </w:r>
          </w:p>
        </w:tc>
      </w:tr>
      <w:tr w:rsidR="00683C32" w:rsidRPr="00373F39" w14:paraId="20BCC834" w14:textId="77777777" w:rsidTr="00D20099">
        <w:trPr>
          <w:gridAfter w:val="1"/>
          <w:wAfter w:w="35" w:type="dxa"/>
          <w:cantSplit/>
        </w:trPr>
        <w:tc>
          <w:tcPr>
            <w:tcW w:w="6663" w:type="dxa"/>
          </w:tcPr>
          <w:p w14:paraId="26449C79" w14:textId="77777777" w:rsidR="00683C32" w:rsidRPr="00373F39" w:rsidRDefault="00683C32" w:rsidP="00D20099">
            <w:pPr>
              <w:spacing w:before="0"/>
              <w:ind w:left="34" w:right="-142"/>
              <w:rPr>
                <w:b/>
                <w:bCs/>
                <w:smallCaps/>
                <w:szCs w:val="24"/>
                <w:lang w:val="es-ES_tradnl"/>
              </w:rPr>
            </w:pPr>
          </w:p>
        </w:tc>
        <w:tc>
          <w:tcPr>
            <w:tcW w:w="3225" w:type="dxa"/>
          </w:tcPr>
          <w:p w14:paraId="31338687" w14:textId="77777777" w:rsidR="00514D2F" w:rsidRPr="00373F39" w:rsidRDefault="0096201B" w:rsidP="00D20099">
            <w:pPr>
              <w:spacing w:before="0"/>
              <w:ind w:left="34" w:right="-142"/>
              <w:rPr>
                <w:szCs w:val="24"/>
                <w:lang w:val="es-ES_tradnl"/>
              </w:rPr>
            </w:pPr>
            <w:r w:rsidRPr="00373F39">
              <w:rPr>
                <w:b/>
                <w:bCs/>
                <w:lang w:val="es-ES_tradnl"/>
              </w:rPr>
              <w:t>Original: inglés</w:t>
            </w:r>
            <w:bookmarkStart w:id="5" w:name="Original"/>
            <w:bookmarkEnd w:id="5"/>
          </w:p>
        </w:tc>
      </w:tr>
      <w:tr w:rsidR="00A13162" w:rsidRPr="005E6FD6" w14:paraId="4C0FC88E" w14:textId="77777777" w:rsidTr="00BD4FC6">
        <w:trPr>
          <w:gridAfter w:val="1"/>
          <w:wAfter w:w="35" w:type="dxa"/>
          <w:cantSplit/>
          <w:trHeight w:val="852"/>
        </w:trPr>
        <w:tc>
          <w:tcPr>
            <w:tcW w:w="9888" w:type="dxa"/>
            <w:gridSpan w:val="2"/>
            <w:vAlign w:val="center"/>
          </w:tcPr>
          <w:p w14:paraId="05594098" w14:textId="44DA5208" w:rsidR="00A13162" w:rsidRPr="00373F39" w:rsidRDefault="00034B1C" w:rsidP="00BD4FC6">
            <w:pPr>
              <w:pStyle w:val="Source"/>
              <w:spacing w:before="240" w:after="240"/>
              <w:ind w:left="34" w:right="-142"/>
              <w:rPr>
                <w:lang w:val="es-ES_tradnl"/>
              </w:rPr>
            </w:pPr>
            <w:bookmarkStart w:id="6" w:name="Source"/>
            <w:bookmarkEnd w:id="6"/>
            <w:r w:rsidRPr="0018133B">
              <w:rPr>
                <w:bCs/>
                <w:lang w:val="es-ES_tradnl"/>
              </w:rPr>
              <w:t>Asociación para el Progreso de las Comunicaciones (APC)</w:t>
            </w:r>
          </w:p>
        </w:tc>
      </w:tr>
      <w:tr w:rsidR="00AC6F14" w:rsidRPr="005E6FD6" w14:paraId="20B41268" w14:textId="77777777" w:rsidTr="00D20099">
        <w:trPr>
          <w:gridAfter w:val="1"/>
          <w:wAfter w:w="35" w:type="dxa"/>
          <w:cantSplit/>
        </w:trPr>
        <w:tc>
          <w:tcPr>
            <w:tcW w:w="9888" w:type="dxa"/>
            <w:gridSpan w:val="2"/>
          </w:tcPr>
          <w:p w14:paraId="148DD86A" w14:textId="1C26E99D" w:rsidR="00AC6F14" w:rsidRPr="00373F39" w:rsidRDefault="00034B1C" w:rsidP="00D13185">
            <w:pPr>
              <w:pStyle w:val="Title1"/>
              <w:ind w:left="34" w:right="-142"/>
              <w:rPr>
                <w:lang w:val="es-ES_tradnl"/>
              </w:rPr>
            </w:pPr>
            <w:bookmarkStart w:id="7" w:name="Title"/>
            <w:bookmarkEnd w:id="7"/>
            <w:r w:rsidRPr="00373F39">
              <w:rPr>
                <w:lang w:val="es-ES_tradnl"/>
              </w:rPr>
              <w:t xml:space="preserve">Aplicación de la Resolución 11: </w:t>
            </w:r>
            <w:r w:rsidR="00D13185" w:rsidRPr="00373F39">
              <w:rPr>
                <w:lang w:val="es-ES_tradnl"/>
              </w:rPr>
              <w:t>d</w:t>
            </w:r>
            <w:r w:rsidRPr="00373F39">
              <w:rPr>
                <w:lang w:val="es-ES_tradnl"/>
              </w:rPr>
              <w:t xml:space="preserve">esarrollo de las capacidades </w:t>
            </w:r>
            <w:r w:rsidR="00863332" w:rsidRPr="00373F39">
              <w:rPr>
                <w:lang w:val="es-ES_tradnl"/>
              </w:rPr>
              <w:br/>
            </w:r>
            <w:r w:rsidRPr="00373F39">
              <w:rPr>
                <w:lang w:val="es-ES_tradnl"/>
              </w:rPr>
              <w:t>en las comunidades rurales e indígenas de África</w:t>
            </w:r>
          </w:p>
        </w:tc>
      </w:tr>
      <w:tr w:rsidR="00A721F4" w:rsidRPr="005E6FD6" w14:paraId="36C4FB49" w14:textId="77777777" w:rsidTr="003708C3">
        <w:trPr>
          <w:gridAfter w:val="1"/>
          <w:wAfter w:w="35" w:type="dxa"/>
          <w:cantSplit/>
        </w:trPr>
        <w:tc>
          <w:tcPr>
            <w:tcW w:w="9888" w:type="dxa"/>
            <w:gridSpan w:val="2"/>
            <w:tcBorders>
              <w:bottom w:val="single" w:sz="4" w:space="0" w:color="auto"/>
            </w:tcBorders>
          </w:tcPr>
          <w:p w14:paraId="3732E697" w14:textId="77777777" w:rsidR="00A721F4" w:rsidRPr="00373F39" w:rsidRDefault="00A721F4" w:rsidP="00D20099">
            <w:pPr>
              <w:ind w:left="34" w:right="-142"/>
              <w:rPr>
                <w:lang w:val="es-ES_tradnl"/>
              </w:rPr>
            </w:pPr>
          </w:p>
        </w:tc>
      </w:tr>
      <w:tr w:rsidR="00A721F4" w:rsidRPr="005E6FD6" w14:paraId="04D2E8C7"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3DE8DD7C" w14:textId="77777777" w:rsidR="00A721F4" w:rsidRPr="00373F39" w:rsidRDefault="00A721F4" w:rsidP="00F8726C">
            <w:pPr>
              <w:spacing w:after="120"/>
              <w:rPr>
                <w:b/>
                <w:bCs/>
                <w:szCs w:val="24"/>
                <w:lang w:val="es-ES_tradnl"/>
              </w:rPr>
            </w:pPr>
            <w:r w:rsidRPr="00373F39">
              <w:rPr>
                <w:b/>
                <w:bCs/>
                <w:lang w:val="es-ES_tradnl"/>
              </w:rPr>
              <w:t>Resumen:</w:t>
            </w:r>
          </w:p>
          <w:p w14:paraId="2985C034" w14:textId="5EF0B1EF" w:rsidR="00A721F4" w:rsidRPr="00373F39" w:rsidRDefault="00034B1C" w:rsidP="00F8726C">
            <w:pPr>
              <w:spacing w:after="120"/>
              <w:rPr>
                <w:szCs w:val="24"/>
                <w:lang w:val="es-ES_tradnl"/>
              </w:rPr>
            </w:pPr>
            <w:bookmarkStart w:id="8" w:name="Abstract"/>
            <w:bookmarkEnd w:id="8"/>
            <w:r w:rsidRPr="00373F39">
              <w:rPr>
                <w:lang w:val="es-ES_tradnl"/>
              </w:rPr>
              <w:t>El objetivo de esta contribución es apoyar la puesta en práctica de la Resolución 11 (Rev. Kigali, 2022) de la Conferencia Mundial de Desarrollo de las Telecomunicaciones (CMDT) sobre servicios de telecomunicaciones/tecnologías de la información y la comunicación en zonas rurales, aisladas e insuficientemente atendidas</w:t>
            </w:r>
            <w:r w:rsidR="00640D86" w:rsidRPr="00373F39">
              <w:rPr>
                <w:lang w:val="es-ES_tradnl"/>
              </w:rPr>
              <w:t xml:space="preserve">, </w:t>
            </w:r>
            <w:r w:rsidRPr="00373F39">
              <w:rPr>
                <w:lang w:val="es-ES_tradnl"/>
              </w:rPr>
              <w:t>concretamente</w:t>
            </w:r>
            <w:r w:rsidR="00640D86" w:rsidRPr="00373F39">
              <w:rPr>
                <w:lang w:val="es-ES_tradnl"/>
              </w:rPr>
              <w:t xml:space="preserve"> en cuanto a </w:t>
            </w:r>
            <w:r w:rsidRPr="00373F39">
              <w:rPr>
                <w:lang w:val="es-ES_tradnl"/>
              </w:rPr>
              <w:t>la ejecución de programas de creación de capacidad en apoyo de la expansión y el mantenimiento de las redes de tele</w:t>
            </w:r>
            <w:r w:rsidR="004B4BBE" w:rsidRPr="00373F39">
              <w:rPr>
                <w:lang w:val="es-ES_tradnl"/>
              </w:rPr>
              <w:t xml:space="preserve">comunicaciones de estas zonas. </w:t>
            </w:r>
            <w:r w:rsidRPr="00373F39">
              <w:rPr>
                <w:lang w:val="es-ES_tradnl"/>
              </w:rPr>
              <w:t>Sobre la base de la experiencia de la UIT en América Latina, la APC propone crear un programa de formación que fomente la capacidad para crear, mantener y preservar proyectos de comunicaciones y telecomunicaciones gestionados a nivel local en comunidades indígenas y rurales de África.</w:t>
            </w:r>
          </w:p>
          <w:p w14:paraId="0B2B62C9" w14:textId="77777777" w:rsidR="00A721F4" w:rsidRPr="00373F39" w:rsidRDefault="00A721F4" w:rsidP="00F8726C">
            <w:pPr>
              <w:spacing w:after="120"/>
              <w:rPr>
                <w:b/>
                <w:bCs/>
                <w:szCs w:val="24"/>
                <w:lang w:val="es-ES_tradnl"/>
              </w:rPr>
            </w:pPr>
            <w:r w:rsidRPr="00373F39">
              <w:rPr>
                <w:b/>
                <w:bCs/>
                <w:lang w:val="es-ES_tradnl"/>
              </w:rPr>
              <w:t>Acción solicitada:</w:t>
            </w:r>
          </w:p>
          <w:p w14:paraId="1A796EF8" w14:textId="77777777" w:rsidR="00A721F4" w:rsidRPr="00373F39" w:rsidRDefault="00034B1C" w:rsidP="00F8726C">
            <w:pPr>
              <w:spacing w:after="120"/>
              <w:rPr>
                <w:szCs w:val="24"/>
                <w:lang w:val="es-ES_tradnl"/>
              </w:rPr>
            </w:pPr>
            <w:bookmarkStart w:id="9" w:name="ActionRequired"/>
            <w:bookmarkEnd w:id="9"/>
            <w:r w:rsidRPr="00373F39">
              <w:rPr>
                <w:lang w:val="es-ES_tradnl"/>
              </w:rPr>
              <w:t>Acción</w:t>
            </w:r>
          </w:p>
          <w:p w14:paraId="3FA2F18B" w14:textId="77777777" w:rsidR="00A721F4" w:rsidRPr="00373F39" w:rsidRDefault="00A721F4" w:rsidP="00F8726C">
            <w:pPr>
              <w:spacing w:after="120"/>
              <w:rPr>
                <w:b/>
                <w:bCs/>
                <w:szCs w:val="24"/>
                <w:lang w:val="es-ES_tradnl"/>
              </w:rPr>
            </w:pPr>
            <w:r w:rsidRPr="00373F39">
              <w:rPr>
                <w:b/>
                <w:bCs/>
                <w:lang w:val="es-ES_tradnl"/>
              </w:rPr>
              <w:t>Referencias:</w:t>
            </w:r>
          </w:p>
          <w:p w14:paraId="691925FA" w14:textId="77777777" w:rsidR="00A721F4" w:rsidRPr="00373F39" w:rsidRDefault="00034B1C" w:rsidP="00F8726C">
            <w:pPr>
              <w:spacing w:after="120"/>
              <w:rPr>
                <w:lang w:val="es-ES_tradnl"/>
              </w:rPr>
            </w:pPr>
            <w:bookmarkStart w:id="10" w:name="References"/>
            <w:bookmarkEnd w:id="10"/>
            <w:r w:rsidRPr="00373F39">
              <w:rPr>
                <w:lang w:val="es-ES_tradnl"/>
              </w:rPr>
              <w:t>N/A</w:t>
            </w:r>
          </w:p>
        </w:tc>
      </w:tr>
      <w:tr w:rsidR="003708C3" w:rsidRPr="005E6FD6" w14:paraId="5DF34A7D" w14:textId="77777777" w:rsidTr="003708C3">
        <w:trPr>
          <w:gridAfter w:val="1"/>
          <w:wAfter w:w="35" w:type="dxa"/>
          <w:cantSplit/>
        </w:trPr>
        <w:tc>
          <w:tcPr>
            <w:tcW w:w="9888" w:type="dxa"/>
            <w:gridSpan w:val="2"/>
            <w:tcBorders>
              <w:top w:val="single" w:sz="4" w:space="0" w:color="auto"/>
              <w:bottom w:val="single" w:sz="4" w:space="0" w:color="auto"/>
            </w:tcBorders>
          </w:tcPr>
          <w:p w14:paraId="30C5B672" w14:textId="77777777" w:rsidR="003708C3" w:rsidRDefault="003708C3" w:rsidP="005E6FD6">
            <w:pPr>
              <w:rPr>
                <w:lang w:val="es-ES_tradnl"/>
              </w:rPr>
            </w:pPr>
          </w:p>
          <w:p w14:paraId="2A38BE8F" w14:textId="49071BE3" w:rsidR="005E6FD6" w:rsidRPr="00373F39" w:rsidRDefault="005E6FD6" w:rsidP="003708C3">
            <w:pPr>
              <w:spacing w:before="240"/>
              <w:rPr>
                <w:b/>
                <w:bCs/>
                <w:szCs w:val="24"/>
                <w:lang w:val="es-ES_tradnl"/>
              </w:rPr>
            </w:pPr>
          </w:p>
        </w:tc>
      </w:tr>
      <w:tr w:rsidR="003708C3" w:rsidRPr="005E6FD6" w14:paraId="2235C2C9"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597D95BE" w14:textId="77777777" w:rsidR="003708C3" w:rsidRPr="00373F39" w:rsidRDefault="003708C3" w:rsidP="000D2722">
            <w:pPr>
              <w:rPr>
                <w:b/>
                <w:bCs/>
                <w:szCs w:val="24"/>
                <w:lang w:val="es-ES_tradnl"/>
              </w:rPr>
            </w:pPr>
            <w:r w:rsidRPr="00373F39">
              <w:rPr>
                <w:b/>
                <w:bCs/>
                <w:lang w:val="es-ES_tradnl"/>
              </w:rPr>
              <w:t>Enseñanzas extraídas y prácticas idóneas propuestas (en su caso):</w:t>
            </w:r>
          </w:p>
          <w:p w14:paraId="41E68F49" w14:textId="3D7FF657" w:rsidR="00034B1C" w:rsidRPr="00373F39" w:rsidRDefault="00034B1C" w:rsidP="000D2722">
            <w:pPr>
              <w:rPr>
                <w:szCs w:val="24"/>
                <w:lang w:val="es-ES_tradnl"/>
              </w:rPr>
            </w:pPr>
            <w:bookmarkStart w:id="11" w:name="Lessons"/>
            <w:bookmarkEnd w:id="11"/>
            <w:r w:rsidRPr="00373F39">
              <w:rPr>
                <w:lang w:val="es-ES_tradnl"/>
              </w:rPr>
              <w:t>La APC, junto con organizaciones asociadas, ha adquirido amplia experiencia en la elaboración de programas de formación cuyos planes de estudio presentan una estructura</w:t>
            </w:r>
            <w:r w:rsidR="004B4BBE" w:rsidRPr="00373F39">
              <w:rPr>
                <w:lang w:val="es-ES_tradnl"/>
              </w:rPr>
              <w:t xml:space="preserve"> y un diseño pedagógico basados</w:t>
            </w:r>
            <w:r w:rsidRPr="00373F39">
              <w:rPr>
                <w:lang w:val="es-ES_tradnl"/>
              </w:rPr>
              <w:t xml:space="preserve"> en las necesidades de comunicación y las formas de vida de las comunidades. Estas iniciativas se han desarrollado utilizando una metodología de investigación de acción participativa (IAP) para el diseño y la aplicación en México del </w:t>
            </w:r>
            <w:r w:rsidR="0092287F" w:rsidRPr="00373F39">
              <w:rPr>
                <w:lang w:val="es-ES_tradnl"/>
              </w:rPr>
              <w:t>p</w:t>
            </w:r>
            <w:r w:rsidRPr="00373F39">
              <w:rPr>
                <w:lang w:val="es-ES_tradnl"/>
              </w:rPr>
              <w:t xml:space="preserve">rograma de </w:t>
            </w:r>
            <w:r w:rsidR="00F34E7E" w:rsidRPr="00373F39">
              <w:rPr>
                <w:lang w:val="es-ES_tradnl"/>
              </w:rPr>
              <w:t>f</w:t>
            </w:r>
            <w:r w:rsidRPr="00373F39">
              <w:rPr>
                <w:lang w:val="es-ES_tradnl"/>
              </w:rPr>
              <w:t xml:space="preserve">ormación </w:t>
            </w:r>
            <w:proofErr w:type="spellStart"/>
            <w:r w:rsidRPr="00373F39">
              <w:rPr>
                <w:lang w:val="es-ES_tradnl"/>
              </w:rPr>
              <w:t>Techio</w:t>
            </w:r>
            <w:proofErr w:type="spellEnd"/>
            <w:r w:rsidRPr="00373F39">
              <w:rPr>
                <w:lang w:val="es-ES_tradnl"/>
              </w:rPr>
              <w:t xml:space="preserve"> Comunitario entre 2016 y 2019[1], que posteriormente se convirtió en el Programa de Formación para la Gestión de Redes TIC en Comunidades Indígenas y Rurales de América Latina mencionado en este documento. </w:t>
            </w:r>
          </w:p>
          <w:p w14:paraId="4513C7A0" w14:textId="77777777" w:rsidR="00034B1C" w:rsidRPr="00373F39" w:rsidRDefault="00034B1C" w:rsidP="000D2722">
            <w:pPr>
              <w:rPr>
                <w:szCs w:val="24"/>
                <w:lang w:val="es-ES_tradnl"/>
              </w:rPr>
            </w:pPr>
            <w:r w:rsidRPr="00373F39">
              <w:rPr>
                <w:lang w:val="es-ES_tradnl"/>
              </w:rPr>
              <w:lastRenderedPageBreak/>
              <w:t xml:space="preserve">Además, esta metodología </w:t>
            </w:r>
            <w:proofErr w:type="gramStart"/>
            <w:r w:rsidRPr="00373F39">
              <w:rPr>
                <w:lang w:val="es-ES_tradnl"/>
              </w:rPr>
              <w:t>IAP[</w:t>
            </w:r>
            <w:proofErr w:type="gramEnd"/>
            <w:r w:rsidRPr="00373F39">
              <w:rPr>
                <w:lang w:val="es-ES_tradnl"/>
              </w:rPr>
              <w:t xml:space="preserve">2] ha servido de base para las redes nacionales de escuelas comunitarias (NSCN) que se han establecido desde abril de 2020 en el Brasil, Indonesia, </w:t>
            </w:r>
            <w:proofErr w:type="spellStart"/>
            <w:r w:rsidRPr="00373F39">
              <w:rPr>
                <w:lang w:val="es-ES_tradnl"/>
              </w:rPr>
              <w:t>Kenya</w:t>
            </w:r>
            <w:proofErr w:type="spellEnd"/>
            <w:r w:rsidRPr="00373F39">
              <w:rPr>
                <w:lang w:val="es-ES_tradnl"/>
              </w:rPr>
              <w:t xml:space="preserve">, Nigeria y Sudáfrica[3]. Esta iniciativa forma parte de la iniciativa Redes de acceso local, coordinada por la Asociación para el Progreso de las Comunicaciones (APC) y </w:t>
            </w:r>
            <w:proofErr w:type="spellStart"/>
            <w:r w:rsidRPr="00373F39">
              <w:rPr>
                <w:lang w:val="es-ES_tradnl"/>
              </w:rPr>
              <w:t>Rhizomatica</w:t>
            </w:r>
            <w:proofErr w:type="spellEnd"/>
            <w:r w:rsidRPr="00373F39">
              <w:rPr>
                <w:lang w:val="es-ES_tradnl"/>
              </w:rPr>
              <w:t xml:space="preserve"> </w:t>
            </w:r>
            <w:proofErr w:type="spellStart"/>
            <w:r w:rsidRPr="00373F39">
              <w:rPr>
                <w:lang w:val="es-ES_tradnl"/>
              </w:rPr>
              <w:t>Communications</w:t>
            </w:r>
            <w:proofErr w:type="spellEnd"/>
            <w:r w:rsidRPr="00373F39">
              <w:rPr>
                <w:lang w:val="es-ES_tradnl"/>
              </w:rPr>
              <w:t xml:space="preserve"> y apoyada por el Programa de Acceso Digital (Digital Access </w:t>
            </w:r>
            <w:proofErr w:type="spellStart"/>
            <w:r w:rsidRPr="00373F39">
              <w:rPr>
                <w:lang w:val="es-ES_tradnl"/>
              </w:rPr>
              <w:t>Programme</w:t>
            </w:r>
            <w:proofErr w:type="spellEnd"/>
            <w:r w:rsidRPr="00373F39">
              <w:rPr>
                <w:lang w:val="es-ES_tradnl"/>
              </w:rPr>
              <w:t>, DAP) del Reino Unido y la Agencia Sueca de Cooperación Internacional para el Desarrollo.</w:t>
            </w:r>
          </w:p>
          <w:p w14:paraId="22DE1261" w14:textId="6B11674F" w:rsidR="00034B1C" w:rsidRPr="00373F39" w:rsidRDefault="00034B1C" w:rsidP="000D2722">
            <w:pPr>
              <w:rPr>
                <w:szCs w:val="24"/>
                <w:lang w:val="es-ES_tradnl"/>
              </w:rPr>
            </w:pPr>
            <w:r w:rsidRPr="00373F39">
              <w:rPr>
                <w:lang w:val="es-ES_tradnl"/>
              </w:rPr>
              <w:t xml:space="preserve">Algunas de las lecciones </w:t>
            </w:r>
            <w:r w:rsidR="006701F6" w:rsidRPr="00373F39">
              <w:rPr>
                <w:lang w:val="es-ES_tradnl"/>
              </w:rPr>
              <w:t>aprendidas [</w:t>
            </w:r>
            <w:r w:rsidRPr="00373F39">
              <w:rPr>
                <w:lang w:val="es-ES_tradnl"/>
              </w:rPr>
              <w:t>4] son:</w:t>
            </w:r>
          </w:p>
          <w:p w14:paraId="3C73D121" w14:textId="73B1B150" w:rsidR="00034B1C" w:rsidRPr="00373F39" w:rsidRDefault="00034B1C" w:rsidP="000D2722">
            <w:pPr>
              <w:rPr>
                <w:szCs w:val="24"/>
                <w:lang w:val="es-ES_tradnl"/>
              </w:rPr>
            </w:pPr>
            <w:r w:rsidRPr="00373F39">
              <w:rPr>
                <w:lang w:val="es-ES_tradnl"/>
              </w:rPr>
              <w:t xml:space="preserve">Los proyectos tecnológicos locales en los que las propias comunidades rurales e indígenas </w:t>
            </w:r>
            <w:proofErr w:type="gramStart"/>
            <w:r w:rsidRPr="00373F39">
              <w:rPr>
                <w:lang w:val="es-ES_tradnl"/>
              </w:rPr>
              <w:t>instalan,</w:t>
            </w:r>
            <w:proofErr w:type="gramEnd"/>
            <w:r w:rsidRPr="00373F39">
              <w:rPr>
                <w:lang w:val="es-ES_tradnl"/>
              </w:rPr>
              <w:t xml:space="preserve"> gestionan y mantienen sus redes han demostrado ser soluciones sostenibles a lo largo del tiempo.</w:t>
            </w:r>
          </w:p>
          <w:p w14:paraId="422ABA2D" w14:textId="02EC37E9" w:rsidR="00034B1C" w:rsidRPr="00373F39" w:rsidRDefault="00034B1C" w:rsidP="000D2722">
            <w:pPr>
              <w:rPr>
                <w:szCs w:val="24"/>
                <w:lang w:val="es-ES_tradnl"/>
              </w:rPr>
            </w:pPr>
            <w:r w:rsidRPr="00373F39">
              <w:rPr>
                <w:lang w:val="es-ES_tradnl"/>
              </w:rPr>
              <w:t xml:space="preserve">Los programas de formación deben elaborarse en función de los contextos locales y de las formas de aprendizaje de las comunidades </w:t>
            </w:r>
            <w:r w:rsidR="005168E2" w:rsidRPr="00373F39">
              <w:rPr>
                <w:lang w:val="es-ES_tradnl"/>
              </w:rPr>
              <w:t>destinatarias</w:t>
            </w:r>
            <w:r w:rsidRPr="00373F39">
              <w:rPr>
                <w:lang w:val="es-ES_tradnl"/>
              </w:rPr>
              <w:t>.</w:t>
            </w:r>
          </w:p>
          <w:p w14:paraId="7C352C5B" w14:textId="60A205AF" w:rsidR="00034B1C" w:rsidRPr="00373F39" w:rsidRDefault="00034B1C" w:rsidP="000D2722">
            <w:pPr>
              <w:rPr>
                <w:szCs w:val="24"/>
                <w:lang w:val="es-ES_tradnl"/>
              </w:rPr>
            </w:pPr>
            <w:r w:rsidRPr="00373F39">
              <w:rPr>
                <w:lang w:val="es-ES_tradnl"/>
              </w:rPr>
              <w:t>Las comunidades deben participar en todas las etapas del programa de creación de capacidad, no s</w:t>
            </w:r>
            <w:r w:rsidR="005168E2" w:rsidRPr="00373F39">
              <w:rPr>
                <w:lang w:val="es-ES_tradnl"/>
              </w:rPr>
              <w:t>o</w:t>
            </w:r>
            <w:r w:rsidRPr="00373F39">
              <w:rPr>
                <w:lang w:val="es-ES_tradnl"/>
              </w:rPr>
              <w:t>lo como beneficiarios sino también como diseñadores y ejecutores.</w:t>
            </w:r>
          </w:p>
          <w:p w14:paraId="03821B78" w14:textId="0C64C90F" w:rsidR="00034B1C" w:rsidRPr="00373F39" w:rsidRDefault="00034B1C" w:rsidP="000D2722">
            <w:pPr>
              <w:rPr>
                <w:szCs w:val="24"/>
                <w:lang w:val="es-ES_tradnl"/>
              </w:rPr>
            </w:pPr>
            <w:r w:rsidRPr="00373F39">
              <w:rPr>
                <w:lang w:val="es-ES_tradnl"/>
              </w:rPr>
              <w:t xml:space="preserve">[1] </w:t>
            </w:r>
            <w:hyperlink r:id="rId9" w:history="1">
              <w:r w:rsidR="005E6FD6" w:rsidRPr="008C195F">
                <w:rPr>
                  <w:rStyle w:val="Hyperlink"/>
                  <w:lang w:val="es-ES_tradnl"/>
                </w:rPr>
                <w:t>https://techiocomunitario.org/en/</w:t>
              </w:r>
            </w:hyperlink>
          </w:p>
          <w:p w14:paraId="3164844A" w14:textId="01BE7F48" w:rsidR="00034B1C" w:rsidRPr="00373F39" w:rsidRDefault="00034B1C" w:rsidP="000D2722">
            <w:pPr>
              <w:rPr>
                <w:szCs w:val="24"/>
                <w:lang w:val="es-ES_tradnl"/>
              </w:rPr>
            </w:pPr>
            <w:r w:rsidRPr="00373F39">
              <w:rPr>
                <w:lang w:val="es-ES_tradnl"/>
              </w:rPr>
              <w:t xml:space="preserve">[2] </w:t>
            </w:r>
            <w:hyperlink r:id="rId10" w:history="1">
              <w:r w:rsidR="006701F6" w:rsidRPr="00773CB5">
                <w:rPr>
                  <w:rStyle w:val="Hyperlink"/>
                  <w:lang w:val="es-ES_tradnl"/>
                </w:rPr>
                <w:t>https://www.apc.org/sites/default/files/FINAL_Technological_autonomy_as_a_constellation_of_experiences_18-03.pdf</w:t>
              </w:r>
            </w:hyperlink>
          </w:p>
          <w:p w14:paraId="7833DF79" w14:textId="1831BB4F" w:rsidR="00034B1C" w:rsidRPr="00373F39" w:rsidRDefault="00034B1C" w:rsidP="000D2722">
            <w:pPr>
              <w:rPr>
                <w:szCs w:val="24"/>
                <w:lang w:val="es-ES_tradnl"/>
              </w:rPr>
            </w:pPr>
            <w:r w:rsidRPr="00373F39">
              <w:rPr>
                <w:lang w:val="es-ES_tradnl"/>
              </w:rPr>
              <w:t xml:space="preserve">[3] </w:t>
            </w:r>
            <w:hyperlink r:id="rId11" w:history="1">
              <w:r w:rsidR="006701F6" w:rsidRPr="00773CB5">
                <w:rPr>
                  <w:rStyle w:val="Hyperlink"/>
                  <w:lang w:val="es-ES_tradnl"/>
                </w:rPr>
                <w:t>https://www.apc.org/en/blog/meet-national-schools-empowering-grassroots-communities-bridge-digital-divide</w:t>
              </w:r>
            </w:hyperlink>
          </w:p>
          <w:p w14:paraId="791127EE" w14:textId="1B0B63C8" w:rsidR="003708C3" w:rsidRPr="00373F39" w:rsidRDefault="00034B1C" w:rsidP="001271DB">
            <w:pPr>
              <w:spacing w:after="120"/>
              <w:rPr>
                <w:b/>
                <w:bCs/>
                <w:szCs w:val="24"/>
                <w:lang w:val="es-ES_tradnl"/>
              </w:rPr>
            </w:pPr>
            <w:r w:rsidRPr="00373F39">
              <w:rPr>
                <w:lang w:val="es-ES_tradnl"/>
              </w:rPr>
              <w:t xml:space="preserve">[4] </w:t>
            </w:r>
            <w:hyperlink r:id="rId12" w:history="1">
              <w:r w:rsidR="007161ED" w:rsidRPr="00773CB5">
                <w:rPr>
                  <w:rStyle w:val="Hyperlink"/>
                  <w:lang w:val="es-ES_tradnl"/>
                </w:rPr>
                <w:t>https://techiocomunitario.org/wp-content/uploads/2023/02/Capacity-development-for-Indigenous-communities-of-the-Americas-re</w:t>
              </w:r>
            </w:hyperlink>
          </w:p>
        </w:tc>
      </w:tr>
    </w:tbl>
    <w:p w14:paraId="1F6074C7" w14:textId="0771446E" w:rsidR="00034B1C" w:rsidRPr="00373F39" w:rsidRDefault="00034B1C" w:rsidP="00863332">
      <w:pPr>
        <w:spacing w:before="240"/>
        <w:rPr>
          <w:lang w:val="es-ES_tradnl"/>
        </w:rPr>
      </w:pPr>
      <w:bookmarkStart w:id="12" w:name="Proposal"/>
      <w:bookmarkEnd w:id="12"/>
      <w:r w:rsidRPr="00373F39">
        <w:rPr>
          <w:lang w:val="es-ES_tradnl"/>
        </w:rPr>
        <w:lastRenderedPageBreak/>
        <w:t>La Asociación para el Progreso de las Comunicaciones (APC) agradece al Grupo Asesor de Desarrollo de las Telecomunicaciones (GADT) la oportunidad de participar en las contribuciones a la primera reunión desde la Conferencia Mundial de Desarrollo de las Telecomunicaciones (CMDT-22). La APC reconoce el papel del GADT en la prestación de asesoramiento y orientación al Sector UIT-D en materia de estrategias, políticas y otros asuntos relacionados con el desarrollo de las telecomunicaciones, así como sus esfuerzos para promover el intercambio de conocimientos y la creación de capacidad en apoyo del empoderamiento de las personas y las comunidades a fin de aprovechar las oportunidades que ofrece la economía digital. Como red internacional de organizaciones de la sociedad civil fundada en 1990, la APC se dedica a ayudar a construir un mundo en el que todas las personas tengan acceso fácil, equitativo y asequible al potencial creativo de las</w:t>
      </w:r>
      <w:r w:rsidR="00863332" w:rsidRPr="00373F39">
        <w:rPr>
          <w:lang w:val="es-ES_tradnl"/>
        </w:rPr>
        <w:t> </w:t>
      </w:r>
      <w:r w:rsidRPr="00373F39">
        <w:rPr>
          <w:lang w:val="es-ES_tradnl"/>
        </w:rPr>
        <w:t>TIC para mejorar su vida y crear sociedades má</w:t>
      </w:r>
      <w:r w:rsidR="000516DE" w:rsidRPr="00373F39">
        <w:rPr>
          <w:lang w:val="es-ES_tradnl"/>
        </w:rPr>
        <w:t>s democráticas e igualitarias.</w:t>
      </w:r>
    </w:p>
    <w:p w14:paraId="379E9656" w14:textId="4C3662E2" w:rsidR="00034B1C" w:rsidRPr="00373F39" w:rsidRDefault="00034B1C" w:rsidP="001271DB">
      <w:pPr>
        <w:spacing w:after="120"/>
        <w:ind w:left="34" w:right="-142"/>
        <w:rPr>
          <w:lang w:val="es-ES_tradnl"/>
        </w:rPr>
      </w:pPr>
      <w:r w:rsidRPr="00373F39">
        <w:rPr>
          <w:lang w:val="es-ES_tradnl"/>
        </w:rPr>
        <w:t xml:space="preserve">El Sector de Desarrollo de las Telecomunicaciones de la UIT, a través de su programa de inclusión digital y en colaboración con la Oficina Regional para las Américas, ha puesto en marcha programas de capacitación adaptados </w:t>
      </w:r>
      <w:r w:rsidR="006A4873" w:rsidRPr="00373F39">
        <w:rPr>
          <w:lang w:val="es-ES_tradnl"/>
        </w:rPr>
        <w:t>para</w:t>
      </w:r>
      <w:r w:rsidRPr="00373F39">
        <w:rPr>
          <w:lang w:val="es-ES_tradnl"/>
        </w:rPr>
        <w:t xml:space="preserve"> </w:t>
      </w:r>
      <w:r w:rsidR="000B512C" w:rsidRPr="00373F39">
        <w:rPr>
          <w:lang w:val="es-ES_tradnl"/>
        </w:rPr>
        <w:t xml:space="preserve">reforzar </w:t>
      </w:r>
      <w:r w:rsidRPr="00373F39">
        <w:rPr>
          <w:lang w:val="es-ES_tradnl"/>
        </w:rPr>
        <w:t>las capacidades de los pueblos indígenas en materia de TIC desde 2005. Se basan en la Resolución 46 de la Conferencia Mundial de Desarrollo de las Telecomunicaciones (CMDT) de 2017 que se celebró en Buenos Aires, en la que se reconoce "la necesidad de seguir promoviendo la formación de técnicos procedentes de los pueblos indígenas basada en sus prácticas culturales y en programas de innovación tecnológica, garantizando al mismo tiempo la puesta a disposición de recursos y frecuencias para velar por el desarrollo y la durabilidad de las redes de telecomunicaciones/TIC explotadas por pueblos indígenas".</w:t>
      </w:r>
    </w:p>
    <w:p w14:paraId="6BF0B1E2" w14:textId="789EE396" w:rsidR="00034B1C" w:rsidRPr="00373F39" w:rsidRDefault="00034B1C" w:rsidP="001271DB">
      <w:pPr>
        <w:spacing w:after="120"/>
        <w:ind w:left="34" w:right="-142"/>
        <w:rPr>
          <w:lang w:val="es-ES_tradnl"/>
        </w:rPr>
      </w:pPr>
      <w:r w:rsidRPr="00373F39">
        <w:rPr>
          <w:lang w:val="es-ES_tradnl"/>
        </w:rPr>
        <w:lastRenderedPageBreak/>
        <w:t>El programa de América Latina, promovido por la Oficina de las Américas y la Oficina de Inclusión Digital de la BDT de la UIT, en colaboración con organizaciones de la sociedad civil de esa región, ha tenido éxito porque se centra en las necesidades de capacitación y en las formas de aprendizaje de las comunidades. Del mismo modo, los participantes en el programa son comunicadores y líderes en sus territo</w:t>
      </w:r>
      <w:r w:rsidR="002F36D1" w:rsidRPr="00373F39">
        <w:rPr>
          <w:lang w:val="es-ES_tradnl"/>
        </w:rPr>
        <w:t>rios, lo que significa que no so</w:t>
      </w:r>
      <w:r w:rsidRPr="00373F39">
        <w:rPr>
          <w:lang w:val="es-ES_tradnl"/>
        </w:rPr>
        <w:t>lo las personas, sino también las organizaciones, reciben formación y que se genera impacto directo hacia las comunidades en las que se utilizan estas soluciones de acceso local y de medios de comunicación comunitarios.</w:t>
      </w:r>
    </w:p>
    <w:p w14:paraId="6D1236AD" w14:textId="7E5B0D4A" w:rsidR="00034B1C" w:rsidRPr="00373F39" w:rsidRDefault="00034B1C" w:rsidP="001271DB">
      <w:pPr>
        <w:spacing w:after="120"/>
        <w:ind w:left="34" w:right="-142"/>
        <w:rPr>
          <w:lang w:val="es-ES_tradnl"/>
        </w:rPr>
      </w:pPr>
      <w:r w:rsidRPr="00373F39">
        <w:rPr>
          <w:lang w:val="es-ES_tradnl"/>
        </w:rPr>
        <w:t>Desde 2019, en las tres ediciones de este amplio programa combinado se ha desarrollado una sólida red de más de 100 administradores de proyectos de comunicación comunitarios de 15 países, que benefician directamente a sus comunidades mediante los proyectos que desarrollan y que son capaces de formar a nuevos comunicadores en sus regiones. Cabe señalar que el 45% de los graduados son mujeres y que la edad de los participantes oscila entre 18 y 72 años.</w:t>
      </w:r>
    </w:p>
    <w:p w14:paraId="1C100021" w14:textId="1F5AEBFB" w:rsidR="00034B1C" w:rsidRPr="00373F39" w:rsidRDefault="00034B1C" w:rsidP="001271DB">
      <w:pPr>
        <w:spacing w:after="120"/>
        <w:ind w:left="34" w:right="-142"/>
        <w:rPr>
          <w:lang w:val="es-ES_tradnl"/>
        </w:rPr>
      </w:pPr>
      <w:r w:rsidRPr="00373F39">
        <w:rPr>
          <w:lang w:val="es-ES_tradnl"/>
        </w:rPr>
        <w:t xml:space="preserve">La repetición del modelo de cinco módulos en línea y un campamento </w:t>
      </w:r>
      <w:r w:rsidR="002F36D1" w:rsidRPr="00373F39">
        <w:rPr>
          <w:lang w:val="es-ES_tradnl"/>
        </w:rPr>
        <w:t>presencial</w:t>
      </w:r>
      <w:r w:rsidRPr="00373F39">
        <w:rPr>
          <w:lang w:val="es-ES_tradnl"/>
        </w:rPr>
        <w:t xml:space="preserve"> en África </w:t>
      </w:r>
      <w:r w:rsidR="00940F6C" w:rsidRPr="00373F39">
        <w:rPr>
          <w:lang w:val="es-ES_tradnl"/>
        </w:rPr>
        <w:t xml:space="preserve">generará </w:t>
      </w:r>
      <w:r w:rsidRPr="00373F39">
        <w:rPr>
          <w:lang w:val="es-ES_tradnl"/>
        </w:rPr>
        <w:t>los resultados siguientes:</w:t>
      </w:r>
    </w:p>
    <w:p w14:paraId="006C2BE2" w14:textId="148ACCAC" w:rsidR="00A55FA0" w:rsidRPr="00373F39" w:rsidRDefault="00863332" w:rsidP="00863332">
      <w:pPr>
        <w:pStyle w:val="enumlev1"/>
        <w:rPr>
          <w:lang w:val="es-ES_tradnl"/>
        </w:rPr>
      </w:pPr>
      <w:r w:rsidRPr="00373F39">
        <w:rPr>
          <w:lang w:val="es-ES_tradnl"/>
        </w:rPr>
        <w:t>–</w:t>
      </w:r>
      <w:r w:rsidRPr="00373F39">
        <w:rPr>
          <w:lang w:val="es-ES_tradnl"/>
        </w:rPr>
        <w:tab/>
      </w:r>
      <w:r w:rsidR="00A55FA0" w:rsidRPr="00373F39">
        <w:rPr>
          <w:lang w:val="es-ES_tradnl"/>
        </w:rPr>
        <w:t>fortalecimiento de las capacidades técnicas, organizativas, económicas y sociales de los miembros de comunidades indígenas y rurales de África encaminadas a desarrollar proyectos locales de telecomunicaciones y comunicaciones;</w:t>
      </w:r>
    </w:p>
    <w:p w14:paraId="73B989B0" w14:textId="60AB7EF6" w:rsidR="00A55FA0" w:rsidRPr="00373F39" w:rsidRDefault="00863332" w:rsidP="00863332">
      <w:pPr>
        <w:pStyle w:val="enumlev1"/>
        <w:rPr>
          <w:lang w:val="es-ES_tradnl"/>
        </w:rPr>
      </w:pPr>
      <w:r w:rsidRPr="00373F39">
        <w:rPr>
          <w:lang w:val="es-ES_tradnl"/>
        </w:rPr>
        <w:t>–</w:t>
      </w:r>
      <w:r w:rsidRPr="00373F39">
        <w:rPr>
          <w:lang w:val="es-ES_tradnl"/>
        </w:rPr>
        <w:tab/>
      </w:r>
      <w:r w:rsidR="00A55FA0" w:rsidRPr="00373F39">
        <w:rPr>
          <w:lang w:val="es-ES_tradnl"/>
        </w:rPr>
        <w:t>creación de una red de líderes de las comunidades y diversos actores capaces de trabajar a nivel nacional para establecer estrategias de conectividad que repercutan de forma directa en la vida cotidiana de las personas que aún no están conectadas;</w:t>
      </w:r>
    </w:p>
    <w:p w14:paraId="1E252D10" w14:textId="2A1A100C" w:rsidR="00034B1C" w:rsidRPr="00373F39" w:rsidRDefault="00863332" w:rsidP="00863332">
      <w:pPr>
        <w:pStyle w:val="enumlev1"/>
        <w:rPr>
          <w:lang w:val="es-ES_tradnl"/>
        </w:rPr>
      </w:pPr>
      <w:r w:rsidRPr="00373F39">
        <w:rPr>
          <w:lang w:val="es-ES_tradnl"/>
        </w:rPr>
        <w:t>–</w:t>
      </w:r>
      <w:r w:rsidRPr="00373F39">
        <w:rPr>
          <w:lang w:val="es-ES_tradnl"/>
        </w:rPr>
        <w:tab/>
      </w:r>
      <w:r w:rsidR="00034B1C" w:rsidRPr="00373F39">
        <w:rPr>
          <w:lang w:val="es-ES_tradnl"/>
        </w:rPr>
        <w:t>creación de comunidades de práctica entre personas, organizaciones y comunidades para acompañar al desarrollo de sus proyectos locales de comunicación y telecomunicaciones;</w:t>
      </w:r>
    </w:p>
    <w:p w14:paraId="133E78A9" w14:textId="6EB1F512" w:rsidR="00034B1C" w:rsidRPr="00373F39" w:rsidRDefault="00863332" w:rsidP="00863332">
      <w:pPr>
        <w:pStyle w:val="enumlev1"/>
        <w:rPr>
          <w:lang w:val="es-ES_tradnl"/>
        </w:rPr>
      </w:pPr>
      <w:r w:rsidRPr="00373F39">
        <w:rPr>
          <w:lang w:val="es-ES_tradnl"/>
        </w:rPr>
        <w:t>–</w:t>
      </w:r>
      <w:r w:rsidRPr="00373F39">
        <w:rPr>
          <w:lang w:val="es-ES_tradnl"/>
        </w:rPr>
        <w:tab/>
      </w:r>
      <w:r w:rsidR="00034B1C" w:rsidRPr="00373F39">
        <w:rPr>
          <w:lang w:val="es-ES_tradnl"/>
        </w:rPr>
        <w:t>establecimiento de un comité asesor regional de expertos que, además de asesorar sobre este programa de formación, pueda generar acciones colectivas para responder a las necesidades de formación y ejecución de proyectos locales de telecomunicaciones y comunicaciones en comunidades rurales y marginadas;</w:t>
      </w:r>
    </w:p>
    <w:p w14:paraId="5EA7A78F" w14:textId="5882A859" w:rsidR="00034B1C" w:rsidRPr="00373F39" w:rsidRDefault="00863332" w:rsidP="00863332">
      <w:pPr>
        <w:pStyle w:val="enumlev1"/>
        <w:rPr>
          <w:lang w:val="es-ES_tradnl"/>
        </w:rPr>
      </w:pPr>
      <w:r w:rsidRPr="00373F39">
        <w:rPr>
          <w:lang w:val="es-ES_tradnl"/>
        </w:rPr>
        <w:t>–</w:t>
      </w:r>
      <w:r w:rsidRPr="00373F39">
        <w:rPr>
          <w:lang w:val="es-ES_tradnl"/>
        </w:rPr>
        <w:tab/>
      </w:r>
      <w:r w:rsidR="00034B1C" w:rsidRPr="00373F39">
        <w:rPr>
          <w:lang w:val="es-ES_tradnl"/>
        </w:rPr>
        <w:t>consolidación de entornos propicios mediante el fortalecimiento de las relaciones entre las diferentes partes interesadas para resolver las necesidades de comunicación de las comunidades rurales e indígenas a nivel nacional y regional.</w:t>
      </w:r>
    </w:p>
    <w:p w14:paraId="4303E848" w14:textId="0619C766" w:rsidR="00034B1C" w:rsidRDefault="00034B1C" w:rsidP="000D2722">
      <w:pPr>
        <w:ind w:left="34" w:right="-142"/>
        <w:rPr>
          <w:lang w:val="es-ES_tradnl"/>
        </w:rPr>
      </w:pPr>
      <w:r w:rsidRPr="00373F39">
        <w:rPr>
          <w:lang w:val="es-ES_tradnl"/>
        </w:rPr>
        <w:t>Este programa se sumará a la serie de actividades que están realizando en zonas aisladas o de bajos ingresos de la región tanto la UIT como los organismos reguladores y las organizaciones de la sociedad civil. Proponemos que la Oficina de África y la Oficina de Inclusión Digital de la BDT de la UIT promuevan el programa, en colaboración con los gobiernos y las organizaciones de la sociedad civil de la región.</w:t>
      </w:r>
    </w:p>
    <w:p w14:paraId="653E10B3" w14:textId="77777777" w:rsidR="00FD6B0F" w:rsidRPr="00FD6B0F" w:rsidRDefault="00FD6B0F" w:rsidP="00411C49">
      <w:pPr>
        <w:pStyle w:val="Reasons"/>
        <w:rPr>
          <w:lang w:val="es-ES_tradnl"/>
        </w:rPr>
      </w:pPr>
    </w:p>
    <w:p w14:paraId="19138E67" w14:textId="77777777" w:rsidR="00FD6B0F" w:rsidRDefault="00FD6B0F">
      <w:pPr>
        <w:jc w:val="center"/>
      </w:pPr>
      <w:r>
        <w:t>______________</w:t>
      </w:r>
    </w:p>
    <w:sectPr w:rsidR="00FD6B0F" w:rsidSect="00D20099">
      <w:headerReference w:type="default" r:id="rId13"/>
      <w:footerReference w:type="default" r:id="rId14"/>
      <w:footerReference w:type="first" r:id="rId15"/>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6980" w14:textId="77777777" w:rsidR="00034B1C" w:rsidRDefault="00034B1C">
      <w:r>
        <w:separator/>
      </w:r>
    </w:p>
  </w:endnote>
  <w:endnote w:type="continuationSeparator" w:id="0">
    <w:p w14:paraId="69CE916B" w14:textId="77777777" w:rsidR="00034B1C" w:rsidRDefault="000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91B6" w14:textId="241698C3" w:rsidR="00721657" w:rsidRPr="00A525CC" w:rsidRDefault="006E0808" w:rsidP="00A525CC">
    <w:pPr>
      <w:pStyle w:val="Footer"/>
      <w:rPr>
        <w:sz w:val="18"/>
        <w:szCs w:val="18"/>
      </w:rPr>
    </w:pPr>
    <w:r w:rsidRPr="006E0808">
      <w:rPr>
        <w:lang w:val="es-ES"/>
      </w:rPr>
      <w:fldChar w:fldCharType="begin"/>
    </w:r>
    <w:r w:rsidRPr="006E0808">
      <w:rPr>
        <w:lang w:val="es-ES"/>
      </w:rPr>
      <w:instrText xml:space="preserve"> FILENAME \p  \* MERGEFORMAT </w:instrText>
    </w:r>
    <w:r w:rsidRPr="006E0808">
      <w:rPr>
        <w:lang w:val="es-ES"/>
      </w:rPr>
      <w:fldChar w:fldCharType="separate"/>
    </w:r>
    <w:r w:rsidR="0018133B">
      <w:rPr>
        <w:lang w:val="es-ES"/>
      </w:rPr>
      <w:t>P:\ESP\ITU-D\CONF-D\TDAG23\TDAG23-30\000\023S.docx</w:t>
    </w:r>
    <w:r w:rsidRPr="006E0808">
      <w:rPr>
        <w:lang w:val="es-ES"/>
      </w:rPr>
      <w:fldChar w:fldCharType="end"/>
    </w:r>
    <w:r w:rsidRPr="006E0808">
      <w:rPr>
        <w:lang w:val="es-ES"/>
      </w:rPr>
      <w:t xml:space="preserve"> (</w:t>
    </w:r>
    <w:r>
      <w:rPr>
        <w:lang w:val="es-ES"/>
      </w:rPr>
      <w:t>522074</w:t>
    </w:r>
    <w:r w:rsidRPr="006E0808">
      <w:rPr>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6061C" w:rsidRPr="005E6FD6" w14:paraId="48C1BF13" w14:textId="77777777" w:rsidTr="00CF44F0">
      <w:tc>
        <w:tcPr>
          <w:tcW w:w="1526" w:type="dxa"/>
          <w:tcBorders>
            <w:top w:val="single" w:sz="4" w:space="0" w:color="000000"/>
          </w:tcBorders>
          <w:shd w:val="clear" w:color="auto" w:fill="auto"/>
        </w:tcPr>
        <w:p w14:paraId="5B425F30" w14:textId="77777777" w:rsidR="0006061C" w:rsidRPr="004D495C" w:rsidRDefault="0006061C" w:rsidP="0006061C">
          <w:pPr>
            <w:pStyle w:val="FirstFooter"/>
            <w:tabs>
              <w:tab w:val="left" w:pos="1559"/>
              <w:tab w:val="left" w:pos="3828"/>
            </w:tabs>
            <w:rPr>
              <w:sz w:val="18"/>
              <w:szCs w:val="18"/>
            </w:rPr>
          </w:pPr>
          <w:r>
            <w:rPr>
              <w:lang w:val="es-ES"/>
            </w:rPr>
            <w:t>Contacto:</w:t>
          </w:r>
        </w:p>
      </w:tc>
      <w:tc>
        <w:tcPr>
          <w:tcW w:w="2410" w:type="dxa"/>
          <w:tcBorders>
            <w:top w:val="single" w:sz="4" w:space="0" w:color="000000"/>
          </w:tcBorders>
          <w:shd w:val="clear" w:color="auto" w:fill="auto"/>
        </w:tcPr>
        <w:p w14:paraId="1C4A8EA7" w14:textId="77777777" w:rsidR="0006061C" w:rsidRPr="004D495C" w:rsidRDefault="0006061C" w:rsidP="0006061C">
          <w:pPr>
            <w:pStyle w:val="FirstFooter"/>
            <w:tabs>
              <w:tab w:val="left" w:pos="2302"/>
            </w:tabs>
            <w:ind w:left="2302" w:hanging="2302"/>
            <w:rPr>
              <w:sz w:val="18"/>
              <w:szCs w:val="18"/>
            </w:rPr>
          </w:pPr>
          <w:r>
            <w:rPr>
              <w:lang w:val="es-ES"/>
            </w:rPr>
            <w:t>Nombre/Organización/Entidad:</w:t>
          </w:r>
        </w:p>
      </w:tc>
      <w:tc>
        <w:tcPr>
          <w:tcW w:w="5987" w:type="dxa"/>
          <w:tcBorders>
            <w:top w:val="single" w:sz="4" w:space="0" w:color="000000"/>
          </w:tcBorders>
          <w:shd w:val="clear" w:color="auto" w:fill="auto"/>
        </w:tcPr>
        <w:p w14:paraId="734F6AD1" w14:textId="06E8D078" w:rsidR="0006061C" w:rsidRPr="00217B50" w:rsidRDefault="00034B1C" w:rsidP="000D2722">
          <w:pPr>
            <w:pStyle w:val="FirstFooter"/>
            <w:tabs>
              <w:tab w:val="left" w:pos="2302"/>
            </w:tabs>
            <w:rPr>
              <w:sz w:val="18"/>
              <w:szCs w:val="18"/>
              <w:lang w:val="es-ES"/>
            </w:rPr>
          </w:pPr>
          <w:bookmarkStart w:id="13" w:name="OrgName"/>
          <w:bookmarkEnd w:id="13"/>
          <w:r>
            <w:rPr>
              <w:lang w:val="es-ES"/>
            </w:rPr>
            <w:t>Dr. Carlos Rey-Moreno, República Sudafricana, Asociación para el Progreso de las Comunicaciones</w:t>
          </w:r>
        </w:p>
      </w:tc>
    </w:tr>
    <w:tr w:rsidR="0006061C" w:rsidRPr="004D495C" w14:paraId="6F97FE6E" w14:textId="77777777" w:rsidTr="00CF44F0">
      <w:tc>
        <w:tcPr>
          <w:tcW w:w="1526" w:type="dxa"/>
          <w:shd w:val="clear" w:color="auto" w:fill="auto"/>
        </w:tcPr>
        <w:p w14:paraId="4BCC0C26" w14:textId="77777777" w:rsidR="0006061C" w:rsidRPr="00D13185" w:rsidRDefault="0006061C" w:rsidP="0006061C">
          <w:pPr>
            <w:pStyle w:val="FirstFooter"/>
            <w:tabs>
              <w:tab w:val="left" w:pos="1559"/>
              <w:tab w:val="left" w:pos="3828"/>
            </w:tabs>
            <w:rPr>
              <w:sz w:val="20"/>
              <w:lang w:val="es-ES"/>
            </w:rPr>
          </w:pPr>
        </w:p>
      </w:tc>
      <w:tc>
        <w:tcPr>
          <w:tcW w:w="2410" w:type="dxa"/>
          <w:shd w:val="clear" w:color="auto" w:fill="auto"/>
        </w:tcPr>
        <w:p w14:paraId="6DFAFC3F" w14:textId="77777777" w:rsidR="0006061C" w:rsidRPr="004D495C" w:rsidRDefault="0006061C" w:rsidP="0006061C">
          <w:pPr>
            <w:pStyle w:val="FirstFooter"/>
            <w:tabs>
              <w:tab w:val="left" w:pos="2302"/>
            </w:tabs>
            <w:rPr>
              <w:sz w:val="18"/>
              <w:szCs w:val="18"/>
            </w:rPr>
          </w:pPr>
          <w:r>
            <w:rPr>
              <w:lang w:val="es-ES"/>
            </w:rPr>
            <w:t>Teléfono:</w:t>
          </w:r>
        </w:p>
      </w:tc>
      <w:tc>
        <w:tcPr>
          <w:tcW w:w="5987" w:type="dxa"/>
          <w:shd w:val="clear" w:color="auto" w:fill="auto"/>
        </w:tcPr>
        <w:p w14:paraId="50ABF30C" w14:textId="77777777" w:rsidR="0006061C" w:rsidRPr="001647C3" w:rsidRDefault="00034B1C" w:rsidP="0006061C">
          <w:pPr>
            <w:pStyle w:val="FirstFooter"/>
            <w:tabs>
              <w:tab w:val="left" w:pos="2302"/>
            </w:tabs>
            <w:rPr>
              <w:sz w:val="18"/>
              <w:szCs w:val="18"/>
            </w:rPr>
          </w:pPr>
          <w:bookmarkStart w:id="14" w:name="PhoneNo"/>
          <w:bookmarkEnd w:id="14"/>
          <w:r>
            <w:rPr>
              <w:lang w:val="es-ES"/>
            </w:rPr>
            <w:t>+27117261692</w:t>
          </w:r>
        </w:p>
      </w:tc>
    </w:tr>
    <w:tr w:rsidR="0006061C" w:rsidRPr="004D495C" w14:paraId="582DF934" w14:textId="77777777" w:rsidTr="00CF44F0">
      <w:tc>
        <w:tcPr>
          <w:tcW w:w="1526" w:type="dxa"/>
          <w:shd w:val="clear" w:color="auto" w:fill="auto"/>
        </w:tcPr>
        <w:p w14:paraId="3508B175"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298C93C5" w14:textId="77777777" w:rsidR="0006061C" w:rsidRPr="004D495C" w:rsidRDefault="0006061C" w:rsidP="0006061C">
          <w:pPr>
            <w:pStyle w:val="FirstFooter"/>
            <w:tabs>
              <w:tab w:val="left" w:pos="2302"/>
            </w:tabs>
            <w:rPr>
              <w:sz w:val="18"/>
              <w:szCs w:val="18"/>
            </w:rPr>
          </w:pPr>
          <w:r>
            <w:rPr>
              <w:lang w:val="es-ES"/>
            </w:rPr>
            <w:t>Correo-e:</w:t>
          </w:r>
        </w:p>
      </w:tc>
      <w:bookmarkStart w:id="15" w:name="Email"/>
      <w:bookmarkEnd w:id="15"/>
      <w:tc>
        <w:tcPr>
          <w:tcW w:w="5987" w:type="dxa"/>
          <w:shd w:val="clear" w:color="auto" w:fill="auto"/>
        </w:tcPr>
        <w:p w14:paraId="110DC43C" w14:textId="5FB057CC" w:rsidR="0006061C" w:rsidRPr="001647C3" w:rsidRDefault="00217B50" w:rsidP="0006061C">
          <w:pPr>
            <w:pStyle w:val="FirstFooter"/>
            <w:tabs>
              <w:tab w:val="left" w:pos="2302"/>
            </w:tabs>
            <w:rPr>
              <w:sz w:val="18"/>
              <w:szCs w:val="18"/>
            </w:rPr>
          </w:pPr>
          <w:r>
            <w:rPr>
              <w:u w:val="single"/>
              <w:lang w:val="es-ES"/>
            </w:rPr>
            <w:fldChar w:fldCharType="begin"/>
          </w:r>
          <w:r>
            <w:rPr>
              <w:u w:val="single"/>
              <w:lang w:val="es-ES"/>
            </w:rPr>
            <w:instrText xml:space="preserve"> HYPERLINK "mailto:itu@apc.org" </w:instrText>
          </w:r>
          <w:r>
            <w:rPr>
              <w:u w:val="single"/>
              <w:lang w:val="es-ES"/>
            </w:rPr>
          </w:r>
          <w:r>
            <w:rPr>
              <w:u w:val="single"/>
              <w:lang w:val="es-ES"/>
            </w:rPr>
            <w:fldChar w:fldCharType="separate"/>
          </w:r>
          <w:r w:rsidRPr="00773CB5">
            <w:rPr>
              <w:rStyle w:val="Hyperlink"/>
              <w:lang w:val="es-ES"/>
            </w:rPr>
            <w:t>itu@apc.org</w:t>
          </w:r>
          <w:r>
            <w:rPr>
              <w:u w:val="single"/>
              <w:lang w:val="es-ES"/>
            </w:rPr>
            <w:fldChar w:fldCharType="end"/>
          </w:r>
        </w:p>
      </w:tc>
    </w:tr>
  </w:tbl>
  <w:p w14:paraId="768645C0" w14:textId="40941A56" w:rsidR="00721657" w:rsidRPr="00217B50" w:rsidRDefault="0018133B" w:rsidP="00217B50">
    <w:pPr>
      <w:pStyle w:val="Footer"/>
      <w:spacing w:before="120"/>
      <w:jc w:val="center"/>
      <w:rPr>
        <w:caps/>
        <w:noProof w:val="0"/>
        <w:color w:val="0000FF" w:themeColor="hyperlink"/>
        <w:sz w:val="18"/>
        <w:szCs w:val="18"/>
        <w:u w:val="single"/>
        <w:lang w:val="en-US"/>
      </w:rPr>
    </w:pPr>
    <w:hyperlink r:id="rId1" w:history="1">
      <w:r w:rsidR="00217B50" w:rsidRPr="003C6C09">
        <w:rPr>
          <w:rStyle w:val="Hyperlink"/>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DDE1" w14:textId="77777777" w:rsidR="00034B1C" w:rsidRDefault="00034B1C">
      <w:r>
        <w:t>____________________</w:t>
      </w:r>
    </w:p>
  </w:footnote>
  <w:footnote w:type="continuationSeparator" w:id="0">
    <w:p w14:paraId="04FAA281" w14:textId="77777777" w:rsidR="00034B1C" w:rsidRDefault="0003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F00E" w14:textId="7F6EB118" w:rsidR="00721657" w:rsidRPr="00A525CC" w:rsidRDefault="00A525CC" w:rsidP="000D2722">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00F34E7E">
      <w:rPr>
        <w:sz w:val="22"/>
        <w:szCs w:val="22"/>
      </w:rPr>
      <w:t>UIT</w:t>
    </w:r>
    <w:r w:rsidRPr="006D271A">
      <w:rPr>
        <w:sz w:val="22"/>
        <w:szCs w:val="22"/>
        <w:lang w:val="de-CH"/>
      </w:rPr>
      <w:t>-D/</w:t>
    </w:r>
    <w:r w:rsidRPr="00A54E72">
      <w:rPr>
        <w:sz w:val="22"/>
        <w:szCs w:val="22"/>
        <w:lang w:val="de-CH"/>
      </w:rPr>
      <w:t>TDAG</w:t>
    </w:r>
    <w:r w:rsidR="000D2722">
      <w:rPr>
        <w:sz w:val="22"/>
        <w:szCs w:val="22"/>
        <w:lang w:val="de-CH"/>
      </w:rPr>
      <w:t>-23</w:t>
    </w:r>
    <w:r w:rsidRPr="00A54E72">
      <w:rPr>
        <w:sz w:val="22"/>
        <w:szCs w:val="22"/>
        <w:lang w:val="de-CH"/>
      </w:rPr>
      <w:t>/</w:t>
    </w:r>
    <w:r w:rsidR="000D2722">
      <w:rPr>
        <w:sz w:val="22"/>
        <w:szCs w:val="22"/>
        <w:lang w:val="de-CH"/>
      </w:rPr>
      <w:t>23</w:t>
    </w:r>
    <w:r w:rsidRPr="006D271A">
      <w:rPr>
        <w:sz w:val="22"/>
        <w:szCs w:val="22"/>
        <w:lang w:val="de-CH"/>
      </w:rPr>
      <w:t>-</w:t>
    </w:r>
    <w:r w:rsidR="00F34E7E">
      <w:rPr>
        <w:sz w:val="22"/>
        <w:szCs w:val="22"/>
        <w:lang w:val="de-CH"/>
      </w:rPr>
      <w:t>S</w:t>
    </w:r>
    <w:r w:rsidRPr="006D271A">
      <w:rPr>
        <w:sz w:val="22"/>
        <w:szCs w:val="22"/>
        <w:lang w:val="de-CH"/>
      </w:rPr>
      <w:tab/>
      <w:t>P</w:t>
    </w:r>
    <w:r w:rsidR="00F34E7E">
      <w:rPr>
        <w:sz w:val="22"/>
        <w:szCs w:val="22"/>
        <w:lang w:val="de-CH"/>
      </w:rPr>
      <w:t>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516DE">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62CD0"/>
    <w:multiLevelType w:val="hybridMultilevel"/>
    <w:tmpl w:val="DF70796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46E44E83"/>
    <w:multiLevelType w:val="hybridMultilevel"/>
    <w:tmpl w:val="AC94238C"/>
    <w:lvl w:ilvl="0" w:tplc="90D22E90">
      <w:numFmt w:val="bullet"/>
      <w:lvlText w:val="-"/>
      <w:lvlJc w:val="left"/>
      <w:pPr>
        <w:ind w:left="394" w:hanging="360"/>
      </w:pPr>
      <w:rPr>
        <w:rFonts w:ascii="Calibri" w:eastAsia="Times New Roman" w:hAnsi="Calibri" w:cs="Times New Roman" w:hint="default"/>
      </w:rPr>
    </w:lvl>
    <w:lvl w:ilvl="1" w:tplc="0C0A0003" w:tentative="1">
      <w:start w:val="1"/>
      <w:numFmt w:val="bullet"/>
      <w:lvlText w:val="o"/>
      <w:lvlJc w:val="left"/>
      <w:pPr>
        <w:ind w:left="1114" w:hanging="360"/>
      </w:pPr>
      <w:rPr>
        <w:rFonts w:ascii="Courier New" w:hAnsi="Courier New" w:cs="Courier New" w:hint="default"/>
      </w:rPr>
    </w:lvl>
    <w:lvl w:ilvl="2" w:tplc="0C0A0005" w:tentative="1">
      <w:start w:val="1"/>
      <w:numFmt w:val="bullet"/>
      <w:lvlText w:val=""/>
      <w:lvlJc w:val="left"/>
      <w:pPr>
        <w:ind w:left="1834" w:hanging="360"/>
      </w:pPr>
      <w:rPr>
        <w:rFonts w:ascii="Wingdings" w:hAnsi="Wingdings" w:hint="default"/>
      </w:rPr>
    </w:lvl>
    <w:lvl w:ilvl="3" w:tplc="0C0A0001" w:tentative="1">
      <w:start w:val="1"/>
      <w:numFmt w:val="bullet"/>
      <w:lvlText w:val=""/>
      <w:lvlJc w:val="left"/>
      <w:pPr>
        <w:ind w:left="2554" w:hanging="360"/>
      </w:pPr>
      <w:rPr>
        <w:rFonts w:ascii="Symbol" w:hAnsi="Symbol" w:hint="default"/>
      </w:rPr>
    </w:lvl>
    <w:lvl w:ilvl="4" w:tplc="0C0A0003" w:tentative="1">
      <w:start w:val="1"/>
      <w:numFmt w:val="bullet"/>
      <w:lvlText w:val="o"/>
      <w:lvlJc w:val="left"/>
      <w:pPr>
        <w:ind w:left="3274" w:hanging="360"/>
      </w:pPr>
      <w:rPr>
        <w:rFonts w:ascii="Courier New" w:hAnsi="Courier New" w:cs="Courier New" w:hint="default"/>
      </w:rPr>
    </w:lvl>
    <w:lvl w:ilvl="5" w:tplc="0C0A0005" w:tentative="1">
      <w:start w:val="1"/>
      <w:numFmt w:val="bullet"/>
      <w:lvlText w:val=""/>
      <w:lvlJc w:val="left"/>
      <w:pPr>
        <w:ind w:left="3994" w:hanging="360"/>
      </w:pPr>
      <w:rPr>
        <w:rFonts w:ascii="Wingdings" w:hAnsi="Wingdings" w:hint="default"/>
      </w:rPr>
    </w:lvl>
    <w:lvl w:ilvl="6" w:tplc="0C0A0001" w:tentative="1">
      <w:start w:val="1"/>
      <w:numFmt w:val="bullet"/>
      <w:lvlText w:val=""/>
      <w:lvlJc w:val="left"/>
      <w:pPr>
        <w:ind w:left="4714" w:hanging="360"/>
      </w:pPr>
      <w:rPr>
        <w:rFonts w:ascii="Symbol" w:hAnsi="Symbol" w:hint="default"/>
      </w:rPr>
    </w:lvl>
    <w:lvl w:ilvl="7" w:tplc="0C0A0003" w:tentative="1">
      <w:start w:val="1"/>
      <w:numFmt w:val="bullet"/>
      <w:lvlText w:val="o"/>
      <w:lvlJc w:val="left"/>
      <w:pPr>
        <w:ind w:left="5434" w:hanging="360"/>
      </w:pPr>
      <w:rPr>
        <w:rFonts w:ascii="Courier New" w:hAnsi="Courier New" w:cs="Courier New" w:hint="default"/>
      </w:rPr>
    </w:lvl>
    <w:lvl w:ilvl="8" w:tplc="0C0A0005" w:tentative="1">
      <w:start w:val="1"/>
      <w:numFmt w:val="bullet"/>
      <w:lvlText w:val=""/>
      <w:lvlJc w:val="left"/>
      <w:pPr>
        <w:ind w:left="6154"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82E589D"/>
    <w:multiLevelType w:val="hybridMultilevel"/>
    <w:tmpl w:val="7F984BDC"/>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1171718610">
    <w:abstractNumId w:val="2"/>
  </w:num>
  <w:num w:numId="2" w16cid:durableId="417484584">
    <w:abstractNumId w:val="0"/>
  </w:num>
  <w:num w:numId="3" w16cid:durableId="1246955822">
    <w:abstractNumId w:val="3"/>
  </w:num>
  <w:num w:numId="4" w16cid:durableId="67176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B1C"/>
    <w:rsid w:val="00002716"/>
    <w:rsid w:val="00005791"/>
    <w:rsid w:val="00010827"/>
    <w:rsid w:val="00013D7B"/>
    <w:rsid w:val="00015089"/>
    <w:rsid w:val="0002520B"/>
    <w:rsid w:val="00034B1C"/>
    <w:rsid w:val="00037A9E"/>
    <w:rsid w:val="00037F91"/>
    <w:rsid w:val="000516DE"/>
    <w:rsid w:val="000539F1"/>
    <w:rsid w:val="00054747"/>
    <w:rsid w:val="0005521D"/>
    <w:rsid w:val="00055A2A"/>
    <w:rsid w:val="0006061C"/>
    <w:rsid w:val="000615C1"/>
    <w:rsid w:val="00061675"/>
    <w:rsid w:val="00071568"/>
    <w:rsid w:val="00073308"/>
    <w:rsid w:val="000743AA"/>
    <w:rsid w:val="0009225C"/>
    <w:rsid w:val="000A17C4"/>
    <w:rsid w:val="000A36A4"/>
    <w:rsid w:val="000B2352"/>
    <w:rsid w:val="000B512C"/>
    <w:rsid w:val="000C7B84"/>
    <w:rsid w:val="000D261B"/>
    <w:rsid w:val="000D2722"/>
    <w:rsid w:val="000D58A3"/>
    <w:rsid w:val="000E3ED4"/>
    <w:rsid w:val="000E3F9C"/>
    <w:rsid w:val="000E5375"/>
    <w:rsid w:val="000F1550"/>
    <w:rsid w:val="000F251B"/>
    <w:rsid w:val="000F5FE8"/>
    <w:rsid w:val="000F6644"/>
    <w:rsid w:val="00100833"/>
    <w:rsid w:val="00102F72"/>
    <w:rsid w:val="00107E85"/>
    <w:rsid w:val="00113EE8"/>
    <w:rsid w:val="0011455A"/>
    <w:rsid w:val="00114A65"/>
    <w:rsid w:val="001271DB"/>
    <w:rsid w:val="00133061"/>
    <w:rsid w:val="00141699"/>
    <w:rsid w:val="00147000"/>
    <w:rsid w:val="00163091"/>
    <w:rsid w:val="001645CB"/>
    <w:rsid w:val="001647C3"/>
    <w:rsid w:val="00166305"/>
    <w:rsid w:val="00167545"/>
    <w:rsid w:val="001703C6"/>
    <w:rsid w:val="00173781"/>
    <w:rsid w:val="00175ADF"/>
    <w:rsid w:val="00175CAE"/>
    <w:rsid w:val="0018133B"/>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2F8D"/>
    <w:rsid w:val="00217B50"/>
    <w:rsid w:val="00217CC3"/>
    <w:rsid w:val="00220AB6"/>
    <w:rsid w:val="0022120F"/>
    <w:rsid w:val="0022754A"/>
    <w:rsid w:val="00231D64"/>
    <w:rsid w:val="00236560"/>
    <w:rsid w:val="0023662E"/>
    <w:rsid w:val="00245D0F"/>
    <w:rsid w:val="002462DF"/>
    <w:rsid w:val="002548C3"/>
    <w:rsid w:val="00255A4F"/>
    <w:rsid w:val="00257ACD"/>
    <w:rsid w:val="00262908"/>
    <w:rsid w:val="002650F4"/>
    <w:rsid w:val="002715FD"/>
    <w:rsid w:val="002770B1"/>
    <w:rsid w:val="00285B33"/>
    <w:rsid w:val="00287A3C"/>
    <w:rsid w:val="002A2FC6"/>
    <w:rsid w:val="002A7DEE"/>
    <w:rsid w:val="002B1D40"/>
    <w:rsid w:val="002C1EC7"/>
    <w:rsid w:val="002C4342"/>
    <w:rsid w:val="002C7EA3"/>
    <w:rsid w:val="002D20AE"/>
    <w:rsid w:val="002D6C61"/>
    <w:rsid w:val="002E2104"/>
    <w:rsid w:val="002E2DAC"/>
    <w:rsid w:val="002E6963"/>
    <w:rsid w:val="002E6F8F"/>
    <w:rsid w:val="002F05D8"/>
    <w:rsid w:val="002F2DE0"/>
    <w:rsid w:val="002F36D1"/>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708C3"/>
    <w:rsid w:val="00373F39"/>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58F6"/>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B4BBE"/>
    <w:rsid w:val="004D2CC3"/>
    <w:rsid w:val="004D35CB"/>
    <w:rsid w:val="004E20E5"/>
    <w:rsid w:val="004E64EA"/>
    <w:rsid w:val="004E7828"/>
    <w:rsid w:val="004F46AA"/>
    <w:rsid w:val="004F6A70"/>
    <w:rsid w:val="00500AD7"/>
    <w:rsid w:val="00502ABF"/>
    <w:rsid w:val="00504DB0"/>
    <w:rsid w:val="00507C35"/>
    <w:rsid w:val="00510735"/>
    <w:rsid w:val="00514D2F"/>
    <w:rsid w:val="005168E2"/>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6FD6"/>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0D86"/>
    <w:rsid w:val="0064734E"/>
    <w:rsid w:val="00650137"/>
    <w:rsid w:val="006509D7"/>
    <w:rsid w:val="00651CE8"/>
    <w:rsid w:val="0065521B"/>
    <w:rsid w:val="006701F6"/>
    <w:rsid w:val="00671EF6"/>
    <w:rsid w:val="0067205B"/>
    <w:rsid w:val="006748F8"/>
    <w:rsid w:val="00680489"/>
    <w:rsid w:val="00683C32"/>
    <w:rsid w:val="00690BB2"/>
    <w:rsid w:val="00693D09"/>
    <w:rsid w:val="006A4873"/>
    <w:rsid w:val="006A6549"/>
    <w:rsid w:val="006A7710"/>
    <w:rsid w:val="006A7A61"/>
    <w:rsid w:val="006B1E59"/>
    <w:rsid w:val="006B2FFB"/>
    <w:rsid w:val="006B626D"/>
    <w:rsid w:val="006C10A2"/>
    <w:rsid w:val="006C1F18"/>
    <w:rsid w:val="006D40D5"/>
    <w:rsid w:val="006E0808"/>
    <w:rsid w:val="006F009A"/>
    <w:rsid w:val="006F3D93"/>
    <w:rsid w:val="007019B1"/>
    <w:rsid w:val="007161ED"/>
    <w:rsid w:val="00717DD3"/>
    <w:rsid w:val="00721132"/>
    <w:rsid w:val="00721657"/>
    <w:rsid w:val="007279A8"/>
    <w:rsid w:val="00727B1A"/>
    <w:rsid w:val="00737921"/>
    <w:rsid w:val="00741337"/>
    <w:rsid w:val="00752258"/>
    <w:rsid w:val="007529E1"/>
    <w:rsid w:val="00762880"/>
    <w:rsid w:val="00762AD6"/>
    <w:rsid w:val="00762E02"/>
    <w:rsid w:val="007703DE"/>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63332"/>
    <w:rsid w:val="00872B6E"/>
    <w:rsid w:val="00874DFD"/>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87F"/>
    <w:rsid w:val="00922EC1"/>
    <w:rsid w:val="009301F1"/>
    <w:rsid w:val="009307DF"/>
    <w:rsid w:val="009359B8"/>
    <w:rsid w:val="00935FF0"/>
    <w:rsid w:val="00940F6C"/>
    <w:rsid w:val="009431F8"/>
    <w:rsid w:val="00947A35"/>
    <w:rsid w:val="0096201B"/>
    <w:rsid w:val="00962081"/>
    <w:rsid w:val="00966CB5"/>
    <w:rsid w:val="00975786"/>
    <w:rsid w:val="00977AF0"/>
    <w:rsid w:val="00981CB7"/>
    <w:rsid w:val="00983E1F"/>
    <w:rsid w:val="00993F46"/>
    <w:rsid w:val="00997358"/>
    <w:rsid w:val="009A452B"/>
    <w:rsid w:val="009B050C"/>
    <w:rsid w:val="009B087F"/>
    <w:rsid w:val="009B2AF4"/>
    <w:rsid w:val="009C110B"/>
    <w:rsid w:val="009C27F1"/>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5FA0"/>
    <w:rsid w:val="00A60087"/>
    <w:rsid w:val="00A705E8"/>
    <w:rsid w:val="00A721F4"/>
    <w:rsid w:val="00A73DCA"/>
    <w:rsid w:val="00A8762A"/>
    <w:rsid w:val="00A9392C"/>
    <w:rsid w:val="00A9462B"/>
    <w:rsid w:val="00A97D59"/>
    <w:rsid w:val="00AA3E09"/>
    <w:rsid w:val="00AA4BEF"/>
    <w:rsid w:val="00AB1021"/>
    <w:rsid w:val="00AB1659"/>
    <w:rsid w:val="00AB4962"/>
    <w:rsid w:val="00AB734E"/>
    <w:rsid w:val="00AB740F"/>
    <w:rsid w:val="00AC6F14"/>
    <w:rsid w:val="00AC7221"/>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E8F"/>
    <w:rsid w:val="00B80157"/>
    <w:rsid w:val="00B83D5E"/>
    <w:rsid w:val="00B8460A"/>
    <w:rsid w:val="00B8650D"/>
    <w:rsid w:val="00B879B4"/>
    <w:rsid w:val="00B90F07"/>
    <w:rsid w:val="00B97BB9"/>
    <w:rsid w:val="00BA0009"/>
    <w:rsid w:val="00BB1863"/>
    <w:rsid w:val="00BB25EE"/>
    <w:rsid w:val="00BB363A"/>
    <w:rsid w:val="00BC10A0"/>
    <w:rsid w:val="00BC61ED"/>
    <w:rsid w:val="00BC7BA2"/>
    <w:rsid w:val="00BD426B"/>
    <w:rsid w:val="00BD4FC6"/>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3185"/>
    <w:rsid w:val="00D1519F"/>
    <w:rsid w:val="00D20099"/>
    <w:rsid w:val="00D20E99"/>
    <w:rsid w:val="00D21C83"/>
    <w:rsid w:val="00D35BDD"/>
    <w:rsid w:val="00D63006"/>
    <w:rsid w:val="00D72301"/>
    <w:rsid w:val="00D80CD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207"/>
    <w:rsid w:val="00E83810"/>
    <w:rsid w:val="00E86933"/>
    <w:rsid w:val="00E9605B"/>
    <w:rsid w:val="00E97298"/>
    <w:rsid w:val="00E97753"/>
    <w:rsid w:val="00EA7DE7"/>
    <w:rsid w:val="00EB7A8A"/>
    <w:rsid w:val="00EC454C"/>
    <w:rsid w:val="00EE0CA8"/>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34E7E"/>
    <w:rsid w:val="00F41B1C"/>
    <w:rsid w:val="00F42E13"/>
    <w:rsid w:val="00F42F1C"/>
    <w:rsid w:val="00F43B44"/>
    <w:rsid w:val="00F440E5"/>
    <w:rsid w:val="00F448F6"/>
    <w:rsid w:val="00F52741"/>
    <w:rsid w:val="00F53D8A"/>
    <w:rsid w:val="00F626F7"/>
    <w:rsid w:val="00F736F9"/>
    <w:rsid w:val="00F73833"/>
    <w:rsid w:val="00F8726C"/>
    <w:rsid w:val="00F9211C"/>
    <w:rsid w:val="00FA095D"/>
    <w:rsid w:val="00FA6C8B"/>
    <w:rsid w:val="00FA6CDA"/>
    <w:rsid w:val="00FA7C89"/>
    <w:rsid w:val="00FB4139"/>
    <w:rsid w:val="00FB476E"/>
    <w:rsid w:val="00FC0D90"/>
    <w:rsid w:val="00FC7D8C"/>
    <w:rsid w:val="00FD3980"/>
    <w:rsid w:val="00FD431E"/>
    <w:rsid w:val="00FD5A2C"/>
    <w:rsid w:val="00FD6B0F"/>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17AF43"/>
  <w15:docId w15:val="{A4A6B9CB-77BD-43A4-8FFE-9320862D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sz w:val="28"/>
    </w:rPr>
  </w:style>
  <w:style w:type="paragraph" w:customStyle="1" w:styleId="Rectitle">
    <w:name w:val="Rec_title"/>
    <w:basedOn w:val="RecNo"/>
    <w:next w:val="Recref"/>
    <w:rsid w:val="00F52741"/>
    <w:pPr>
      <w:spacing w:before="240"/>
    </w:pPr>
    <w:rPr>
      <w:b/>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0D2722"/>
    <w:rPr>
      <w:color w:val="605E5C"/>
      <w:shd w:val="clear" w:color="auto" w:fill="E1DFDD"/>
    </w:rPr>
  </w:style>
  <w:style w:type="character" w:styleId="UnresolvedMention">
    <w:name w:val="Unresolved Mention"/>
    <w:basedOn w:val="DefaultParagraphFont"/>
    <w:uiPriority w:val="99"/>
    <w:semiHidden/>
    <w:unhideWhenUsed/>
    <w:rsid w:val="00217B50"/>
    <w:rPr>
      <w:color w:val="605E5C"/>
      <w:shd w:val="clear" w:color="auto" w:fill="E1DFDD"/>
    </w:rPr>
  </w:style>
  <w:style w:type="paragraph" w:customStyle="1" w:styleId="Reasons">
    <w:name w:val="Reasons"/>
    <w:basedOn w:val="Normal"/>
    <w:qFormat/>
    <w:rsid w:val="0086333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hiocomunitario.org/wp-content/uploads/2023/02/Capacity-development-for-Indigenous-communities-of-the-Americas-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c.org/en/blog/meet-national-schools-empowering-grassroots-communities-bridge-digital-divi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c.org/sites/default/files/FINAL_Technological_autonomy_as_a_constellation_of_experiences_18-03.pdf" TargetMode="External"/><Relationship Id="rId4" Type="http://schemas.openxmlformats.org/officeDocument/2006/relationships/settings" Target="settings.xml"/><Relationship Id="rId9" Type="http://schemas.openxmlformats.org/officeDocument/2006/relationships/hyperlink" Target="https://techiocomunitario.or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s/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2B7D-84B3-4A5B-9873-75576D39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1190</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Spanish1</cp:lastModifiedBy>
  <cp:revision>17</cp:revision>
  <cp:lastPrinted>2014-11-04T09:22:00Z</cp:lastPrinted>
  <dcterms:created xsi:type="dcterms:W3CDTF">2023-05-14T22:17:00Z</dcterms:created>
  <dcterms:modified xsi:type="dcterms:W3CDTF">2023-05-15T08:22:00Z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TranslatedWith">
    <vt:lpwstr>Mercury</vt:lpwstr>
  </property>
  <property fmtid="{D5CDD505-2E9C-101B-9397-08002B2CF9AE}" pid="9" name="GeneratedBy">
    <vt:lpwstr>elena.alonso</vt:lpwstr>
  </property>
  <property fmtid="{D5CDD505-2E9C-101B-9397-08002B2CF9AE}" pid="10" name="GeneratedDate">
    <vt:lpwstr>05/08/2023 12:02:45</vt:lpwstr>
  </property>
  <property fmtid="{D5CDD505-2E9C-101B-9397-08002B2CF9AE}" pid="11" name="OriginalDocID">
    <vt:lpwstr>93ce29b5-2369-45ce-92e5-1a4cc8981fac</vt:lpwstr>
  </property>
</Properties>
</file>