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92"/>
        <w:tblW w:w="99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3225"/>
        <w:gridCol w:w="35"/>
      </w:tblGrid>
      <w:tr w:rsidR="00D20099" w14:paraId="3A9B6842" w14:textId="77777777" w:rsidTr="000D2722">
        <w:trPr>
          <w:cantSplit/>
          <w:trHeight w:val="1134"/>
        </w:trPr>
        <w:tc>
          <w:tcPr>
            <w:tcW w:w="6663" w:type="dxa"/>
          </w:tcPr>
          <w:p w14:paraId="0F5F3168" w14:textId="73223A6F" w:rsidR="00D20099" w:rsidRPr="00EF132F" w:rsidRDefault="00D20099" w:rsidP="00D20099">
            <w:pPr>
              <w:tabs>
                <w:tab w:val="clear" w:pos="1191"/>
                <w:tab w:val="clear" w:pos="1588"/>
                <w:tab w:val="clear" w:pos="1985"/>
              </w:tabs>
              <w:ind w:left="34" w:right="-142"/>
              <w:rPr>
                <w:b/>
                <w:bCs/>
                <w:sz w:val="32"/>
                <w:szCs w:val="32"/>
                <w:lang w:val="fr-CH"/>
              </w:rPr>
            </w:pPr>
            <w:r w:rsidRPr="00EF132F">
              <w:rPr>
                <w:b/>
                <w:bCs/>
                <w:sz w:val="32"/>
                <w:szCs w:val="32"/>
                <w:lang w:val="fr-FR"/>
              </w:rPr>
              <w:t>Groupe consul</w:t>
            </w:r>
            <w:r w:rsidR="00EF132F">
              <w:rPr>
                <w:b/>
                <w:bCs/>
                <w:sz w:val="32"/>
                <w:szCs w:val="32"/>
                <w:lang w:val="fr-FR"/>
              </w:rPr>
              <w:t>tatif pour le développement des </w:t>
            </w:r>
            <w:r w:rsidRPr="00EF132F">
              <w:rPr>
                <w:b/>
                <w:bCs/>
                <w:sz w:val="32"/>
                <w:szCs w:val="32"/>
                <w:lang w:val="fr-FR"/>
              </w:rPr>
              <w:t>télécommunications (GCDT)</w:t>
            </w:r>
          </w:p>
          <w:p w14:paraId="51F7168E" w14:textId="77777777" w:rsidR="00D20099" w:rsidRPr="00EF132F" w:rsidRDefault="00013D7B" w:rsidP="00977AF0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 w:right="-142"/>
              <w:rPr>
                <w:rFonts w:ascii="Verdana" w:hAnsi="Verdana"/>
                <w:sz w:val="26"/>
                <w:szCs w:val="26"/>
                <w:lang w:val="fr-CH"/>
              </w:rPr>
            </w:pPr>
            <w:r w:rsidRPr="00EF132F">
              <w:rPr>
                <w:b/>
                <w:bCs/>
                <w:sz w:val="26"/>
                <w:szCs w:val="26"/>
                <w:lang w:val="fr-FR"/>
              </w:rPr>
              <w:t>30ème réunion, Genève (Suisse), 19-23 juin 2023</w:t>
            </w:r>
          </w:p>
        </w:tc>
        <w:tc>
          <w:tcPr>
            <w:tcW w:w="3260" w:type="dxa"/>
            <w:gridSpan w:val="2"/>
          </w:tcPr>
          <w:p w14:paraId="0F293322" w14:textId="77777777" w:rsidR="00D20099" w:rsidRPr="00683C32" w:rsidRDefault="002A7DEE" w:rsidP="00255A4F">
            <w:pPr>
              <w:spacing w:before="0"/>
              <w:jc w:val="right"/>
            </w:pPr>
            <w:r>
              <w:rPr>
                <w:noProof/>
                <w:lang w:val="en-US"/>
              </w:rPr>
              <w:drawing>
                <wp:inline distT="0" distB="0" distL="0" distR="0" wp14:anchorId="1E88CDF1" wp14:editId="015161C9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comas\AppData\Local\Temp\Rar$DRa0.735\jpg\ITU official logo_blue_RG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7E913CF" w14:textId="77777777" w:rsidTr="00D20099">
        <w:trPr>
          <w:gridAfter w:val="1"/>
          <w:wAfter w:w="35" w:type="dxa"/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76FB7BB2" w14:textId="77777777" w:rsidR="00683C32" w:rsidRPr="00997358" w:rsidRDefault="00683C32" w:rsidP="00D20099">
            <w:pPr>
              <w:spacing w:before="0"/>
              <w:ind w:left="34" w:right="-142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14:paraId="28C5660F" w14:textId="77777777" w:rsidR="00683C32" w:rsidRPr="00997358" w:rsidRDefault="00683C32" w:rsidP="00D20099">
            <w:pPr>
              <w:spacing w:before="0"/>
              <w:ind w:left="34" w:right="-142"/>
              <w:rPr>
                <w:b/>
                <w:bCs/>
                <w:sz w:val="20"/>
              </w:rPr>
            </w:pPr>
          </w:p>
        </w:tc>
      </w:tr>
      <w:tr w:rsidR="00683C32" w:rsidRPr="00002716" w14:paraId="14E95B54" w14:textId="77777777" w:rsidTr="00D20099">
        <w:trPr>
          <w:gridAfter w:val="1"/>
          <w:wAfter w:w="35" w:type="dxa"/>
          <w:cantSplit/>
        </w:trPr>
        <w:tc>
          <w:tcPr>
            <w:tcW w:w="6663" w:type="dxa"/>
          </w:tcPr>
          <w:p w14:paraId="03A9B52F" w14:textId="77777777" w:rsidR="00683C32" w:rsidRPr="007F1CC7" w:rsidRDefault="00683C32" w:rsidP="00D20099">
            <w:pPr>
              <w:pStyle w:val="Committee"/>
              <w:spacing w:before="0"/>
              <w:ind w:left="34" w:right="-142"/>
              <w:rPr>
                <w:b w:val="0"/>
                <w:szCs w:val="24"/>
              </w:rPr>
            </w:pPr>
          </w:p>
        </w:tc>
        <w:tc>
          <w:tcPr>
            <w:tcW w:w="3225" w:type="dxa"/>
          </w:tcPr>
          <w:p w14:paraId="20987C68" w14:textId="498E0255" w:rsidR="00683C32" w:rsidRPr="007F1CC7" w:rsidRDefault="0096201B" w:rsidP="00D20099">
            <w:pPr>
              <w:spacing w:before="0"/>
              <w:ind w:left="34" w:right="-142"/>
              <w:jc w:val="both"/>
              <w:rPr>
                <w:bCs/>
                <w:szCs w:val="24"/>
              </w:rPr>
            </w:pPr>
            <w:r>
              <w:rPr>
                <w:b/>
                <w:bCs/>
                <w:lang w:val="fr-FR"/>
              </w:rPr>
              <w:t>Document TDAG-23/23-F</w:t>
            </w:r>
            <w:bookmarkStart w:id="0" w:name="DocRef1"/>
            <w:bookmarkStart w:id="1" w:name="DocNo1"/>
            <w:bookmarkEnd w:id="0"/>
            <w:bookmarkEnd w:id="1"/>
          </w:p>
        </w:tc>
      </w:tr>
      <w:tr w:rsidR="00683C32" w14:paraId="71E2D650" w14:textId="77777777" w:rsidTr="00D20099">
        <w:trPr>
          <w:gridAfter w:val="1"/>
          <w:wAfter w:w="35" w:type="dxa"/>
          <w:cantSplit/>
        </w:trPr>
        <w:tc>
          <w:tcPr>
            <w:tcW w:w="6663" w:type="dxa"/>
          </w:tcPr>
          <w:p w14:paraId="57616C2C" w14:textId="77777777" w:rsidR="00683C32" w:rsidRPr="007F1CC7" w:rsidRDefault="00683C32" w:rsidP="00D20099">
            <w:pPr>
              <w:spacing w:before="0"/>
              <w:ind w:left="34" w:right="-142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225" w:type="dxa"/>
          </w:tcPr>
          <w:p w14:paraId="4F7FB8D6" w14:textId="77777777" w:rsidR="00683C32" w:rsidRPr="007F1CC7" w:rsidRDefault="00034B1C" w:rsidP="00D20099">
            <w:pPr>
              <w:spacing w:before="0"/>
              <w:ind w:left="34" w:right="-142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lang w:val="fr-FR"/>
              </w:rPr>
              <w:t>5 mai 2023</w:t>
            </w:r>
          </w:p>
        </w:tc>
      </w:tr>
      <w:tr w:rsidR="00683C32" w14:paraId="20BCC834" w14:textId="77777777" w:rsidTr="00D20099">
        <w:trPr>
          <w:gridAfter w:val="1"/>
          <w:wAfter w:w="35" w:type="dxa"/>
          <w:cantSplit/>
        </w:trPr>
        <w:tc>
          <w:tcPr>
            <w:tcW w:w="6663" w:type="dxa"/>
          </w:tcPr>
          <w:p w14:paraId="26449C79" w14:textId="77777777" w:rsidR="00683C32" w:rsidRPr="007F1CC7" w:rsidRDefault="00683C32" w:rsidP="00D20099">
            <w:pPr>
              <w:spacing w:before="0"/>
              <w:ind w:left="34" w:right="-142"/>
              <w:rPr>
                <w:b/>
                <w:bCs/>
                <w:smallCaps/>
                <w:szCs w:val="24"/>
              </w:rPr>
            </w:pPr>
          </w:p>
        </w:tc>
        <w:tc>
          <w:tcPr>
            <w:tcW w:w="3225" w:type="dxa"/>
          </w:tcPr>
          <w:p w14:paraId="31338687" w14:textId="77777777" w:rsidR="00514D2F" w:rsidRPr="007F1CC7" w:rsidRDefault="0096201B" w:rsidP="00D20099">
            <w:pPr>
              <w:spacing w:before="0"/>
              <w:ind w:left="34" w:right="-142"/>
              <w:rPr>
                <w:szCs w:val="24"/>
              </w:rPr>
            </w:pPr>
            <w:r>
              <w:rPr>
                <w:b/>
                <w:bCs/>
                <w:lang w:val="fr-FR"/>
              </w:rPr>
              <w:t>Original: anglais</w:t>
            </w:r>
            <w:bookmarkStart w:id="3" w:name="Original"/>
            <w:bookmarkEnd w:id="3"/>
          </w:p>
        </w:tc>
      </w:tr>
      <w:tr w:rsidR="00A13162" w:rsidRPr="00BD7378" w14:paraId="4C0FC88E" w14:textId="77777777" w:rsidTr="00BD4FC6">
        <w:trPr>
          <w:gridAfter w:val="1"/>
          <w:wAfter w:w="35" w:type="dxa"/>
          <w:cantSplit/>
          <w:trHeight w:val="852"/>
        </w:trPr>
        <w:tc>
          <w:tcPr>
            <w:tcW w:w="9888" w:type="dxa"/>
            <w:gridSpan w:val="2"/>
            <w:vAlign w:val="center"/>
          </w:tcPr>
          <w:p w14:paraId="05594098" w14:textId="66122A9D" w:rsidR="00A13162" w:rsidRPr="00BD7378" w:rsidRDefault="000E0739" w:rsidP="00DD1AF8">
            <w:pPr>
              <w:pStyle w:val="Source"/>
              <w:spacing w:before="240" w:after="240"/>
              <w:ind w:left="34" w:right="-142"/>
              <w:rPr>
                <w:lang w:val="fr-FR"/>
              </w:rPr>
            </w:pPr>
            <w:bookmarkStart w:id="4" w:name="Source"/>
            <w:bookmarkEnd w:id="4"/>
            <w:r w:rsidRPr="000E0739">
              <w:rPr>
                <w:bCs/>
                <w:lang w:val="fr-FR"/>
              </w:rPr>
              <w:t xml:space="preserve">Association </w:t>
            </w:r>
            <w:r w:rsidR="00DD1AF8">
              <w:rPr>
                <w:bCs/>
                <w:lang w:val="fr-FR"/>
              </w:rPr>
              <w:t>for</w:t>
            </w:r>
            <w:r w:rsidRPr="000E0739">
              <w:rPr>
                <w:bCs/>
                <w:lang w:val="fr-FR"/>
              </w:rPr>
              <w:t xml:space="preserve"> progressive communications</w:t>
            </w:r>
            <w:r w:rsidRPr="000E0739" w:rsidDel="000E0739">
              <w:rPr>
                <w:bCs/>
                <w:lang w:val="fr-FR"/>
              </w:rPr>
              <w:t xml:space="preserve"> </w:t>
            </w:r>
            <w:r w:rsidR="00034B1C">
              <w:rPr>
                <w:bCs/>
                <w:lang w:val="fr-FR"/>
              </w:rPr>
              <w:t>(APC)</w:t>
            </w:r>
          </w:p>
        </w:tc>
      </w:tr>
      <w:tr w:rsidR="00AC6F14" w:rsidRPr="00BD7378" w14:paraId="20B41268" w14:textId="77777777" w:rsidTr="00D20099">
        <w:trPr>
          <w:gridAfter w:val="1"/>
          <w:wAfter w:w="35" w:type="dxa"/>
          <w:cantSplit/>
        </w:trPr>
        <w:tc>
          <w:tcPr>
            <w:tcW w:w="9888" w:type="dxa"/>
            <w:gridSpan w:val="2"/>
          </w:tcPr>
          <w:p w14:paraId="148DD86A" w14:textId="60037D26" w:rsidR="00AC6F14" w:rsidRPr="001B57AD" w:rsidRDefault="00034B1C" w:rsidP="00BD7378">
            <w:pPr>
              <w:pStyle w:val="Title1"/>
              <w:ind w:left="34" w:right="-142"/>
              <w:rPr>
                <w:lang w:val="fr-CH"/>
              </w:rPr>
            </w:pPr>
            <w:bookmarkStart w:id="5" w:name="Title"/>
            <w:bookmarkEnd w:id="5"/>
            <w:r>
              <w:rPr>
                <w:lang w:val="fr-FR"/>
              </w:rPr>
              <w:t xml:space="preserve">Mise en </w:t>
            </w:r>
            <w:r w:rsidR="00377BF9">
              <w:rPr>
                <w:lang w:val="fr-FR"/>
              </w:rPr>
              <w:t>œuvre</w:t>
            </w:r>
            <w:r>
              <w:rPr>
                <w:lang w:val="fr-FR"/>
              </w:rPr>
              <w:t xml:space="preserve"> de la Résolution </w:t>
            </w:r>
            <w:bookmarkStart w:id="6" w:name="_GoBack"/>
            <w:bookmarkEnd w:id="6"/>
            <w:r>
              <w:rPr>
                <w:lang w:val="fr-FR"/>
              </w:rPr>
              <w:t>11</w:t>
            </w:r>
            <w:r w:rsidR="00BD7378">
              <w:rPr>
                <w:lang w:val="fr-FR"/>
              </w:rPr>
              <w:t>:</w:t>
            </w:r>
            <w:r w:rsidR="006C51E8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renforcement des capacités </w:t>
            </w:r>
            <w:r w:rsidR="00DD1AF8">
              <w:rPr>
                <w:lang w:val="fr-FR"/>
              </w:rPr>
              <w:br/>
            </w:r>
            <w:r>
              <w:rPr>
                <w:lang w:val="fr-FR"/>
              </w:rPr>
              <w:t>des communautés</w:t>
            </w:r>
            <w:r w:rsidR="00BD7378">
              <w:rPr>
                <w:lang w:val="fr-FR"/>
              </w:rPr>
              <w:t xml:space="preserve"> </w:t>
            </w:r>
            <w:r w:rsidR="006C51E8" w:rsidRPr="006C51E8">
              <w:rPr>
                <w:lang w:val="fr-FR"/>
              </w:rPr>
              <w:t xml:space="preserve">rurales ou autochtones </w:t>
            </w:r>
            <w:r>
              <w:rPr>
                <w:lang w:val="fr-FR"/>
              </w:rPr>
              <w:t>en Afrique</w:t>
            </w:r>
          </w:p>
        </w:tc>
      </w:tr>
      <w:tr w:rsidR="00A721F4" w:rsidRPr="00BD7378" w14:paraId="36C4FB49" w14:textId="77777777" w:rsidTr="003708C3">
        <w:trPr>
          <w:gridAfter w:val="1"/>
          <w:wAfter w:w="35" w:type="dxa"/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3732E697" w14:textId="77777777" w:rsidR="00A721F4" w:rsidRPr="001B57AD" w:rsidRDefault="00A721F4" w:rsidP="00BD7378">
            <w:pPr>
              <w:ind w:left="34" w:right="-142"/>
              <w:rPr>
                <w:lang w:val="fr-CH"/>
              </w:rPr>
            </w:pPr>
          </w:p>
        </w:tc>
      </w:tr>
      <w:tr w:rsidR="00A721F4" w:rsidRPr="002E6963" w14:paraId="04D2E8C7" w14:textId="77777777" w:rsidTr="003708C3">
        <w:trPr>
          <w:gridAfter w:val="1"/>
          <w:wAfter w:w="35" w:type="dxa"/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DD7C" w14:textId="77777777" w:rsidR="00A721F4" w:rsidRPr="00234D93" w:rsidRDefault="00A721F4" w:rsidP="00BD7378">
            <w:pPr>
              <w:spacing w:after="120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lang w:val="fr-FR"/>
              </w:rPr>
              <w:t>Résumé:</w:t>
            </w:r>
          </w:p>
          <w:p w14:paraId="2985C034" w14:textId="7DBB6D78" w:rsidR="00A721F4" w:rsidRPr="00F9401C" w:rsidRDefault="00034B1C" w:rsidP="00BD7378">
            <w:pPr>
              <w:spacing w:after="120"/>
              <w:rPr>
                <w:szCs w:val="24"/>
                <w:lang w:val="fr-CH"/>
              </w:rPr>
            </w:pPr>
            <w:bookmarkStart w:id="7" w:name="Abstract"/>
            <w:bookmarkEnd w:id="7"/>
            <w:r>
              <w:rPr>
                <w:lang w:val="fr-FR"/>
              </w:rPr>
              <w:t xml:space="preserve">La présente contribution vise à appuyer la mise en </w:t>
            </w:r>
            <w:r w:rsidR="00234D93">
              <w:rPr>
                <w:lang w:val="fr-FR"/>
              </w:rPr>
              <w:t>œuvre</w:t>
            </w:r>
            <w:r w:rsidR="00A270A7">
              <w:rPr>
                <w:lang w:val="fr-FR"/>
              </w:rPr>
              <w:t xml:space="preserve"> concrète</w:t>
            </w:r>
            <w:r>
              <w:rPr>
                <w:lang w:val="fr-FR"/>
              </w:rPr>
              <w:t xml:space="preserve"> de</w:t>
            </w:r>
            <w:r w:rsidR="00BD7378">
              <w:rPr>
                <w:lang w:val="fr-FR"/>
              </w:rPr>
              <w:t xml:space="preserve"> la Résolution 11 (Rév. Kigali, </w:t>
            </w:r>
            <w:r>
              <w:rPr>
                <w:lang w:val="fr-FR"/>
              </w:rPr>
              <w:t>2022) de la Conférence mondiale de développement des télécommunications (CMDT</w:t>
            </w:r>
            <w:r w:rsidR="001B57AD">
              <w:rPr>
                <w:lang w:val="fr-FR"/>
              </w:rPr>
              <w:t>)</w:t>
            </w:r>
            <w:r>
              <w:rPr>
                <w:lang w:val="fr-FR"/>
              </w:rPr>
              <w:t>, intitulée "Services issus des télécommunications/technologies de l</w:t>
            </w:r>
            <w:r w:rsidR="00BD7378">
              <w:rPr>
                <w:lang w:val="fr-FR"/>
              </w:rPr>
              <w:t>'</w:t>
            </w:r>
            <w:r>
              <w:rPr>
                <w:lang w:val="fr-FR"/>
              </w:rPr>
              <w:t>information et de la communication dans les zones rurales, isolées et mal desservies"</w:t>
            </w:r>
            <w:r w:rsidR="00A16166">
              <w:rPr>
                <w:lang w:val="fr-FR"/>
              </w:rPr>
              <w:t>. P</w:t>
            </w:r>
            <w:r>
              <w:rPr>
                <w:lang w:val="fr-FR"/>
              </w:rPr>
              <w:t xml:space="preserve">lus précisément, </w:t>
            </w:r>
            <w:r w:rsidR="00A16166">
              <w:rPr>
                <w:lang w:val="fr-FR"/>
              </w:rPr>
              <w:t>l</w:t>
            </w:r>
            <w:r w:rsidR="00BD7378">
              <w:rPr>
                <w:lang w:val="fr-FR"/>
              </w:rPr>
              <w:t>'</w:t>
            </w:r>
            <w:r w:rsidR="00A16166">
              <w:rPr>
                <w:lang w:val="fr-FR"/>
              </w:rPr>
              <w:t>accent est mis sur</w:t>
            </w:r>
            <w:r>
              <w:rPr>
                <w:lang w:val="fr-FR"/>
              </w:rPr>
              <w:t xml:space="preserve"> la mise en œuvre de programmes de renforcement des capacités </w:t>
            </w:r>
            <w:r w:rsidR="00234D93">
              <w:rPr>
                <w:lang w:val="fr-FR"/>
              </w:rPr>
              <w:t xml:space="preserve">en vue </w:t>
            </w:r>
            <w:r w:rsidR="006C51E8">
              <w:rPr>
                <w:lang w:val="fr-FR"/>
              </w:rPr>
              <w:t>de favoriser l</w:t>
            </w:r>
            <w:r w:rsidR="00BD7378">
              <w:rPr>
                <w:lang w:val="fr-FR"/>
              </w:rPr>
              <w:t>'</w:t>
            </w:r>
            <w:r w:rsidR="006C51E8">
              <w:rPr>
                <w:lang w:val="fr-FR"/>
              </w:rPr>
              <w:t>expansion</w:t>
            </w:r>
            <w:r>
              <w:rPr>
                <w:lang w:val="fr-FR"/>
              </w:rPr>
              <w:t xml:space="preserve"> et </w:t>
            </w:r>
            <w:r w:rsidR="000E0739">
              <w:rPr>
                <w:lang w:val="fr-FR"/>
              </w:rPr>
              <w:t>le maintien</w:t>
            </w:r>
            <w:r>
              <w:rPr>
                <w:lang w:val="fr-FR"/>
              </w:rPr>
              <w:t xml:space="preserve"> des réseaux de télécommunication dans ces zones.</w:t>
            </w:r>
            <w:r w:rsidR="00BD7378">
              <w:rPr>
                <w:lang w:val="fr-FR"/>
              </w:rPr>
              <w:t xml:space="preserve"> </w:t>
            </w:r>
            <w:r w:rsidR="000E0739">
              <w:rPr>
                <w:lang w:val="fr-FR"/>
              </w:rPr>
              <w:t>L</w:t>
            </w:r>
            <w:r w:rsidR="00BD7378">
              <w:rPr>
                <w:lang w:val="fr-FR"/>
              </w:rPr>
              <w:t>'</w:t>
            </w:r>
            <w:r w:rsidRPr="00377BF9">
              <w:rPr>
                <w:lang w:val="fr-FR"/>
              </w:rPr>
              <w:t>Association for Progressive Communications</w:t>
            </w:r>
            <w:r w:rsidR="000E0739">
              <w:rPr>
                <w:lang w:val="fr-FR"/>
              </w:rPr>
              <w:t xml:space="preserve"> (</w:t>
            </w:r>
            <w:r w:rsidRPr="00377BF9">
              <w:rPr>
                <w:lang w:val="fr-FR"/>
              </w:rPr>
              <w:t>APC)</w:t>
            </w:r>
            <w:r>
              <w:rPr>
                <w:i/>
                <w:iCs/>
                <w:lang w:val="fr-FR"/>
              </w:rPr>
              <w:t xml:space="preserve"> </w:t>
            </w:r>
            <w:r>
              <w:rPr>
                <w:lang w:val="fr-FR"/>
              </w:rPr>
              <w:t>propose, compte tenu</w:t>
            </w:r>
            <w:r w:rsidR="00BD7378">
              <w:rPr>
                <w:lang w:val="fr-FR"/>
              </w:rPr>
              <w:t xml:space="preserve"> </w:t>
            </w:r>
            <w:r>
              <w:rPr>
                <w:lang w:val="fr-FR"/>
              </w:rPr>
              <w:t>d</w:t>
            </w:r>
            <w:r w:rsidR="000E0739">
              <w:rPr>
                <w:lang w:val="fr-FR"/>
              </w:rPr>
              <w:t>e l</w:t>
            </w:r>
            <w:r w:rsidR="00BD7378">
              <w:rPr>
                <w:lang w:val="fr-FR"/>
              </w:rPr>
              <w:t>'</w:t>
            </w:r>
            <w:r>
              <w:rPr>
                <w:lang w:val="fr-FR"/>
              </w:rPr>
              <w:t>expérience acquise</w:t>
            </w:r>
            <w:r w:rsidR="00BD7378">
              <w:rPr>
                <w:lang w:val="fr-FR"/>
              </w:rPr>
              <w:t xml:space="preserve"> </w:t>
            </w:r>
            <w:r>
              <w:rPr>
                <w:lang w:val="fr-FR"/>
              </w:rPr>
              <w:t>par l</w:t>
            </w:r>
            <w:r w:rsidR="00BD7378">
              <w:rPr>
                <w:lang w:val="fr-FR"/>
              </w:rPr>
              <w:t>'</w:t>
            </w:r>
            <w:r>
              <w:rPr>
                <w:lang w:val="fr-FR"/>
              </w:rPr>
              <w:t xml:space="preserve">UIT en Amérique latine, </w:t>
            </w:r>
            <w:r w:rsidR="00377BF9">
              <w:rPr>
                <w:lang w:val="fr-FR"/>
              </w:rPr>
              <w:t>de mettre au point un</w:t>
            </w:r>
            <w:r>
              <w:rPr>
                <w:lang w:val="fr-FR"/>
              </w:rPr>
              <w:t xml:space="preserve"> programme de formation qui permettra de renforcer les capacités </w:t>
            </w:r>
            <w:r w:rsidR="00C12840">
              <w:rPr>
                <w:lang w:val="fr-FR"/>
              </w:rPr>
              <w:t xml:space="preserve">nécessaires pour créer, </w:t>
            </w:r>
            <w:r w:rsidR="00B008C9">
              <w:rPr>
                <w:lang w:val="fr-FR"/>
              </w:rPr>
              <w:t xml:space="preserve">gérer </w:t>
            </w:r>
            <w:r w:rsidR="00C12840">
              <w:rPr>
                <w:lang w:val="fr-FR"/>
              </w:rPr>
              <w:t>et</w:t>
            </w:r>
            <w:r w:rsidR="00BD7378">
              <w:rPr>
                <w:lang w:val="fr-FR"/>
              </w:rPr>
              <w:t xml:space="preserve"> </w:t>
            </w:r>
            <w:r w:rsidR="00B008C9">
              <w:rPr>
                <w:lang w:val="fr-FR"/>
              </w:rPr>
              <w:t xml:space="preserve">poursuivre </w:t>
            </w:r>
            <w:r w:rsidR="00C12840">
              <w:rPr>
                <w:lang w:val="fr-FR"/>
              </w:rPr>
              <w:t>des</w:t>
            </w:r>
            <w:r>
              <w:rPr>
                <w:lang w:val="fr-FR"/>
              </w:rPr>
              <w:t xml:space="preserve"> projets</w:t>
            </w:r>
            <w:r w:rsidR="00C12840">
              <w:rPr>
                <w:lang w:val="fr-FR"/>
              </w:rPr>
              <w:t xml:space="preserve"> dans les domaines de la</w:t>
            </w:r>
            <w:r>
              <w:rPr>
                <w:lang w:val="fr-FR"/>
              </w:rPr>
              <w:t xml:space="preserve"> communication et de</w:t>
            </w:r>
            <w:r w:rsidR="00C12840">
              <w:rPr>
                <w:lang w:val="fr-FR"/>
              </w:rPr>
              <w:t>s</w:t>
            </w:r>
            <w:r>
              <w:rPr>
                <w:lang w:val="fr-FR"/>
              </w:rPr>
              <w:t xml:space="preserve"> télécommunication</w:t>
            </w:r>
            <w:r w:rsidR="00C12840">
              <w:rPr>
                <w:lang w:val="fr-FR"/>
              </w:rPr>
              <w:t>s,</w:t>
            </w:r>
            <w:r>
              <w:rPr>
                <w:lang w:val="fr-FR"/>
              </w:rPr>
              <w:t xml:space="preserve"> </w:t>
            </w:r>
            <w:r w:rsidR="00B008C9">
              <w:rPr>
                <w:lang w:val="fr-FR"/>
              </w:rPr>
              <w:t xml:space="preserve">administrés </w:t>
            </w:r>
            <w:r w:rsidR="00EB7FB1">
              <w:rPr>
                <w:lang w:val="fr-FR"/>
              </w:rPr>
              <w:t>à l</w:t>
            </w:r>
            <w:r w:rsidR="00BD7378">
              <w:rPr>
                <w:lang w:val="fr-FR"/>
              </w:rPr>
              <w:t>'</w:t>
            </w:r>
            <w:r w:rsidR="00EB7FB1">
              <w:rPr>
                <w:lang w:val="fr-FR"/>
              </w:rPr>
              <w:t>échelon local, au sein de</w:t>
            </w:r>
            <w:r w:rsidR="00DD48DB">
              <w:rPr>
                <w:lang w:val="fr-FR"/>
              </w:rPr>
              <w:t>s</w:t>
            </w:r>
            <w:r>
              <w:rPr>
                <w:lang w:val="fr-FR"/>
              </w:rPr>
              <w:t xml:space="preserve"> communautés</w:t>
            </w:r>
            <w:r w:rsidR="00BD7378">
              <w:rPr>
                <w:lang w:val="fr-FR"/>
              </w:rPr>
              <w:t xml:space="preserve"> </w:t>
            </w:r>
            <w:r>
              <w:rPr>
                <w:lang w:val="fr-FR"/>
              </w:rPr>
              <w:t>rurales</w:t>
            </w:r>
            <w:r w:rsidR="00BD7378">
              <w:rPr>
                <w:lang w:val="fr-FR"/>
              </w:rPr>
              <w:t xml:space="preserve"> </w:t>
            </w:r>
            <w:r w:rsidR="00B008C9">
              <w:rPr>
                <w:lang w:val="fr-FR"/>
              </w:rPr>
              <w:t>ou</w:t>
            </w:r>
            <w:r w:rsidR="00BD7378">
              <w:rPr>
                <w:lang w:val="fr-FR"/>
              </w:rPr>
              <w:t xml:space="preserve"> </w:t>
            </w:r>
            <w:r w:rsidR="00B008C9">
              <w:rPr>
                <w:lang w:val="fr-FR"/>
              </w:rPr>
              <w:t xml:space="preserve">autochtones </w:t>
            </w:r>
            <w:r>
              <w:rPr>
                <w:lang w:val="fr-FR"/>
              </w:rPr>
              <w:t>d</w:t>
            </w:r>
            <w:r w:rsidR="00BD7378">
              <w:rPr>
                <w:lang w:val="fr-FR"/>
              </w:rPr>
              <w:t>'</w:t>
            </w:r>
            <w:r>
              <w:rPr>
                <w:lang w:val="fr-FR"/>
              </w:rPr>
              <w:t xml:space="preserve">Afrique. </w:t>
            </w:r>
          </w:p>
          <w:p w14:paraId="0B2B62C9" w14:textId="77777777" w:rsidR="00A721F4" w:rsidRPr="001B57AD" w:rsidRDefault="00A721F4" w:rsidP="00BD7378">
            <w:pPr>
              <w:spacing w:after="120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lang w:val="fr-FR"/>
              </w:rPr>
              <w:t>Suite à donner:</w:t>
            </w:r>
          </w:p>
          <w:p w14:paraId="1A796EF8" w14:textId="211EEED3" w:rsidR="00A721F4" w:rsidRPr="001B57AD" w:rsidRDefault="00A326E7" w:rsidP="00BD7378">
            <w:pPr>
              <w:spacing w:after="120"/>
              <w:rPr>
                <w:szCs w:val="24"/>
                <w:lang w:val="fr-CH"/>
              </w:rPr>
            </w:pPr>
            <w:bookmarkStart w:id="8" w:name="ActionRequired"/>
            <w:bookmarkEnd w:id="8"/>
            <w:r>
              <w:rPr>
                <w:lang w:val="fr-FR"/>
              </w:rPr>
              <w:t>Il est demandé de prendre des mesures à cet égard</w:t>
            </w:r>
            <w:r w:rsidR="00034B1C">
              <w:rPr>
                <w:lang w:val="fr-FR"/>
              </w:rPr>
              <w:t>.</w:t>
            </w:r>
          </w:p>
          <w:p w14:paraId="3FA2F18B" w14:textId="77777777" w:rsidR="00A721F4" w:rsidRPr="00D9621A" w:rsidRDefault="00A721F4" w:rsidP="00BD7378">
            <w:pPr>
              <w:spacing w:after="120"/>
              <w:rPr>
                <w:b/>
                <w:bCs/>
                <w:szCs w:val="24"/>
              </w:rPr>
            </w:pPr>
            <w:r>
              <w:rPr>
                <w:b/>
                <w:bCs/>
                <w:lang w:val="fr-FR"/>
              </w:rPr>
              <w:t>Référence:</w:t>
            </w:r>
          </w:p>
          <w:p w14:paraId="691925FA" w14:textId="68BC1CBF" w:rsidR="00A721F4" w:rsidRPr="00D9621A" w:rsidRDefault="00034B1C" w:rsidP="00BD7378">
            <w:pPr>
              <w:spacing w:after="120"/>
            </w:pPr>
            <w:bookmarkStart w:id="9" w:name="References"/>
            <w:bookmarkEnd w:id="9"/>
            <w:r>
              <w:rPr>
                <w:lang w:val="fr-FR"/>
              </w:rPr>
              <w:t>Aucune</w:t>
            </w:r>
            <w:r w:rsidR="00715115">
              <w:rPr>
                <w:lang w:val="fr-FR"/>
              </w:rPr>
              <w:t>.</w:t>
            </w:r>
          </w:p>
        </w:tc>
      </w:tr>
      <w:tr w:rsidR="003708C3" w:rsidRPr="002E6963" w14:paraId="5DF34A7D" w14:textId="77777777" w:rsidTr="003708C3">
        <w:trPr>
          <w:gridAfter w:val="1"/>
          <w:wAfter w:w="35" w:type="dxa"/>
          <w:cantSplit/>
        </w:trPr>
        <w:tc>
          <w:tcPr>
            <w:tcW w:w="9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38BE8F" w14:textId="77777777" w:rsidR="003708C3" w:rsidRPr="00D9621A" w:rsidRDefault="003708C3" w:rsidP="00BD7378">
            <w:pPr>
              <w:spacing w:before="240"/>
              <w:rPr>
                <w:b/>
                <w:bCs/>
                <w:szCs w:val="24"/>
              </w:rPr>
            </w:pPr>
          </w:p>
        </w:tc>
      </w:tr>
      <w:tr w:rsidR="003708C3" w:rsidRPr="006331B7" w14:paraId="2235C2C9" w14:textId="77777777" w:rsidTr="003708C3">
        <w:trPr>
          <w:gridAfter w:val="1"/>
          <w:wAfter w:w="35" w:type="dxa"/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95BE" w14:textId="53207970" w:rsidR="003708C3" w:rsidRPr="001B57AD" w:rsidRDefault="003708C3" w:rsidP="00BD7378">
            <w:pPr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lang w:val="fr-FR"/>
              </w:rPr>
              <w:t>Enseignements tirés et bonnes pratiques proposées (s</w:t>
            </w:r>
            <w:r w:rsidR="00BD7378">
              <w:rPr>
                <w:b/>
                <w:bCs/>
                <w:lang w:val="fr-FR"/>
              </w:rPr>
              <w:t>'</w:t>
            </w:r>
            <w:r>
              <w:rPr>
                <w:b/>
                <w:bCs/>
                <w:lang w:val="fr-FR"/>
              </w:rPr>
              <w:t>il y a lieu):</w:t>
            </w:r>
          </w:p>
          <w:p w14:paraId="41E68F49" w14:textId="00ACB970" w:rsidR="00034B1C" w:rsidRPr="001B57AD" w:rsidRDefault="00034B1C" w:rsidP="00BD7378">
            <w:pPr>
              <w:rPr>
                <w:szCs w:val="24"/>
                <w:lang w:val="fr-CH"/>
              </w:rPr>
            </w:pPr>
            <w:bookmarkStart w:id="10" w:name="Lessons"/>
            <w:bookmarkEnd w:id="10"/>
            <w:r>
              <w:rPr>
                <w:lang w:val="fr-FR"/>
              </w:rPr>
              <w:t>L</w:t>
            </w:r>
            <w:r w:rsidR="00BD7378">
              <w:rPr>
                <w:lang w:val="fr-FR"/>
              </w:rPr>
              <w:t>'APC</w:t>
            </w:r>
            <w:r w:rsidR="00344BF8">
              <w:rPr>
                <w:lang w:val="fr-FR"/>
              </w:rPr>
              <w:t xml:space="preserve">, conjointement avec </w:t>
            </w:r>
            <w:r>
              <w:rPr>
                <w:lang w:val="fr-FR"/>
              </w:rPr>
              <w:t>des organisations partenaires</w:t>
            </w:r>
            <w:r w:rsidR="00344BF8">
              <w:rPr>
                <w:lang w:val="fr-FR"/>
              </w:rPr>
              <w:t>,</w:t>
            </w:r>
            <w:r>
              <w:rPr>
                <w:lang w:val="fr-FR"/>
              </w:rPr>
              <w:t xml:space="preserve"> </w:t>
            </w:r>
            <w:r w:rsidR="00344BF8">
              <w:rPr>
                <w:lang w:val="fr-FR"/>
              </w:rPr>
              <w:t xml:space="preserve">a </w:t>
            </w:r>
            <w:r>
              <w:rPr>
                <w:lang w:val="fr-FR"/>
              </w:rPr>
              <w:t>acquis une vaste expérience de l</w:t>
            </w:r>
            <w:r w:rsidR="00BD7378">
              <w:rPr>
                <w:lang w:val="fr-FR"/>
              </w:rPr>
              <w:t>'</w:t>
            </w:r>
            <w:r>
              <w:rPr>
                <w:lang w:val="fr-FR"/>
              </w:rPr>
              <w:t>élaboration de programmes de formation</w:t>
            </w:r>
            <w:r w:rsidR="00ED1627">
              <w:rPr>
                <w:lang w:val="fr-FR"/>
              </w:rPr>
              <w:t>, dont</w:t>
            </w:r>
            <w:r>
              <w:rPr>
                <w:lang w:val="fr-FR"/>
              </w:rPr>
              <w:t xml:space="preserve"> la structure </w:t>
            </w:r>
            <w:r w:rsidR="004C67A5">
              <w:rPr>
                <w:lang w:val="fr-FR"/>
              </w:rPr>
              <w:t xml:space="preserve">des cours </w:t>
            </w:r>
            <w:r>
              <w:rPr>
                <w:lang w:val="fr-FR"/>
              </w:rPr>
              <w:t xml:space="preserve">et la conception pédagogique </w:t>
            </w:r>
            <w:r w:rsidR="00ED1627">
              <w:rPr>
                <w:lang w:val="fr-FR"/>
              </w:rPr>
              <w:t>sont fondées sur les</w:t>
            </w:r>
            <w:r>
              <w:rPr>
                <w:lang w:val="fr-FR"/>
              </w:rPr>
              <w:t xml:space="preserve"> besoins des communautés en matière de communication</w:t>
            </w:r>
            <w:r w:rsidR="006331B7">
              <w:rPr>
                <w:lang w:val="fr-FR"/>
              </w:rPr>
              <w:t>s</w:t>
            </w:r>
            <w:r>
              <w:rPr>
                <w:lang w:val="fr-FR"/>
              </w:rPr>
              <w:t xml:space="preserve"> et sur leur mode de vie. Ces initiatives ont été élaborées sur la base d</w:t>
            </w:r>
            <w:r w:rsidR="00BD7378">
              <w:rPr>
                <w:lang w:val="fr-FR"/>
              </w:rPr>
              <w:t>'</w:t>
            </w:r>
            <w:r>
              <w:rPr>
                <w:lang w:val="fr-FR"/>
              </w:rPr>
              <w:t>une méthode de recherche participative</w:t>
            </w:r>
            <w:r w:rsidR="00BD7378">
              <w:rPr>
                <w:lang w:val="fr-FR"/>
              </w:rPr>
              <w:t xml:space="preserve"> </w:t>
            </w:r>
            <w:r w:rsidR="00344BF8" w:rsidRPr="00344BF8">
              <w:rPr>
                <w:lang w:val="fr-FR"/>
              </w:rPr>
              <w:t>orienté</w:t>
            </w:r>
            <w:r w:rsidR="00344BF8">
              <w:rPr>
                <w:lang w:val="fr-FR"/>
              </w:rPr>
              <w:t>e</w:t>
            </w:r>
            <w:r w:rsidR="00344BF8" w:rsidRPr="00344BF8">
              <w:rPr>
                <w:lang w:val="fr-FR"/>
              </w:rPr>
              <w:t xml:space="preserve"> vers l</w:t>
            </w:r>
            <w:r w:rsidR="00BD7378">
              <w:rPr>
                <w:lang w:val="fr-FR"/>
              </w:rPr>
              <w:t>'</w:t>
            </w:r>
            <w:r w:rsidR="00344BF8" w:rsidRPr="00344BF8">
              <w:rPr>
                <w:lang w:val="fr-FR"/>
              </w:rPr>
              <w:t xml:space="preserve">action </w:t>
            </w:r>
            <w:r>
              <w:rPr>
                <w:lang w:val="fr-FR"/>
              </w:rPr>
              <w:t>(PAR)</w:t>
            </w:r>
            <w:r w:rsidR="00344BF8">
              <w:rPr>
                <w:lang w:val="fr-FR"/>
              </w:rPr>
              <w:t xml:space="preserve"> utilisée</w:t>
            </w:r>
            <w:r w:rsidR="00BD7378">
              <w:rPr>
                <w:lang w:val="fr-FR"/>
              </w:rPr>
              <w:t xml:space="preserve"> </w:t>
            </w:r>
            <w:r w:rsidR="00B901FD">
              <w:rPr>
                <w:lang w:val="fr-FR"/>
              </w:rPr>
              <w:t>pour</w:t>
            </w:r>
            <w:r>
              <w:rPr>
                <w:lang w:val="fr-FR"/>
              </w:rPr>
              <w:t xml:space="preserve"> la conception et la mise en </w:t>
            </w:r>
            <w:r w:rsidR="00206BE6">
              <w:rPr>
                <w:lang w:val="fr-FR"/>
              </w:rPr>
              <w:t>œuvre</w:t>
            </w:r>
            <w:r>
              <w:rPr>
                <w:lang w:val="fr-FR"/>
              </w:rPr>
              <w:t xml:space="preserve"> au </w:t>
            </w:r>
            <w:r w:rsidR="001B0954">
              <w:rPr>
                <w:lang w:val="fr-FR"/>
              </w:rPr>
              <w:t>Mexique</w:t>
            </w:r>
            <w:r>
              <w:rPr>
                <w:lang w:val="fr-FR"/>
              </w:rPr>
              <w:t xml:space="preserve"> du </w:t>
            </w:r>
            <w:r w:rsidR="00F46B6D">
              <w:rPr>
                <w:lang w:val="fr-FR"/>
              </w:rPr>
              <w:t>P</w:t>
            </w:r>
            <w:r>
              <w:rPr>
                <w:lang w:val="fr-FR"/>
              </w:rPr>
              <w:t>rogramme de formation Techio Comunitario</w:t>
            </w:r>
            <w:r w:rsidR="003413EC">
              <w:rPr>
                <w:lang w:val="fr-FR"/>
              </w:rPr>
              <w:t>,</w:t>
            </w:r>
            <w:r>
              <w:rPr>
                <w:lang w:val="fr-FR"/>
              </w:rPr>
              <w:t xml:space="preserve"> entre 2016 et 2019 [1</w:t>
            </w:r>
            <w:r w:rsidR="00344BF8">
              <w:rPr>
                <w:lang w:val="fr-FR"/>
              </w:rPr>
              <w:t>]. Ce programme</w:t>
            </w:r>
            <w:r w:rsidR="00BD7378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est devenu par la suite le Programme de formation des gestionnaires de réseaux TIC dans les </w:t>
            </w:r>
            <w:r>
              <w:rPr>
                <w:lang w:val="fr-FR"/>
              </w:rPr>
              <w:lastRenderedPageBreak/>
              <w:t>communautés autochtones</w:t>
            </w:r>
            <w:r w:rsidR="00BD7378">
              <w:rPr>
                <w:lang w:val="fr-FR"/>
              </w:rPr>
              <w:t xml:space="preserve"> </w:t>
            </w:r>
            <w:r w:rsidR="00344BF8">
              <w:rPr>
                <w:lang w:val="fr-FR"/>
              </w:rPr>
              <w:t>ou</w:t>
            </w:r>
            <w:r w:rsidR="00BD7378">
              <w:rPr>
                <w:lang w:val="fr-FR"/>
              </w:rPr>
              <w:t xml:space="preserve"> </w:t>
            </w:r>
            <w:r>
              <w:rPr>
                <w:lang w:val="fr-FR"/>
              </w:rPr>
              <w:t>rurales d</w:t>
            </w:r>
            <w:r w:rsidR="00BD7378">
              <w:rPr>
                <w:lang w:val="fr-FR"/>
              </w:rPr>
              <w:t>'</w:t>
            </w:r>
            <w:r>
              <w:rPr>
                <w:lang w:val="fr-FR"/>
              </w:rPr>
              <w:t xml:space="preserve">Amérique latine, </w:t>
            </w:r>
            <w:r w:rsidR="00431829">
              <w:rPr>
                <w:lang w:val="fr-FR"/>
              </w:rPr>
              <w:t>dont il est</w:t>
            </w:r>
            <w:r w:rsidR="00BD7378">
              <w:rPr>
                <w:lang w:val="fr-FR"/>
              </w:rPr>
              <w:t xml:space="preserve"> </w:t>
            </w:r>
            <w:r w:rsidR="00344BF8">
              <w:rPr>
                <w:lang w:val="fr-FR"/>
              </w:rPr>
              <w:t>question</w:t>
            </w:r>
            <w:r w:rsidR="00BD7378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dans le présent document. </w:t>
            </w:r>
          </w:p>
          <w:p w14:paraId="4513C7A0" w14:textId="3FCC7727" w:rsidR="00034B1C" w:rsidRPr="001B57AD" w:rsidRDefault="00034B1C" w:rsidP="00BD7378">
            <w:pPr>
              <w:rPr>
                <w:szCs w:val="24"/>
                <w:lang w:val="fr-CH"/>
              </w:rPr>
            </w:pPr>
            <w:r>
              <w:rPr>
                <w:lang w:val="fr-FR"/>
              </w:rPr>
              <w:t xml:space="preserve">De plus, la méthode PAR [2] a servi de base </w:t>
            </w:r>
            <w:r w:rsidR="00BE0BAD">
              <w:rPr>
                <w:lang w:val="fr-FR"/>
              </w:rPr>
              <w:t xml:space="preserve">à la mise en </w:t>
            </w:r>
            <w:r w:rsidR="00344BF8">
              <w:rPr>
                <w:lang w:val="fr-FR"/>
              </w:rPr>
              <w:t>place</w:t>
            </w:r>
            <w:r w:rsidR="004473EC">
              <w:rPr>
                <w:lang w:val="fr-FR"/>
              </w:rPr>
              <w:t>, depuis avril 2020,</w:t>
            </w:r>
            <w:r w:rsidR="00BE0BAD">
              <w:rPr>
                <w:lang w:val="fr-FR"/>
              </w:rPr>
              <w:t xml:space="preserve"> des </w:t>
            </w:r>
            <w:r w:rsidR="002B11DE">
              <w:rPr>
                <w:lang w:val="fr-FR"/>
              </w:rPr>
              <w:t>é</w:t>
            </w:r>
            <w:r>
              <w:rPr>
                <w:lang w:val="fr-FR"/>
              </w:rPr>
              <w:t xml:space="preserve">coles nationales de réseaux communautaires (NSCN) au Brésil, en Indonésie, au Kenya, au Nigéria et en République sudafricaine [3]. Cette </w:t>
            </w:r>
            <w:r w:rsidR="00D54BD3">
              <w:rPr>
                <w:lang w:val="fr-FR"/>
              </w:rPr>
              <w:t>mesure</w:t>
            </w:r>
            <w:r>
              <w:rPr>
                <w:lang w:val="fr-FR"/>
              </w:rPr>
              <w:t xml:space="preserve"> s</w:t>
            </w:r>
            <w:r w:rsidR="00BD7378">
              <w:rPr>
                <w:lang w:val="fr-FR"/>
              </w:rPr>
              <w:t>'</w:t>
            </w:r>
            <w:r>
              <w:rPr>
                <w:lang w:val="fr-FR"/>
              </w:rPr>
              <w:t>inscrit dans le cadre de l</w:t>
            </w:r>
            <w:r w:rsidR="00BD7378">
              <w:rPr>
                <w:lang w:val="fr-FR"/>
              </w:rPr>
              <w:t>'</w:t>
            </w:r>
            <w:r>
              <w:rPr>
                <w:lang w:val="fr-FR"/>
              </w:rPr>
              <w:t>initiative relative aux réseaux d</w:t>
            </w:r>
            <w:r w:rsidR="00BD7378">
              <w:rPr>
                <w:lang w:val="fr-FR"/>
              </w:rPr>
              <w:t>'</w:t>
            </w:r>
            <w:r>
              <w:rPr>
                <w:lang w:val="fr-FR"/>
              </w:rPr>
              <w:t>accès locaux, coordonnée par l</w:t>
            </w:r>
            <w:r w:rsidR="00BD7378">
              <w:rPr>
                <w:lang w:val="fr-FR"/>
              </w:rPr>
              <w:t>'</w:t>
            </w:r>
            <w:r>
              <w:rPr>
                <w:lang w:val="fr-FR"/>
              </w:rPr>
              <w:t>APC et Rhizomatica Communications et appuyée par le Programme d</w:t>
            </w:r>
            <w:r w:rsidR="00BD7378">
              <w:rPr>
                <w:lang w:val="fr-FR"/>
              </w:rPr>
              <w:t>'</w:t>
            </w:r>
            <w:r>
              <w:rPr>
                <w:lang w:val="fr-FR"/>
              </w:rPr>
              <w:t>accès numérique (DAP) du Royaume-Uni et l</w:t>
            </w:r>
            <w:r w:rsidR="00BD7378">
              <w:rPr>
                <w:lang w:val="fr-FR"/>
              </w:rPr>
              <w:t>'</w:t>
            </w:r>
            <w:r>
              <w:rPr>
                <w:lang w:val="fr-FR"/>
              </w:rPr>
              <w:t>Agence suédoise de coopération pour le développement international.</w:t>
            </w:r>
          </w:p>
          <w:p w14:paraId="22DE1261" w14:textId="5CD24139" w:rsidR="00034B1C" w:rsidRPr="001B57AD" w:rsidRDefault="00732966" w:rsidP="00BD7378">
            <w:pPr>
              <w:rPr>
                <w:szCs w:val="24"/>
                <w:lang w:val="fr-CH"/>
              </w:rPr>
            </w:pPr>
            <w:r>
              <w:rPr>
                <w:lang w:val="fr-FR"/>
              </w:rPr>
              <w:t>Voici c</w:t>
            </w:r>
            <w:r w:rsidR="00034B1C">
              <w:rPr>
                <w:lang w:val="fr-FR"/>
              </w:rPr>
              <w:t>ertains des enseignements tirés [4]</w:t>
            </w:r>
            <w:r w:rsidR="00BD7378">
              <w:rPr>
                <w:lang w:val="fr-FR"/>
              </w:rPr>
              <w:t>:</w:t>
            </w:r>
          </w:p>
          <w:p w14:paraId="3C73D121" w14:textId="472E637F" w:rsidR="00034B1C" w:rsidRPr="001B57AD" w:rsidRDefault="00034B1C" w:rsidP="00BD7378">
            <w:pPr>
              <w:rPr>
                <w:szCs w:val="24"/>
                <w:lang w:val="fr-CH"/>
              </w:rPr>
            </w:pPr>
            <w:r>
              <w:rPr>
                <w:lang w:val="fr-FR"/>
              </w:rPr>
              <w:t>Les projets technologiques locaux</w:t>
            </w:r>
            <w:r w:rsidR="00732966">
              <w:rPr>
                <w:lang w:val="fr-FR"/>
              </w:rPr>
              <w:t>,</w:t>
            </w:r>
            <w:r>
              <w:rPr>
                <w:lang w:val="fr-FR"/>
              </w:rPr>
              <w:t xml:space="preserve"> dans le cadre desquels les communautés rurales</w:t>
            </w:r>
            <w:r w:rsidR="00BD7378">
              <w:rPr>
                <w:lang w:val="fr-FR"/>
              </w:rPr>
              <w:t xml:space="preserve"> </w:t>
            </w:r>
            <w:r w:rsidR="00344BF8">
              <w:rPr>
                <w:lang w:val="fr-FR"/>
              </w:rPr>
              <w:t>ou</w:t>
            </w:r>
            <w:r w:rsidR="00BD7378">
              <w:rPr>
                <w:lang w:val="fr-FR"/>
              </w:rPr>
              <w:t xml:space="preserve"> </w:t>
            </w:r>
            <w:r>
              <w:rPr>
                <w:lang w:val="fr-FR"/>
              </w:rPr>
              <w:t>autochtones déploient, gèrent et entretiennent</w:t>
            </w:r>
            <w:r w:rsidR="00732966">
              <w:rPr>
                <w:lang w:val="fr-FR"/>
              </w:rPr>
              <w:t xml:space="preserve"> elles-mêmes </w:t>
            </w:r>
            <w:r>
              <w:rPr>
                <w:lang w:val="fr-FR"/>
              </w:rPr>
              <w:t>leurs réseaux</w:t>
            </w:r>
            <w:r w:rsidR="00732966">
              <w:rPr>
                <w:lang w:val="fr-FR"/>
              </w:rPr>
              <w:t>,</w:t>
            </w:r>
            <w:r>
              <w:rPr>
                <w:lang w:val="fr-FR"/>
              </w:rPr>
              <w:t xml:space="preserve"> se sont</w:t>
            </w:r>
            <w:r w:rsidR="00BD7378">
              <w:rPr>
                <w:lang w:val="fr-FR"/>
              </w:rPr>
              <w:t xml:space="preserve"> </w:t>
            </w:r>
            <w:r w:rsidR="00344BF8">
              <w:rPr>
                <w:lang w:val="fr-FR"/>
              </w:rPr>
              <w:t xml:space="preserve">révélés </w:t>
            </w:r>
            <w:r>
              <w:rPr>
                <w:lang w:val="fr-FR"/>
              </w:rPr>
              <w:t xml:space="preserve">être des solutions durables au fil du temps. </w:t>
            </w:r>
          </w:p>
          <w:p w14:paraId="422ABA2D" w14:textId="0AD380F9" w:rsidR="00034B1C" w:rsidRPr="001B57AD" w:rsidRDefault="00034B1C" w:rsidP="00BD7378">
            <w:pPr>
              <w:rPr>
                <w:szCs w:val="24"/>
                <w:lang w:val="fr-CH"/>
              </w:rPr>
            </w:pPr>
            <w:r>
              <w:rPr>
                <w:lang w:val="fr-FR"/>
              </w:rPr>
              <w:t xml:space="preserve">Les programmes de formation doivent être </w:t>
            </w:r>
            <w:r w:rsidR="00344BF8">
              <w:rPr>
                <w:lang w:val="fr-FR"/>
              </w:rPr>
              <w:t>conçus</w:t>
            </w:r>
            <w:r w:rsidR="00BD7378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en fonction du contexte local et des </w:t>
            </w:r>
            <w:r w:rsidR="00344BF8">
              <w:rPr>
                <w:lang w:val="fr-FR"/>
              </w:rPr>
              <w:t xml:space="preserve">modes </w:t>
            </w:r>
            <w:r>
              <w:rPr>
                <w:lang w:val="fr-FR"/>
              </w:rPr>
              <w:t>d</w:t>
            </w:r>
            <w:r w:rsidR="00BD7378">
              <w:rPr>
                <w:lang w:val="fr-FR"/>
              </w:rPr>
              <w:t>'</w:t>
            </w:r>
            <w:r>
              <w:rPr>
                <w:lang w:val="fr-FR"/>
              </w:rPr>
              <w:t xml:space="preserve">apprentissage des communautés cibles. </w:t>
            </w:r>
          </w:p>
          <w:p w14:paraId="7C352C5B" w14:textId="1D04CDB0" w:rsidR="00034B1C" w:rsidRPr="001B57AD" w:rsidRDefault="00034B1C" w:rsidP="00BD7378">
            <w:pPr>
              <w:rPr>
                <w:szCs w:val="24"/>
                <w:lang w:val="fr-CH"/>
              </w:rPr>
            </w:pPr>
            <w:r>
              <w:rPr>
                <w:lang w:val="fr-FR"/>
              </w:rPr>
              <w:t xml:space="preserve">Les communautés doivent participer à toutes les étapes du programme de renforcement des capacités, non seulement en tant que bénéficiaires, mais aussi en tant que concepteurs et responsables de la mise en </w:t>
            </w:r>
            <w:r w:rsidR="00EC01D9">
              <w:rPr>
                <w:lang w:val="fr-FR"/>
              </w:rPr>
              <w:t>œuvre</w:t>
            </w:r>
            <w:r>
              <w:rPr>
                <w:lang w:val="fr-FR"/>
              </w:rPr>
              <w:t>.</w:t>
            </w:r>
          </w:p>
          <w:p w14:paraId="03821B78" w14:textId="49934006" w:rsidR="00034B1C" w:rsidRPr="001268AE" w:rsidRDefault="00034B1C" w:rsidP="00BD7378">
            <w:pPr>
              <w:rPr>
                <w:szCs w:val="24"/>
                <w:lang w:val="fr-CH"/>
              </w:rPr>
            </w:pPr>
            <w:r w:rsidRPr="001268AE">
              <w:rPr>
                <w:lang w:val="fr-CH"/>
              </w:rPr>
              <w:t xml:space="preserve">[1] </w:t>
            </w:r>
            <w:hyperlink r:id="rId9" w:history="1">
              <w:r w:rsidR="00EC01D9" w:rsidRPr="001268AE">
                <w:rPr>
                  <w:rStyle w:val="Hyperlink"/>
                  <w:lang w:val="fr-CH"/>
                </w:rPr>
                <w:t>https://techioc</w:t>
              </w:r>
              <w:r w:rsidR="00EC01D9" w:rsidRPr="001268AE">
                <w:rPr>
                  <w:rStyle w:val="Hyperlink"/>
                  <w:lang w:val="fr-CH"/>
                </w:rPr>
                <w:t>o</w:t>
              </w:r>
              <w:r w:rsidR="00EC01D9" w:rsidRPr="001268AE">
                <w:rPr>
                  <w:rStyle w:val="Hyperlink"/>
                  <w:lang w:val="fr-CH"/>
                </w:rPr>
                <w:t>munitario.org/en/</w:t>
              </w:r>
            </w:hyperlink>
          </w:p>
          <w:p w14:paraId="3164844A" w14:textId="0241AD59" w:rsidR="00034B1C" w:rsidRPr="001268AE" w:rsidRDefault="00034B1C" w:rsidP="00BD7378">
            <w:pPr>
              <w:rPr>
                <w:szCs w:val="24"/>
                <w:lang w:val="fr-CH"/>
              </w:rPr>
            </w:pPr>
            <w:r w:rsidRPr="001268AE">
              <w:rPr>
                <w:lang w:val="fr-CH"/>
              </w:rPr>
              <w:t xml:space="preserve">[2] </w:t>
            </w:r>
            <w:hyperlink r:id="rId10" w:history="1">
              <w:r w:rsidR="006331B7" w:rsidRPr="001268AE">
                <w:rPr>
                  <w:rStyle w:val="Hyperlink"/>
                  <w:lang w:val="fr-CH"/>
                </w:rPr>
                <w:t>https://www.apc.org/site</w:t>
              </w:r>
              <w:r w:rsidR="006331B7" w:rsidRPr="001268AE">
                <w:rPr>
                  <w:rStyle w:val="Hyperlink"/>
                  <w:lang w:val="fr-CH"/>
                </w:rPr>
                <w:t>s</w:t>
              </w:r>
              <w:r w:rsidR="006331B7" w:rsidRPr="001268AE">
                <w:rPr>
                  <w:rStyle w:val="Hyperlink"/>
                  <w:lang w:val="fr-CH"/>
                </w:rPr>
                <w:t>/default/files/FIN</w:t>
              </w:r>
              <w:r w:rsidR="006331B7" w:rsidRPr="001268AE">
                <w:rPr>
                  <w:rStyle w:val="Hyperlink"/>
                  <w:lang w:val="fr-CH"/>
                </w:rPr>
                <w:t>A</w:t>
              </w:r>
              <w:r w:rsidR="006331B7" w:rsidRPr="001268AE">
                <w:rPr>
                  <w:rStyle w:val="Hyperlink"/>
                  <w:lang w:val="fr-CH"/>
                </w:rPr>
                <w:t>L_Technological_autonomy_as_a_constellation_of_exp</w:t>
              </w:r>
              <w:r w:rsidR="006331B7" w:rsidRPr="001268AE">
                <w:rPr>
                  <w:rStyle w:val="Hyperlink"/>
                  <w:lang w:val="fr-CH"/>
                </w:rPr>
                <w:t>e</w:t>
              </w:r>
              <w:r w:rsidR="006331B7" w:rsidRPr="001268AE">
                <w:rPr>
                  <w:rStyle w:val="Hyperlink"/>
                  <w:lang w:val="fr-CH"/>
                </w:rPr>
                <w:t>riences_18-03.pdf</w:t>
              </w:r>
            </w:hyperlink>
          </w:p>
          <w:p w14:paraId="7833DF79" w14:textId="70284139" w:rsidR="00034B1C" w:rsidRPr="006331B7" w:rsidRDefault="00034B1C" w:rsidP="00BD7378">
            <w:pPr>
              <w:rPr>
                <w:szCs w:val="24"/>
                <w:lang w:val="en-US"/>
              </w:rPr>
            </w:pPr>
            <w:r w:rsidRPr="006331B7">
              <w:rPr>
                <w:lang w:val="en-US"/>
              </w:rPr>
              <w:t xml:space="preserve">[3] </w:t>
            </w:r>
            <w:hyperlink r:id="rId11" w:history="1">
              <w:r w:rsidR="00EC01D9" w:rsidRPr="006331B7">
                <w:rPr>
                  <w:rStyle w:val="Hyperlink"/>
                  <w:lang w:val="en-US"/>
                </w:rPr>
                <w:t>https://www.apc.org/en/bl</w:t>
              </w:r>
              <w:r w:rsidR="00EC01D9" w:rsidRPr="006331B7">
                <w:rPr>
                  <w:rStyle w:val="Hyperlink"/>
                  <w:lang w:val="en-US"/>
                </w:rPr>
                <w:t>o</w:t>
              </w:r>
              <w:r w:rsidR="00EC01D9" w:rsidRPr="006331B7">
                <w:rPr>
                  <w:rStyle w:val="Hyperlink"/>
                  <w:lang w:val="en-US"/>
                </w:rPr>
                <w:t>g/meet-nationa</w:t>
              </w:r>
              <w:r w:rsidR="00EC01D9" w:rsidRPr="006331B7">
                <w:rPr>
                  <w:rStyle w:val="Hyperlink"/>
                  <w:lang w:val="en-US"/>
                </w:rPr>
                <w:t>l</w:t>
              </w:r>
              <w:r w:rsidR="00EC01D9" w:rsidRPr="006331B7">
                <w:rPr>
                  <w:rStyle w:val="Hyperlink"/>
                  <w:lang w:val="en-US"/>
                </w:rPr>
                <w:t>-schools-empowering-grassroots-communities-bridge-digital-divide</w:t>
              </w:r>
            </w:hyperlink>
            <w:r w:rsidR="00BD7378" w:rsidRPr="006331B7">
              <w:rPr>
                <w:lang w:val="en-US"/>
              </w:rPr>
              <w:t xml:space="preserve"> </w:t>
            </w:r>
          </w:p>
          <w:p w14:paraId="791127EE" w14:textId="24949984" w:rsidR="003708C3" w:rsidRPr="006331B7" w:rsidRDefault="00034B1C" w:rsidP="00BD7378">
            <w:pPr>
              <w:spacing w:after="120"/>
              <w:rPr>
                <w:b/>
                <w:bCs/>
                <w:szCs w:val="24"/>
                <w:lang w:val="en-US"/>
              </w:rPr>
            </w:pPr>
            <w:r w:rsidRPr="006331B7">
              <w:rPr>
                <w:lang w:val="en-US"/>
              </w:rPr>
              <w:t xml:space="preserve">[4] </w:t>
            </w:r>
            <w:hyperlink r:id="rId12" w:history="1">
              <w:r w:rsidR="001268AE" w:rsidRPr="004B2AF4">
                <w:rPr>
                  <w:rStyle w:val="Hyperlink"/>
                  <w:lang w:val="en-US"/>
                </w:rPr>
                <w:t>https://techiocomunitar</w:t>
              </w:r>
              <w:r w:rsidR="001268AE" w:rsidRPr="004B2AF4">
                <w:rPr>
                  <w:rStyle w:val="Hyperlink"/>
                  <w:lang w:val="en-US"/>
                </w:rPr>
                <w:t>i</w:t>
              </w:r>
              <w:r w:rsidR="001268AE" w:rsidRPr="004B2AF4">
                <w:rPr>
                  <w:rStyle w:val="Hyperlink"/>
                  <w:lang w:val="en-US"/>
                </w:rPr>
                <w:t>o.org/wp-content/uploads/2023/02/Capacity-development-for-Indigenous-communities-of-the-</w:t>
              </w:r>
              <w:r w:rsidR="001268AE" w:rsidRPr="004B2AF4">
                <w:rPr>
                  <w:rStyle w:val="Hyperlink"/>
                  <w:lang w:val="en-US"/>
                </w:rPr>
                <w:t>A</w:t>
              </w:r>
              <w:r w:rsidR="001268AE" w:rsidRPr="004B2AF4">
                <w:rPr>
                  <w:rStyle w:val="Hyperlink"/>
                  <w:lang w:val="en-US"/>
                </w:rPr>
                <w:t>mericas-re</w:t>
              </w:r>
            </w:hyperlink>
            <w:r w:rsidR="00BD7378" w:rsidRPr="006331B7">
              <w:rPr>
                <w:lang w:val="en-US"/>
              </w:rPr>
              <w:t xml:space="preserve"> </w:t>
            </w:r>
          </w:p>
        </w:tc>
      </w:tr>
    </w:tbl>
    <w:p w14:paraId="1F6074C7" w14:textId="02F69210" w:rsidR="00034B1C" w:rsidRPr="00A16166" w:rsidRDefault="00741F0A" w:rsidP="001268AE">
      <w:pPr>
        <w:spacing w:before="240" w:after="120"/>
        <w:ind w:left="34" w:right="-142"/>
        <w:rPr>
          <w:lang w:val="fr-CH"/>
        </w:rPr>
      </w:pPr>
      <w:bookmarkStart w:id="11" w:name="Proposal"/>
      <w:bookmarkEnd w:id="11"/>
      <w:r>
        <w:rPr>
          <w:lang w:val="fr-FR"/>
        </w:rPr>
        <w:lastRenderedPageBreak/>
        <w:t>L</w:t>
      </w:r>
      <w:r w:rsidR="00BD7378">
        <w:rPr>
          <w:lang w:val="fr-FR"/>
        </w:rPr>
        <w:t>'</w:t>
      </w:r>
      <w:r w:rsidR="00034B1C" w:rsidRPr="00EC01D9">
        <w:rPr>
          <w:lang w:val="fr-FR"/>
        </w:rPr>
        <w:t>Association for Progressive Communications</w:t>
      </w:r>
      <w:r>
        <w:rPr>
          <w:lang w:val="fr-FR"/>
        </w:rPr>
        <w:t xml:space="preserve"> (</w:t>
      </w:r>
      <w:r w:rsidR="00034B1C" w:rsidRPr="00EC01D9">
        <w:rPr>
          <w:lang w:val="fr-FR"/>
        </w:rPr>
        <w:t>APC)</w:t>
      </w:r>
      <w:r w:rsidR="00034B1C">
        <w:rPr>
          <w:i/>
          <w:iCs/>
          <w:lang w:val="fr-FR"/>
        </w:rPr>
        <w:t xml:space="preserve"> </w:t>
      </w:r>
      <w:r w:rsidR="00034B1C">
        <w:rPr>
          <w:lang w:val="fr-FR"/>
        </w:rPr>
        <w:t>remercie le Groupe consultatif pour le développement des télécommunications (GCDT) de l</w:t>
      </w:r>
      <w:r w:rsidR="00EC01D9">
        <w:rPr>
          <w:lang w:val="fr-FR"/>
        </w:rPr>
        <w:t>a possibilité</w:t>
      </w:r>
      <w:r w:rsidR="00034B1C">
        <w:rPr>
          <w:lang w:val="fr-FR"/>
        </w:rPr>
        <w:t xml:space="preserve"> qui lui est donnée de participer aux travaux de la première réunion </w:t>
      </w:r>
      <w:r w:rsidR="00812A0B">
        <w:rPr>
          <w:lang w:val="fr-FR"/>
        </w:rPr>
        <w:t>du Groupe</w:t>
      </w:r>
      <w:r w:rsidR="00034B1C">
        <w:rPr>
          <w:lang w:val="fr-FR"/>
        </w:rPr>
        <w:t xml:space="preserve"> depuis la Conférence mondiale de développement des télécommunications</w:t>
      </w:r>
      <w:r w:rsidR="00BD7378">
        <w:rPr>
          <w:lang w:val="fr-FR"/>
        </w:rPr>
        <w:t xml:space="preserve"> </w:t>
      </w:r>
      <w:r w:rsidR="00034B1C">
        <w:rPr>
          <w:lang w:val="fr-FR"/>
        </w:rPr>
        <w:t>(CMDT-22). L</w:t>
      </w:r>
      <w:r w:rsidR="00BD7378">
        <w:rPr>
          <w:lang w:val="fr-FR"/>
        </w:rPr>
        <w:t>'</w:t>
      </w:r>
      <w:r w:rsidR="00034B1C">
        <w:rPr>
          <w:lang w:val="fr-FR"/>
        </w:rPr>
        <w:t xml:space="preserve">APC reconnaît le rôle </w:t>
      </w:r>
      <w:r w:rsidR="00DB6541">
        <w:rPr>
          <w:lang w:val="fr-FR"/>
        </w:rPr>
        <w:t>que joue le</w:t>
      </w:r>
      <w:r w:rsidR="00034B1C">
        <w:rPr>
          <w:lang w:val="fr-FR"/>
        </w:rPr>
        <w:t xml:space="preserve"> GCDT</w:t>
      </w:r>
      <w:r w:rsidR="00DB6541">
        <w:rPr>
          <w:lang w:val="fr-FR"/>
        </w:rPr>
        <w:t xml:space="preserve"> afin de</w:t>
      </w:r>
      <w:r w:rsidR="00034B1C">
        <w:rPr>
          <w:lang w:val="fr-FR"/>
        </w:rPr>
        <w:t xml:space="preserve"> donner des avis et des orientations au Secteur</w:t>
      </w:r>
      <w:r w:rsidR="00BD7378">
        <w:rPr>
          <w:lang w:val="fr-FR"/>
        </w:rPr>
        <w:t xml:space="preserve"> </w:t>
      </w:r>
      <w:r w:rsidR="00034B1C">
        <w:rPr>
          <w:lang w:val="fr-FR"/>
        </w:rPr>
        <w:t>de</w:t>
      </w:r>
      <w:r w:rsidR="00BD7378">
        <w:rPr>
          <w:lang w:val="fr-FR"/>
        </w:rPr>
        <w:t xml:space="preserve"> </w:t>
      </w:r>
      <w:r w:rsidR="00034B1C">
        <w:rPr>
          <w:lang w:val="fr-FR"/>
        </w:rPr>
        <w:t>l</w:t>
      </w:r>
      <w:r w:rsidR="00BD7378">
        <w:rPr>
          <w:lang w:val="fr-FR"/>
        </w:rPr>
        <w:t>'</w:t>
      </w:r>
      <w:r w:rsidR="00034B1C">
        <w:rPr>
          <w:lang w:val="fr-FR"/>
        </w:rPr>
        <w:t>UIT-D</w:t>
      </w:r>
      <w:r w:rsidR="00BD7378">
        <w:rPr>
          <w:lang w:val="fr-FR"/>
        </w:rPr>
        <w:t xml:space="preserve"> </w:t>
      </w:r>
      <w:r w:rsidR="00034B1C">
        <w:rPr>
          <w:lang w:val="fr-FR"/>
        </w:rPr>
        <w:t>sur les stratégies, les politiques et d</w:t>
      </w:r>
      <w:r w:rsidR="00BD7378">
        <w:rPr>
          <w:lang w:val="fr-FR"/>
        </w:rPr>
        <w:t>'</w:t>
      </w:r>
      <w:r w:rsidR="00034B1C">
        <w:rPr>
          <w:lang w:val="fr-FR"/>
        </w:rPr>
        <w:t xml:space="preserve">autres questions liées au développement des télécommunications, ainsi que </w:t>
      </w:r>
      <w:r w:rsidR="00907114">
        <w:rPr>
          <w:lang w:val="fr-FR"/>
        </w:rPr>
        <w:t>les</w:t>
      </w:r>
      <w:r w:rsidR="00034B1C">
        <w:rPr>
          <w:lang w:val="fr-FR"/>
        </w:rPr>
        <w:t xml:space="preserve"> efforts qu</w:t>
      </w:r>
      <w:r w:rsidR="00BD7378">
        <w:rPr>
          <w:lang w:val="fr-FR"/>
        </w:rPr>
        <w:t>'</w:t>
      </w:r>
      <w:r w:rsidR="00034B1C">
        <w:rPr>
          <w:lang w:val="fr-FR"/>
        </w:rPr>
        <w:t>il déploie pour promouvoir le partage des connaissances et le renforcement des capacités</w:t>
      </w:r>
      <w:r w:rsidR="00D805B3">
        <w:rPr>
          <w:lang w:val="fr-FR"/>
        </w:rPr>
        <w:t>,</w:t>
      </w:r>
      <w:r w:rsidR="00BD7378">
        <w:rPr>
          <w:lang w:val="fr-FR"/>
        </w:rPr>
        <w:t xml:space="preserve"> </w:t>
      </w:r>
      <w:r w:rsidR="00034B1C">
        <w:rPr>
          <w:lang w:val="fr-FR"/>
        </w:rPr>
        <w:t>contribuant</w:t>
      </w:r>
      <w:r>
        <w:rPr>
          <w:lang w:val="fr-FR"/>
        </w:rPr>
        <w:t xml:space="preserve"> ainsi</w:t>
      </w:r>
      <w:r w:rsidR="00BD7378">
        <w:rPr>
          <w:lang w:val="fr-FR"/>
        </w:rPr>
        <w:t xml:space="preserve"> </w:t>
      </w:r>
      <w:r w:rsidR="00034B1C">
        <w:rPr>
          <w:lang w:val="fr-FR"/>
        </w:rPr>
        <w:t>à l</w:t>
      </w:r>
      <w:r w:rsidR="00BD7378">
        <w:rPr>
          <w:lang w:val="fr-FR"/>
        </w:rPr>
        <w:t>'</w:t>
      </w:r>
      <w:r w:rsidR="00034B1C">
        <w:rPr>
          <w:lang w:val="fr-FR"/>
        </w:rPr>
        <w:t>autonomisation des</w:t>
      </w:r>
      <w:r w:rsidR="00BD7378">
        <w:rPr>
          <w:lang w:val="fr-FR"/>
        </w:rPr>
        <w:t xml:space="preserve"> </w:t>
      </w:r>
      <w:r>
        <w:rPr>
          <w:lang w:val="fr-FR"/>
        </w:rPr>
        <w:t>personnes</w:t>
      </w:r>
      <w:r w:rsidR="00BD7378">
        <w:rPr>
          <w:lang w:val="fr-FR"/>
        </w:rPr>
        <w:t xml:space="preserve"> </w:t>
      </w:r>
      <w:r w:rsidR="00034B1C">
        <w:rPr>
          <w:lang w:val="fr-FR"/>
        </w:rPr>
        <w:t xml:space="preserve">et des communautés, afin de tirer parti des possibilités </w:t>
      </w:r>
      <w:r>
        <w:rPr>
          <w:lang w:val="fr-FR"/>
        </w:rPr>
        <w:t>qu</w:t>
      </w:r>
      <w:r w:rsidR="00BD7378">
        <w:rPr>
          <w:lang w:val="fr-FR"/>
        </w:rPr>
        <w:t>'</w:t>
      </w:r>
      <w:r>
        <w:rPr>
          <w:lang w:val="fr-FR"/>
        </w:rPr>
        <w:t>offre</w:t>
      </w:r>
      <w:r w:rsidR="00034B1C">
        <w:rPr>
          <w:lang w:val="fr-FR"/>
        </w:rPr>
        <w:t xml:space="preserve"> l</w:t>
      </w:r>
      <w:r w:rsidR="00BD7378">
        <w:rPr>
          <w:lang w:val="fr-FR"/>
        </w:rPr>
        <w:t>'</w:t>
      </w:r>
      <w:r w:rsidR="00034B1C">
        <w:rPr>
          <w:lang w:val="fr-FR"/>
        </w:rPr>
        <w:t>économie numérique. En tant que réseau international d</w:t>
      </w:r>
      <w:r w:rsidR="00BD7378">
        <w:rPr>
          <w:lang w:val="fr-FR"/>
        </w:rPr>
        <w:t>'</w:t>
      </w:r>
      <w:r w:rsidR="00034B1C">
        <w:rPr>
          <w:lang w:val="fr-FR"/>
        </w:rPr>
        <w:t>organisations de la société civile</w:t>
      </w:r>
      <w:r>
        <w:rPr>
          <w:lang w:val="fr-FR"/>
        </w:rPr>
        <w:t xml:space="preserve"> </w:t>
      </w:r>
      <w:r w:rsidR="00034B1C">
        <w:rPr>
          <w:lang w:val="fr-FR"/>
        </w:rPr>
        <w:t>fondé en 1990, l</w:t>
      </w:r>
      <w:r w:rsidR="00BD7378">
        <w:rPr>
          <w:lang w:val="fr-FR"/>
        </w:rPr>
        <w:t>'</w:t>
      </w:r>
      <w:r w:rsidR="00034B1C">
        <w:rPr>
          <w:lang w:val="fr-FR"/>
        </w:rPr>
        <w:t>APC a pour ambition d</w:t>
      </w:r>
      <w:r w:rsidR="00BD7378">
        <w:rPr>
          <w:lang w:val="fr-FR"/>
        </w:rPr>
        <w:t>'</w:t>
      </w:r>
      <w:r w:rsidR="00034B1C">
        <w:rPr>
          <w:lang w:val="fr-FR"/>
        </w:rPr>
        <w:t xml:space="preserve">aider à </w:t>
      </w:r>
      <w:r>
        <w:rPr>
          <w:lang w:val="fr-FR"/>
        </w:rPr>
        <w:t>bâtir</w:t>
      </w:r>
      <w:r w:rsidR="00BD7378">
        <w:rPr>
          <w:lang w:val="fr-FR"/>
        </w:rPr>
        <w:t xml:space="preserve"> </w:t>
      </w:r>
      <w:r w:rsidR="00034B1C">
        <w:rPr>
          <w:lang w:val="fr-FR"/>
        </w:rPr>
        <w:t>un monde dans lequel</w:t>
      </w:r>
      <w:r w:rsidR="00BD7378">
        <w:rPr>
          <w:lang w:val="fr-FR"/>
        </w:rPr>
        <w:t xml:space="preserve"> </w:t>
      </w:r>
      <w:r>
        <w:rPr>
          <w:lang w:val="fr-FR"/>
        </w:rPr>
        <w:t xml:space="preserve">tout un chacun </w:t>
      </w:r>
      <w:r w:rsidR="00034B1C">
        <w:rPr>
          <w:lang w:val="fr-FR"/>
        </w:rPr>
        <w:t>bénéficie</w:t>
      </w:r>
      <w:r>
        <w:rPr>
          <w:lang w:val="fr-FR"/>
        </w:rPr>
        <w:t>ra</w:t>
      </w:r>
      <w:r w:rsidR="00BD7378">
        <w:rPr>
          <w:lang w:val="fr-FR"/>
        </w:rPr>
        <w:t xml:space="preserve"> </w:t>
      </w:r>
      <w:r w:rsidR="00034B1C">
        <w:rPr>
          <w:lang w:val="fr-FR"/>
        </w:rPr>
        <w:t>d</w:t>
      </w:r>
      <w:r w:rsidR="00BD7378">
        <w:rPr>
          <w:lang w:val="fr-FR"/>
        </w:rPr>
        <w:t>'</w:t>
      </w:r>
      <w:r w:rsidR="00034B1C">
        <w:rPr>
          <w:lang w:val="fr-FR"/>
        </w:rPr>
        <w:t>un accès facile</w:t>
      </w:r>
      <w:r w:rsidR="00BD7378">
        <w:rPr>
          <w:lang w:val="fr-FR"/>
        </w:rPr>
        <w:t xml:space="preserve"> </w:t>
      </w:r>
      <w:r w:rsidR="00034B1C">
        <w:rPr>
          <w:lang w:val="fr-FR"/>
        </w:rPr>
        <w:t>et financièrement abordable</w:t>
      </w:r>
      <w:r>
        <w:rPr>
          <w:lang w:val="fr-FR"/>
        </w:rPr>
        <w:t xml:space="preserve">, </w:t>
      </w:r>
      <w:r w:rsidRPr="00741F0A">
        <w:rPr>
          <w:lang w:val="fr-FR"/>
        </w:rPr>
        <w:t>sur un pied d</w:t>
      </w:r>
      <w:r w:rsidR="00BD7378">
        <w:rPr>
          <w:lang w:val="fr-FR"/>
        </w:rPr>
        <w:t>'</w:t>
      </w:r>
      <w:r w:rsidRPr="00741F0A">
        <w:rPr>
          <w:lang w:val="fr-FR"/>
        </w:rPr>
        <w:t>égalité</w:t>
      </w:r>
      <w:r>
        <w:rPr>
          <w:lang w:val="fr-FR"/>
        </w:rPr>
        <w:t>,</w:t>
      </w:r>
      <w:r w:rsidR="00BD7378">
        <w:rPr>
          <w:lang w:val="fr-FR"/>
        </w:rPr>
        <w:t xml:space="preserve"> </w:t>
      </w:r>
      <w:r w:rsidR="00034B1C">
        <w:rPr>
          <w:lang w:val="fr-FR"/>
        </w:rPr>
        <w:t xml:space="preserve">au potentiel créatif des TIC pour améliorer </w:t>
      </w:r>
      <w:r>
        <w:rPr>
          <w:lang w:val="fr-FR"/>
        </w:rPr>
        <w:t>son</w:t>
      </w:r>
      <w:r w:rsidR="00BD7378">
        <w:rPr>
          <w:lang w:val="fr-FR"/>
        </w:rPr>
        <w:t xml:space="preserve"> </w:t>
      </w:r>
      <w:r w:rsidR="00034B1C">
        <w:rPr>
          <w:lang w:val="fr-FR"/>
        </w:rPr>
        <w:t xml:space="preserve">quotidien et édifier des sociétés </w:t>
      </w:r>
      <w:r>
        <w:rPr>
          <w:lang w:val="fr-FR"/>
        </w:rPr>
        <w:t xml:space="preserve">plus </w:t>
      </w:r>
      <w:r w:rsidR="00034B1C">
        <w:rPr>
          <w:lang w:val="fr-FR"/>
        </w:rPr>
        <w:t>démocratiques et égalitaires.</w:t>
      </w:r>
      <w:r w:rsidR="00BD7378">
        <w:rPr>
          <w:lang w:val="fr-FR"/>
        </w:rPr>
        <w:t xml:space="preserve"> </w:t>
      </w:r>
    </w:p>
    <w:p w14:paraId="36C75C19" w14:textId="77777777" w:rsidR="001268AE" w:rsidRDefault="001268AE" w:rsidP="00BD7378">
      <w:pPr>
        <w:spacing w:after="120"/>
        <w:ind w:left="34" w:right="-142"/>
        <w:rPr>
          <w:lang w:val="fr-FR"/>
        </w:rPr>
      </w:pPr>
      <w:r>
        <w:rPr>
          <w:lang w:val="fr-FR"/>
        </w:rPr>
        <w:br w:type="page"/>
      </w:r>
    </w:p>
    <w:p w14:paraId="379E9656" w14:textId="25A13387" w:rsidR="00034B1C" w:rsidRPr="00A16166" w:rsidRDefault="00741F0A" w:rsidP="00BD7378">
      <w:pPr>
        <w:spacing w:after="120"/>
        <w:ind w:left="34" w:right="-142"/>
        <w:rPr>
          <w:lang w:val="fr-CH"/>
        </w:rPr>
      </w:pPr>
      <w:r>
        <w:rPr>
          <w:lang w:val="fr-FR"/>
        </w:rPr>
        <w:lastRenderedPageBreak/>
        <w:t xml:space="preserve">Le </w:t>
      </w:r>
      <w:r w:rsidR="00034B1C">
        <w:rPr>
          <w:lang w:val="fr-FR"/>
        </w:rPr>
        <w:t>Secteur du développement des télécommunications de l</w:t>
      </w:r>
      <w:r w:rsidR="00BD7378">
        <w:rPr>
          <w:lang w:val="fr-FR"/>
        </w:rPr>
        <w:t>'</w:t>
      </w:r>
      <w:r w:rsidR="00034B1C">
        <w:rPr>
          <w:lang w:val="fr-FR"/>
        </w:rPr>
        <w:t>UIT, dans le cadre de son programme d</w:t>
      </w:r>
      <w:r w:rsidR="00BD7378">
        <w:rPr>
          <w:lang w:val="fr-FR"/>
        </w:rPr>
        <w:t>'</w:t>
      </w:r>
      <w:r w:rsidR="00034B1C">
        <w:rPr>
          <w:lang w:val="fr-FR"/>
        </w:rPr>
        <w:t xml:space="preserve">inclusion numérique et en collaboration avec le Bureau régional pour les Amériques, </w:t>
      </w:r>
      <w:r>
        <w:rPr>
          <w:lang w:val="fr-FR"/>
        </w:rPr>
        <w:t>met</w:t>
      </w:r>
      <w:r w:rsidR="00BD7378">
        <w:rPr>
          <w:lang w:val="fr-FR"/>
        </w:rPr>
        <w:t xml:space="preserve"> </w:t>
      </w:r>
      <w:r w:rsidR="00034B1C">
        <w:rPr>
          <w:lang w:val="fr-FR"/>
        </w:rPr>
        <w:t xml:space="preserve">en </w:t>
      </w:r>
      <w:r w:rsidR="001268AE">
        <w:rPr>
          <w:lang w:val="fr-FR"/>
        </w:rPr>
        <w:t>œuvre</w:t>
      </w:r>
      <w:r w:rsidR="00034B1C">
        <w:rPr>
          <w:lang w:val="fr-FR"/>
        </w:rPr>
        <w:t xml:space="preserve"> des programmes de renforcement des capacités sur mesure</w:t>
      </w:r>
      <w:r w:rsidRPr="00741F0A">
        <w:rPr>
          <w:lang w:val="fr-FR"/>
        </w:rPr>
        <w:t xml:space="preserve"> </w:t>
      </w:r>
      <w:r>
        <w:rPr>
          <w:lang w:val="fr-FR"/>
        </w:rPr>
        <w:t>depuis 2005,</w:t>
      </w:r>
      <w:r w:rsidR="00BD7378">
        <w:rPr>
          <w:lang w:val="fr-FR"/>
        </w:rPr>
        <w:t xml:space="preserve"> </w:t>
      </w:r>
      <w:r w:rsidR="00034B1C">
        <w:rPr>
          <w:lang w:val="fr-FR"/>
        </w:rPr>
        <w:t>en vue de renforcer les capacités</w:t>
      </w:r>
      <w:r w:rsidR="00D805B3">
        <w:rPr>
          <w:lang w:val="fr-FR"/>
        </w:rPr>
        <w:t xml:space="preserve"> en matière de</w:t>
      </w:r>
      <w:r w:rsidR="00034B1C">
        <w:rPr>
          <w:lang w:val="fr-FR"/>
        </w:rPr>
        <w:t xml:space="preserve"> TIC des peuples autochtones</w:t>
      </w:r>
      <w:r>
        <w:rPr>
          <w:lang w:val="fr-FR"/>
        </w:rPr>
        <w:t>.</w:t>
      </w:r>
      <w:r w:rsidR="00034B1C">
        <w:rPr>
          <w:lang w:val="fr-FR"/>
        </w:rPr>
        <w:t xml:space="preserve"> Ces programmes ont été élaborés </w:t>
      </w:r>
      <w:r>
        <w:rPr>
          <w:lang w:val="fr-FR"/>
        </w:rPr>
        <w:t>sur la base</w:t>
      </w:r>
      <w:r w:rsidR="00034B1C">
        <w:rPr>
          <w:lang w:val="fr-FR"/>
        </w:rPr>
        <w:t xml:space="preserve"> de la la Résolution 46 de la Conférence mondiale de développement des télécommunications (CMDT)</w:t>
      </w:r>
      <w:r w:rsidR="00BD7378">
        <w:rPr>
          <w:lang w:val="fr-FR"/>
        </w:rPr>
        <w:t xml:space="preserve"> </w:t>
      </w:r>
      <w:r w:rsidR="00034B1C">
        <w:rPr>
          <w:lang w:val="fr-FR"/>
        </w:rPr>
        <w:t>tenue</w:t>
      </w:r>
      <w:r>
        <w:rPr>
          <w:lang w:val="fr-FR"/>
        </w:rPr>
        <w:t xml:space="preserve"> en</w:t>
      </w:r>
      <w:r w:rsidR="00BD7378">
        <w:rPr>
          <w:lang w:val="fr-FR"/>
        </w:rPr>
        <w:t xml:space="preserve"> </w:t>
      </w:r>
      <w:r>
        <w:rPr>
          <w:lang w:val="fr-FR"/>
        </w:rPr>
        <w:t xml:space="preserve">2017 </w:t>
      </w:r>
      <w:r w:rsidR="00034B1C">
        <w:rPr>
          <w:lang w:val="fr-FR"/>
        </w:rPr>
        <w:t xml:space="preserve">à Buenos Aires. </w:t>
      </w:r>
      <w:r>
        <w:rPr>
          <w:lang w:val="fr-FR"/>
        </w:rPr>
        <w:t>Aux termes de cette</w:t>
      </w:r>
      <w:r w:rsidR="00034B1C">
        <w:rPr>
          <w:lang w:val="fr-FR"/>
        </w:rPr>
        <w:t xml:space="preserve"> </w:t>
      </w:r>
      <w:r>
        <w:rPr>
          <w:lang w:val="fr-FR"/>
        </w:rPr>
        <w:t>Résolution</w:t>
      </w:r>
      <w:r w:rsidR="001268AE">
        <w:rPr>
          <w:lang w:val="fr-FR"/>
        </w:rPr>
        <w:t>, la CMDT a reconnu "la </w:t>
      </w:r>
      <w:r w:rsidR="00034B1C">
        <w:rPr>
          <w:lang w:val="fr-FR"/>
        </w:rPr>
        <w:t>nécessité de continuer de promouvoir la formation de techniciens issus des peuples autochtones fondée sur leurs pratiques culturelles et sur des programmes d</w:t>
      </w:r>
      <w:r w:rsidR="00BD7378">
        <w:rPr>
          <w:lang w:val="fr-FR"/>
        </w:rPr>
        <w:t>'</w:t>
      </w:r>
      <w:r w:rsidR="00034B1C">
        <w:rPr>
          <w:lang w:val="fr-FR"/>
        </w:rPr>
        <w:t xml:space="preserve">innovation technologique, tout en garantissant la mise à disposition de ressources et de fréquences pour favoriser le développement et la durabilité des réseaux de télécommunication/TIC exploités par les peuples autochtones". </w:t>
      </w:r>
    </w:p>
    <w:p w14:paraId="6BF0B1E2" w14:textId="27BA89F5" w:rsidR="00034B1C" w:rsidRPr="00A16166" w:rsidRDefault="00034B1C" w:rsidP="00BD7378">
      <w:pPr>
        <w:spacing w:after="120"/>
        <w:ind w:left="34" w:right="-142"/>
        <w:rPr>
          <w:lang w:val="fr-CH"/>
        </w:rPr>
      </w:pPr>
      <w:r>
        <w:rPr>
          <w:lang w:val="fr-FR"/>
        </w:rPr>
        <w:t>Le programme pour l</w:t>
      </w:r>
      <w:r w:rsidR="00BD7378">
        <w:rPr>
          <w:lang w:val="fr-FR"/>
        </w:rPr>
        <w:t>'</w:t>
      </w:r>
      <w:r>
        <w:rPr>
          <w:lang w:val="fr-FR"/>
        </w:rPr>
        <w:t xml:space="preserve">Amérique latine, lancé </w:t>
      </w:r>
      <w:r w:rsidR="005858D1">
        <w:rPr>
          <w:lang w:val="fr-FR"/>
        </w:rPr>
        <w:t>à l</w:t>
      </w:r>
      <w:r w:rsidR="00BD7378">
        <w:rPr>
          <w:lang w:val="fr-FR"/>
        </w:rPr>
        <w:t>'</w:t>
      </w:r>
      <w:r w:rsidR="005858D1">
        <w:rPr>
          <w:lang w:val="fr-FR"/>
        </w:rPr>
        <w:t>initiative du</w:t>
      </w:r>
      <w:r>
        <w:rPr>
          <w:lang w:val="fr-FR"/>
        </w:rPr>
        <w:t xml:space="preserve"> Bureau régional pour les Amériques et </w:t>
      </w:r>
      <w:r w:rsidR="00487EEF">
        <w:rPr>
          <w:lang w:val="fr-FR"/>
        </w:rPr>
        <w:t>du</w:t>
      </w:r>
      <w:r>
        <w:rPr>
          <w:lang w:val="fr-FR"/>
        </w:rPr>
        <w:t xml:space="preserve"> </w:t>
      </w:r>
      <w:r w:rsidR="00384927">
        <w:rPr>
          <w:lang w:val="fr-FR"/>
        </w:rPr>
        <w:t xml:space="preserve">service du </w:t>
      </w:r>
      <w:r w:rsidR="00384927" w:rsidRPr="006E7507">
        <w:rPr>
          <w:lang w:val="fr-FR"/>
        </w:rPr>
        <w:t>BDT</w:t>
      </w:r>
      <w:r w:rsidR="00BD7378">
        <w:rPr>
          <w:lang w:val="fr-FR"/>
        </w:rPr>
        <w:t xml:space="preserve"> </w:t>
      </w:r>
      <w:r w:rsidR="00C05140">
        <w:rPr>
          <w:lang w:val="fr-FR"/>
        </w:rPr>
        <w:t>(</w:t>
      </w:r>
      <w:r w:rsidR="00384927" w:rsidRPr="006E7507">
        <w:rPr>
          <w:lang w:val="fr-FR"/>
        </w:rPr>
        <w:t>UIT</w:t>
      </w:r>
      <w:r w:rsidR="00C05140">
        <w:rPr>
          <w:lang w:val="fr-FR"/>
        </w:rPr>
        <w:t>)</w:t>
      </w:r>
      <w:r w:rsidR="00384927" w:rsidRPr="006E7507">
        <w:rPr>
          <w:lang w:val="fr-FR"/>
        </w:rPr>
        <w:t xml:space="preserve"> </w:t>
      </w:r>
      <w:r w:rsidR="007E3487" w:rsidRPr="006E7507">
        <w:rPr>
          <w:lang w:val="fr-FR"/>
        </w:rPr>
        <w:t>chargé de</w:t>
      </w:r>
      <w:r w:rsidRPr="006E7507">
        <w:rPr>
          <w:lang w:val="fr-FR"/>
        </w:rPr>
        <w:t xml:space="preserve"> l</w:t>
      </w:r>
      <w:r w:rsidR="00BD7378">
        <w:rPr>
          <w:lang w:val="fr-FR"/>
        </w:rPr>
        <w:t>'</w:t>
      </w:r>
      <w:r w:rsidRPr="006E7507">
        <w:rPr>
          <w:lang w:val="fr-FR"/>
        </w:rPr>
        <w:t>inclusion numérique</w:t>
      </w:r>
      <w:r>
        <w:rPr>
          <w:lang w:val="fr-FR"/>
        </w:rPr>
        <w:t xml:space="preserve">, en collaboration avec </w:t>
      </w:r>
      <w:r w:rsidR="006E7507">
        <w:rPr>
          <w:lang w:val="fr-FR"/>
        </w:rPr>
        <w:t>d</w:t>
      </w:r>
      <w:r>
        <w:rPr>
          <w:lang w:val="fr-FR"/>
        </w:rPr>
        <w:t xml:space="preserve">es organisations de la société civile </w:t>
      </w:r>
      <w:r w:rsidR="00384927">
        <w:rPr>
          <w:lang w:val="fr-FR"/>
        </w:rPr>
        <w:t>de</w:t>
      </w:r>
      <w:r w:rsidR="00BD7378">
        <w:rPr>
          <w:lang w:val="fr-FR"/>
        </w:rPr>
        <w:t xml:space="preserve"> </w:t>
      </w:r>
      <w:r>
        <w:rPr>
          <w:lang w:val="fr-FR"/>
        </w:rPr>
        <w:t xml:space="preserve">cette région, a été couronné de succès </w:t>
      </w:r>
      <w:r w:rsidR="006E7507">
        <w:rPr>
          <w:lang w:val="fr-FR"/>
        </w:rPr>
        <w:t>précisément parce</w:t>
      </w:r>
      <w:r w:rsidR="00487EEF">
        <w:rPr>
          <w:lang w:val="fr-FR"/>
        </w:rPr>
        <w:t xml:space="preserve"> qu</w:t>
      </w:r>
      <w:r w:rsidR="00BD7378">
        <w:rPr>
          <w:lang w:val="fr-FR"/>
        </w:rPr>
        <w:t>'</w:t>
      </w:r>
      <w:r>
        <w:rPr>
          <w:lang w:val="fr-FR"/>
        </w:rPr>
        <w:t>il est axé sur les besoins</w:t>
      </w:r>
      <w:r w:rsidR="00BD7378">
        <w:rPr>
          <w:lang w:val="fr-FR"/>
        </w:rPr>
        <w:t xml:space="preserve"> </w:t>
      </w:r>
      <w:r>
        <w:rPr>
          <w:lang w:val="fr-FR"/>
        </w:rPr>
        <w:t>de formation et les mod</w:t>
      </w:r>
      <w:r w:rsidR="00384927">
        <w:rPr>
          <w:lang w:val="fr-FR"/>
        </w:rPr>
        <w:t>es</w:t>
      </w:r>
      <w:r w:rsidR="00BD7378">
        <w:rPr>
          <w:lang w:val="fr-FR"/>
        </w:rPr>
        <w:t xml:space="preserve"> </w:t>
      </w:r>
      <w:r>
        <w:rPr>
          <w:lang w:val="fr-FR"/>
        </w:rPr>
        <w:t>d</w:t>
      </w:r>
      <w:r w:rsidR="00BD7378">
        <w:rPr>
          <w:lang w:val="fr-FR"/>
        </w:rPr>
        <w:t>'</w:t>
      </w:r>
      <w:r>
        <w:rPr>
          <w:lang w:val="fr-FR"/>
        </w:rPr>
        <w:t xml:space="preserve">apprentissage des communautés. De même, les participants au programme sont des responsables de la communication et des dirigeants </w:t>
      </w:r>
      <w:r w:rsidR="00384927">
        <w:rPr>
          <w:lang w:val="fr-FR"/>
        </w:rPr>
        <w:t>sur</w:t>
      </w:r>
      <w:r w:rsidR="00E65B40">
        <w:rPr>
          <w:lang w:val="fr-FR"/>
        </w:rPr>
        <w:t xml:space="preserve"> leur territoire</w:t>
      </w:r>
      <w:r>
        <w:rPr>
          <w:lang w:val="fr-FR"/>
        </w:rPr>
        <w:t xml:space="preserve">, ce qui signifie que la formation </w:t>
      </w:r>
      <w:r w:rsidR="00384927">
        <w:rPr>
          <w:lang w:val="fr-FR"/>
        </w:rPr>
        <w:t xml:space="preserve">est suivie </w:t>
      </w:r>
      <w:r>
        <w:rPr>
          <w:lang w:val="fr-FR"/>
        </w:rPr>
        <w:t xml:space="preserve">non seulement </w:t>
      </w:r>
      <w:r w:rsidR="00384927">
        <w:rPr>
          <w:lang w:val="fr-FR"/>
        </w:rPr>
        <w:t>par des personnes</w:t>
      </w:r>
      <w:r>
        <w:rPr>
          <w:lang w:val="fr-FR"/>
        </w:rPr>
        <w:t>, mais aussi</w:t>
      </w:r>
      <w:r w:rsidR="00BD7378">
        <w:rPr>
          <w:lang w:val="fr-FR"/>
        </w:rPr>
        <w:t xml:space="preserve"> </w:t>
      </w:r>
      <w:r w:rsidR="00384927">
        <w:rPr>
          <w:lang w:val="fr-FR"/>
        </w:rPr>
        <w:t xml:space="preserve">par des </w:t>
      </w:r>
      <w:r>
        <w:rPr>
          <w:lang w:val="fr-FR"/>
        </w:rPr>
        <w:t xml:space="preserve">organisations, et que les effets </w:t>
      </w:r>
      <w:r w:rsidR="00384927">
        <w:rPr>
          <w:lang w:val="fr-FR"/>
        </w:rPr>
        <w:t>se font directement</w:t>
      </w:r>
      <w:r>
        <w:rPr>
          <w:lang w:val="fr-FR"/>
        </w:rPr>
        <w:t xml:space="preserve"> </w:t>
      </w:r>
      <w:r w:rsidR="00384927">
        <w:rPr>
          <w:lang w:val="fr-FR"/>
        </w:rPr>
        <w:t xml:space="preserve">sentir </w:t>
      </w:r>
      <w:r>
        <w:rPr>
          <w:lang w:val="fr-FR"/>
        </w:rPr>
        <w:t>au sein</w:t>
      </w:r>
      <w:r w:rsidR="00BD7378">
        <w:rPr>
          <w:lang w:val="fr-FR"/>
        </w:rPr>
        <w:t xml:space="preserve"> </w:t>
      </w:r>
      <w:r>
        <w:rPr>
          <w:lang w:val="fr-FR"/>
        </w:rPr>
        <w:t>des communautés où ces solutions d</w:t>
      </w:r>
      <w:r w:rsidR="00BD7378">
        <w:rPr>
          <w:lang w:val="fr-FR"/>
        </w:rPr>
        <w:t>'</w:t>
      </w:r>
      <w:r>
        <w:rPr>
          <w:lang w:val="fr-FR"/>
        </w:rPr>
        <w:t>accès local et de médias communautaires sont mises en œuvre.</w:t>
      </w:r>
    </w:p>
    <w:p w14:paraId="6D1236AD" w14:textId="02CE49D9" w:rsidR="00034B1C" w:rsidRPr="00A16166" w:rsidRDefault="00034B1C" w:rsidP="00BD7378">
      <w:pPr>
        <w:spacing w:after="120"/>
        <w:ind w:left="34" w:right="-142"/>
        <w:rPr>
          <w:lang w:val="fr-CH"/>
        </w:rPr>
      </w:pPr>
      <w:r>
        <w:rPr>
          <w:lang w:val="fr-FR"/>
        </w:rPr>
        <w:t>Les trois éditions de ce programme mixte</w:t>
      </w:r>
      <w:r w:rsidR="00BD7378">
        <w:rPr>
          <w:lang w:val="fr-FR"/>
        </w:rPr>
        <w:t xml:space="preserve"> </w:t>
      </w:r>
      <w:r w:rsidR="00384927">
        <w:rPr>
          <w:lang w:val="fr-FR"/>
        </w:rPr>
        <w:t xml:space="preserve">mis en </w:t>
      </w:r>
      <w:r w:rsidR="001268AE">
        <w:rPr>
          <w:lang w:val="fr-FR"/>
        </w:rPr>
        <w:t>œuvre</w:t>
      </w:r>
      <w:r w:rsidR="00E51186">
        <w:rPr>
          <w:lang w:val="fr-FR"/>
        </w:rPr>
        <w:t xml:space="preserve"> depuis 2019</w:t>
      </w:r>
      <w:r w:rsidR="00BD7378">
        <w:rPr>
          <w:lang w:val="fr-FR"/>
        </w:rPr>
        <w:t xml:space="preserve"> </w:t>
      </w:r>
      <w:r>
        <w:rPr>
          <w:lang w:val="fr-FR"/>
        </w:rPr>
        <w:t xml:space="preserve">ont permis de </w:t>
      </w:r>
      <w:r w:rsidR="00B71CF8">
        <w:rPr>
          <w:lang w:val="fr-FR"/>
        </w:rPr>
        <w:t>constituer</w:t>
      </w:r>
      <w:r w:rsidR="00BD7378">
        <w:rPr>
          <w:lang w:val="fr-FR"/>
        </w:rPr>
        <w:t xml:space="preserve"> </w:t>
      </w:r>
      <w:r w:rsidR="001268AE">
        <w:rPr>
          <w:lang w:val="fr-FR"/>
        </w:rPr>
        <w:t>un </w:t>
      </w:r>
      <w:r>
        <w:rPr>
          <w:lang w:val="fr-FR"/>
        </w:rPr>
        <w:t>réseau solide de plus de 100 responsables de projets de c</w:t>
      </w:r>
      <w:r w:rsidR="001268AE">
        <w:rPr>
          <w:lang w:val="fr-FR"/>
        </w:rPr>
        <w:t>ommunication communautaire dans </w:t>
      </w:r>
      <w:r>
        <w:rPr>
          <w:lang w:val="fr-FR"/>
        </w:rPr>
        <w:t>15</w:t>
      </w:r>
      <w:r w:rsidR="007E5926">
        <w:rPr>
          <w:lang w:val="fr-FR"/>
        </w:rPr>
        <w:t> </w:t>
      </w:r>
      <w:r>
        <w:rPr>
          <w:lang w:val="fr-FR"/>
        </w:rPr>
        <w:t xml:space="preserve">pays, </w:t>
      </w:r>
      <w:r w:rsidR="00334A50">
        <w:rPr>
          <w:lang w:val="fr-FR"/>
        </w:rPr>
        <w:t>qui</w:t>
      </w:r>
      <w:r w:rsidR="00BD7378">
        <w:rPr>
          <w:lang w:val="fr-FR"/>
        </w:rPr>
        <w:t xml:space="preserve"> </w:t>
      </w:r>
      <w:r w:rsidR="00B71CF8">
        <w:rPr>
          <w:lang w:val="fr-FR"/>
        </w:rPr>
        <w:t xml:space="preserve">font </w:t>
      </w:r>
      <w:r w:rsidR="00334A50">
        <w:rPr>
          <w:lang w:val="fr-FR"/>
        </w:rPr>
        <w:t>directement</w:t>
      </w:r>
      <w:r w:rsidR="00BD7378">
        <w:rPr>
          <w:lang w:val="fr-FR"/>
        </w:rPr>
        <w:t xml:space="preserve"> </w:t>
      </w:r>
      <w:r w:rsidR="00B71CF8">
        <w:rPr>
          <w:lang w:val="fr-FR"/>
        </w:rPr>
        <w:t>profiter</w:t>
      </w:r>
      <w:r w:rsidR="00BD7378">
        <w:rPr>
          <w:lang w:val="fr-FR"/>
        </w:rPr>
        <w:t xml:space="preserve"> </w:t>
      </w:r>
      <w:r>
        <w:rPr>
          <w:lang w:val="fr-FR"/>
        </w:rPr>
        <w:t>leurs communautés</w:t>
      </w:r>
      <w:r w:rsidR="00BD7378">
        <w:rPr>
          <w:lang w:val="fr-FR"/>
        </w:rPr>
        <w:t xml:space="preserve"> </w:t>
      </w:r>
      <w:r>
        <w:rPr>
          <w:lang w:val="fr-FR"/>
        </w:rPr>
        <w:t>des projets qu</w:t>
      </w:r>
      <w:r w:rsidR="00BD7378">
        <w:rPr>
          <w:lang w:val="fr-FR"/>
        </w:rPr>
        <w:t>'</w:t>
      </w:r>
      <w:r w:rsidR="007F7318">
        <w:rPr>
          <w:lang w:val="fr-FR"/>
        </w:rPr>
        <w:t>ils</w:t>
      </w:r>
      <w:r w:rsidR="00BD7378">
        <w:rPr>
          <w:lang w:val="fr-FR"/>
        </w:rPr>
        <w:t xml:space="preserve"> </w:t>
      </w:r>
      <w:r w:rsidR="00B71CF8">
        <w:rPr>
          <w:lang w:val="fr-FR"/>
        </w:rPr>
        <w:t xml:space="preserve">conçoivent </w:t>
      </w:r>
      <w:r>
        <w:rPr>
          <w:lang w:val="fr-FR"/>
        </w:rPr>
        <w:t xml:space="preserve">et qui </w:t>
      </w:r>
      <w:r w:rsidR="00B71CF8">
        <w:rPr>
          <w:lang w:val="fr-FR"/>
        </w:rPr>
        <w:t>peuvent</w:t>
      </w:r>
      <w:r>
        <w:rPr>
          <w:lang w:val="fr-FR"/>
        </w:rPr>
        <w:t xml:space="preserve"> </w:t>
      </w:r>
      <w:r w:rsidR="00B71CF8">
        <w:rPr>
          <w:lang w:val="fr-FR"/>
        </w:rPr>
        <w:t xml:space="preserve">dispenser une formation à </w:t>
      </w:r>
      <w:r>
        <w:rPr>
          <w:lang w:val="fr-FR"/>
        </w:rPr>
        <w:t>de nouveaux responsables de la communication dans leur région. Il convient de noter que 45% des diplômés sont des femmes et que les</w:t>
      </w:r>
      <w:r w:rsidR="001268AE">
        <w:rPr>
          <w:lang w:val="fr-FR"/>
        </w:rPr>
        <w:t xml:space="preserve"> participants sont âgés de 18 à </w:t>
      </w:r>
      <w:r>
        <w:rPr>
          <w:lang w:val="fr-FR"/>
        </w:rPr>
        <w:t xml:space="preserve">72 ans. </w:t>
      </w:r>
    </w:p>
    <w:p w14:paraId="5B527181" w14:textId="25865F61" w:rsidR="009A7D4A" w:rsidRDefault="00B71CF8" w:rsidP="00BD7378">
      <w:pPr>
        <w:spacing w:after="120"/>
        <w:ind w:left="34" w:right="-142"/>
        <w:rPr>
          <w:lang w:val="fr-CH"/>
        </w:rPr>
      </w:pPr>
      <w:r>
        <w:rPr>
          <w:lang w:val="fr-FR"/>
        </w:rPr>
        <w:t>En reproduisant</w:t>
      </w:r>
      <w:r w:rsidR="009A7D4A">
        <w:rPr>
          <w:lang w:val="fr-FR"/>
        </w:rPr>
        <w:t xml:space="preserve"> le</w:t>
      </w:r>
      <w:r w:rsidR="00034B1C">
        <w:rPr>
          <w:lang w:val="fr-FR"/>
        </w:rPr>
        <w:t xml:space="preserve"> modèle composé de cinq modules en ligne et d</w:t>
      </w:r>
      <w:r w:rsidR="00BD7378">
        <w:rPr>
          <w:lang w:val="fr-FR"/>
        </w:rPr>
        <w:t>'</w:t>
      </w:r>
      <w:r w:rsidR="00034B1C">
        <w:rPr>
          <w:lang w:val="fr-FR"/>
        </w:rPr>
        <w:t xml:space="preserve">un stage intensif en présentiel en Afrique, </w:t>
      </w:r>
      <w:r>
        <w:rPr>
          <w:lang w:val="fr-FR"/>
        </w:rPr>
        <w:t>il sera possible</w:t>
      </w:r>
      <w:r w:rsidR="00034B1C">
        <w:rPr>
          <w:lang w:val="fr-FR"/>
        </w:rPr>
        <w:t>:</w:t>
      </w:r>
    </w:p>
    <w:p w14:paraId="2CE1A910" w14:textId="1BA02C42" w:rsidR="00034B1C" w:rsidRPr="009A7D4A" w:rsidRDefault="001268AE" w:rsidP="001268AE">
      <w:pPr>
        <w:pStyle w:val="enumlev1"/>
        <w:rPr>
          <w:lang w:val="fr-CH"/>
        </w:rPr>
      </w:pPr>
      <w:r w:rsidRPr="001268AE">
        <w:rPr>
          <w:lang w:val="fr-FR"/>
        </w:rPr>
        <w:t>–</w:t>
      </w:r>
      <w:r>
        <w:rPr>
          <w:lang w:val="fr-FR"/>
        </w:rPr>
        <w:tab/>
      </w:r>
      <w:r w:rsidR="00B71CF8">
        <w:rPr>
          <w:lang w:val="fr-FR"/>
        </w:rPr>
        <w:t>de r</w:t>
      </w:r>
      <w:r w:rsidR="00B71CF8" w:rsidRPr="009A7D4A">
        <w:rPr>
          <w:lang w:val="fr-FR"/>
        </w:rPr>
        <w:t xml:space="preserve">enforcer </w:t>
      </w:r>
      <w:r w:rsidR="00034B1C" w:rsidRPr="009A7D4A">
        <w:rPr>
          <w:lang w:val="fr-FR"/>
        </w:rPr>
        <w:t>les capacités techniques, organisationnelles, économiques et sociales des populations des communautés autochtones</w:t>
      </w:r>
      <w:r w:rsidR="00BD7378">
        <w:rPr>
          <w:lang w:val="fr-FR"/>
        </w:rPr>
        <w:t xml:space="preserve"> </w:t>
      </w:r>
      <w:r w:rsidR="00B71CF8">
        <w:rPr>
          <w:lang w:val="fr-FR"/>
        </w:rPr>
        <w:t>ou</w:t>
      </w:r>
      <w:r w:rsidR="00BD7378">
        <w:rPr>
          <w:lang w:val="fr-FR"/>
        </w:rPr>
        <w:t xml:space="preserve"> </w:t>
      </w:r>
      <w:r w:rsidR="00034B1C" w:rsidRPr="009A7D4A">
        <w:rPr>
          <w:lang w:val="fr-FR"/>
        </w:rPr>
        <w:t xml:space="preserve">rurales </w:t>
      </w:r>
      <w:r w:rsidR="00B71CF8">
        <w:rPr>
          <w:lang w:val="fr-FR"/>
        </w:rPr>
        <w:t>d</w:t>
      </w:r>
      <w:r w:rsidR="00BD7378">
        <w:rPr>
          <w:lang w:val="fr-FR"/>
        </w:rPr>
        <w:t>'</w:t>
      </w:r>
      <w:r w:rsidR="00034B1C" w:rsidRPr="009A7D4A">
        <w:rPr>
          <w:lang w:val="fr-FR"/>
        </w:rPr>
        <w:t>Afrique en vue de l</w:t>
      </w:r>
      <w:r w:rsidR="00BD7378">
        <w:rPr>
          <w:lang w:val="fr-FR"/>
        </w:rPr>
        <w:t>'</w:t>
      </w:r>
      <w:r w:rsidR="00034B1C" w:rsidRPr="009A7D4A">
        <w:rPr>
          <w:lang w:val="fr-FR"/>
        </w:rPr>
        <w:t>élaboration de projets</w:t>
      </w:r>
      <w:r w:rsidR="00BD7378">
        <w:rPr>
          <w:lang w:val="fr-FR"/>
        </w:rPr>
        <w:t xml:space="preserve"> </w:t>
      </w:r>
      <w:r w:rsidR="00723274">
        <w:rPr>
          <w:lang w:val="fr-FR"/>
        </w:rPr>
        <w:t>de télécommunication et</w:t>
      </w:r>
      <w:r w:rsidR="00034B1C" w:rsidRPr="009A7D4A">
        <w:rPr>
          <w:lang w:val="fr-FR"/>
        </w:rPr>
        <w:t xml:space="preserve"> </w:t>
      </w:r>
      <w:r w:rsidR="002800DA">
        <w:rPr>
          <w:lang w:val="fr-FR"/>
        </w:rPr>
        <w:t>de</w:t>
      </w:r>
      <w:r w:rsidR="00034B1C" w:rsidRPr="009A7D4A">
        <w:rPr>
          <w:lang w:val="fr-FR"/>
        </w:rPr>
        <w:t xml:space="preserve"> communication</w:t>
      </w:r>
      <w:r w:rsidR="002800DA">
        <w:rPr>
          <w:lang w:val="fr-FR"/>
        </w:rPr>
        <w:t xml:space="preserve"> à l</w:t>
      </w:r>
      <w:r w:rsidR="00BD7378">
        <w:rPr>
          <w:lang w:val="fr-FR"/>
        </w:rPr>
        <w:t>'</w:t>
      </w:r>
      <w:r w:rsidR="002800DA">
        <w:rPr>
          <w:lang w:val="fr-FR"/>
        </w:rPr>
        <w:t>échelon local</w:t>
      </w:r>
      <w:r>
        <w:rPr>
          <w:lang w:val="fr-FR"/>
        </w:rPr>
        <w:t>;</w:t>
      </w:r>
    </w:p>
    <w:p w14:paraId="681F91B1" w14:textId="0C5D12B2" w:rsidR="00034B1C" w:rsidRPr="00A16166" w:rsidRDefault="001268AE" w:rsidP="001268AE">
      <w:pPr>
        <w:pStyle w:val="enumlev1"/>
        <w:rPr>
          <w:lang w:val="fr-CH"/>
        </w:rPr>
      </w:pPr>
      <w:r w:rsidRPr="001268AE">
        <w:rPr>
          <w:lang w:val="fr-FR"/>
        </w:rPr>
        <w:t>–</w:t>
      </w:r>
      <w:r>
        <w:rPr>
          <w:lang w:val="fr-FR"/>
        </w:rPr>
        <w:tab/>
      </w:r>
      <w:r w:rsidR="00B71CF8">
        <w:rPr>
          <w:lang w:val="fr-FR"/>
        </w:rPr>
        <w:t xml:space="preserve">de constituer </w:t>
      </w:r>
      <w:r>
        <w:rPr>
          <w:lang w:val="fr-FR"/>
        </w:rPr>
        <w:t>un réseau de "champions"</w:t>
      </w:r>
      <w:r w:rsidR="00B71CF8">
        <w:rPr>
          <w:lang w:val="fr-FR"/>
        </w:rPr>
        <w:t>,</w:t>
      </w:r>
      <w:r>
        <w:rPr>
          <w:lang w:val="fr-FR"/>
        </w:rPr>
        <w:t xml:space="preserve"> </w:t>
      </w:r>
      <w:r w:rsidR="00034B1C">
        <w:rPr>
          <w:lang w:val="fr-FR"/>
        </w:rPr>
        <w:t>au sein des communautés et de diverses parties prenantes</w:t>
      </w:r>
      <w:r w:rsidR="00B71CF8">
        <w:rPr>
          <w:lang w:val="fr-FR"/>
        </w:rPr>
        <w:t>,</w:t>
      </w:r>
      <w:r w:rsidR="00BD7378">
        <w:rPr>
          <w:lang w:val="fr-FR"/>
        </w:rPr>
        <w:t xml:space="preserve"> </w:t>
      </w:r>
      <w:r w:rsidR="00B71CF8">
        <w:rPr>
          <w:lang w:val="fr-FR"/>
        </w:rPr>
        <w:t>pouvant</w:t>
      </w:r>
      <w:r w:rsidR="00BD7378">
        <w:rPr>
          <w:lang w:val="fr-FR"/>
        </w:rPr>
        <w:t xml:space="preserve"> </w:t>
      </w:r>
      <w:r>
        <w:rPr>
          <w:lang w:val="fr-FR"/>
        </w:rPr>
        <w:t>œuvrer</w:t>
      </w:r>
      <w:r w:rsidR="00B71CF8">
        <w:rPr>
          <w:lang w:val="fr-FR"/>
        </w:rPr>
        <w:t xml:space="preserve"> </w:t>
      </w:r>
      <w:r w:rsidR="00034B1C">
        <w:rPr>
          <w:lang w:val="fr-FR"/>
        </w:rPr>
        <w:t>au niveau national</w:t>
      </w:r>
      <w:r w:rsidR="00BD7378">
        <w:rPr>
          <w:lang w:val="fr-FR"/>
        </w:rPr>
        <w:t xml:space="preserve"> </w:t>
      </w:r>
      <w:r w:rsidR="00B71CF8">
        <w:rPr>
          <w:lang w:val="fr-FR"/>
        </w:rPr>
        <w:t>à la mise</w:t>
      </w:r>
      <w:r w:rsidR="00034B1C">
        <w:rPr>
          <w:lang w:val="fr-FR"/>
        </w:rPr>
        <w:t xml:space="preserve"> en place </w:t>
      </w:r>
      <w:r w:rsidR="00B71CF8">
        <w:rPr>
          <w:lang w:val="fr-FR"/>
        </w:rPr>
        <w:t>de</w:t>
      </w:r>
      <w:r w:rsidR="00BD7378">
        <w:rPr>
          <w:lang w:val="fr-FR"/>
        </w:rPr>
        <w:t xml:space="preserve"> </w:t>
      </w:r>
      <w:r w:rsidR="00034B1C">
        <w:rPr>
          <w:lang w:val="fr-FR"/>
        </w:rPr>
        <w:t xml:space="preserve">stratégies de connectivité </w:t>
      </w:r>
      <w:r w:rsidR="00B71CF8">
        <w:rPr>
          <w:lang w:val="fr-FR"/>
        </w:rPr>
        <w:t>ayant</w:t>
      </w:r>
      <w:r w:rsidR="00034B1C">
        <w:rPr>
          <w:lang w:val="fr-FR"/>
        </w:rPr>
        <w:t xml:space="preserve"> des résultats concrets dans le quotidien des personnes qui ne sont pas encore connectées</w:t>
      </w:r>
      <w:r>
        <w:rPr>
          <w:lang w:val="fr-FR"/>
        </w:rPr>
        <w:t>;</w:t>
      </w:r>
    </w:p>
    <w:p w14:paraId="1E252D10" w14:textId="2AC33711" w:rsidR="00034B1C" w:rsidRPr="00A16166" w:rsidRDefault="001268AE" w:rsidP="001268AE">
      <w:pPr>
        <w:pStyle w:val="enumlev1"/>
        <w:rPr>
          <w:lang w:val="fr-CH"/>
        </w:rPr>
      </w:pPr>
      <w:r w:rsidRPr="001268AE">
        <w:rPr>
          <w:lang w:val="fr-FR"/>
        </w:rPr>
        <w:t>–</w:t>
      </w:r>
      <w:r>
        <w:rPr>
          <w:lang w:val="fr-FR"/>
        </w:rPr>
        <w:tab/>
      </w:r>
      <w:r w:rsidR="00B71CF8">
        <w:rPr>
          <w:lang w:val="fr-FR"/>
        </w:rPr>
        <w:t xml:space="preserve">de créer </w:t>
      </w:r>
      <w:r w:rsidR="00034B1C">
        <w:rPr>
          <w:lang w:val="fr-FR"/>
        </w:rPr>
        <w:t xml:space="preserve">des communautés de pratique </w:t>
      </w:r>
      <w:r w:rsidR="00B71CF8">
        <w:rPr>
          <w:lang w:val="fr-FR"/>
        </w:rPr>
        <w:t>entre les personnes</w:t>
      </w:r>
      <w:r w:rsidR="00034B1C">
        <w:rPr>
          <w:lang w:val="fr-FR"/>
        </w:rPr>
        <w:t>,</w:t>
      </w:r>
      <w:r w:rsidR="00BD7378">
        <w:rPr>
          <w:lang w:val="fr-FR"/>
        </w:rPr>
        <w:t xml:space="preserve"> </w:t>
      </w:r>
      <w:r w:rsidR="00034B1C">
        <w:rPr>
          <w:lang w:val="fr-FR"/>
        </w:rPr>
        <w:t>organisations et</w:t>
      </w:r>
      <w:r w:rsidR="00BD7378">
        <w:rPr>
          <w:lang w:val="fr-FR"/>
        </w:rPr>
        <w:t xml:space="preserve"> </w:t>
      </w:r>
      <w:r w:rsidR="00034B1C">
        <w:rPr>
          <w:lang w:val="fr-FR"/>
        </w:rPr>
        <w:t>communautés qui accompagnent le développement de leurs projets</w:t>
      </w:r>
      <w:r w:rsidR="00BD7378">
        <w:rPr>
          <w:lang w:val="fr-FR"/>
        </w:rPr>
        <w:t xml:space="preserve"> </w:t>
      </w:r>
      <w:r w:rsidR="00034B1C">
        <w:rPr>
          <w:lang w:val="fr-FR"/>
        </w:rPr>
        <w:t xml:space="preserve">de communication et de télécommunication </w:t>
      </w:r>
      <w:r w:rsidR="003967CB">
        <w:rPr>
          <w:lang w:val="fr-FR"/>
        </w:rPr>
        <w:t>au niveau</w:t>
      </w:r>
      <w:r w:rsidR="00034B1C">
        <w:rPr>
          <w:lang w:val="fr-FR"/>
        </w:rPr>
        <w:t xml:space="preserve"> local</w:t>
      </w:r>
      <w:r>
        <w:rPr>
          <w:lang w:val="fr-FR"/>
        </w:rPr>
        <w:t>;</w:t>
      </w:r>
    </w:p>
    <w:p w14:paraId="133E78A9" w14:textId="7B04477B" w:rsidR="00034B1C" w:rsidRPr="00A16166" w:rsidRDefault="001268AE" w:rsidP="001268AE">
      <w:pPr>
        <w:pStyle w:val="enumlev1"/>
        <w:rPr>
          <w:lang w:val="fr-CH"/>
        </w:rPr>
      </w:pPr>
      <w:r w:rsidRPr="001268AE">
        <w:rPr>
          <w:lang w:val="fr-FR"/>
        </w:rPr>
        <w:t>–</w:t>
      </w:r>
      <w:r>
        <w:rPr>
          <w:lang w:val="fr-FR"/>
        </w:rPr>
        <w:tab/>
      </w:r>
      <w:r w:rsidR="00B71CF8">
        <w:rPr>
          <w:lang w:val="fr-FR"/>
        </w:rPr>
        <w:t xml:space="preserve">de mettre </w:t>
      </w:r>
      <w:r w:rsidR="00034B1C">
        <w:rPr>
          <w:lang w:val="fr-FR"/>
        </w:rPr>
        <w:t>sur pied un comité consultatif régional composé d</w:t>
      </w:r>
      <w:r w:rsidR="00BD7378">
        <w:rPr>
          <w:lang w:val="fr-FR"/>
        </w:rPr>
        <w:t>'</w:t>
      </w:r>
      <w:r w:rsidR="00034B1C">
        <w:rPr>
          <w:lang w:val="fr-FR"/>
        </w:rPr>
        <w:t xml:space="preserve">experts qui, en plus de fournir des conseils dans le cadre de ce programme de formation, </w:t>
      </w:r>
      <w:r w:rsidR="00B71CF8">
        <w:rPr>
          <w:lang w:val="fr-FR"/>
        </w:rPr>
        <w:t xml:space="preserve">pourra </w:t>
      </w:r>
      <w:r w:rsidR="00034B1C">
        <w:rPr>
          <w:lang w:val="fr-FR"/>
        </w:rPr>
        <w:t xml:space="preserve">susciter des mesures collectives pour répondre aux besoins de formation et de mise en </w:t>
      </w:r>
      <w:r>
        <w:rPr>
          <w:lang w:val="fr-FR"/>
        </w:rPr>
        <w:t>œuvre</w:t>
      </w:r>
      <w:r w:rsidR="00034B1C">
        <w:rPr>
          <w:lang w:val="fr-FR"/>
        </w:rPr>
        <w:t xml:space="preserve"> </w:t>
      </w:r>
      <w:r w:rsidR="00B71CF8">
        <w:rPr>
          <w:lang w:val="fr-FR"/>
        </w:rPr>
        <w:t>de</w:t>
      </w:r>
      <w:r w:rsidR="00BD7378">
        <w:rPr>
          <w:lang w:val="fr-FR"/>
        </w:rPr>
        <w:t xml:space="preserve"> </w:t>
      </w:r>
      <w:r w:rsidR="00034B1C">
        <w:rPr>
          <w:lang w:val="fr-FR"/>
        </w:rPr>
        <w:t>projets</w:t>
      </w:r>
      <w:r w:rsidR="00BD7378">
        <w:rPr>
          <w:lang w:val="fr-FR"/>
        </w:rPr>
        <w:t xml:space="preserve"> </w:t>
      </w:r>
      <w:r w:rsidR="00034B1C">
        <w:rPr>
          <w:lang w:val="fr-FR"/>
        </w:rPr>
        <w:t>de télécommunication et de communication</w:t>
      </w:r>
      <w:r w:rsidR="00B71CF8">
        <w:rPr>
          <w:lang w:val="fr-FR"/>
        </w:rPr>
        <w:t xml:space="preserve"> au niveau local</w:t>
      </w:r>
      <w:r w:rsidR="00BD7378">
        <w:rPr>
          <w:lang w:val="fr-FR"/>
        </w:rPr>
        <w:t xml:space="preserve"> </w:t>
      </w:r>
      <w:r w:rsidR="00B71CF8">
        <w:rPr>
          <w:lang w:val="fr-FR"/>
        </w:rPr>
        <w:t>dans les</w:t>
      </w:r>
      <w:r w:rsidR="00034B1C">
        <w:rPr>
          <w:lang w:val="fr-FR"/>
        </w:rPr>
        <w:t xml:space="preserve"> communautés rurales</w:t>
      </w:r>
      <w:r w:rsidR="00BD7378">
        <w:rPr>
          <w:lang w:val="fr-FR"/>
        </w:rPr>
        <w:t xml:space="preserve"> </w:t>
      </w:r>
      <w:r w:rsidR="00B71CF8">
        <w:rPr>
          <w:lang w:val="fr-FR"/>
        </w:rPr>
        <w:t>ou</w:t>
      </w:r>
      <w:r w:rsidR="00BD7378">
        <w:rPr>
          <w:lang w:val="fr-FR"/>
        </w:rPr>
        <w:t xml:space="preserve"> </w:t>
      </w:r>
      <w:r w:rsidR="00034B1C">
        <w:rPr>
          <w:lang w:val="fr-FR"/>
        </w:rPr>
        <w:t>marginalisées</w:t>
      </w:r>
      <w:r>
        <w:rPr>
          <w:lang w:val="fr-FR"/>
        </w:rPr>
        <w:t>;</w:t>
      </w:r>
    </w:p>
    <w:p w14:paraId="5EA7A78F" w14:textId="1839F892" w:rsidR="00034B1C" w:rsidRPr="00A16166" w:rsidRDefault="001268AE" w:rsidP="001268AE">
      <w:pPr>
        <w:pStyle w:val="enumlev1"/>
        <w:rPr>
          <w:lang w:val="fr-CH"/>
        </w:rPr>
      </w:pPr>
      <w:r w:rsidRPr="001268AE">
        <w:rPr>
          <w:lang w:val="fr-FR"/>
        </w:rPr>
        <w:t>–</w:t>
      </w:r>
      <w:r>
        <w:rPr>
          <w:lang w:val="fr-FR"/>
        </w:rPr>
        <w:tab/>
      </w:r>
      <w:r w:rsidR="00B71CF8">
        <w:rPr>
          <w:lang w:val="fr-FR"/>
        </w:rPr>
        <w:t xml:space="preserve">de mettre </w:t>
      </w:r>
      <w:r w:rsidR="00034B1C">
        <w:rPr>
          <w:lang w:val="fr-FR"/>
        </w:rPr>
        <w:t>en place des environnements propices</w:t>
      </w:r>
      <w:r w:rsidR="00B71CF8">
        <w:rPr>
          <w:lang w:val="fr-FR"/>
        </w:rPr>
        <w:t xml:space="preserve"> en renforçant les </w:t>
      </w:r>
      <w:r w:rsidR="00034B1C">
        <w:rPr>
          <w:lang w:val="fr-FR"/>
        </w:rPr>
        <w:t>relations entre les différentes parties prenantes</w:t>
      </w:r>
      <w:r w:rsidR="00BD7378">
        <w:rPr>
          <w:lang w:val="fr-FR"/>
        </w:rPr>
        <w:t xml:space="preserve"> </w:t>
      </w:r>
      <w:r w:rsidR="00034B1C">
        <w:rPr>
          <w:lang w:val="fr-FR"/>
        </w:rPr>
        <w:t>pour répondre aux besoins de communication des communautés rurales</w:t>
      </w:r>
      <w:r w:rsidR="00BD7378">
        <w:rPr>
          <w:lang w:val="fr-FR"/>
        </w:rPr>
        <w:t xml:space="preserve"> </w:t>
      </w:r>
      <w:r w:rsidR="00B71CF8">
        <w:rPr>
          <w:lang w:val="fr-FR"/>
        </w:rPr>
        <w:t>ou</w:t>
      </w:r>
      <w:r w:rsidR="00BD7378">
        <w:rPr>
          <w:lang w:val="fr-FR"/>
        </w:rPr>
        <w:t xml:space="preserve"> </w:t>
      </w:r>
      <w:r w:rsidR="00034B1C">
        <w:rPr>
          <w:lang w:val="fr-FR"/>
        </w:rPr>
        <w:t>autochtones aux niveaux national et régional.</w:t>
      </w:r>
    </w:p>
    <w:p w14:paraId="4303E848" w14:textId="71A22AC7" w:rsidR="00034B1C" w:rsidRDefault="00034B1C" w:rsidP="00BD7378">
      <w:pPr>
        <w:ind w:left="34" w:right="-142"/>
        <w:rPr>
          <w:lang w:val="fr-FR"/>
        </w:rPr>
      </w:pPr>
      <w:r>
        <w:rPr>
          <w:lang w:val="fr-FR"/>
        </w:rPr>
        <w:lastRenderedPageBreak/>
        <w:t>Ce programme viendra s</w:t>
      </w:r>
      <w:r w:rsidR="00BD7378">
        <w:rPr>
          <w:lang w:val="fr-FR"/>
        </w:rPr>
        <w:t>'</w:t>
      </w:r>
      <w:r>
        <w:rPr>
          <w:lang w:val="fr-FR"/>
        </w:rPr>
        <w:t xml:space="preserve">ajouter aux différentes mesures </w:t>
      </w:r>
      <w:r w:rsidR="00C05140">
        <w:rPr>
          <w:lang w:val="fr-FR"/>
        </w:rPr>
        <w:t>prises</w:t>
      </w:r>
      <w:r>
        <w:rPr>
          <w:lang w:val="fr-FR"/>
        </w:rPr>
        <w:t xml:space="preserve"> actuellement,</w:t>
      </w:r>
      <w:r w:rsidR="00BD7378">
        <w:rPr>
          <w:lang w:val="fr-FR"/>
        </w:rPr>
        <w:t xml:space="preserve"> </w:t>
      </w:r>
      <w:r>
        <w:rPr>
          <w:lang w:val="fr-FR"/>
        </w:rPr>
        <w:t>par l</w:t>
      </w:r>
      <w:r w:rsidR="00BD7378">
        <w:rPr>
          <w:lang w:val="fr-FR"/>
        </w:rPr>
        <w:t>'</w:t>
      </w:r>
      <w:r>
        <w:rPr>
          <w:lang w:val="fr-FR"/>
        </w:rPr>
        <w:t>UIT</w:t>
      </w:r>
      <w:r w:rsidR="00BD7378">
        <w:rPr>
          <w:lang w:val="fr-FR"/>
        </w:rPr>
        <w:t xml:space="preserve"> </w:t>
      </w:r>
      <w:r w:rsidR="00C05140">
        <w:rPr>
          <w:lang w:val="fr-FR"/>
        </w:rPr>
        <w:t xml:space="preserve">et </w:t>
      </w:r>
      <w:r>
        <w:rPr>
          <w:lang w:val="fr-FR"/>
        </w:rPr>
        <w:t xml:space="preserve">par </w:t>
      </w:r>
      <w:r w:rsidR="00D01768">
        <w:rPr>
          <w:lang w:val="fr-FR"/>
        </w:rPr>
        <w:t>des organisations de la</w:t>
      </w:r>
      <w:r>
        <w:rPr>
          <w:lang w:val="fr-FR"/>
        </w:rPr>
        <w:t xml:space="preserve"> société civile et</w:t>
      </w:r>
      <w:r w:rsidR="00BD7378">
        <w:rPr>
          <w:lang w:val="fr-FR"/>
        </w:rPr>
        <w:t xml:space="preserve"> </w:t>
      </w:r>
      <w:r w:rsidR="00D01768">
        <w:rPr>
          <w:lang w:val="fr-FR"/>
        </w:rPr>
        <w:t>d</w:t>
      </w:r>
      <w:r>
        <w:rPr>
          <w:lang w:val="fr-FR"/>
        </w:rPr>
        <w:t>es régulateurs</w:t>
      </w:r>
      <w:r w:rsidR="00C05140" w:rsidRPr="00C05140">
        <w:rPr>
          <w:lang w:val="fr-FR"/>
        </w:rPr>
        <w:t xml:space="preserve"> </w:t>
      </w:r>
      <w:r w:rsidR="00C05140">
        <w:rPr>
          <w:lang w:val="fr-FR"/>
        </w:rPr>
        <w:t>dans les zones isolées ou à faible revenu de</w:t>
      </w:r>
      <w:r w:rsidR="00BD7378">
        <w:rPr>
          <w:lang w:val="fr-FR"/>
        </w:rPr>
        <w:t xml:space="preserve"> </w:t>
      </w:r>
      <w:r w:rsidR="00C05140">
        <w:rPr>
          <w:lang w:val="fr-FR"/>
        </w:rPr>
        <w:t>la région</w:t>
      </w:r>
      <w:r>
        <w:rPr>
          <w:lang w:val="fr-FR"/>
        </w:rPr>
        <w:t xml:space="preserve">. Nous proposons que </w:t>
      </w:r>
      <w:r w:rsidR="00C05140">
        <w:rPr>
          <w:lang w:val="fr-FR"/>
        </w:rPr>
        <w:t xml:space="preserve">la promotion du </w:t>
      </w:r>
      <w:r>
        <w:rPr>
          <w:lang w:val="fr-FR"/>
        </w:rPr>
        <w:t>programme soit</w:t>
      </w:r>
      <w:r w:rsidR="00BD7378">
        <w:rPr>
          <w:lang w:val="fr-FR"/>
        </w:rPr>
        <w:t xml:space="preserve"> </w:t>
      </w:r>
      <w:r w:rsidR="00C05140">
        <w:rPr>
          <w:lang w:val="fr-FR"/>
        </w:rPr>
        <w:t xml:space="preserve">assurée </w:t>
      </w:r>
      <w:r>
        <w:rPr>
          <w:lang w:val="fr-FR"/>
        </w:rPr>
        <w:t>par le Bureau régional pour l</w:t>
      </w:r>
      <w:r w:rsidR="00BD7378">
        <w:rPr>
          <w:lang w:val="fr-FR"/>
        </w:rPr>
        <w:t>'</w:t>
      </w:r>
      <w:r>
        <w:rPr>
          <w:lang w:val="fr-FR"/>
        </w:rPr>
        <w:t xml:space="preserve">Afrique et le </w:t>
      </w:r>
      <w:r w:rsidR="00C05140">
        <w:rPr>
          <w:lang w:val="fr-FR"/>
        </w:rPr>
        <w:t>service</w:t>
      </w:r>
      <w:r w:rsidR="00C05140" w:rsidRPr="00C05140">
        <w:rPr>
          <w:lang w:val="fr-FR"/>
        </w:rPr>
        <w:t xml:space="preserve"> </w:t>
      </w:r>
      <w:r w:rsidR="001268AE">
        <w:rPr>
          <w:lang w:val="fr-FR"/>
        </w:rPr>
        <w:t>du BDT (</w:t>
      </w:r>
      <w:r w:rsidR="00C05140">
        <w:rPr>
          <w:lang w:val="fr-FR"/>
        </w:rPr>
        <w:t>UIT)</w:t>
      </w:r>
      <w:r w:rsidR="00BD7378">
        <w:rPr>
          <w:lang w:val="fr-FR"/>
        </w:rPr>
        <w:t xml:space="preserve"> </w:t>
      </w:r>
      <w:r w:rsidR="00D01768">
        <w:rPr>
          <w:lang w:val="fr-FR"/>
        </w:rPr>
        <w:t>chargé de</w:t>
      </w:r>
      <w:r>
        <w:rPr>
          <w:lang w:val="fr-FR"/>
        </w:rPr>
        <w:t xml:space="preserve"> l</w:t>
      </w:r>
      <w:r w:rsidR="00BD7378">
        <w:rPr>
          <w:lang w:val="fr-FR"/>
        </w:rPr>
        <w:t>'</w:t>
      </w:r>
      <w:r>
        <w:rPr>
          <w:lang w:val="fr-FR"/>
        </w:rPr>
        <w:t xml:space="preserve">inclusion numérique, en collaboration avec les gouvernements et les organisations de la société civile </w:t>
      </w:r>
      <w:r w:rsidR="00E96951">
        <w:rPr>
          <w:lang w:val="fr-FR"/>
        </w:rPr>
        <w:t>de</w:t>
      </w:r>
      <w:r>
        <w:rPr>
          <w:lang w:val="fr-FR"/>
        </w:rPr>
        <w:t xml:space="preserve"> la région.</w:t>
      </w:r>
    </w:p>
    <w:p w14:paraId="2FC14E75" w14:textId="77777777" w:rsidR="001268AE" w:rsidRPr="00A16166" w:rsidRDefault="001268AE" w:rsidP="00BD7378">
      <w:pPr>
        <w:ind w:left="34" w:right="-142"/>
        <w:rPr>
          <w:lang w:val="fr-CH"/>
        </w:rPr>
      </w:pPr>
    </w:p>
    <w:p w14:paraId="001E1E9B" w14:textId="77777777" w:rsidR="002770B1" w:rsidRDefault="003C58BF" w:rsidP="00BD7378">
      <w:pPr>
        <w:tabs>
          <w:tab w:val="clear" w:pos="794"/>
          <w:tab w:val="clear" w:pos="1191"/>
          <w:tab w:val="clear" w:pos="1588"/>
          <w:tab w:val="clear" w:pos="1985"/>
        </w:tabs>
        <w:ind w:left="34" w:right="-142"/>
        <w:jc w:val="center"/>
      </w:pPr>
      <w:r>
        <w:rPr>
          <w:lang w:val="fr-FR"/>
        </w:rPr>
        <w:t>________________</w:t>
      </w:r>
    </w:p>
    <w:sectPr w:rsidR="002770B1" w:rsidSect="00D20099">
      <w:headerReference w:type="default" r:id="rId13"/>
      <w:footerReference w:type="default" r:id="rId14"/>
      <w:footerReference w:type="first" r:id="rId15"/>
      <w:pgSz w:w="11907" w:h="16834" w:code="9"/>
      <w:pgMar w:top="1418" w:right="992" w:bottom="1418" w:left="1134" w:header="720" w:footer="720" w:gutter="0"/>
      <w:paperSrc w:first="7" w:other="7"/>
      <w:cols w:space="720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4FF20" w16cex:dateUtc="2023-05-09T15:19:00Z"/>
  <w16cex:commentExtensible w16cex:durableId="280603FF" w16cex:dateUtc="2023-05-10T09:52:00Z"/>
  <w16cex:commentExtensible w16cex:durableId="28062739" w16cex:dateUtc="2023-05-10T12:22:00Z"/>
  <w16cex:commentExtensible w16cex:durableId="28062914" w16cex:dateUtc="2023-05-10T12:30:00Z"/>
  <w16cex:commentExtensible w16cex:durableId="2805D665" w16cex:dateUtc="2023-05-10T06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16EFEA" w16cid:durableId="2804FF20"/>
  <w16cid:commentId w16cid:paraId="36E3902E" w16cid:durableId="280603FF"/>
  <w16cid:commentId w16cid:paraId="740B806B" w16cid:durableId="28062739"/>
  <w16cid:commentId w16cid:paraId="5B44F554" w16cid:durableId="28062914"/>
  <w16cid:commentId w16cid:paraId="4FF8C0BB" w16cid:durableId="2805D6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56980" w14:textId="77777777" w:rsidR="00034B1C" w:rsidRDefault="00034B1C">
      <w:r>
        <w:separator/>
      </w:r>
    </w:p>
  </w:endnote>
  <w:endnote w:type="continuationSeparator" w:id="0">
    <w:p w14:paraId="69CE916B" w14:textId="77777777" w:rsidR="00034B1C" w:rsidRDefault="0003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291B6" w14:textId="3A8C4038" w:rsidR="00721657" w:rsidRPr="00A525CC" w:rsidRDefault="00BD7378" w:rsidP="00BD7378">
    <w:pPr>
      <w:pStyle w:val="Footer"/>
      <w:rPr>
        <w:sz w:val="18"/>
        <w:szCs w:val="18"/>
      </w:rPr>
    </w:pPr>
    <w:fldSimple w:instr=" FILENAME \p  \* MERGEFORMAT ">
      <w:r w:rsidR="001268AE">
        <w:t>P:\FRA\ITU-D\CONF-D\TDAG23\TDAG23-30\000\023F.docx</w:t>
      </w:r>
    </w:fldSimple>
    <w:r>
      <w:t xml:space="preserve"> (522074)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06061C" w:rsidRPr="006331B7" w14:paraId="48C1BF13" w14:textId="77777777" w:rsidTr="00CF44F0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5B425F30" w14:textId="77777777" w:rsidR="0006061C" w:rsidRPr="006331B7" w:rsidRDefault="0006061C" w:rsidP="0006061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6331B7">
            <w:rPr>
              <w:sz w:val="18"/>
              <w:szCs w:val="18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1C4A8EA7" w14:textId="77777777" w:rsidR="0006061C" w:rsidRPr="006331B7" w:rsidRDefault="0006061C" w:rsidP="0006061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</w:rPr>
          </w:pPr>
          <w:r w:rsidRPr="006331B7">
            <w:rPr>
              <w:sz w:val="18"/>
              <w:szCs w:val="18"/>
            </w:rPr>
            <w:t>Nom/Organisation/Entité: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14:paraId="734F6AD1" w14:textId="12B14947" w:rsidR="0006061C" w:rsidRPr="006331B7" w:rsidRDefault="00034B1C" w:rsidP="000D2722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bookmarkStart w:id="12" w:name="OrgName"/>
          <w:bookmarkEnd w:id="12"/>
          <w:r w:rsidRPr="006331B7">
            <w:rPr>
              <w:sz w:val="18"/>
              <w:szCs w:val="18"/>
            </w:rPr>
            <w:t xml:space="preserve">M. Carlos Rey-Moreno, République sudafricaine, Association </w:t>
          </w:r>
          <w:r w:rsidR="006331B7">
            <w:rPr>
              <w:sz w:val="18"/>
              <w:szCs w:val="18"/>
            </w:rPr>
            <w:t>for Progressive Communications (</w:t>
          </w:r>
          <w:r w:rsidRPr="006331B7">
            <w:rPr>
              <w:sz w:val="18"/>
              <w:szCs w:val="18"/>
            </w:rPr>
            <w:t>APC</w:t>
          </w:r>
          <w:r w:rsidR="006331B7">
            <w:rPr>
              <w:sz w:val="18"/>
              <w:szCs w:val="18"/>
            </w:rPr>
            <w:t>)</w:t>
          </w:r>
        </w:p>
      </w:tc>
    </w:tr>
    <w:tr w:rsidR="0006061C" w:rsidRPr="006331B7" w14:paraId="6F97FE6E" w14:textId="77777777" w:rsidTr="00CF44F0">
      <w:tc>
        <w:tcPr>
          <w:tcW w:w="1526" w:type="dxa"/>
          <w:shd w:val="clear" w:color="auto" w:fill="auto"/>
        </w:tcPr>
        <w:p w14:paraId="4BCC0C26" w14:textId="77777777" w:rsidR="0006061C" w:rsidRPr="006331B7" w:rsidRDefault="0006061C" w:rsidP="0006061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fr-CH"/>
            </w:rPr>
          </w:pPr>
        </w:p>
      </w:tc>
      <w:tc>
        <w:tcPr>
          <w:tcW w:w="2410" w:type="dxa"/>
          <w:shd w:val="clear" w:color="auto" w:fill="auto"/>
        </w:tcPr>
        <w:p w14:paraId="6DFAFC3F" w14:textId="77777777" w:rsidR="0006061C" w:rsidRPr="006331B7" w:rsidRDefault="0006061C" w:rsidP="0006061C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6331B7">
            <w:rPr>
              <w:sz w:val="18"/>
              <w:szCs w:val="18"/>
            </w:rPr>
            <w:t>Numéro de téléphone:</w:t>
          </w:r>
        </w:p>
      </w:tc>
      <w:tc>
        <w:tcPr>
          <w:tcW w:w="5987" w:type="dxa"/>
          <w:shd w:val="clear" w:color="auto" w:fill="auto"/>
        </w:tcPr>
        <w:p w14:paraId="50ABF30C" w14:textId="77777777" w:rsidR="0006061C" w:rsidRPr="006331B7" w:rsidRDefault="00034B1C" w:rsidP="0006061C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bookmarkStart w:id="13" w:name="PhoneNo"/>
          <w:bookmarkEnd w:id="13"/>
          <w:r w:rsidRPr="006331B7">
            <w:rPr>
              <w:sz w:val="18"/>
              <w:szCs w:val="18"/>
            </w:rPr>
            <w:t>+27117261692</w:t>
          </w:r>
        </w:p>
      </w:tc>
    </w:tr>
    <w:tr w:rsidR="0006061C" w:rsidRPr="006331B7" w14:paraId="582DF934" w14:textId="77777777" w:rsidTr="00CF44F0">
      <w:tc>
        <w:tcPr>
          <w:tcW w:w="1526" w:type="dxa"/>
          <w:shd w:val="clear" w:color="auto" w:fill="auto"/>
        </w:tcPr>
        <w:p w14:paraId="3508B175" w14:textId="77777777" w:rsidR="0006061C" w:rsidRPr="006331B7" w:rsidRDefault="0006061C" w:rsidP="0006061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98C93C5" w14:textId="77777777" w:rsidR="0006061C" w:rsidRPr="006331B7" w:rsidRDefault="0006061C" w:rsidP="0006061C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6331B7">
            <w:rPr>
              <w:sz w:val="18"/>
              <w:szCs w:val="18"/>
            </w:rPr>
            <w:t>Courriel:</w:t>
          </w:r>
        </w:p>
      </w:tc>
      <w:bookmarkStart w:id="14" w:name="Email"/>
      <w:bookmarkEnd w:id="14"/>
      <w:tc>
        <w:tcPr>
          <w:tcW w:w="5987" w:type="dxa"/>
          <w:shd w:val="clear" w:color="auto" w:fill="auto"/>
        </w:tcPr>
        <w:p w14:paraId="110DC43C" w14:textId="4833A026" w:rsidR="0006061C" w:rsidRPr="006331B7" w:rsidRDefault="006331B7" w:rsidP="0006061C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>
            <w:rPr>
              <w:sz w:val="18"/>
              <w:szCs w:val="18"/>
              <w:lang w:val="en-US"/>
            </w:rPr>
            <w:instrText xml:space="preserve"> HYPERLINK "mailto:itu@apc.org" </w:instrText>
          </w:r>
          <w:r>
            <w:rPr>
              <w:sz w:val="18"/>
              <w:szCs w:val="18"/>
              <w:lang w:val="en-US"/>
            </w:rPr>
            <w:fldChar w:fldCharType="separate"/>
          </w:r>
          <w:r w:rsidRPr="00BF2933">
            <w:rPr>
              <w:rStyle w:val="Hyperlink"/>
              <w:sz w:val="18"/>
              <w:szCs w:val="18"/>
              <w:lang w:val="en-US"/>
            </w:rPr>
            <w:t>itu@apc.org</w:t>
          </w:r>
          <w:r>
            <w:rPr>
              <w:sz w:val="18"/>
              <w:szCs w:val="18"/>
              <w:lang w:val="en-US"/>
            </w:rPr>
            <w:fldChar w:fldCharType="end"/>
          </w:r>
        </w:p>
      </w:tc>
    </w:tr>
  </w:tbl>
  <w:p w14:paraId="768645C0" w14:textId="02630ACE" w:rsidR="00721657" w:rsidRPr="006331B7" w:rsidRDefault="00EF132F" w:rsidP="000D2722">
    <w:pPr>
      <w:jc w:val="center"/>
      <w:rPr>
        <w:rStyle w:val="Hyperlink"/>
        <w:sz w:val="18"/>
        <w:szCs w:val="18"/>
      </w:rPr>
    </w:pPr>
    <w:hyperlink r:id="rId1" w:history="1">
      <w:r w:rsidR="00F8726C" w:rsidRPr="006331B7">
        <w:rPr>
          <w:rStyle w:val="Hyperlink"/>
          <w:sz w:val="18"/>
          <w:szCs w:val="18"/>
        </w:rPr>
        <w:t>GC</w:t>
      </w:r>
      <w:r w:rsidR="00F8726C" w:rsidRPr="006331B7">
        <w:rPr>
          <w:rStyle w:val="Hyperlink"/>
          <w:sz w:val="18"/>
          <w:szCs w:val="18"/>
        </w:rPr>
        <w:t>D</w:t>
      </w:r>
      <w:r w:rsidR="00F8726C" w:rsidRPr="006331B7">
        <w:rPr>
          <w:rStyle w:val="Hyperlink"/>
          <w:sz w:val="18"/>
          <w:szCs w:val="18"/>
        </w:rPr>
        <w:t>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0DDE1" w14:textId="77777777" w:rsidR="00034B1C" w:rsidRDefault="00034B1C">
      <w:r>
        <w:t>____________________</w:t>
      </w:r>
    </w:p>
  </w:footnote>
  <w:footnote w:type="continuationSeparator" w:id="0">
    <w:p w14:paraId="04FAA281" w14:textId="77777777" w:rsidR="00034B1C" w:rsidRDefault="00034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FF00E" w14:textId="070F7781" w:rsidR="00721657" w:rsidRPr="00A525CC" w:rsidRDefault="00A525CC" w:rsidP="000D2722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6D271A">
      <w:rPr>
        <w:sz w:val="22"/>
        <w:szCs w:val="22"/>
        <w:lang w:val="de-CH"/>
      </w:rPr>
      <w:t>ITU-D/</w:t>
    </w:r>
    <w:r w:rsidRPr="00A54E72">
      <w:rPr>
        <w:sz w:val="22"/>
        <w:szCs w:val="22"/>
        <w:lang w:val="de-CH"/>
      </w:rPr>
      <w:t>TDAG</w:t>
    </w:r>
    <w:r w:rsidR="000D2722">
      <w:rPr>
        <w:sz w:val="22"/>
        <w:szCs w:val="22"/>
        <w:lang w:val="de-CH"/>
      </w:rPr>
      <w:t>-23</w:t>
    </w:r>
    <w:r w:rsidRPr="00A54E72">
      <w:rPr>
        <w:sz w:val="22"/>
        <w:szCs w:val="22"/>
        <w:lang w:val="de-CH"/>
      </w:rPr>
      <w:t>/</w:t>
    </w:r>
    <w:r w:rsidR="000D2722">
      <w:rPr>
        <w:sz w:val="22"/>
        <w:szCs w:val="22"/>
        <w:lang w:val="de-CH"/>
      </w:rPr>
      <w:t>23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EF132F">
      <w:rPr>
        <w:noProof/>
        <w:sz w:val="22"/>
        <w:szCs w:val="22"/>
        <w:lang w:val="de-CH"/>
      </w:rPr>
      <w:t>4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A1D03"/>
    <w:multiLevelType w:val="hybridMultilevel"/>
    <w:tmpl w:val="7FD0E24A"/>
    <w:lvl w:ilvl="0" w:tplc="0128CCEC">
      <w:start w:val="1"/>
      <w:numFmt w:val="bullet"/>
      <w:lvlText w:val="–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25E62CD0"/>
    <w:multiLevelType w:val="hybridMultilevel"/>
    <w:tmpl w:val="DF70796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3AC5538F"/>
    <w:multiLevelType w:val="hybridMultilevel"/>
    <w:tmpl w:val="0980DA16"/>
    <w:lvl w:ilvl="0" w:tplc="0128CCEC">
      <w:start w:val="1"/>
      <w:numFmt w:val="bullet"/>
      <w:lvlText w:val="–"/>
      <w:lvlJc w:val="left"/>
      <w:pPr>
        <w:ind w:left="394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82E589D"/>
    <w:multiLevelType w:val="hybridMultilevel"/>
    <w:tmpl w:val="7F984BDC"/>
    <w:lvl w:ilvl="0" w:tplc="D8AA70EE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1C"/>
    <w:rsid w:val="00002716"/>
    <w:rsid w:val="00005791"/>
    <w:rsid w:val="00010827"/>
    <w:rsid w:val="00013D7B"/>
    <w:rsid w:val="00015089"/>
    <w:rsid w:val="0002520B"/>
    <w:rsid w:val="00034B1C"/>
    <w:rsid w:val="00037A9E"/>
    <w:rsid w:val="00037F91"/>
    <w:rsid w:val="00052B83"/>
    <w:rsid w:val="000539F1"/>
    <w:rsid w:val="00054747"/>
    <w:rsid w:val="0005521D"/>
    <w:rsid w:val="00055A2A"/>
    <w:rsid w:val="0006061C"/>
    <w:rsid w:val="000615C1"/>
    <w:rsid w:val="00061675"/>
    <w:rsid w:val="00065ADA"/>
    <w:rsid w:val="00071568"/>
    <w:rsid w:val="00073308"/>
    <w:rsid w:val="000743AA"/>
    <w:rsid w:val="0009225C"/>
    <w:rsid w:val="000A17C4"/>
    <w:rsid w:val="000A36A4"/>
    <w:rsid w:val="000B2352"/>
    <w:rsid w:val="000C7B84"/>
    <w:rsid w:val="000D261B"/>
    <w:rsid w:val="000D2722"/>
    <w:rsid w:val="000D58A3"/>
    <w:rsid w:val="000E0739"/>
    <w:rsid w:val="000E3ED4"/>
    <w:rsid w:val="000E3F9C"/>
    <w:rsid w:val="000E5375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68AE"/>
    <w:rsid w:val="001271DB"/>
    <w:rsid w:val="00133061"/>
    <w:rsid w:val="00141699"/>
    <w:rsid w:val="00147000"/>
    <w:rsid w:val="00163091"/>
    <w:rsid w:val="001645CB"/>
    <w:rsid w:val="001647C3"/>
    <w:rsid w:val="00166305"/>
    <w:rsid w:val="00167545"/>
    <w:rsid w:val="001703C6"/>
    <w:rsid w:val="00171ED3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0954"/>
    <w:rsid w:val="001B357F"/>
    <w:rsid w:val="001B57AD"/>
    <w:rsid w:val="001C3444"/>
    <w:rsid w:val="001C3702"/>
    <w:rsid w:val="001C4656"/>
    <w:rsid w:val="001C46BC"/>
    <w:rsid w:val="001F23E6"/>
    <w:rsid w:val="001F4238"/>
    <w:rsid w:val="00200A38"/>
    <w:rsid w:val="00200A46"/>
    <w:rsid w:val="00206BE6"/>
    <w:rsid w:val="00211B6F"/>
    <w:rsid w:val="00212F8D"/>
    <w:rsid w:val="00217CC3"/>
    <w:rsid w:val="00220AB6"/>
    <w:rsid w:val="0022120F"/>
    <w:rsid w:val="0022754A"/>
    <w:rsid w:val="00231D64"/>
    <w:rsid w:val="00234D93"/>
    <w:rsid w:val="00236560"/>
    <w:rsid w:val="0023662E"/>
    <w:rsid w:val="00245D0F"/>
    <w:rsid w:val="002548C3"/>
    <w:rsid w:val="00255A4F"/>
    <w:rsid w:val="00257ACD"/>
    <w:rsid w:val="00262908"/>
    <w:rsid w:val="002650F4"/>
    <w:rsid w:val="002715FD"/>
    <w:rsid w:val="002770B1"/>
    <w:rsid w:val="002800DA"/>
    <w:rsid w:val="00285B33"/>
    <w:rsid w:val="00287A3C"/>
    <w:rsid w:val="002A2FC6"/>
    <w:rsid w:val="002A7DEE"/>
    <w:rsid w:val="002B11DE"/>
    <w:rsid w:val="002C1EC7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125C3"/>
    <w:rsid w:val="00312AE6"/>
    <w:rsid w:val="00317D1A"/>
    <w:rsid w:val="003211FF"/>
    <w:rsid w:val="00327247"/>
    <w:rsid w:val="00327A9D"/>
    <w:rsid w:val="0033130E"/>
    <w:rsid w:val="0033269C"/>
    <w:rsid w:val="00334A50"/>
    <w:rsid w:val="003413EC"/>
    <w:rsid w:val="00344BF8"/>
    <w:rsid w:val="0035516C"/>
    <w:rsid w:val="00355A4C"/>
    <w:rsid w:val="003604FB"/>
    <w:rsid w:val="00360B73"/>
    <w:rsid w:val="003708C3"/>
    <w:rsid w:val="00377BF9"/>
    <w:rsid w:val="00380B71"/>
    <w:rsid w:val="0038309D"/>
    <w:rsid w:val="0038365A"/>
    <w:rsid w:val="00384927"/>
    <w:rsid w:val="00386A89"/>
    <w:rsid w:val="003917BC"/>
    <w:rsid w:val="0039648E"/>
    <w:rsid w:val="003967CB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258F6"/>
    <w:rsid w:val="00431829"/>
    <w:rsid w:val="0044411E"/>
    <w:rsid w:val="004473EC"/>
    <w:rsid w:val="00453435"/>
    <w:rsid w:val="00460225"/>
    <w:rsid w:val="00466398"/>
    <w:rsid w:val="0047306D"/>
    <w:rsid w:val="00473791"/>
    <w:rsid w:val="00476E48"/>
    <w:rsid w:val="00481DE9"/>
    <w:rsid w:val="00485C31"/>
    <w:rsid w:val="00487EEF"/>
    <w:rsid w:val="0049128B"/>
    <w:rsid w:val="004933BE"/>
    <w:rsid w:val="00493B49"/>
    <w:rsid w:val="00495501"/>
    <w:rsid w:val="004A070A"/>
    <w:rsid w:val="004A320E"/>
    <w:rsid w:val="004A4E9C"/>
    <w:rsid w:val="004B1A3C"/>
    <w:rsid w:val="004C67A5"/>
    <w:rsid w:val="004D2CC3"/>
    <w:rsid w:val="004D35CB"/>
    <w:rsid w:val="004E20E5"/>
    <w:rsid w:val="004E64EA"/>
    <w:rsid w:val="004E695B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32DD"/>
    <w:rsid w:val="0056423B"/>
    <w:rsid w:val="00570AE8"/>
    <w:rsid w:val="00573424"/>
    <w:rsid w:val="0057402F"/>
    <w:rsid w:val="005849D6"/>
    <w:rsid w:val="00585367"/>
    <w:rsid w:val="005858D1"/>
    <w:rsid w:val="005871A1"/>
    <w:rsid w:val="0058737E"/>
    <w:rsid w:val="00592518"/>
    <w:rsid w:val="00592E87"/>
    <w:rsid w:val="00594C4D"/>
    <w:rsid w:val="005A33B0"/>
    <w:rsid w:val="005C2DC2"/>
    <w:rsid w:val="005C304A"/>
    <w:rsid w:val="005C3D69"/>
    <w:rsid w:val="005C7C98"/>
    <w:rsid w:val="005D55A4"/>
    <w:rsid w:val="005D57C8"/>
    <w:rsid w:val="005D7761"/>
    <w:rsid w:val="005E0278"/>
    <w:rsid w:val="005E090D"/>
    <w:rsid w:val="005E23F2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EEB"/>
    <w:rsid w:val="00623F30"/>
    <w:rsid w:val="00625FB8"/>
    <w:rsid w:val="006261BD"/>
    <w:rsid w:val="006331B7"/>
    <w:rsid w:val="00635EDB"/>
    <w:rsid w:val="0064734E"/>
    <w:rsid w:val="00650137"/>
    <w:rsid w:val="006509D7"/>
    <w:rsid w:val="00651CE8"/>
    <w:rsid w:val="006551EE"/>
    <w:rsid w:val="0065521B"/>
    <w:rsid w:val="00671EF6"/>
    <w:rsid w:val="0067205B"/>
    <w:rsid w:val="006748F8"/>
    <w:rsid w:val="00680489"/>
    <w:rsid w:val="00683C32"/>
    <w:rsid w:val="00684236"/>
    <w:rsid w:val="00690BB2"/>
    <w:rsid w:val="00693D09"/>
    <w:rsid w:val="006A6549"/>
    <w:rsid w:val="006A7710"/>
    <w:rsid w:val="006A7A61"/>
    <w:rsid w:val="006B1E59"/>
    <w:rsid w:val="006B2FFB"/>
    <w:rsid w:val="006B626D"/>
    <w:rsid w:val="006C10A2"/>
    <w:rsid w:val="006C1F18"/>
    <w:rsid w:val="006C51E8"/>
    <w:rsid w:val="006D40D5"/>
    <w:rsid w:val="006E7507"/>
    <w:rsid w:val="006F009A"/>
    <w:rsid w:val="006F3D93"/>
    <w:rsid w:val="007019B1"/>
    <w:rsid w:val="00715115"/>
    <w:rsid w:val="00721132"/>
    <w:rsid w:val="00721657"/>
    <w:rsid w:val="00723274"/>
    <w:rsid w:val="007279A8"/>
    <w:rsid w:val="00727B1A"/>
    <w:rsid w:val="00732966"/>
    <w:rsid w:val="00737921"/>
    <w:rsid w:val="00741337"/>
    <w:rsid w:val="00741F0A"/>
    <w:rsid w:val="00752258"/>
    <w:rsid w:val="007529E1"/>
    <w:rsid w:val="00762880"/>
    <w:rsid w:val="00762AD6"/>
    <w:rsid w:val="00762E02"/>
    <w:rsid w:val="007703DE"/>
    <w:rsid w:val="00772290"/>
    <w:rsid w:val="00777265"/>
    <w:rsid w:val="007805E7"/>
    <w:rsid w:val="0078222A"/>
    <w:rsid w:val="00787D48"/>
    <w:rsid w:val="00795294"/>
    <w:rsid w:val="007A130E"/>
    <w:rsid w:val="007A3D9B"/>
    <w:rsid w:val="007A4E50"/>
    <w:rsid w:val="007A5F1F"/>
    <w:rsid w:val="007B18A7"/>
    <w:rsid w:val="007B250E"/>
    <w:rsid w:val="007C27FC"/>
    <w:rsid w:val="007C51FF"/>
    <w:rsid w:val="007D50E4"/>
    <w:rsid w:val="007E2DC5"/>
    <w:rsid w:val="007E3487"/>
    <w:rsid w:val="007E5926"/>
    <w:rsid w:val="007F1CC7"/>
    <w:rsid w:val="007F7318"/>
    <w:rsid w:val="008027AC"/>
    <w:rsid w:val="008028CE"/>
    <w:rsid w:val="0080332E"/>
    <w:rsid w:val="00812A0B"/>
    <w:rsid w:val="008141E0"/>
    <w:rsid w:val="00816EE1"/>
    <w:rsid w:val="00816F88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53D1"/>
    <w:rsid w:val="008B54CB"/>
    <w:rsid w:val="008B5A3D"/>
    <w:rsid w:val="008C4010"/>
    <w:rsid w:val="008C4FDF"/>
    <w:rsid w:val="008C6B1F"/>
    <w:rsid w:val="008D5E4F"/>
    <w:rsid w:val="008F14F5"/>
    <w:rsid w:val="008F71C1"/>
    <w:rsid w:val="008F794E"/>
    <w:rsid w:val="00902D41"/>
    <w:rsid w:val="00902F49"/>
    <w:rsid w:val="00907114"/>
    <w:rsid w:val="00914004"/>
    <w:rsid w:val="00914279"/>
    <w:rsid w:val="00922EC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77AF0"/>
    <w:rsid w:val="00981CB7"/>
    <w:rsid w:val="00983E1F"/>
    <w:rsid w:val="00993F46"/>
    <w:rsid w:val="00997358"/>
    <w:rsid w:val="00997CD5"/>
    <w:rsid w:val="009A452B"/>
    <w:rsid w:val="009A7D4A"/>
    <w:rsid w:val="009B050C"/>
    <w:rsid w:val="009B087F"/>
    <w:rsid w:val="009B2AF4"/>
    <w:rsid w:val="009C0498"/>
    <w:rsid w:val="009C110B"/>
    <w:rsid w:val="009C5441"/>
    <w:rsid w:val="009D119F"/>
    <w:rsid w:val="009D49A2"/>
    <w:rsid w:val="009F3940"/>
    <w:rsid w:val="009F3EB2"/>
    <w:rsid w:val="009F6EB1"/>
    <w:rsid w:val="00A10218"/>
    <w:rsid w:val="00A11D05"/>
    <w:rsid w:val="00A13162"/>
    <w:rsid w:val="00A16166"/>
    <w:rsid w:val="00A20267"/>
    <w:rsid w:val="00A21E7C"/>
    <w:rsid w:val="00A26DA9"/>
    <w:rsid w:val="00A270A7"/>
    <w:rsid w:val="00A3158C"/>
    <w:rsid w:val="00A326E7"/>
    <w:rsid w:val="00A32DF3"/>
    <w:rsid w:val="00A33E32"/>
    <w:rsid w:val="00A35E20"/>
    <w:rsid w:val="00A36F6D"/>
    <w:rsid w:val="00A50CA0"/>
    <w:rsid w:val="00A525CC"/>
    <w:rsid w:val="00A53E7C"/>
    <w:rsid w:val="00A60087"/>
    <w:rsid w:val="00A66BD7"/>
    <w:rsid w:val="00A705E8"/>
    <w:rsid w:val="00A721F4"/>
    <w:rsid w:val="00A73DCA"/>
    <w:rsid w:val="00A8762A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08C9"/>
    <w:rsid w:val="00B01046"/>
    <w:rsid w:val="00B15F49"/>
    <w:rsid w:val="00B310F9"/>
    <w:rsid w:val="00B37866"/>
    <w:rsid w:val="00B412FB"/>
    <w:rsid w:val="00B41EFD"/>
    <w:rsid w:val="00B4576B"/>
    <w:rsid w:val="00B46350"/>
    <w:rsid w:val="00B46DF3"/>
    <w:rsid w:val="00B656E3"/>
    <w:rsid w:val="00B66C21"/>
    <w:rsid w:val="00B66E8F"/>
    <w:rsid w:val="00B71CF8"/>
    <w:rsid w:val="00B80157"/>
    <w:rsid w:val="00B83D5E"/>
    <w:rsid w:val="00B8460A"/>
    <w:rsid w:val="00B8650D"/>
    <w:rsid w:val="00B879B4"/>
    <w:rsid w:val="00B901FD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4FC6"/>
    <w:rsid w:val="00BD7378"/>
    <w:rsid w:val="00BD79F0"/>
    <w:rsid w:val="00BE0BAD"/>
    <w:rsid w:val="00BE2B4D"/>
    <w:rsid w:val="00C00FBE"/>
    <w:rsid w:val="00C015F8"/>
    <w:rsid w:val="00C05140"/>
    <w:rsid w:val="00C07E26"/>
    <w:rsid w:val="00C1011C"/>
    <w:rsid w:val="00C12840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768"/>
    <w:rsid w:val="00D01F54"/>
    <w:rsid w:val="00D040F7"/>
    <w:rsid w:val="00D04A76"/>
    <w:rsid w:val="00D10FC7"/>
    <w:rsid w:val="00D1519F"/>
    <w:rsid w:val="00D20099"/>
    <w:rsid w:val="00D20E99"/>
    <w:rsid w:val="00D21C83"/>
    <w:rsid w:val="00D35BDD"/>
    <w:rsid w:val="00D54BD3"/>
    <w:rsid w:val="00D63006"/>
    <w:rsid w:val="00D72301"/>
    <w:rsid w:val="00D74BAA"/>
    <w:rsid w:val="00D805B3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B6541"/>
    <w:rsid w:val="00DC1BD3"/>
    <w:rsid w:val="00DC2C1A"/>
    <w:rsid w:val="00DC3D18"/>
    <w:rsid w:val="00DD1AF8"/>
    <w:rsid w:val="00DD48DB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43BC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1186"/>
    <w:rsid w:val="00E55807"/>
    <w:rsid w:val="00E604E7"/>
    <w:rsid w:val="00E63B14"/>
    <w:rsid w:val="00E65B40"/>
    <w:rsid w:val="00E65CA0"/>
    <w:rsid w:val="00E70D9F"/>
    <w:rsid w:val="00E83207"/>
    <w:rsid w:val="00E83810"/>
    <w:rsid w:val="00E86933"/>
    <w:rsid w:val="00E9605B"/>
    <w:rsid w:val="00E96951"/>
    <w:rsid w:val="00E97298"/>
    <w:rsid w:val="00E97753"/>
    <w:rsid w:val="00EA7DE7"/>
    <w:rsid w:val="00EB7A8A"/>
    <w:rsid w:val="00EB7FB1"/>
    <w:rsid w:val="00EC01D9"/>
    <w:rsid w:val="00EC454C"/>
    <w:rsid w:val="00ED1627"/>
    <w:rsid w:val="00EE0CA8"/>
    <w:rsid w:val="00EE3A64"/>
    <w:rsid w:val="00EE50E5"/>
    <w:rsid w:val="00EF01CF"/>
    <w:rsid w:val="00EF132F"/>
    <w:rsid w:val="00F03590"/>
    <w:rsid w:val="00F03622"/>
    <w:rsid w:val="00F077FD"/>
    <w:rsid w:val="00F124FF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6B6D"/>
    <w:rsid w:val="00F52741"/>
    <w:rsid w:val="00F53D8A"/>
    <w:rsid w:val="00F626F7"/>
    <w:rsid w:val="00F736F9"/>
    <w:rsid w:val="00F73833"/>
    <w:rsid w:val="00F8726C"/>
    <w:rsid w:val="00F9211C"/>
    <w:rsid w:val="00F940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4D17AF43"/>
  <w15:docId w15:val="{A4A6B9CB-77BD-43A4-8FFE-9320862D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30353C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035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</w:rPr>
  </w:style>
  <w:style w:type="character" w:styleId="Hyperlink">
    <w:name w:val="Hyperlink"/>
    <w:basedOn w:val="DefaultParagraphFont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272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DD48D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D48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D48DB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48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48DB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C51E8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6331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chiocomunitario.org/wp-content/uploads/2023/02/Capacity-development-for-Indigenous-communities-of-the-Americas-r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pc.org/en/blog/meet-national-schools-empowering-grassroots-communities-bridge-digital-divi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apc.org/sites/default/files/FINAL_Technological_autonomy_as_a_constellation_of_experiences_18-03.pdf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techiocomunitario.org/en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fr/ITU-D/Conferences/TDAG/Pages/TDAG19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91666-2014-4C5A-B84D-67B499075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1283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Manager>General Secretariat - Pool</Manager>
  <Company>International Telecommunication Union (ITU)</Company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creator>BDT-nd</dc:creator>
  <cp:lastModifiedBy>Royer, Veronique</cp:lastModifiedBy>
  <cp:revision>3</cp:revision>
  <cp:lastPrinted>2014-11-04T09:22:00Z</cp:lastPrinted>
  <dcterms:created xsi:type="dcterms:W3CDTF">2023-05-11T05:56:00Z</dcterms:created>
  <dcterms:modified xsi:type="dcterms:W3CDTF">2023-05-11T06:52:00Z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TranslatedWith">
    <vt:lpwstr>Mercury</vt:lpwstr>
  </property>
  <property fmtid="{D5CDD505-2E9C-101B-9397-08002B2CF9AE}" pid="9" name="GeneratedBy">
    <vt:lpwstr>valeria.dawonauth</vt:lpwstr>
  </property>
  <property fmtid="{D5CDD505-2E9C-101B-9397-08002B2CF9AE}" pid="10" name="GeneratedDate">
    <vt:lpwstr>05/09/2023 15:09:28</vt:lpwstr>
  </property>
  <property fmtid="{D5CDD505-2E9C-101B-9397-08002B2CF9AE}" pid="11" name="OriginalDocID">
    <vt:lpwstr>852592b1-f110-4839-944a-a538fd9278e5</vt:lpwstr>
  </property>
</Properties>
</file>