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00952667">
        <w:trPr>
          <w:cantSplit/>
          <w:trHeight w:val="1134"/>
        </w:trPr>
        <w:tc>
          <w:tcPr>
            <w:tcW w:w="6379" w:type="dxa"/>
          </w:tcPr>
          <w:p w14:paraId="68FE8375" w14:textId="77777777" w:rsidR="00307769" w:rsidRDefault="00307769" w:rsidP="00307769">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37D83956" w:rsidR="00307769" w:rsidRPr="00844A56" w:rsidRDefault="00307769" w:rsidP="00307769">
            <w:pPr>
              <w:tabs>
                <w:tab w:val="clear" w:pos="1191"/>
                <w:tab w:val="clear" w:pos="1588"/>
                <w:tab w:val="clear" w:pos="1985"/>
              </w:tabs>
              <w:spacing w:after="120"/>
              <w:ind w:left="34"/>
              <w:rPr>
                <w:rFonts w:ascii="Verdana" w:hAnsi="Verdana"/>
                <w:sz w:val="28"/>
                <w:szCs w:val="28"/>
              </w:rPr>
            </w:pPr>
            <w:r>
              <w:rPr>
                <w:b/>
                <w:bCs/>
                <w:sz w:val="26"/>
                <w:szCs w:val="26"/>
              </w:rPr>
              <w:t xml:space="preserve">30th Meeting, Geneva, Switzerland, </w:t>
            </w:r>
            <w:r w:rsidRPr="00307769">
              <w:rPr>
                <w:b/>
                <w:bCs/>
                <w:sz w:val="26"/>
                <w:szCs w:val="26"/>
              </w:rPr>
              <w:t>19-23 June 2023</w:t>
            </w:r>
          </w:p>
        </w:tc>
        <w:tc>
          <w:tcPr>
            <w:tcW w:w="3509" w:type="dxa"/>
          </w:tcPr>
          <w:p w14:paraId="67E7B4C4" w14:textId="0F52E4CC" w:rsidR="00307769" w:rsidRPr="00683C32" w:rsidRDefault="00307769" w:rsidP="00952667">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625E1E6B" w:rsidR="00683C32" w:rsidRPr="00375CDB" w:rsidRDefault="0096201B" w:rsidP="00B648C7">
            <w:pPr>
              <w:spacing w:before="0"/>
              <w:jc w:val="both"/>
              <w:rPr>
                <w:bCs/>
                <w:szCs w:val="24"/>
                <w:lang w:val="en-US"/>
              </w:rPr>
            </w:pPr>
            <w:r w:rsidRPr="00375CDB">
              <w:rPr>
                <w:b/>
                <w:bCs/>
                <w:lang w:val="en-US"/>
              </w:rPr>
              <w:t xml:space="preserve">Document </w:t>
            </w:r>
            <w:bookmarkStart w:id="0" w:name="DocRef1"/>
            <w:bookmarkEnd w:id="0"/>
            <w:r w:rsidRPr="00375CDB">
              <w:rPr>
                <w:b/>
                <w:bCs/>
                <w:lang w:val="en-US"/>
              </w:rPr>
              <w:t>TDAG</w:t>
            </w:r>
            <w:r w:rsidR="003242AB" w:rsidRPr="00375CDB">
              <w:rPr>
                <w:b/>
                <w:bCs/>
                <w:lang w:val="en-US"/>
              </w:rPr>
              <w:t>-</w:t>
            </w:r>
            <w:r w:rsidR="00B648C7" w:rsidRPr="00375CDB">
              <w:rPr>
                <w:b/>
                <w:bCs/>
                <w:lang w:val="en-US"/>
              </w:rPr>
              <w:t>2</w:t>
            </w:r>
            <w:bookmarkStart w:id="1" w:name="DocNo1"/>
            <w:bookmarkEnd w:id="1"/>
            <w:r w:rsidR="00307769" w:rsidRPr="00375CDB">
              <w:rPr>
                <w:b/>
                <w:bCs/>
                <w:lang w:val="en-US"/>
              </w:rPr>
              <w:t>3</w:t>
            </w:r>
            <w:r w:rsidR="0009076F" w:rsidRPr="00375CDB">
              <w:rPr>
                <w:b/>
                <w:bCs/>
                <w:lang w:val="en-US"/>
              </w:rPr>
              <w:t>/</w:t>
            </w:r>
            <w:r w:rsidR="00375CDB" w:rsidRPr="00375CDB">
              <w:rPr>
                <w:b/>
                <w:bCs/>
                <w:lang w:val="en-US"/>
              </w:rPr>
              <w:t>2</w:t>
            </w:r>
            <w:r w:rsidR="00C770DC">
              <w:rPr>
                <w:b/>
                <w:bCs/>
                <w:lang w:val="en-US"/>
              </w:rPr>
              <w:t>2</w:t>
            </w:r>
            <w:r w:rsidRPr="00375CDB">
              <w:rPr>
                <w:b/>
                <w:bCs/>
                <w:lang w:val="en-US"/>
              </w:rPr>
              <w:t>-E</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3CA658B6" w:rsidR="00683C32" w:rsidRPr="007F1CC7" w:rsidRDefault="00C770DC" w:rsidP="00B648C7">
            <w:pPr>
              <w:spacing w:before="0"/>
              <w:rPr>
                <w:b/>
                <w:szCs w:val="24"/>
              </w:rPr>
            </w:pPr>
            <w:bookmarkStart w:id="2" w:name="CreationDate"/>
            <w:bookmarkEnd w:id="2"/>
            <w:r>
              <w:rPr>
                <w:b/>
                <w:bCs/>
                <w:szCs w:val="28"/>
              </w:rPr>
              <w:t>24 April 2023</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0BF1F51F" w:rsidR="00514D2F" w:rsidRPr="007F1CC7" w:rsidRDefault="0096201B" w:rsidP="00400CCF">
            <w:pPr>
              <w:spacing w:before="0"/>
              <w:rPr>
                <w:szCs w:val="24"/>
              </w:rPr>
            </w:pPr>
            <w:r>
              <w:rPr>
                <w:b/>
              </w:rPr>
              <w:t>Original:</w:t>
            </w:r>
            <w:bookmarkStart w:id="3" w:name="Original"/>
            <w:bookmarkEnd w:id="3"/>
            <w:r w:rsidR="00CE0422">
              <w:rPr>
                <w:b/>
              </w:rPr>
              <w:t xml:space="preserve"> </w:t>
            </w:r>
            <w:r w:rsidR="00AD4677">
              <w:rPr>
                <w:b/>
              </w:rPr>
              <w:t>English</w:t>
            </w:r>
          </w:p>
        </w:tc>
      </w:tr>
      <w:tr w:rsidR="00A13162" w14:paraId="31656E31" w14:textId="77777777" w:rsidTr="00107E85">
        <w:trPr>
          <w:cantSplit/>
          <w:trHeight w:val="852"/>
        </w:trPr>
        <w:tc>
          <w:tcPr>
            <w:tcW w:w="9888" w:type="dxa"/>
            <w:gridSpan w:val="2"/>
          </w:tcPr>
          <w:p w14:paraId="512FCA01" w14:textId="5EF74DF4" w:rsidR="00A13162" w:rsidRPr="0030353C" w:rsidRDefault="00C770DC" w:rsidP="0030353C">
            <w:pPr>
              <w:pStyle w:val="Source"/>
            </w:pPr>
            <w:bookmarkStart w:id="4" w:name="Source"/>
            <w:bookmarkEnd w:id="4"/>
            <w:r>
              <w:t>Kenya and ATDI (France)</w:t>
            </w:r>
          </w:p>
        </w:tc>
      </w:tr>
      <w:tr w:rsidR="00AC6F14" w:rsidRPr="002E6963" w14:paraId="2CBD3A36" w14:textId="77777777" w:rsidTr="00107E85">
        <w:trPr>
          <w:cantSplit/>
        </w:trPr>
        <w:tc>
          <w:tcPr>
            <w:tcW w:w="9888" w:type="dxa"/>
            <w:gridSpan w:val="2"/>
          </w:tcPr>
          <w:p w14:paraId="1B4121DF" w14:textId="7EEEA355" w:rsidR="00AC6F14" w:rsidRPr="0030353C" w:rsidRDefault="00C770DC" w:rsidP="0030353C">
            <w:pPr>
              <w:pStyle w:val="Title1"/>
            </w:pPr>
            <w:bookmarkStart w:id="5" w:name="Title"/>
            <w:bookmarkEnd w:id="5"/>
            <w:r w:rsidRPr="00C770DC">
              <w:t xml:space="preserve">Resolution 9 (Rev. Kigali, 2022) implementation, ITU-R and ITU-D collaboration - Participation of countries, particularly developing countries, </w:t>
            </w:r>
            <w:r w:rsidR="00426A0A">
              <w:br/>
            </w:r>
            <w:r w:rsidRPr="00C770DC">
              <w:t>in spectrum management</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EA0C51">
            <w:pPr>
              <w:spacing w:after="120"/>
              <w:rPr>
                <w:b/>
                <w:bCs/>
                <w:szCs w:val="24"/>
              </w:rPr>
            </w:pPr>
            <w:r w:rsidRPr="00D9621A">
              <w:rPr>
                <w:b/>
                <w:bCs/>
                <w:szCs w:val="24"/>
              </w:rPr>
              <w:t>Summary:</w:t>
            </w:r>
          </w:p>
          <w:p w14:paraId="1D5BF2CA" w14:textId="5F014B8A" w:rsidR="001C6B7B" w:rsidRDefault="00426A0A" w:rsidP="00B10294">
            <w:pPr>
              <w:spacing w:after="120"/>
            </w:pPr>
            <w:r>
              <w:t>This document contains the progress on the work on Resolution 9 (Rev. Kigali, 2022) by</w:t>
            </w:r>
            <w:r w:rsidR="00091B21">
              <w:t xml:space="preserve"> Study Groups (SG) ITU-R SG 1, </w:t>
            </w:r>
            <w:r>
              <w:t xml:space="preserve">ITU-D </w:t>
            </w:r>
            <w:r w:rsidR="00091B21">
              <w:t>SG 1</w:t>
            </w:r>
            <w:r>
              <w:t xml:space="preserve"> and </w:t>
            </w:r>
            <w:r w:rsidR="00091B21">
              <w:t xml:space="preserve">ITU-D SG 2. </w:t>
            </w:r>
            <w:r w:rsidR="00AF3D3E" w:rsidRPr="00AF3D3E">
              <w:t xml:space="preserve">ITU-D SG 1 </w:t>
            </w:r>
            <w:r w:rsidR="00091B21">
              <w:t xml:space="preserve">nominated the coordinators </w:t>
            </w:r>
            <w:r w:rsidR="00AF3D3E" w:rsidRPr="00AF3D3E">
              <w:t xml:space="preserve">for </w:t>
            </w:r>
            <w:r w:rsidR="00091B21">
              <w:t xml:space="preserve">WTDC </w:t>
            </w:r>
            <w:r w:rsidR="00AF3D3E" w:rsidRPr="00AF3D3E">
              <w:t>Resolution 9, Mr Roberto Hirayama (Brazil) and Mr Sunil Singhal (India)</w:t>
            </w:r>
            <w:r w:rsidR="0099155F">
              <w:t>;</w:t>
            </w:r>
            <w:r w:rsidR="00AF3D3E">
              <w:t xml:space="preserve"> </w:t>
            </w:r>
            <w:r w:rsidR="00B10294" w:rsidRPr="00AF3D3E">
              <w:t xml:space="preserve">ITU-D SG </w:t>
            </w:r>
            <w:r w:rsidR="00B10294">
              <w:t>2</w:t>
            </w:r>
            <w:r w:rsidR="00B10294" w:rsidRPr="00AF3D3E">
              <w:t xml:space="preserve"> </w:t>
            </w:r>
            <w:r w:rsidR="00B10294">
              <w:t>nominated the coordinators</w:t>
            </w:r>
            <w:r w:rsidR="0099155F">
              <w:t>,</w:t>
            </w:r>
            <w:r w:rsidR="00B10294">
              <w:t xml:space="preserve"> </w:t>
            </w:r>
            <w:r w:rsidR="00091B21">
              <w:t xml:space="preserve">Mr Hideo </w:t>
            </w:r>
            <w:proofErr w:type="spellStart"/>
            <w:r w:rsidR="00B10294">
              <w:t>Imanaka</w:t>
            </w:r>
            <w:proofErr w:type="spellEnd"/>
            <w:r w:rsidR="00B10294">
              <w:t xml:space="preserve"> </w:t>
            </w:r>
            <w:r w:rsidR="00091B21">
              <w:t xml:space="preserve">(Japan) </w:t>
            </w:r>
            <w:r w:rsidR="0099155F">
              <w:t xml:space="preserve">and </w:t>
            </w:r>
            <w:r w:rsidR="00091B21">
              <w:t xml:space="preserve">Mr Haim </w:t>
            </w:r>
            <w:r w:rsidR="00B10294">
              <w:t xml:space="preserve">Mazar </w:t>
            </w:r>
            <w:r w:rsidR="00091B21">
              <w:t>(ATDI, France).</w:t>
            </w:r>
            <w:r w:rsidR="00B10294">
              <w:t xml:space="preserve">  ITU-D and ITU-R Directors to collaborate closely to improve cooperation, via ITU-D SGs and ITU-R SG 1. TDAG, in collaboration with the regional focal points and the BR, may guide ITU-D SGs, how to advance collaboration.</w:t>
            </w:r>
            <w:r w:rsidR="00B10294" w:rsidRPr="00B10294">
              <w:t xml:space="preserve"> </w:t>
            </w:r>
          </w:p>
          <w:p w14:paraId="6FB76AD4" w14:textId="0EC2A5DE" w:rsidR="00EC5653" w:rsidRDefault="00091B21" w:rsidP="00B10294">
            <w:pPr>
              <w:spacing w:after="120"/>
              <w:rPr>
                <w:b/>
                <w:bCs/>
              </w:rPr>
            </w:pPr>
            <w:r w:rsidRPr="00B10294">
              <w:rPr>
                <w:lang w:val="en-US"/>
              </w:rPr>
              <w:t>Note by the Secretariat</w:t>
            </w:r>
            <w:r>
              <w:rPr>
                <w:lang w:val="en-US"/>
              </w:rPr>
              <w:t xml:space="preserve">: </w:t>
            </w:r>
            <w:r w:rsidR="0099155F">
              <w:rPr>
                <w:lang w:val="en-US"/>
              </w:rPr>
              <w:t xml:space="preserve">this </w:t>
            </w:r>
            <w:r>
              <w:rPr>
                <w:lang w:val="en-US"/>
              </w:rPr>
              <w:t xml:space="preserve">document was also submitted to </w:t>
            </w:r>
            <w:r w:rsidR="00FE333C">
              <w:rPr>
                <w:lang w:val="en-US"/>
              </w:rPr>
              <w:t>ITU-</w:t>
            </w:r>
            <w:r w:rsidR="00B10294">
              <w:rPr>
                <w:lang w:val="en-US"/>
              </w:rPr>
              <w:t xml:space="preserve">R SG 1, </w:t>
            </w:r>
            <w:r w:rsidR="00FE333C">
              <w:rPr>
                <w:lang w:val="en-US"/>
              </w:rPr>
              <w:t xml:space="preserve">to the </w:t>
            </w:r>
            <w:r w:rsidR="00B10294" w:rsidRPr="00C770DC">
              <w:rPr>
                <w:rFonts w:cstheme="minorHAnsi"/>
                <w:szCs w:val="24"/>
              </w:rPr>
              <w:t xml:space="preserve">Inter-Sector Coordination Group </w:t>
            </w:r>
            <w:r w:rsidR="00B10294">
              <w:rPr>
                <w:rFonts w:cstheme="minorHAnsi"/>
                <w:szCs w:val="24"/>
              </w:rPr>
              <w:t xml:space="preserve">(ISCG) </w:t>
            </w:r>
            <w:r>
              <w:t xml:space="preserve">and </w:t>
            </w:r>
            <w:r w:rsidR="00FE333C">
              <w:t xml:space="preserve">to </w:t>
            </w:r>
            <w:r>
              <w:t>the Rapporteur Groups on ITU-D Questions 1/1, 2/1, 4/1, 5/1, 1/2</w:t>
            </w:r>
            <w:r w:rsidR="006F0140">
              <w:t>,</w:t>
            </w:r>
            <w:r>
              <w:t xml:space="preserve"> </w:t>
            </w:r>
            <w:r w:rsidR="006F0140">
              <w:t xml:space="preserve">2/2 </w:t>
            </w:r>
            <w:bookmarkStart w:id="6" w:name="_GoBack"/>
            <w:bookmarkEnd w:id="6"/>
            <w:r>
              <w:t>and 7/2</w:t>
            </w:r>
            <w:r w:rsidR="0099155F">
              <w:t>.</w:t>
            </w:r>
          </w:p>
          <w:p w14:paraId="76A1C541" w14:textId="0B4EF91C" w:rsidR="00A721F4" w:rsidRPr="00D9621A" w:rsidRDefault="00A721F4" w:rsidP="00EC5653">
            <w:pPr>
              <w:spacing w:after="120"/>
              <w:rPr>
                <w:b/>
                <w:bCs/>
                <w:szCs w:val="24"/>
              </w:rPr>
            </w:pPr>
            <w:r w:rsidRPr="005E090D">
              <w:rPr>
                <w:b/>
                <w:bCs/>
              </w:rPr>
              <w:t>Action required:</w:t>
            </w:r>
          </w:p>
          <w:p w14:paraId="1ECDD20E" w14:textId="6BD589B3" w:rsidR="00A721F4" w:rsidRPr="00D9621A" w:rsidRDefault="00EC5653" w:rsidP="00EA0C51">
            <w:pPr>
              <w:spacing w:after="120"/>
            </w:pPr>
            <w:r w:rsidRPr="00EC5653">
              <w:t xml:space="preserve">TDAG is invited to provide guidance </w:t>
            </w:r>
            <w:r w:rsidR="0099155F">
              <w:t>to ITU-D Study Groups, how to advance collaboration on Resolution 9 (Rev. Kigali, 2022),</w:t>
            </w:r>
            <w:r w:rsidR="0099155F" w:rsidRPr="00EC5653">
              <w:t xml:space="preserve"> </w:t>
            </w:r>
            <w:r w:rsidRPr="00EC5653">
              <w:t xml:space="preserve">as deemed appropriate. </w:t>
            </w:r>
          </w:p>
        </w:tc>
      </w:tr>
    </w:tbl>
    <w:p w14:paraId="77CF718B" w14:textId="77777777" w:rsidR="00AC6F14" w:rsidRDefault="00AC6F14" w:rsidP="00EA0C51">
      <w:pPr>
        <w:spacing w:after="120"/>
      </w:pPr>
    </w:p>
    <w:p w14:paraId="72F5CF96" w14:textId="77777777" w:rsidR="00923CF1" w:rsidRDefault="00923CF1" w:rsidP="00935FF0"/>
    <w:p w14:paraId="5B29B2A3" w14:textId="04F91758" w:rsidR="00C770DC" w:rsidRDefault="00C770DC">
      <w:pPr>
        <w:tabs>
          <w:tab w:val="clear" w:pos="794"/>
          <w:tab w:val="clear" w:pos="1191"/>
          <w:tab w:val="clear" w:pos="1588"/>
          <w:tab w:val="clear" w:pos="1985"/>
        </w:tabs>
        <w:overflowPunct/>
        <w:autoSpaceDE/>
        <w:autoSpaceDN/>
        <w:adjustRightInd/>
        <w:spacing w:before="0"/>
        <w:textAlignment w:val="auto"/>
      </w:pPr>
      <w:r>
        <w:br w:type="page"/>
      </w:r>
    </w:p>
    <w:p w14:paraId="10FA7E17" w14:textId="77777777" w:rsidR="00C770DC" w:rsidRPr="00C770DC" w:rsidRDefault="00C770DC" w:rsidP="00C770DC">
      <w:pPr>
        <w:tabs>
          <w:tab w:val="left" w:pos="720"/>
        </w:tabs>
        <w:overflowPunct/>
        <w:autoSpaceDE/>
        <w:adjustRightInd/>
        <w:spacing w:after="120"/>
        <w:rPr>
          <w:rStyle w:val="Hyperlink"/>
          <w:rFonts w:eastAsia="MS Mincho" w:cstheme="minorHAnsi"/>
          <w:color w:val="auto"/>
          <w:szCs w:val="24"/>
          <w:u w:val="none"/>
        </w:rPr>
      </w:pPr>
      <w:r w:rsidRPr="00C770DC">
        <w:rPr>
          <w:rStyle w:val="Hyperlink"/>
          <w:rFonts w:eastAsia="MS Mincho" w:cstheme="minorHAnsi"/>
          <w:color w:val="auto"/>
          <w:szCs w:val="24"/>
          <w:u w:val="none"/>
        </w:rPr>
        <w:lastRenderedPageBreak/>
        <w:t xml:space="preserve">Note: all over this contribution, </w:t>
      </w:r>
      <w:r w:rsidRPr="00C770DC">
        <w:rPr>
          <w:rStyle w:val="Hyperlink"/>
          <w:rFonts w:eastAsia="MS Mincho" w:cstheme="minorHAnsi"/>
          <w:color w:val="auto"/>
          <w:szCs w:val="24"/>
          <w:highlight w:val="yellow"/>
          <w:u w:val="none"/>
        </w:rPr>
        <w:t>highlights</w:t>
      </w:r>
      <w:r w:rsidRPr="00C770DC">
        <w:rPr>
          <w:rStyle w:val="Hyperlink"/>
          <w:rFonts w:eastAsia="MS Mincho" w:cstheme="minorHAnsi"/>
          <w:color w:val="auto"/>
          <w:szCs w:val="24"/>
          <w:u w:val="none"/>
        </w:rPr>
        <w:t xml:space="preserve"> are added by the contact-persons.</w:t>
      </w:r>
    </w:p>
    <w:p w14:paraId="74C3E349" w14:textId="77777777" w:rsidR="00C770DC" w:rsidRPr="00C770DC" w:rsidRDefault="00C770DC" w:rsidP="00C770DC">
      <w:pPr>
        <w:tabs>
          <w:tab w:val="left" w:pos="720"/>
        </w:tabs>
        <w:overflowPunct/>
        <w:autoSpaceDE/>
        <w:adjustRightInd/>
        <w:spacing w:after="120"/>
        <w:rPr>
          <w:rStyle w:val="Hyperlink"/>
          <w:rFonts w:eastAsia="MS Mincho" w:cstheme="minorHAnsi"/>
          <w:color w:val="auto"/>
          <w:szCs w:val="24"/>
          <w:u w:val="none"/>
        </w:rPr>
      </w:pPr>
    </w:p>
    <w:p w14:paraId="19F36ACC" w14:textId="0F84A4EA" w:rsidR="00C770DC" w:rsidRPr="00C770DC" w:rsidRDefault="00C770DC" w:rsidP="00C770DC">
      <w:pPr>
        <w:pStyle w:val="Heading2"/>
        <w:spacing w:before="120" w:after="120"/>
        <w:rPr>
          <w:rStyle w:val="Hyperlink"/>
          <w:rFonts w:eastAsia="MS Mincho" w:cstheme="minorHAnsi"/>
          <w:b w:val="0"/>
          <w:color w:val="auto"/>
          <w:szCs w:val="24"/>
          <w:u w:val="none"/>
        </w:rPr>
      </w:pPr>
      <w:r w:rsidRPr="00C770DC">
        <w:rPr>
          <w:rStyle w:val="Hyperlink"/>
          <w:color w:val="auto"/>
          <w:szCs w:val="24"/>
          <w:u w:val="none"/>
        </w:rPr>
        <w:t>Specifying the Sources of this Contribution</w:t>
      </w:r>
    </w:p>
    <w:p w14:paraId="2A54D094" w14:textId="4552AB12" w:rsidR="00C770DC" w:rsidRPr="00C770DC" w:rsidRDefault="00C770DC" w:rsidP="00C770DC">
      <w:pPr>
        <w:pStyle w:val="ListParagraph"/>
        <w:numPr>
          <w:ilvl w:val="0"/>
          <w:numId w:val="3"/>
        </w:numPr>
        <w:tabs>
          <w:tab w:val="clear" w:pos="1134"/>
          <w:tab w:val="clear" w:pos="1871"/>
          <w:tab w:val="clear" w:pos="2268"/>
          <w:tab w:val="left" w:pos="720"/>
        </w:tabs>
        <w:overflowPunct/>
        <w:autoSpaceDE/>
        <w:autoSpaceDN/>
        <w:adjustRightInd/>
        <w:spacing w:before="60" w:after="60"/>
        <w:contextualSpacing w:val="0"/>
        <w:textAlignment w:val="auto"/>
        <w:rPr>
          <w:rFonts w:cstheme="minorHAnsi"/>
          <w:szCs w:val="24"/>
        </w:rPr>
      </w:pPr>
      <w:r w:rsidRPr="00C770DC">
        <w:rPr>
          <w:rStyle w:val="Hyperlink"/>
          <w:rFonts w:eastAsia="MS Mincho" w:cstheme="minorHAnsi"/>
          <w:color w:val="auto"/>
          <w:szCs w:val="24"/>
          <w:u w:val="none"/>
        </w:rPr>
        <w:t xml:space="preserve">In Document </w:t>
      </w:r>
      <w:hyperlink r:id="rId9" w:history="1">
        <w:r w:rsidRPr="00C770DC">
          <w:rPr>
            <w:rStyle w:val="Hyperlink"/>
            <w:rFonts w:eastAsia="MS Mincho" w:cstheme="minorHAnsi"/>
            <w:b/>
            <w:bCs/>
            <w:szCs w:val="24"/>
          </w:rPr>
          <w:t>1/112</w:t>
        </w:r>
      </w:hyperlink>
      <w:r w:rsidRPr="00C770DC">
        <w:rPr>
          <w:rStyle w:val="Hyperlink"/>
          <w:rFonts w:eastAsia="MS Mincho" w:cstheme="minorHAnsi"/>
          <w:color w:val="auto"/>
          <w:szCs w:val="24"/>
          <w:u w:val="none"/>
        </w:rPr>
        <w:t xml:space="preserve"> 10 August 2022 ‘Summary Record of the meeting’, ITU-R</w:t>
      </w:r>
      <w:r w:rsidRPr="00C770DC">
        <w:rPr>
          <w:rFonts w:eastAsia="SimSun" w:cstheme="minorHAnsi"/>
          <w:szCs w:val="24"/>
          <w:lang w:eastAsia="zh-CN"/>
        </w:rPr>
        <w:t xml:space="preserve"> Study Group (SG) 1 noted the outcomes of WTDC-22. "The Administration of </w:t>
      </w:r>
      <w:r w:rsidRPr="00C770DC">
        <w:rPr>
          <w:rFonts w:eastAsia="SimSun" w:cstheme="minorHAnsi"/>
          <w:szCs w:val="24"/>
          <w:highlight w:val="yellow"/>
          <w:lang w:eastAsia="zh-CN"/>
        </w:rPr>
        <w:t>Kenya</w:t>
      </w:r>
      <w:r w:rsidRPr="00C770DC">
        <w:rPr>
          <w:rFonts w:eastAsia="SimSun" w:cstheme="minorHAnsi"/>
          <w:szCs w:val="24"/>
          <w:lang w:eastAsia="zh-CN"/>
        </w:rPr>
        <w:t xml:space="preserve"> asked for guidance regarding WTDC Resolution 9. The Administration of </w:t>
      </w:r>
      <w:r w:rsidRPr="00C770DC">
        <w:rPr>
          <w:rFonts w:eastAsia="SimSun" w:cstheme="minorHAnsi"/>
          <w:szCs w:val="24"/>
          <w:highlight w:val="yellow"/>
          <w:lang w:eastAsia="zh-CN"/>
        </w:rPr>
        <w:t>Israel</w:t>
      </w:r>
      <w:r w:rsidRPr="00C770DC">
        <w:rPr>
          <w:rFonts w:eastAsia="SimSun" w:cstheme="minorHAnsi"/>
          <w:szCs w:val="24"/>
          <w:lang w:eastAsia="zh-CN"/>
        </w:rPr>
        <w:t xml:space="preserve"> proposed to have </w:t>
      </w:r>
      <w:r w:rsidRPr="00C770DC">
        <w:rPr>
          <w:rFonts w:eastAsia="SimSun" w:cstheme="minorHAnsi"/>
          <w:szCs w:val="24"/>
          <w:highlight w:val="yellow"/>
          <w:lang w:eastAsia="zh-CN"/>
        </w:rPr>
        <w:t>better collaboration on Resolution 9 among all SG 1 Working Parties</w:t>
      </w:r>
      <w:r w:rsidRPr="00C770DC">
        <w:rPr>
          <w:rFonts w:eastAsia="SimSun" w:cstheme="minorHAnsi"/>
          <w:szCs w:val="24"/>
          <w:lang w:eastAsia="zh-CN"/>
        </w:rPr>
        <w:t>." "</w:t>
      </w:r>
      <w:proofErr w:type="gramStart"/>
      <w:r w:rsidRPr="00C770DC">
        <w:rPr>
          <w:rFonts w:eastAsia="SimSun" w:cstheme="minorHAnsi"/>
          <w:szCs w:val="24"/>
          <w:lang w:eastAsia="zh-CN"/>
        </w:rPr>
        <w:t>Taking into account</w:t>
      </w:r>
      <w:proofErr w:type="gramEnd"/>
      <w:r w:rsidRPr="00C770DC">
        <w:rPr>
          <w:rFonts w:eastAsia="SimSun" w:cstheme="minorHAnsi"/>
          <w:szCs w:val="24"/>
          <w:lang w:eastAsia="zh-CN"/>
        </w:rPr>
        <w:t xml:space="preserve"> the relevant conclusions from previous meetings of the World Telecommunication Development Conference (WTDC) and Resolution 9, the SG 1 Chairman proposed the meeting consider the possibility of appointing an </w:t>
      </w:r>
      <w:r w:rsidRPr="00C770DC">
        <w:rPr>
          <w:rFonts w:eastAsia="SimSun" w:cstheme="minorHAnsi"/>
          <w:szCs w:val="24"/>
          <w:highlight w:val="yellow"/>
          <w:lang w:eastAsia="zh-CN"/>
        </w:rPr>
        <w:t>ITU-R SG 1 Liaison Rapporteur to ITU-D SGs</w:t>
      </w:r>
      <w:r w:rsidRPr="00C770DC">
        <w:rPr>
          <w:rFonts w:eastAsia="SimSun" w:cstheme="minorHAnsi"/>
          <w:szCs w:val="24"/>
          <w:lang w:eastAsia="zh-CN"/>
        </w:rPr>
        <w:t xml:space="preserve">. The meeting decided to postpone the decision until </w:t>
      </w:r>
      <w:r w:rsidRPr="00C770DC">
        <w:rPr>
          <w:rFonts w:eastAsia="SimSun" w:cstheme="minorHAnsi"/>
          <w:szCs w:val="24"/>
          <w:highlight w:val="yellow"/>
          <w:lang w:eastAsia="zh-CN"/>
        </w:rPr>
        <w:t>the next meeting of ITU-R SG 1</w:t>
      </w:r>
      <w:r w:rsidRPr="00C770DC">
        <w:rPr>
          <w:rFonts w:eastAsia="SimSun" w:cstheme="minorHAnsi"/>
          <w:szCs w:val="24"/>
          <w:lang w:eastAsia="zh-CN"/>
        </w:rPr>
        <w:t xml:space="preserve"> to allow for more time to consider the Chairman’s proposal, determine if this position is required, or determine if the subject can be addressed in an alternative way to increase the efficiency of </w:t>
      </w:r>
      <w:r w:rsidRPr="00C770DC">
        <w:rPr>
          <w:rFonts w:eastAsia="SimSun" w:cstheme="minorHAnsi"/>
          <w:szCs w:val="24"/>
          <w:highlight w:val="yellow"/>
          <w:lang w:eastAsia="zh-CN"/>
        </w:rPr>
        <w:t>inter-sector</w:t>
      </w:r>
      <w:r w:rsidRPr="00C770DC">
        <w:rPr>
          <w:rFonts w:eastAsia="SimSun" w:cstheme="minorHAnsi"/>
          <w:szCs w:val="24"/>
          <w:lang w:eastAsia="zh-CN"/>
        </w:rPr>
        <w:t xml:space="preserve"> communication. </w:t>
      </w:r>
      <w:r w:rsidRPr="00C770DC">
        <w:rPr>
          <w:rFonts w:eastAsia="SimSun" w:cstheme="minorHAnsi"/>
          <w:szCs w:val="24"/>
          <w:highlight w:val="yellow"/>
          <w:lang w:eastAsia="zh-CN"/>
        </w:rPr>
        <w:t>Mr</w:t>
      </w:r>
      <w:r w:rsidR="00426A0A">
        <w:rPr>
          <w:rFonts w:eastAsia="SimSun" w:cstheme="minorHAnsi"/>
          <w:szCs w:val="24"/>
          <w:highlight w:val="yellow"/>
          <w:lang w:eastAsia="zh-CN"/>
        </w:rPr>
        <w:t> </w:t>
      </w:r>
      <w:r w:rsidRPr="00C770DC">
        <w:rPr>
          <w:rFonts w:eastAsia="SimSun" w:cstheme="minorHAnsi"/>
          <w:szCs w:val="24"/>
          <w:highlight w:val="yellow"/>
          <w:lang w:eastAsia="zh-CN"/>
        </w:rPr>
        <w:t>Mohamad Haji (Kenya)</w:t>
      </w:r>
      <w:r w:rsidRPr="00C770DC">
        <w:rPr>
          <w:rFonts w:eastAsia="SimSun" w:cstheme="minorHAnsi"/>
          <w:szCs w:val="24"/>
          <w:lang w:eastAsia="zh-CN"/>
        </w:rPr>
        <w:t xml:space="preserve"> volunteered to be the Liaison Rapporteur if the group decides to have a Rapporteur."</w:t>
      </w:r>
    </w:p>
    <w:p w14:paraId="12D287A6" w14:textId="77777777" w:rsidR="00C770DC" w:rsidRPr="00C770DC" w:rsidRDefault="00C770DC" w:rsidP="00C770DC">
      <w:pPr>
        <w:pStyle w:val="ListParagraph"/>
        <w:numPr>
          <w:ilvl w:val="0"/>
          <w:numId w:val="3"/>
        </w:numPr>
        <w:tabs>
          <w:tab w:val="clear" w:pos="1134"/>
          <w:tab w:val="clear" w:pos="1871"/>
          <w:tab w:val="clear" w:pos="2268"/>
          <w:tab w:val="left" w:pos="720"/>
        </w:tabs>
        <w:overflowPunct/>
        <w:autoSpaceDE/>
        <w:autoSpaceDN/>
        <w:adjustRightInd/>
        <w:spacing w:before="60" w:after="60"/>
        <w:contextualSpacing w:val="0"/>
        <w:textAlignment w:val="auto"/>
        <w:rPr>
          <w:rFonts w:eastAsia="MS Mincho" w:cstheme="minorHAnsi"/>
          <w:szCs w:val="24"/>
        </w:rPr>
      </w:pPr>
      <w:r w:rsidRPr="00C770DC">
        <w:rPr>
          <w:rFonts w:eastAsia="SimSun" w:cstheme="minorHAnsi"/>
          <w:szCs w:val="24"/>
          <w:lang w:eastAsia="zh-CN"/>
        </w:rPr>
        <w:t xml:space="preserve">In ITU-D </w:t>
      </w:r>
      <w:r w:rsidRPr="00C770DC">
        <w:rPr>
          <w:rFonts w:cstheme="minorHAnsi"/>
          <w:szCs w:val="24"/>
        </w:rPr>
        <w:t xml:space="preserve">Document </w:t>
      </w:r>
      <w:hyperlink r:id="rId10" w:history="1">
        <w:r w:rsidRPr="00C770DC">
          <w:rPr>
            <w:rStyle w:val="Hyperlink"/>
            <w:rFonts w:cstheme="minorHAnsi"/>
            <w:b/>
            <w:bCs/>
            <w:szCs w:val="24"/>
          </w:rPr>
          <w:t>1/35</w:t>
        </w:r>
      </w:hyperlink>
      <w:r w:rsidRPr="00C770DC">
        <w:rPr>
          <w:rFonts w:cstheme="minorHAnsi"/>
          <w:szCs w:val="24"/>
        </w:rPr>
        <w:t xml:space="preserve"> (and </w:t>
      </w:r>
      <w:hyperlink r:id="rId11" w:history="1">
        <w:r w:rsidRPr="00C770DC">
          <w:rPr>
            <w:rStyle w:val="Hyperlink"/>
            <w:rFonts w:cstheme="minorHAnsi"/>
            <w:b/>
            <w:bCs/>
            <w:szCs w:val="24"/>
          </w:rPr>
          <w:t>2/33</w:t>
        </w:r>
      </w:hyperlink>
      <w:r w:rsidRPr="00C770DC">
        <w:rPr>
          <w:rFonts w:cstheme="minorHAnsi"/>
          <w:szCs w:val="24"/>
        </w:rPr>
        <w:t>)</w:t>
      </w:r>
      <w:r w:rsidRPr="00C770DC">
        <w:rPr>
          <w:rStyle w:val="Hyperlink"/>
          <w:rFonts w:eastAsia="MS Mincho" w:cstheme="minorHAnsi"/>
          <w:color w:val="auto"/>
          <w:szCs w:val="24"/>
          <w:u w:val="none"/>
        </w:rPr>
        <w:t xml:space="preserve"> 11 October 2022, </w:t>
      </w:r>
      <w:r w:rsidRPr="00C770DC">
        <w:rPr>
          <w:rFonts w:cstheme="minorHAnsi"/>
          <w:szCs w:val="24"/>
        </w:rPr>
        <w:t>Kenya and ATDI proposed that ITU-D SGs 1 and 2 will nominate one or two rapporteurs, to represent them in ITU-R.</w:t>
      </w:r>
    </w:p>
    <w:p w14:paraId="31AAA287" w14:textId="77777777" w:rsidR="00C770DC" w:rsidRPr="00C770DC" w:rsidRDefault="00C770DC" w:rsidP="00C770DC">
      <w:pPr>
        <w:pStyle w:val="ListParagraph"/>
        <w:numPr>
          <w:ilvl w:val="0"/>
          <w:numId w:val="3"/>
        </w:numPr>
        <w:tabs>
          <w:tab w:val="clear" w:pos="1134"/>
          <w:tab w:val="clear" w:pos="1871"/>
          <w:tab w:val="clear" w:pos="2268"/>
          <w:tab w:val="left" w:pos="720"/>
        </w:tabs>
        <w:overflowPunct/>
        <w:autoSpaceDE/>
        <w:autoSpaceDN/>
        <w:adjustRightInd/>
        <w:spacing w:before="60" w:after="60"/>
        <w:contextualSpacing w:val="0"/>
        <w:textAlignment w:val="auto"/>
        <w:rPr>
          <w:rStyle w:val="Hyperlink"/>
          <w:rFonts w:eastAsia="MS Mincho"/>
          <w:color w:val="auto"/>
          <w:szCs w:val="24"/>
          <w:u w:val="none"/>
        </w:rPr>
      </w:pPr>
      <w:r w:rsidRPr="00C770DC">
        <w:rPr>
          <w:rStyle w:val="Hyperlink"/>
          <w:rFonts w:eastAsia="MS Mincho" w:cstheme="minorHAnsi"/>
          <w:color w:val="auto"/>
          <w:szCs w:val="24"/>
          <w:u w:val="none"/>
        </w:rPr>
        <w:t>The ITU-D SG 1 Chairman Report,</w:t>
      </w:r>
      <w:r w:rsidRPr="00C770DC">
        <w:rPr>
          <w:rFonts w:eastAsia="SimSun" w:cstheme="minorHAnsi"/>
          <w:szCs w:val="24"/>
          <w:lang w:eastAsia="zh-CN"/>
        </w:rPr>
        <w:t xml:space="preserve"> </w:t>
      </w:r>
      <w:r w:rsidRPr="00C770DC">
        <w:rPr>
          <w:rStyle w:val="Hyperlink"/>
          <w:rFonts w:eastAsia="MS Mincho" w:cstheme="minorHAnsi"/>
          <w:color w:val="auto"/>
          <w:szCs w:val="24"/>
          <w:u w:val="none"/>
        </w:rPr>
        <w:t>Document</w:t>
      </w:r>
      <w:r w:rsidRPr="00C770DC">
        <w:rPr>
          <w:rStyle w:val="Hyperlink"/>
          <w:rFonts w:eastAsia="MS Mincho" w:cstheme="minorHAnsi"/>
          <w:szCs w:val="24"/>
        </w:rPr>
        <w:t xml:space="preserve"> </w:t>
      </w:r>
      <w:hyperlink r:id="rId12" w:history="1">
        <w:r w:rsidRPr="00C770DC">
          <w:rPr>
            <w:rStyle w:val="Hyperlink"/>
            <w:rFonts w:eastAsia="MS Mincho" w:cstheme="minorHAnsi"/>
            <w:b/>
            <w:bCs/>
            <w:szCs w:val="24"/>
          </w:rPr>
          <w:t>1/REP/8</w:t>
        </w:r>
      </w:hyperlink>
      <w:r w:rsidRPr="00C770DC">
        <w:rPr>
          <w:rStyle w:val="Hyperlink"/>
          <w:rFonts w:eastAsia="MS Mincho" w:cstheme="minorHAnsi"/>
          <w:color w:val="auto"/>
          <w:szCs w:val="24"/>
          <w:u w:val="none"/>
        </w:rPr>
        <w:t xml:space="preserve"> 8 December 2022, indicates "it was agreed that it will be actioned as needed by the coordinators for Resolution 9, Mr Roberto Hirayama (Brazil) and Mr Sunil Singhal (India)".</w:t>
      </w:r>
    </w:p>
    <w:p w14:paraId="7A29E9DC" w14:textId="2C0F4A09" w:rsidR="00C770DC" w:rsidRPr="00C770DC" w:rsidRDefault="00C770DC" w:rsidP="00C770DC">
      <w:pPr>
        <w:pStyle w:val="ListParagraph"/>
        <w:numPr>
          <w:ilvl w:val="0"/>
          <w:numId w:val="3"/>
        </w:numPr>
        <w:tabs>
          <w:tab w:val="clear" w:pos="1134"/>
          <w:tab w:val="clear" w:pos="1871"/>
          <w:tab w:val="clear" w:pos="2268"/>
          <w:tab w:val="left" w:pos="720"/>
        </w:tabs>
        <w:overflowPunct/>
        <w:autoSpaceDE/>
        <w:autoSpaceDN/>
        <w:adjustRightInd/>
        <w:spacing w:before="60" w:after="60"/>
        <w:contextualSpacing w:val="0"/>
        <w:textAlignment w:val="auto"/>
        <w:rPr>
          <w:rStyle w:val="Hyperlink"/>
          <w:rFonts w:eastAsia="MS Mincho" w:cstheme="minorHAnsi"/>
          <w:color w:val="auto"/>
          <w:szCs w:val="24"/>
          <w:u w:val="none"/>
        </w:rPr>
      </w:pPr>
      <w:r w:rsidRPr="00C770DC">
        <w:rPr>
          <w:rStyle w:val="Hyperlink"/>
          <w:rFonts w:eastAsia="MS Mincho" w:cstheme="minorHAnsi"/>
          <w:color w:val="auto"/>
          <w:szCs w:val="24"/>
          <w:u w:val="none"/>
        </w:rPr>
        <w:t>The ITU-D SG 2 Chairman Report,</w:t>
      </w:r>
      <w:r w:rsidRPr="00C770DC">
        <w:rPr>
          <w:rFonts w:eastAsia="SimSun" w:cstheme="minorHAnsi"/>
          <w:szCs w:val="24"/>
          <w:lang w:eastAsia="zh-CN"/>
        </w:rPr>
        <w:t xml:space="preserve"> </w:t>
      </w:r>
      <w:r w:rsidRPr="00C770DC">
        <w:rPr>
          <w:rStyle w:val="Hyperlink"/>
          <w:rFonts w:eastAsia="MS Mincho" w:cstheme="minorHAnsi"/>
          <w:color w:val="auto"/>
          <w:szCs w:val="24"/>
          <w:u w:val="none"/>
        </w:rPr>
        <w:t xml:space="preserve">Document </w:t>
      </w:r>
      <w:hyperlink r:id="rId13" w:history="1">
        <w:r w:rsidRPr="00C770DC">
          <w:rPr>
            <w:rStyle w:val="Hyperlink"/>
            <w:rFonts w:eastAsia="MS Mincho" w:cstheme="minorHAnsi"/>
            <w:b/>
            <w:bCs/>
            <w:szCs w:val="24"/>
          </w:rPr>
          <w:t>2/REP/8</w:t>
        </w:r>
      </w:hyperlink>
      <w:r w:rsidRPr="00C770DC">
        <w:rPr>
          <w:rStyle w:val="Hyperlink"/>
          <w:rFonts w:eastAsia="MS Mincho" w:cstheme="minorHAnsi"/>
          <w:color w:val="auto"/>
          <w:szCs w:val="24"/>
          <w:u w:val="none"/>
        </w:rPr>
        <w:t xml:space="preserve"> 20 December 2022, indicates in Annex 2: List of coordinators for ITU-D Study Group 2 Table 3: List of coordinators " WTDC Resolution 9 Mr Hideo IMANAKA (Japan) Mr Haim MAZAR (ATDI, France)". The Chairman Report also indicates that:</w:t>
      </w:r>
    </w:p>
    <w:p w14:paraId="34FD8E70" w14:textId="77777777" w:rsidR="00C770DC" w:rsidRPr="00C770DC" w:rsidRDefault="00C770DC" w:rsidP="00C770DC">
      <w:pPr>
        <w:pStyle w:val="ListParagraph"/>
        <w:numPr>
          <w:ilvl w:val="1"/>
          <w:numId w:val="3"/>
        </w:numPr>
        <w:tabs>
          <w:tab w:val="clear" w:pos="1134"/>
          <w:tab w:val="clear" w:pos="1871"/>
          <w:tab w:val="clear" w:pos="2268"/>
          <w:tab w:val="left" w:pos="720"/>
        </w:tabs>
        <w:overflowPunct/>
        <w:autoSpaceDE/>
        <w:autoSpaceDN/>
        <w:adjustRightInd/>
        <w:spacing w:before="60" w:after="60"/>
        <w:ind w:left="1077" w:hanging="357"/>
        <w:contextualSpacing w:val="0"/>
        <w:textAlignment w:val="auto"/>
        <w:rPr>
          <w:rStyle w:val="Hyperlink"/>
          <w:rFonts w:eastAsia="MS Mincho" w:cstheme="minorHAnsi"/>
          <w:color w:val="auto"/>
          <w:szCs w:val="24"/>
          <w:u w:val="none"/>
        </w:rPr>
      </w:pPr>
      <w:r w:rsidRPr="00C770DC">
        <w:rPr>
          <w:rStyle w:val="Hyperlink"/>
          <w:rFonts w:eastAsia="MS Mincho" w:cstheme="minorHAnsi"/>
          <w:color w:val="auto"/>
          <w:szCs w:val="24"/>
          <w:u w:val="none"/>
        </w:rPr>
        <w:t>Kenya and ATDI proposals "received general support on the need to continue addressing Resolution 9 during this study period". It triggered various comments and views, including:</w:t>
      </w:r>
    </w:p>
    <w:p w14:paraId="7E4E3FB7" w14:textId="77777777" w:rsidR="00C770DC" w:rsidRPr="00C770DC" w:rsidRDefault="00C770DC" w:rsidP="00C770DC">
      <w:pPr>
        <w:pStyle w:val="ListParagraph"/>
        <w:numPr>
          <w:ilvl w:val="1"/>
          <w:numId w:val="3"/>
        </w:numPr>
        <w:tabs>
          <w:tab w:val="clear" w:pos="1134"/>
          <w:tab w:val="clear" w:pos="1871"/>
          <w:tab w:val="clear" w:pos="2268"/>
        </w:tabs>
        <w:overflowPunct/>
        <w:autoSpaceDE/>
        <w:autoSpaceDN/>
        <w:adjustRightInd/>
        <w:spacing w:before="60" w:after="60"/>
        <w:ind w:left="1077" w:hanging="357"/>
        <w:contextualSpacing w:val="0"/>
        <w:textAlignment w:val="auto"/>
        <w:rPr>
          <w:rStyle w:val="Hyperlink"/>
          <w:rFonts w:eastAsia="MS Mincho" w:cstheme="minorHAnsi"/>
          <w:color w:val="auto"/>
          <w:szCs w:val="24"/>
          <w:u w:val="none"/>
        </w:rPr>
      </w:pPr>
      <w:r w:rsidRPr="00C770DC">
        <w:rPr>
          <w:rStyle w:val="Hyperlink"/>
          <w:rFonts w:eastAsia="MS Mincho" w:cstheme="minorHAnsi"/>
          <w:color w:val="auto"/>
          <w:szCs w:val="24"/>
          <w:u w:val="none"/>
        </w:rPr>
        <w:t xml:space="preserve">"to have </w:t>
      </w:r>
      <w:r w:rsidRPr="00C770DC">
        <w:rPr>
          <w:rStyle w:val="Hyperlink"/>
          <w:rFonts w:eastAsia="MS Mincho" w:cstheme="minorHAnsi"/>
          <w:color w:val="auto"/>
          <w:szCs w:val="24"/>
          <w:highlight w:val="yellow"/>
          <w:u w:val="none"/>
        </w:rPr>
        <w:t>regular participation from the Radiocommunication Bureau (BR)</w:t>
      </w:r>
      <w:r w:rsidRPr="00C770DC">
        <w:rPr>
          <w:rStyle w:val="Hyperlink"/>
          <w:rFonts w:eastAsia="MS Mincho" w:cstheme="minorHAnsi"/>
          <w:color w:val="auto"/>
          <w:szCs w:val="24"/>
          <w:u w:val="none"/>
        </w:rPr>
        <w:t xml:space="preserve"> to represent ITU-R in the ITU-D study groups".</w:t>
      </w:r>
    </w:p>
    <w:p w14:paraId="1AEF584D" w14:textId="77777777" w:rsidR="00C770DC" w:rsidRPr="00C770DC" w:rsidRDefault="00C770DC" w:rsidP="00C770DC">
      <w:pPr>
        <w:pStyle w:val="ListParagraph"/>
        <w:numPr>
          <w:ilvl w:val="1"/>
          <w:numId w:val="3"/>
        </w:numPr>
        <w:tabs>
          <w:tab w:val="clear" w:pos="1134"/>
          <w:tab w:val="clear" w:pos="1871"/>
          <w:tab w:val="clear" w:pos="2268"/>
        </w:tabs>
        <w:overflowPunct/>
        <w:autoSpaceDE/>
        <w:autoSpaceDN/>
        <w:adjustRightInd/>
        <w:spacing w:before="60" w:after="60"/>
        <w:ind w:left="1077" w:hanging="357"/>
        <w:contextualSpacing w:val="0"/>
        <w:textAlignment w:val="auto"/>
        <w:rPr>
          <w:rStyle w:val="Hyperlink"/>
          <w:rFonts w:eastAsia="MS Mincho" w:cstheme="minorHAnsi"/>
          <w:color w:val="auto"/>
          <w:szCs w:val="24"/>
          <w:u w:val="none"/>
        </w:rPr>
      </w:pPr>
      <w:r w:rsidRPr="00C770DC">
        <w:rPr>
          <w:rStyle w:val="Hyperlink"/>
          <w:rFonts w:eastAsia="MS Mincho" w:cstheme="minorHAnsi"/>
          <w:color w:val="auto"/>
          <w:szCs w:val="24"/>
          <w:u w:val="none"/>
        </w:rPr>
        <w:t xml:space="preserve">"it was also proposed to </w:t>
      </w:r>
      <w:r w:rsidRPr="00C770DC">
        <w:rPr>
          <w:rStyle w:val="Hyperlink"/>
          <w:rFonts w:eastAsia="MS Mincho" w:cstheme="minorHAnsi"/>
          <w:color w:val="auto"/>
          <w:szCs w:val="24"/>
          <w:highlight w:val="yellow"/>
          <w:u w:val="none"/>
        </w:rPr>
        <w:t>report to TDAG,</w:t>
      </w:r>
      <w:r w:rsidRPr="00C770DC">
        <w:rPr>
          <w:rStyle w:val="Hyperlink"/>
          <w:rFonts w:eastAsia="MS Mincho" w:cstheme="minorHAnsi"/>
          <w:color w:val="auto"/>
          <w:szCs w:val="24"/>
          <w:u w:val="none"/>
        </w:rPr>
        <w:t xml:space="preserve"> as it was done in the previous study period in collaboration with the regional focal points and the BR." </w:t>
      </w:r>
    </w:p>
    <w:p w14:paraId="6B1B4F85" w14:textId="57771C47" w:rsidR="00C770DC" w:rsidRPr="00C770DC" w:rsidRDefault="00C770DC" w:rsidP="00C770DC">
      <w:pPr>
        <w:tabs>
          <w:tab w:val="left" w:pos="720"/>
        </w:tabs>
        <w:spacing w:after="120"/>
        <w:rPr>
          <w:rStyle w:val="Hyperlink"/>
          <w:rFonts w:eastAsia="MS Mincho" w:cstheme="minorHAnsi"/>
          <w:b/>
          <w:bCs/>
          <w:color w:val="auto"/>
          <w:szCs w:val="24"/>
          <w:u w:val="none"/>
        </w:rPr>
      </w:pPr>
      <w:r w:rsidRPr="00C770DC">
        <w:rPr>
          <w:rStyle w:val="Hyperlink"/>
          <w:rFonts w:eastAsia="MS Mincho" w:cstheme="minorHAnsi"/>
          <w:b/>
          <w:bCs/>
          <w:color w:val="auto"/>
          <w:szCs w:val="24"/>
          <w:u w:val="none"/>
        </w:rPr>
        <w:t xml:space="preserve">Relevant Quotes from </w:t>
      </w:r>
      <w:hyperlink r:id="rId14" w:history="1">
        <w:r w:rsidRPr="00C770DC">
          <w:rPr>
            <w:rStyle w:val="Hyperlink"/>
            <w:rFonts w:eastAsia="MS Mincho" w:cstheme="minorHAnsi"/>
            <w:b/>
            <w:bCs/>
            <w:color w:val="auto"/>
            <w:szCs w:val="24"/>
            <w:u w:val="none"/>
          </w:rPr>
          <w:t>WTDC-22</w:t>
        </w:r>
      </w:hyperlink>
      <w:r w:rsidRPr="00C770DC">
        <w:rPr>
          <w:rStyle w:val="Hyperlink"/>
          <w:rFonts w:eastAsia="MS Mincho" w:cstheme="minorHAnsi"/>
          <w:b/>
          <w:bCs/>
          <w:color w:val="auto"/>
          <w:szCs w:val="24"/>
          <w:u w:val="none"/>
        </w:rPr>
        <w:t xml:space="preserve"> Resolution 9, related to this Contribution</w:t>
      </w:r>
    </w:p>
    <w:p w14:paraId="11C6A172" w14:textId="77777777" w:rsidR="00C770DC" w:rsidRPr="00C770DC" w:rsidRDefault="00C770DC" w:rsidP="00C770DC">
      <w:pPr>
        <w:pStyle w:val="Call"/>
        <w:spacing w:before="120" w:after="120"/>
        <w:rPr>
          <w:szCs w:val="24"/>
        </w:rPr>
      </w:pPr>
      <w:r w:rsidRPr="00C770DC">
        <w:rPr>
          <w:rFonts w:cstheme="minorHAnsi"/>
          <w:szCs w:val="24"/>
        </w:rPr>
        <w:t>instructs the Director of the Telecommunication Development Bureau</w:t>
      </w:r>
    </w:p>
    <w:p w14:paraId="0C2C5D45" w14:textId="77777777" w:rsidR="00C770DC" w:rsidRPr="00C770DC" w:rsidRDefault="00C770DC" w:rsidP="00C770DC">
      <w:pPr>
        <w:pStyle w:val="ListParagraph"/>
        <w:numPr>
          <w:ilvl w:val="0"/>
          <w:numId w:val="4"/>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C770DC">
        <w:rPr>
          <w:rFonts w:cstheme="minorHAnsi"/>
          <w:szCs w:val="24"/>
        </w:rPr>
        <w:t xml:space="preserve">to encourage Member States from </w:t>
      </w:r>
      <w:r w:rsidRPr="00C770DC">
        <w:rPr>
          <w:rFonts w:cstheme="minorHAnsi"/>
          <w:szCs w:val="24"/>
          <w:highlight w:val="yellow"/>
        </w:rPr>
        <w:t>developing countries, at national and/or regional level, to provide ITU</w:t>
      </w:r>
      <w:r w:rsidRPr="00C770DC">
        <w:rPr>
          <w:rFonts w:cstheme="minorHAnsi"/>
          <w:szCs w:val="24"/>
          <w:highlight w:val="yellow"/>
        </w:rPr>
        <w:noBreakHyphen/>
        <w:t>R and ITU</w:t>
      </w:r>
      <w:r w:rsidRPr="00C770DC">
        <w:rPr>
          <w:rFonts w:cstheme="minorHAnsi"/>
          <w:szCs w:val="24"/>
          <w:highlight w:val="yellow"/>
        </w:rPr>
        <w:noBreakHyphen/>
        <w:t>D with a list of their needs, national experiences and/or special requirements with respect to national spectrum management</w:t>
      </w:r>
      <w:r w:rsidRPr="00C770DC">
        <w:rPr>
          <w:rFonts w:cstheme="minorHAnsi"/>
          <w:szCs w:val="24"/>
        </w:rPr>
        <w:t xml:space="preserve">, to which the Director should endeavour to respond, and an example of which is given in </w:t>
      </w:r>
      <w:r w:rsidRPr="00C770DC">
        <w:rPr>
          <w:rFonts w:cstheme="minorHAnsi"/>
          <w:b/>
          <w:bCs/>
          <w:szCs w:val="24"/>
        </w:rPr>
        <w:t>Annex 1 to this resolution</w:t>
      </w:r>
      <w:r w:rsidRPr="00C770DC">
        <w:rPr>
          <w:rFonts w:cstheme="minorHAnsi"/>
          <w:szCs w:val="24"/>
        </w:rPr>
        <w:t>;</w:t>
      </w:r>
    </w:p>
    <w:p w14:paraId="1D02E527" w14:textId="77777777" w:rsidR="00C770DC" w:rsidRPr="00C770DC" w:rsidRDefault="00C770DC" w:rsidP="00C770DC">
      <w:pPr>
        <w:pStyle w:val="ListParagraph"/>
        <w:numPr>
          <w:ilvl w:val="0"/>
          <w:numId w:val="4"/>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C770DC">
        <w:rPr>
          <w:rFonts w:cstheme="minorHAnsi"/>
          <w:szCs w:val="24"/>
        </w:rPr>
        <w:t xml:space="preserve">to encourage Member States to continue to provide ITU-R and ITU-D with practical examples of their experiences of using the </w:t>
      </w:r>
      <w:r w:rsidRPr="00C770DC">
        <w:rPr>
          <w:rFonts w:cstheme="minorHAnsi"/>
          <w:szCs w:val="24"/>
          <w:highlight w:val="yellow"/>
        </w:rPr>
        <w:t>Spectrum Fees</w:t>
      </w:r>
      <w:r w:rsidRPr="00C770DC">
        <w:rPr>
          <w:rFonts w:cstheme="minorHAnsi"/>
          <w:szCs w:val="24"/>
        </w:rPr>
        <w:t xml:space="preserve"> Database, national trends in </w:t>
      </w:r>
      <w:r w:rsidRPr="00C770DC">
        <w:rPr>
          <w:rFonts w:cstheme="minorHAnsi"/>
          <w:szCs w:val="24"/>
          <w:highlight w:val="yellow"/>
        </w:rPr>
        <w:t>spectrum management</w:t>
      </w:r>
      <w:r w:rsidRPr="00C770DC">
        <w:rPr>
          <w:rFonts w:cstheme="minorHAnsi"/>
          <w:szCs w:val="24"/>
        </w:rPr>
        <w:t xml:space="preserve">, </w:t>
      </w:r>
      <w:r w:rsidRPr="00C770DC">
        <w:rPr>
          <w:rFonts w:cstheme="minorHAnsi"/>
          <w:szCs w:val="24"/>
          <w:highlight w:val="yellow"/>
        </w:rPr>
        <w:t>spectrum redeployment</w:t>
      </w:r>
      <w:r w:rsidRPr="00C770DC">
        <w:rPr>
          <w:rFonts w:cstheme="minorHAnsi"/>
          <w:szCs w:val="24"/>
        </w:rPr>
        <w:t xml:space="preserve"> and the installation and operation of </w:t>
      </w:r>
      <w:r w:rsidRPr="00C770DC">
        <w:rPr>
          <w:rFonts w:cstheme="minorHAnsi"/>
          <w:szCs w:val="24"/>
          <w:highlight w:val="yellow"/>
        </w:rPr>
        <w:t>spectrum-monitoring</w:t>
      </w:r>
      <w:r w:rsidRPr="00C770DC">
        <w:rPr>
          <w:rFonts w:cstheme="minorHAnsi"/>
          <w:szCs w:val="24"/>
        </w:rPr>
        <w:t xml:space="preserve"> systems;</w:t>
      </w:r>
    </w:p>
    <w:p w14:paraId="131DCEC8" w14:textId="77777777" w:rsidR="00C770DC" w:rsidRPr="00C770DC" w:rsidRDefault="00C770DC" w:rsidP="00C770DC">
      <w:pPr>
        <w:pStyle w:val="ListParagraph"/>
        <w:numPr>
          <w:ilvl w:val="0"/>
          <w:numId w:val="4"/>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C770DC">
        <w:rPr>
          <w:rFonts w:cstheme="minorHAnsi"/>
          <w:szCs w:val="24"/>
        </w:rPr>
        <w:t xml:space="preserve">to provide </w:t>
      </w:r>
      <w:r w:rsidRPr="00C770DC">
        <w:rPr>
          <w:rFonts w:cstheme="minorHAnsi"/>
          <w:szCs w:val="24"/>
          <w:highlight w:val="yellow"/>
        </w:rPr>
        <w:t>annual reports</w:t>
      </w:r>
      <w:r w:rsidRPr="00C770DC">
        <w:rPr>
          <w:rFonts w:cstheme="minorHAnsi"/>
          <w:szCs w:val="24"/>
        </w:rPr>
        <w:t xml:space="preserve"> to the </w:t>
      </w:r>
      <w:r w:rsidRPr="00C770DC">
        <w:rPr>
          <w:rFonts w:cstheme="minorHAnsi"/>
          <w:szCs w:val="24"/>
          <w:highlight w:val="yellow"/>
        </w:rPr>
        <w:t>Telecommunication Development Advisory Group</w:t>
      </w:r>
      <w:r w:rsidRPr="00C770DC">
        <w:rPr>
          <w:rFonts w:cstheme="minorHAnsi"/>
          <w:szCs w:val="24"/>
        </w:rPr>
        <w:t xml:space="preserve"> on the implementation of this resolution.</w:t>
      </w:r>
    </w:p>
    <w:p w14:paraId="79927850" w14:textId="77777777" w:rsidR="00C770DC" w:rsidRPr="00C770DC" w:rsidRDefault="00C770DC" w:rsidP="00C770DC">
      <w:pPr>
        <w:pStyle w:val="Call"/>
        <w:spacing w:before="120" w:after="120"/>
        <w:rPr>
          <w:rFonts w:cstheme="minorHAnsi"/>
          <w:szCs w:val="24"/>
        </w:rPr>
      </w:pPr>
      <w:r w:rsidRPr="00C770DC">
        <w:rPr>
          <w:rFonts w:cstheme="minorHAnsi"/>
          <w:szCs w:val="24"/>
        </w:rPr>
        <w:lastRenderedPageBreak/>
        <w:t>invites the Director of the Radiocommunication Bureau</w:t>
      </w:r>
    </w:p>
    <w:p w14:paraId="031E94F8" w14:textId="77777777" w:rsidR="00C770DC" w:rsidRPr="00C770DC" w:rsidRDefault="00C770DC" w:rsidP="00C770DC">
      <w:pPr>
        <w:spacing w:after="120"/>
        <w:rPr>
          <w:rFonts w:cstheme="minorHAnsi"/>
          <w:szCs w:val="24"/>
        </w:rPr>
      </w:pPr>
      <w:r w:rsidRPr="00C770DC">
        <w:rPr>
          <w:rFonts w:cstheme="minorHAnsi"/>
          <w:szCs w:val="24"/>
        </w:rPr>
        <w:t>to ensure that ITU</w:t>
      </w:r>
      <w:r w:rsidRPr="00C770DC">
        <w:rPr>
          <w:rFonts w:cstheme="minorHAnsi"/>
          <w:szCs w:val="24"/>
        </w:rPr>
        <w:noBreakHyphen/>
        <w:t xml:space="preserve">R continues the </w:t>
      </w:r>
      <w:r w:rsidRPr="00C770DC">
        <w:rPr>
          <w:rFonts w:cstheme="minorHAnsi"/>
          <w:szCs w:val="24"/>
          <w:highlight w:val="yellow"/>
        </w:rPr>
        <w:t>collaboration with ITU</w:t>
      </w:r>
      <w:r w:rsidRPr="00C770DC">
        <w:rPr>
          <w:rFonts w:cstheme="minorHAnsi"/>
          <w:szCs w:val="24"/>
          <w:highlight w:val="yellow"/>
        </w:rPr>
        <w:noBreakHyphen/>
        <w:t>D</w:t>
      </w:r>
      <w:r w:rsidRPr="00C770DC">
        <w:rPr>
          <w:rFonts w:cstheme="minorHAnsi"/>
          <w:szCs w:val="24"/>
        </w:rPr>
        <w:t xml:space="preserve"> in the implementation of this resolution,</w:t>
      </w:r>
    </w:p>
    <w:p w14:paraId="4745A3F8" w14:textId="77777777" w:rsidR="00C770DC" w:rsidRPr="00C770DC" w:rsidRDefault="00C770DC" w:rsidP="00C770DC">
      <w:pPr>
        <w:spacing w:after="120"/>
        <w:rPr>
          <w:rFonts w:cstheme="minorHAnsi"/>
          <w:szCs w:val="24"/>
        </w:rPr>
      </w:pPr>
      <w:r w:rsidRPr="00C770DC">
        <w:rPr>
          <w:rFonts w:cstheme="minorHAnsi"/>
          <w:b/>
          <w:bCs/>
          <w:szCs w:val="24"/>
        </w:rPr>
        <w:t>Annex 1 to Resolution 9</w:t>
      </w:r>
      <w:r w:rsidRPr="00C770DC">
        <w:rPr>
          <w:rFonts w:cstheme="minorHAnsi"/>
          <w:szCs w:val="24"/>
        </w:rPr>
        <w:t xml:space="preserve"> (Rev. Kigali, 2022) details these 13 ‘Examples of </w:t>
      </w:r>
      <w:r w:rsidRPr="00C770DC">
        <w:rPr>
          <w:rFonts w:cstheme="minorHAnsi"/>
          <w:szCs w:val="24"/>
          <w:highlight w:val="yellow"/>
        </w:rPr>
        <w:t>specific needs</w:t>
      </w:r>
      <w:r w:rsidRPr="00C770DC">
        <w:rPr>
          <w:rFonts w:cstheme="minorHAnsi"/>
          <w:szCs w:val="24"/>
        </w:rPr>
        <w:t xml:space="preserve"> of developing countries in </w:t>
      </w:r>
      <w:r w:rsidRPr="00C770DC">
        <w:rPr>
          <w:rFonts w:cstheme="minorHAnsi"/>
          <w:szCs w:val="24"/>
          <w:highlight w:val="yellow"/>
        </w:rPr>
        <w:t>spectrum management</w:t>
      </w:r>
      <w:r w:rsidRPr="00C770DC">
        <w:rPr>
          <w:rFonts w:cstheme="minorHAnsi"/>
          <w:szCs w:val="24"/>
        </w:rPr>
        <w:t>’:</w:t>
      </w:r>
    </w:p>
    <w:p w14:paraId="55B02B93" w14:textId="77777777" w:rsidR="00C770DC" w:rsidRPr="00C770DC" w:rsidRDefault="00C770DC" w:rsidP="00C770DC">
      <w:pPr>
        <w:pStyle w:val="ListParagraph"/>
        <w:numPr>
          <w:ilvl w:val="0"/>
          <w:numId w:val="5"/>
        </w:numPr>
        <w:tabs>
          <w:tab w:val="clear" w:pos="1134"/>
          <w:tab w:val="clear" w:pos="1871"/>
          <w:tab w:val="clear" w:pos="2268"/>
          <w:tab w:val="left" w:pos="794"/>
          <w:tab w:val="left" w:pos="1191"/>
          <w:tab w:val="left" w:pos="1588"/>
          <w:tab w:val="left" w:pos="1985"/>
        </w:tabs>
        <w:overflowPunct/>
        <w:autoSpaceDE/>
        <w:autoSpaceDN/>
        <w:adjustRightInd/>
        <w:spacing w:before="60" w:after="60"/>
        <w:ind w:left="357" w:hanging="357"/>
        <w:contextualSpacing w:val="0"/>
        <w:textAlignment w:val="auto"/>
        <w:rPr>
          <w:rFonts w:cstheme="minorHAnsi"/>
          <w:szCs w:val="24"/>
          <w:lang w:eastAsia="zh-CN"/>
        </w:rPr>
      </w:pPr>
      <w:r w:rsidRPr="00C770DC">
        <w:rPr>
          <w:rFonts w:cstheme="minorHAnsi"/>
          <w:szCs w:val="24"/>
          <w:lang w:eastAsia="zh-CN"/>
        </w:rPr>
        <w:t xml:space="preserve">Assistance in raising the </w:t>
      </w:r>
      <w:r w:rsidRPr="00C770DC">
        <w:rPr>
          <w:rFonts w:cstheme="minorHAnsi"/>
          <w:szCs w:val="24"/>
          <w:highlight w:val="yellow"/>
          <w:lang w:eastAsia="zh-CN"/>
        </w:rPr>
        <w:t xml:space="preserve">awareness of national </w:t>
      </w:r>
      <w:proofErr w:type="gramStart"/>
      <w:r w:rsidRPr="00C770DC">
        <w:rPr>
          <w:rFonts w:cstheme="minorHAnsi"/>
          <w:szCs w:val="24"/>
          <w:highlight w:val="yellow"/>
          <w:lang w:eastAsia="zh-CN"/>
        </w:rPr>
        <w:t>policy-makers</w:t>
      </w:r>
      <w:proofErr w:type="gramEnd"/>
      <w:r w:rsidRPr="00C770DC">
        <w:rPr>
          <w:rFonts w:cstheme="minorHAnsi"/>
          <w:szCs w:val="24"/>
          <w:lang w:eastAsia="zh-CN"/>
        </w:rPr>
        <w:t xml:space="preserve"> as to the importance of effective spectrum management for a country's economic and social development;</w:t>
      </w:r>
    </w:p>
    <w:p w14:paraId="62848602" w14:textId="77777777" w:rsidR="00C770DC" w:rsidRPr="00C770DC" w:rsidRDefault="00C770DC" w:rsidP="00C770DC">
      <w:pPr>
        <w:pStyle w:val="ListParagraph"/>
        <w:numPr>
          <w:ilvl w:val="0"/>
          <w:numId w:val="5"/>
        </w:numPr>
        <w:tabs>
          <w:tab w:val="clear" w:pos="1134"/>
          <w:tab w:val="clear" w:pos="1871"/>
          <w:tab w:val="clear" w:pos="2268"/>
          <w:tab w:val="left" w:pos="794"/>
          <w:tab w:val="left" w:pos="1191"/>
          <w:tab w:val="left" w:pos="1588"/>
          <w:tab w:val="left" w:pos="1985"/>
        </w:tabs>
        <w:overflowPunct/>
        <w:autoSpaceDE/>
        <w:autoSpaceDN/>
        <w:adjustRightInd/>
        <w:spacing w:before="60" w:after="60"/>
        <w:ind w:left="357" w:hanging="357"/>
        <w:contextualSpacing w:val="0"/>
        <w:textAlignment w:val="auto"/>
        <w:rPr>
          <w:rFonts w:cstheme="minorHAnsi"/>
          <w:szCs w:val="24"/>
          <w:lang w:eastAsia="zh-CN"/>
        </w:rPr>
      </w:pPr>
      <w:r w:rsidRPr="00C770DC">
        <w:rPr>
          <w:rFonts w:cstheme="minorHAnsi"/>
          <w:szCs w:val="24"/>
          <w:highlight w:val="yellow"/>
          <w:lang w:eastAsia="zh-CN"/>
        </w:rPr>
        <w:t>Training and dissemination</w:t>
      </w:r>
      <w:r w:rsidRPr="00C770DC">
        <w:rPr>
          <w:rFonts w:cstheme="minorHAnsi"/>
          <w:szCs w:val="24"/>
          <w:lang w:eastAsia="zh-CN"/>
        </w:rPr>
        <w:t xml:space="preserve"> of available ITU documentation;</w:t>
      </w:r>
    </w:p>
    <w:p w14:paraId="1115F23E" w14:textId="77777777" w:rsidR="00C770DC" w:rsidRPr="00C770DC" w:rsidRDefault="00C770DC" w:rsidP="00C770DC">
      <w:pPr>
        <w:pStyle w:val="ListParagraph"/>
        <w:numPr>
          <w:ilvl w:val="0"/>
          <w:numId w:val="5"/>
        </w:numPr>
        <w:tabs>
          <w:tab w:val="clear" w:pos="1134"/>
          <w:tab w:val="clear" w:pos="1871"/>
          <w:tab w:val="clear" w:pos="2268"/>
          <w:tab w:val="left" w:pos="794"/>
          <w:tab w:val="left" w:pos="1191"/>
          <w:tab w:val="left" w:pos="1588"/>
          <w:tab w:val="left" w:pos="1985"/>
        </w:tabs>
        <w:overflowPunct/>
        <w:autoSpaceDE/>
        <w:autoSpaceDN/>
        <w:adjustRightInd/>
        <w:spacing w:before="60" w:after="60"/>
        <w:ind w:left="357" w:hanging="357"/>
        <w:contextualSpacing w:val="0"/>
        <w:textAlignment w:val="auto"/>
        <w:rPr>
          <w:rFonts w:cstheme="minorHAnsi"/>
          <w:szCs w:val="24"/>
          <w:lang w:eastAsia="zh-CN"/>
        </w:rPr>
      </w:pPr>
      <w:r w:rsidRPr="00C770DC">
        <w:rPr>
          <w:rFonts w:cstheme="minorHAnsi"/>
          <w:szCs w:val="24"/>
          <w:lang w:eastAsia="zh-CN"/>
        </w:rPr>
        <w:t xml:space="preserve">Assistance in developing methodologies for establishing </w:t>
      </w:r>
      <w:r w:rsidRPr="00C770DC">
        <w:rPr>
          <w:rFonts w:cstheme="minorHAnsi"/>
          <w:szCs w:val="24"/>
          <w:highlight w:val="yellow"/>
          <w:lang w:eastAsia="zh-CN"/>
        </w:rPr>
        <w:t>national tables of frequency allocations and spectrum redeployment</w:t>
      </w:r>
      <w:r w:rsidRPr="00C770DC">
        <w:rPr>
          <w:rFonts w:cstheme="minorHAnsi"/>
          <w:szCs w:val="24"/>
          <w:lang w:eastAsia="zh-CN"/>
        </w:rPr>
        <w:t>;</w:t>
      </w:r>
    </w:p>
    <w:p w14:paraId="11FADD23" w14:textId="77777777" w:rsidR="00C770DC" w:rsidRPr="00C770DC" w:rsidRDefault="00C770DC" w:rsidP="00C770DC">
      <w:pPr>
        <w:pStyle w:val="ListParagraph"/>
        <w:numPr>
          <w:ilvl w:val="0"/>
          <w:numId w:val="5"/>
        </w:numPr>
        <w:tabs>
          <w:tab w:val="clear" w:pos="1134"/>
          <w:tab w:val="clear" w:pos="1871"/>
          <w:tab w:val="clear" w:pos="2268"/>
          <w:tab w:val="left" w:pos="794"/>
          <w:tab w:val="left" w:pos="1191"/>
          <w:tab w:val="left" w:pos="1588"/>
          <w:tab w:val="left" w:pos="1985"/>
        </w:tabs>
        <w:overflowPunct/>
        <w:autoSpaceDE/>
        <w:autoSpaceDN/>
        <w:adjustRightInd/>
        <w:spacing w:before="60" w:after="60"/>
        <w:ind w:left="357" w:hanging="357"/>
        <w:contextualSpacing w:val="0"/>
        <w:textAlignment w:val="auto"/>
        <w:rPr>
          <w:rFonts w:cstheme="minorHAnsi"/>
          <w:szCs w:val="24"/>
          <w:lang w:eastAsia="zh-CN"/>
        </w:rPr>
      </w:pPr>
      <w:r w:rsidRPr="00C770DC">
        <w:rPr>
          <w:rFonts w:cstheme="minorHAnsi"/>
          <w:szCs w:val="24"/>
          <w:lang w:eastAsia="zh-CN"/>
        </w:rPr>
        <w:t xml:space="preserve">Assistance in setting up </w:t>
      </w:r>
      <w:r w:rsidRPr="00C770DC">
        <w:rPr>
          <w:rFonts w:cstheme="minorHAnsi"/>
          <w:szCs w:val="24"/>
          <w:highlight w:val="yellow"/>
          <w:lang w:eastAsia="zh-CN"/>
        </w:rPr>
        <w:t>computerized frequency management and monitoring systems</w:t>
      </w:r>
      <w:r w:rsidRPr="00C770DC">
        <w:rPr>
          <w:rFonts w:cstheme="minorHAnsi"/>
          <w:szCs w:val="24"/>
          <w:lang w:eastAsia="zh-CN"/>
        </w:rPr>
        <w:t>;</w:t>
      </w:r>
    </w:p>
    <w:p w14:paraId="60024C6C" w14:textId="77777777" w:rsidR="00C770DC" w:rsidRPr="00C770DC" w:rsidRDefault="00C770DC" w:rsidP="00C770DC">
      <w:pPr>
        <w:pStyle w:val="ListParagraph"/>
        <w:numPr>
          <w:ilvl w:val="0"/>
          <w:numId w:val="5"/>
        </w:numPr>
        <w:tabs>
          <w:tab w:val="clear" w:pos="1134"/>
          <w:tab w:val="clear" w:pos="1871"/>
          <w:tab w:val="clear" w:pos="2268"/>
          <w:tab w:val="left" w:pos="794"/>
          <w:tab w:val="left" w:pos="1191"/>
          <w:tab w:val="left" w:pos="1588"/>
          <w:tab w:val="left" w:pos="1985"/>
        </w:tabs>
        <w:overflowPunct/>
        <w:autoSpaceDE/>
        <w:autoSpaceDN/>
        <w:adjustRightInd/>
        <w:spacing w:before="60" w:after="60"/>
        <w:ind w:left="357" w:hanging="357"/>
        <w:contextualSpacing w:val="0"/>
        <w:textAlignment w:val="auto"/>
        <w:rPr>
          <w:rFonts w:cstheme="minorHAnsi"/>
          <w:szCs w:val="24"/>
          <w:lang w:eastAsia="zh-CN"/>
        </w:rPr>
      </w:pPr>
      <w:r w:rsidRPr="00C770DC">
        <w:rPr>
          <w:rFonts w:cstheme="minorHAnsi"/>
          <w:szCs w:val="24"/>
          <w:highlight w:val="yellow"/>
        </w:rPr>
        <w:t>Economic and financial aspects</w:t>
      </w:r>
      <w:r w:rsidRPr="00C770DC">
        <w:rPr>
          <w:rFonts w:cstheme="minorHAnsi"/>
          <w:szCs w:val="24"/>
        </w:rPr>
        <w:t xml:space="preserve"> of spectrum management;</w:t>
      </w:r>
    </w:p>
    <w:p w14:paraId="533ABABA" w14:textId="77777777" w:rsidR="00C770DC" w:rsidRPr="00C770DC" w:rsidRDefault="00C770DC" w:rsidP="00C770DC">
      <w:pPr>
        <w:pStyle w:val="ListParagraph"/>
        <w:numPr>
          <w:ilvl w:val="0"/>
          <w:numId w:val="5"/>
        </w:numPr>
        <w:tabs>
          <w:tab w:val="clear" w:pos="1134"/>
          <w:tab w:val="clear" w:pos="1871"/>
          <w:tab w:val="clear" w:pos="2268"/>
          <w:tab w:val="left" w:pos="794"/>
          <w:tab w:val="left" w:pos="1191"/>
          <w:tab w:val="left" w:pos="1588"/>
          <w:tab w:val="left" w:pos="1985"/>
        </w:tabs>
        <w:overflowPunct/>
        <w:autoSpaceDE/>
        <w:autoSpaceDN/>
        <w:adjustRightInd/>
        <w:spacing w:before="60" w:after="60"/>
        <w:ind w:left="357" w:hanging="357"/>
        <w:contextualSpacing w:val="0"/>
        <w:textAlignment w:val="auto"/>
        <w:rPr>
          <w:rFonts w:cstheme="minorHAnsi"/>
          <w:szCs w:val="24"/>
          <w:lang w:eastAsia="zh-CN"/>
        </w:rPr>
      </w:pPr>
      <w:r w:rsidRPr="00C770DC">
        <w:rPr>
          <w:rFonts w:cstheme="minorHAnsi"/>
          <w:szCs w:val="24"/>
        </w:rPr>
        <w:t xml:space="preserve">Assistance with </w:t>
      </w:r>
      <w:r w:rsidRPr="00C770DC">
        <w:rPr>
          <w:rFonts w:cstheme="minorHAnsi"/>
          <w:szCs w:val="24"/>
          <w:highlight w:val="yellow"/>
        </w:rPr>
        <w:t>preparations</w:t>
      </w:r>
      <w:r w:rsidRPr="00C770DC">
        <w:rPr>
          <w:rFonts w:cstheme="minorHAnsi"/>
          <w:szCs w:val="24"/>
        </w:rPr>
        <w:t xml:space="preserve"> for world radiocommunication conferences (WRC) and with </w:t>
      </w:r>
      <w:r w:rsidRPr="00C770DC">
        <w:rPr>
          <w:rFonts w:cstheme="minorHAnsi"/>
          <w:szCs w:val="24"/>
          <w:highlight w:val="yellow"/>
        </w:rPr>
        <w:t>follow-up</w:t>
      </w:r>
      <w:r w:rsidRPr="00C770DC">
        <w:rPr>
          <w:rFonts w:cstheme="minorHAnsi"/>
          <w:szCs w:val="24"/>
        </w:rPr>
        <w:t xml:space="preserve"> and implementation of WRC decisions;</w:t>
      </w:r>
    </w:p>
    <w:p w14:paraId="0F1A5634" w14:textId="77777777" w:rsidR="00C770DC" w:rsidRPr="00C770DC" w:rsidRDefault="00C770DC" w:rsidP="00C770DC">
      <w:pPr>
        <w:pStyle w:val="ListParagraph"/>
        <w:numPr>
          <w:ilvl w:val="0"/>
          <w:numId w:val="5"/>
        </w:numPr>
        <w:tabs>
          <w:tab w:val="clear" w:pos="1134"/>
          <w:tab w:val="clear" w:pos="1871"/>
          <w:tab w:val="clear" w:pos="2268"/>
          <w:tab w:val="left" w:pos="794"/>
          <w:tab w:val="left" w:pos="1191"/>
          <w:tab w:val="left" w:pos="1588"/>
          <w:tab w:val="left" w:pos="1985"/>
        </w:tabs>
        <w:overflowPunct/>
        <w:autoSpaceDE/>
        <w:autoSpaceDN/>
        <w:adjustRightInd/>
        <w:spacing w:before="60" w:after="60"/>
        <w:ind w:left="357" w:hanging="357"/>
        <w:contextualSpacing w:val="0"/>
        <w:textAlignment w:val="auto"/>
        <w:rPr>
          <w:rFonts w:cstheme="minorHAnsi"/>
          <w:szCs w:val="24"/>
          <w:lang w:eastAsia="zh-CN"/>
        </w:rPr>
      </w:pPr>
      <w:r w:rsidRPr="00C770DC">
        <w:rPr>
          <w:rFonts w:cstheme="minorHAnsi"/>
          <w:szCs w:val="24"/>
        </w:rPr>
        <w:t xml:space="preserve">Assistance with participation in the work of the relevant </w:t>
      </w:r>
      <w:r w:rsidRPr="00C770DC">
        <w:rPr>
          <w:rFonts w:cstheme="minorHAnsi"/>
          <w:szCs w:val="24"/>
          <w:highlight w:val="yellow"/>
        </w:rPr>
        <w:t>ITU</w:t>
      </w:r>
      <w:r w:rsidRPr="00C770DC">
        <w:rPr>
          <w:rFonts w:cstheme="minorHAnsi"/>
          <w:szCs w:val="24"/>
          <w:highlight w:val="yellow"/>
        </w:rPr>
        <w:noBreakHyphen/>
        <w:t>R study groups and their working parties</w:t>
      </w:r>
      <w:r w:rsidRPr="00C770DC">
        <w:rPr>
          <w:rFonts w:cstheme="minorHAnsi"/>
          <w:szCs w:val="24"/>
        </w:rPr>
        <w:t>;</w:t>
      </w:r>
    </w:p>
    <w:p w14:paraId="0069BA33" w14:textId="77777777" w:rsidR="00C770DC" w:rsidRPr="00C770DC" w:rsidRDefault="00C770DC" w:rsidP="00C770DC">
      <w:pPr>
        <w:pStyle w:val="ListParagraph"/>
        <w:numPr>
          <w:ilvl w:val="0"/>
          <w:numId w:val="5"/>
        </w:numPr>
        <w:tabs>
          <w:tab w:val="clear" w:pos="1134"/>
          <w:tab w:val="clear" w:pos="1871"/>
          <w:tab w:val="clear" w:pos="2268"/>
          <w:tab w:val="left" w:pos="794"/>
          <w:tab w:val="left" w:pos="1191"/>
          <w:tab w:val="left" w:pos="1588"/>
          <w:tab w:val="left" w:pos="1985"/>
        </w:tabs>
        <w:overflowPunct/>
        <w:autoSpaceDE/>
        <w:autoSpaceDN/>
        <w:adjustRightInd/>
        <w:spacing w:before="60" w:after="60"/>
        <w:ind w:left="357" w:hanging="357"/>
        <w:contextualSpacing w:val="0"/>
        <w:textAlignment w:val="auto"/>
        <w:rPr>
          <w:rFonts w:cstheme="minorHAnsi"/>
          <w:szCs w:val="24"/>
          <w:lang w:eastAsia="zh-CN"/>
        </w:rPr>
      </w:pPr>
      <w:r w:rsidRPr="00C770DC">
        <w:rPr>
          <w:rFonts w:cstheme="minorHAnsi"/>
          <w:szCs w:val="24"/>
        </w:rPr>
        <w:t xml:space="preserve">Transition to </w:t>
      </w:r>
      <w:r w:rsidRPr="00C770DC">
        <w:rPr>
          <w:rFonts w:cstheme="minorHAnsi"/>
          <w:szCs w:val="24"/>
          <w:highlight w:val="yellow"/>
        </w:rPr>
        <w:t>digital terrestrial television</w:t>
      </w:r>
      <w:r w:rsidRPr="00C770DC">
        <w:rPr>
          <w:rFonts w:cstheme="minorHAnsi"/>
          <w:szCs w:val="24"/>
        </w:rPr>
        <w:t xml:space="preserve"> broadcasting; </w:t>
      </w:r>
    </w:p>
    <w:p w14:paraId="7318D791" w14:textId="77777777" w:rsidR="00C770DC" w:rsidRPr="00C770DC" w:rsidRDefault="00C770DC" w:rsidP="00C770DC">
      <w:pPr>
        <w:pStyle w:val="ListParagraph"/>
        <w:numPr>
          <w:ilvl w:val="0"/>
          <w:numId w:val="5"/>
        </w:numPr>
        <w:tabs>
          <w:tab w:val="clear" w:pos="1134"/>
          <w:tab w:val="clear" w:pos="1871"/>
          <w:tab w:val="clear" w:pos="2268"/>
          <w:tab w:val="left" w:pos="794"/>
          <w:tab w:val="left" w:pos="1191"/>
          <w:tab w:val="left" w:pos="1588"/>
          <w:tab w:val="left" w:pos="1985"/>
        </w:tabs>
        <w:overflowPunct/>
        <w:autoSpaceDE/>
        <w:autoSpaceDN/>
        <w:adjustRightInd/>
        <w:spacing w:before="60" w:after="60"/>
        <w:ind w:left="357" w:hanging="357"/>
        <w:contextualSpacing w:val="0"/>
        <w:textAlignment w:val="auto"/>
        <w:rPr>
          <w:rFonts w:cstheme="minorHAnsi"/>
          <w:szCs w:val="24"/>
          <w:lang w:eastAsia="zh-CN"/>
        </w:rPr>
      </w:pPr>
      <w:r w:rsidRPr="00C770DC">
        <w:rPr>
          <w:rFonts w:cstheme="minorHAnsi"/>
          <w:szCs w:val="24"/>
        </w:rPr>
        <w:t xml:space="preserve">Assistance in identifying the most efficient ways to utilize the </w:t>
      </w:r>
      <w:r w:rsidRPr="00C770DC">
        <w:rPr>
          <w:rFonts w:cstheme="minorHAnsi"/>
          <w:szCs w:val="24"/>
          <w:highlight w:val="yellow"/>
        </w:rPr>
        <w:t>digital dividend</w:t>
      </w:r>
      <w:r w:rsidRPr="00C770DC">
        <w:rPr>
          <w:rFonts w:cstheme="minorHAnsi"/>
          <w:szCs w:val="24"/>
        </w:rPr>
        <w:t>;</w:t>
      </w:r>
    </w:p>
    <w:p w14:paraId="1B12D9DA" w14:textId="77777777" w:rsidR="00C770DC" w:rsidRPr="00C770DC" w:rsidRDefault="00C770DC" w:rsidP="00C770DC">
      <w:pPr>
        <w:pStyle w:val="ListParagraph"/>
        <w:numPr>
          <w:ilvl w:val="0"/>
          <w:numId w:val="5"/>
        </w:numPr>
        <w:tabs>
          <w:tab w:val="clear" w:pos="1134"/>
          <w:tab w:val="clear" w:pos="1871"/>
          <w:tab w:val="clear" w:pos="2268"/>
          <w:tab w:val="left" w:pos="794"/>
          <w:tab w:val="left" w:pos="1191"/>
          <w:tab w:val="left" w:pos="1588"/>
          <w:tab w:val="left" w:pos="1985"/>
        </w:tabs>
        <w:overflowPunct/>
        <w:autoSpaceDE/>
        <w:autoSpaceDN/>
        <w:adjustRightInd/>
        <w:spacing w:before="60" w:after="60"/>
        <w:ind w:left="357" w:hanging="357"/>
        <w:contextualSpacing w:val="0"/>
        <w:textAlignment w:val="auto"/>
        <w:rPr>
          <w:rFonts w:cstheme="minorHAnsi"/>
          <w:szCs w:val="24"/>
          <w:lang w:eastAsia="zh-CN"/>
        </w:rPr>
      </w:pPr>
      <w:r w:rsidRPr="00C770DC">
        <w:rPr>
          <w:rFonts w:cstheme="minorHAnsi"/>
          <w:szCs w:val="24"/>
          <w:highlight w:val="yellow"/>
        </w:rPr>
        <w:t>Emerging technologies and approaches</w:t>
      </w:r>
      <w:r w:rsidRPr="00C770DC">
        <w:rPr>
          <w:rFonts w:cstheme="minorHAnsi"/>
          <w:szCs w:val="24"/>
        </w:rPr>
        <w:t xml:space="preserve"> in using spectrum;</w:t>
      </w:r>
    </w:p>
    <w:p w14:paraId="3D3C51F1" w14:textId="77777777" w:rsidR="00C770DC" w:rsidRPr="00C770DC" w:rsidRDefault="00C770DC" w:rsidP="00C770DC">
      <w:pPr>
        <w:pStyle w:val="ListParagraph"/>
        <w:numPr>
          <w:ilvl w:val="0"/>
          <w:numId w:val="5"/>
        </w:numPr>
        <w:tabs>
          <w:tab w:val="clear" w:pos="1134"/>
          <w:tab w:val="clear" w:pos="1871"/>
          <w:tab w:val="clear" w:pos="2268"/>
          <w:tab w:val="left" w:pos="794"/>
          <w:tab w:val="left" w:pos="1191"/>
          <w:tab w:val="left" w:pos="1588"/>
          <w:tab w:val="left" w:pos="1985"/>
        </w:tabs>
        <w:overflowPunct/>
        <w:autoSpaceDE/>
        <w:autoSpaceDN/>
        <w:adjustRightInd/>
        <w:spacing w:before="60" w:after="60"/>
        <w:ind w:left="357" w:hanging="357"/>
        <w:contextualSpacing w:val="0"/>
        <w:textAlignment w:val="auto"/>
        <w:rPr>
          <w:rFonts w:cstheme="minorHAnsi"/>
          <w:szCs w:val="24"/>
          <w:lang w:eastAsia="zh-CN"/>
        </w:rPr>
      </w:pPr>
      <w:r w:rsidRPr="00C770DC">
        <w:rPr>
          <w:rFonts w:cstheme="minorHAnsi"/>
          <w:szCs w:val="24"/>
        </w:rPr>
        <w:t xml:space="preserve">Innovative ways of </w:t>
      </w:r>
      <w:r w:rsidRPr="00C770DC">
        <w:rPr>
          <w:rFonts w:cstheme="minorHAnsi"/>
          <w:szCs w:val="24"/>
          <w:highlight w:val="yellow"/>
        </w:rPr>
        <w:t>spectrum licensing</w:t>
      </w:r>
      <w:r w:rsidRPr="00C770DC">
        <w:rPr>
          <w:rFonts w:cstheme="minorHAnsi"/>
          <w:szCs w:val="24"/>
        </w:rPr>
        <w:t>;</w:t>
      </w:r>
    </w:p>
    <w:p w14:paraId="4E206AE8" w14:textId="77777777" w:rsidR="00C770DC" w:rsidRPr="00C770DC" w:rsidRDefault="00C770DC" w:rsidP="00C770DC">
      <w:pPr>
        <w:pStyle w:val="ListParagraph"/>
        <w:numPr>
          <w:ilvl w:val="0"/>
          <w:numId w:val="5"/>
        </w:numPr>
        <w:tabs>
          <w:tab w:val="clear" w:pos="1134"/>
          <w:tab w:val="clear" w:pos="1871"/>
          <w:tab w:val="clear" w:pos="2268"/>
          <w:tab w:val="left" w:pos="794"/>
          <w:tab w:val="left" w:pos="1191"/>
          <w:tab w:val="left" w:pos="1588"/>
          <w:tab w:val="left" w:pos="1985"/>
        </w:tabs>
        <w:overflowPunct/>
        <w:autoSpaceDE/>
        <w:autoSpaceDN/>
        <w:adjustRightInd/>
        <w:spacing w:before="60" w:after="60"/>
        <w:ind w:left="357" w:hanging="357"/>
        <w:contextualSpacing w:val="0"/>
        <w:textAlignment w:val="auto"/>
        <w:rPr>
          <w:rFonts w:cstheme="minorHAnsi"/>
          <w:szCs w:val="24"/>
          <w:lang w:eastAsia="zh-CN"/>
        </w:rPr>
      </w:pPr>
      <w:r w:rsidRPr="00C770DC">
        <w:rPr>
          <w:rFonts w:cstheme="minorHAnsi"/>
          <w:szCs w:val="24"/>
        </w:rPr>
        <w:t xml:space="preserve">Assistance with interference caused by </w:t>
      </w:r>
      <w:r w:rsidRPr="00C770DC">
        <w:rPr>
          <w:rFonts w:cstheme="minorHAnsi"/>
          <w:szCs w:val="24"/>
          <w:highlight w:val="yellow"/>
        </w:rPr>
        <w:t>devices in derogation</w:t>
      </w:r>
      <w:r w:rsidRPr="00C770DC">
        <w:rPr>
          <w:rFonts w:cstheme="minorHAnsi"/>
          <w:szCs w:val="24"/>
        </w:rPr>
        <w:t xml:space="preserve"> of national spectrum allocations;</w:t>
      </w:r>
    </w:p>
    <w:p w14:paraId="4CB236C0" w14:textId="77777777" w:rsidR="00C770DC" w:rsidRPr="00C770DC" w:rsidRDefault="00C770DC" w:rsidP="00C770DC">
      <w:pPr>
        <w:pStyle w:val="ListParagraph"/>
        <w:numPr>
          <w:ilvl w:val="0"/>
          <w:numId w:val="5"/>
        </w:numPr>
        <w:tabs>
          <w:tab w:val="clear" w:pos="1134"/>
          <w:tab w:val="clear" w:pos="1871"/>
          <w:tab w:val="clear" w:pos="2268"/>
          <w:tab w:val="left" w:pos="794"/>
          <w:tab w:val="left" w:pos="1191"/>
          <w:tab w:val="left" w:pos="1588"/>
          <w:tab w:val="left" w:pos="1985"/>
        </w:tabs>
        <w:overflowPunct/>
        <w:autoSpaceDE/>
        <w:autoSpaceDN/>
        <w:adjustRightInd/>
        <w:spacing w:before="60" w:after="60"/>
        <w:ind w:left="357" w:hanging="357"/>
        <w:contextualSpacing w:val="0"/>
        <w:textAlignment w:val="auto"/>
        <w:rPr>
          <w:rFonts w:cstheme="minorHAnsi"/>
          <w:szCs w:val="24"/>
          <w:lang w:eastAsia="zh-CN"/>
        </w:rPr>
      </w:pPr>
      <w:r w:rsidRPr="00C770DC">
        <w:rPr>
          <w:rFonts w:cstheme="minorHAnsi"/>
          <w:szCs w:val="24"/>
        </w:rPr>
        <w:t xml:space="preserve">Assistance in resolving seasonal interference caused by </w:t>
      </w:r>
      <w:r w:rsidRPr="00C770DC">
        <w:rPr>
          <w:rFonts w:cstheme="minorHAnsi"/>
          <w:szCs w:val="24"/>
          <w:highlight w:val="yellow"/>
        </w:rPr>
        <w:t xml:space="preserve">anomalous propagation of </w:t>
      </w:r>
      <w:proofErr w:type="spellStart"/>
      <w:r w:rsidRPr="00C770DC">
        <w:rPr>
          <w:rFonts w:cstheme="minorHAnsi"/>
          <w:szCs w:val="24"/>
          <w:highlight w:val="yellow"/>
        </w:rPr>
        <w:t>radiowaves</w:t>
      </w:r>
      <w:proofErr w:type="spellEnd"/>
      <w:r w:rsidRPr="00C770DC">
        <w:rPr>
          <w:rFonts w:cstheme="minorHAnsi"/>
          <w:szCs w:val="24"/>
        </w:rPr>
        <w:t>.</w:t>
      </w:r>
    </w:p>
    <w:p w14:paraId="6BEB2FE0" w14:textId="04695235" w:rsidR="00C770DC" w:rsidRPr="00C770DC" w:rsidRDefault="00C770DC" w:rsidP="00C770DC">
      <w:pPr>
        <w:spacing w:after="120"/>
        <w:rPr>
          <w:rFonts w:eastAsia="Batang" w:cstheme="minorHAnsi"/>
          <w:b/>
          <w:szCs w:val="24"/>
        </w:rPr>
      </w:pPr>
      <w:r w:rsidRPr="00C770DC">
        <w:rPr>
          <w:rFonts w:eastAsia="Batang" w:cstheme="minorHAnsi"/>
          <w:b/>
          <w:szCs w:val="24"/>
        </w:rPr>
        <w:t>ITU-D Study Group 1 and Study Group 2 Questions</w:t>
      </w:r>
      <w:r w:rsidRPr="00C770DC">
        <w:rPr>
          <w:rStyle w:val="FootnoteReference"/>
          <w:rFonts w:cstheme="minorHAnsi"/>
          <w:b/>
          <w:bCs/>
          <w:sz w:val="24"/>
          <w:szCs w:val="24"/>
        </w:rPr>
        <w:footnoteReference w:id="1"/>
      </w:r>
      <w:r w:rsidRPr="00C770DC">
        <w:rPr>
          <w:rFonts w:eastAsia="Batang" w:cstheme="minorHAnsi"/>
          <w:b/>
          <w:szCs w:val="24"/>
        </w:rPr>
        <w:t xml:space="preserve"> most relevant (to this Contribution)</w:t>
      </w:r>
    </w:p>
    <w:p w14:paraId="38989332" w14:textId="77777777" w:rsidR="00C770DC" w:rsidRPr="00C770DC" w:rsidRDefault="00C770DC" w:rsidP="00C770DC">
      <w:pPr>
        <w:spacing w:after="120"/>
        <w:rPr>
          <w:rFonts w:cstheme="minorHAnsi"/>
          <w:szCs w:val="24"/>
          <w:u w:val="single"/>
        </w:rPr>
      </w:pPr>
      <w:r w:rsidRPr="00C770DC">
        <w:rPr>
          <w:rFonts w:cstheme="minorHAnsi"/>
          <w:szCs w:val="24"/>
          <w:u w:val="single"/>
        </w:rPr>
        <w:t>ITU-D Study Group 1 Study Questions:</w:t>
      </w:r>
    </w:p>
    <w:p w14:paraId="5053B184" w14:textId="77777777" w:rsidR="00C770DC" w:rsidRPr="00C770DC" w:rsidRDefault="00C770DC" w:rsidP="00C770DC">
      <w:pPr>
        <w:pStyle w:val="ListParagraph"/>
        <w:numPr>
          <w:ilvl w:val="0"/>
          <w:numId w:val="6"/>
        </w:numPr>
        <w:tabs>
          <w:tab w:val="clear" w:pos="1134"/>
          <w:tab w:val="clear" w:pos="1871"/>
          <w:tab w:val="clear" w:pos="2268"/>
          <w:tab w:val="left" w:pos="794"/>
          <w:tab w:val="left" w:pos="1191"/>
          <w:tab w:val="left" w:pos="1588"/>
          <w:tab w:val="left" w:pos="1985"/>
        </w:tabs>
        <w:overflowPunct/>
        <w:autoSpaceDE/>
        <w:autoSpaceDN/>
        <w:adjustRightInd/>
        <w:spacing w:before="60" w:after="60"/>
        <w:ind w:left="357" w:hanging="357"/>
        <w:contextualSpacing w:val="0"/>
        <w:textAlignment w:val="auto"/>
        <w:rPr>
          <w:rFonts w:cstheme="minorHAnsi"/>
          <w:szCs w:val="24"/>
          <w:lang w:val="en-US" w:eastAsia="zh-CN"/>
        </w:rPr>
      </w:pPr>
      <w:r w:rsidRPr="00C770DC">
        <w:rPr>
          <w:rFonts w:cstheme="minorHAnsi"/>
          <w:szCs w:val="24"/>
          <w:lang w:val="en-US" w:eastAsia="zh-CN"/>
        </w:rPr>
        <w:t xml:space="preserve">Question 1/1- Strategies and policies for the deployment of </w:t>
      </w:r>
      <w:r w:rsidRPr="00C770DC">
        <w:rPr>
          <w:rFonts w:cstheme="minorHAnsi"/>
          <w:szCs w:val="24"/>
          <w:highlight w:val="yellow"/>
          <w:lang w:val="en-US" w:eastAsia="zh-CN"/>
        </w:rPr>
        <w:t>broadband in developing countries</w:t>
      </w:r>
    </w:p>
    <w:p w14:paraId="35CDF251" w14:textId="77777777" w:rsidR="00C770DC" w:rsidRPr="00C770DC" w:rsidRDefault="00C770DC" w:rsidP="00C770DC">
      <w:pPr>
        <w:pStyle w:val="ListParagraph"/>
        <w:numPr>
          <w:ilvl w:val="0"/>
          <w:numId w:val="6"/>
        </w:numPr>
        <w:tabs>
          <w:tab w:val="clear" w:pos="1134"/>
          <w:tab w:val="clear" w:pos="1871"/>
          <w:tab w:val="clear" w:pos="2268"/>
          <w:tab w:val="left" w:pos="794"/>
          <w:tab w:val="left" w:pos="1191"/>
          <w:tab w:val="left" w:pos="1588"/>
          <w:tab w:val="left" w:pos="1985"/>
        </w:tabs>
        <w:overflowPunct/>
        <w:autoSpaceDE/>
        <w:autoSpaceDN/>
        <w:adjustRightInd/>
        <w:spacing w:before="60" w:after="60"/>
        <w:ind w:left="357" w:hanging="357"/>
        <w:contextualSpacing w:val="0"/>
        <w:textAlignment w:val="auto"/>
        <w:rPr>
          <w:rFonts w:cstheme="minorHAnsi"/>
          <w:szCs w:val="24"/>
          <w:lang w:val="en-US" w:eastAsia="zh-CN"/>
        </w:rPr>
      </w:pPr>
      <w:r w:rsidRPr="00C770DC">
        <w:rPr>
          <w:rFonts w:cstheme="minorHAnsi"/>
          <w:szCs w:val="24"/>
          <w:lang w:val="en-US" w:eastAsia="zh-CN"/>
        </w:rPr>
        <w:t xml:space="preserve">Question 2/1- Strategies, policies, regulations and methods of migration to and adoption of </w:t>
      </w:r>
      <w:r w:rsidRPr="00C770DC">
        <w:rPr>
          <w:rFonts w:cstheme="minorHAnsi"/>
          <w:szCs w:val="24"/>
          <w:highlight w:val="yellow"/>
          <w:lang w:val="en-US" w:eastAsia="zh-CN"/>
        </w:rPr>
        <w:t>digital technologies for broadcasting</w:t>
      </w:r>
      <w:r w:rsidRPr="00C770DC">
        <w:rPr>
          <w:rFonts w:cstheme="minorHAnsi"/>
          <w:szCs w:val="24"/>
          <w:lang w:val="en-US" w:eastAsia="zh-CN"/>
        </w:rPr>
        <w:t>, including to provide new services for various environments</w:t>
      </w:r>
    </w:p>
    <w:p w14:paraId="38D5CD57" w14:textId="77777777" w:rsidR="00C770DC" w:rsidRPr="00C770DC" w:rsidRDefault="00C770DC" w:rsidP="00C770DC">
      <w:pPr>
        <w:pStyle w:val="ListParagraph"/>
        <w:numPr>
          <w:ilvl w:val="0"/>
          <w:numId w:val="6"/>
        </w:numPr>
        <w:tabs>
          <w:tab w:val="clear" w:pos="1134"/>
          <w:tab w:val="clear" w:pos="1871"/>
          <w:tab w:val="clear" w:pos="2268"/>
          <w:tab w:val="left" w:pos="794"/>
          <w:tab w:val="left" w:pos="1191"/>
          <w:tab w:val="left" w:pos="1588"/>
          <w:tab w:val="left" w:pos="1985"/>
        </w:tabs>
        <w:overflowPunct/>
        <w:autoSpaceDE/>
        <w:autoSpaceDN/>
        <w:adjustRightInd/>
        <w:spacing w:before="60" w:after="60"/>
        <w:ind w:left="357" w:hanging="357"/>
        <w:contextualSpacing w:val="0"/>
        <w:textAlignment w:val="auto"/>
        <w:rPr>
          <w:rFonts w:cstheme="minorHAnsi"/>
          <w:szCs w:val="24"/>
          <w:lang w:val="en-US" w:eastAsia="zh-CN"/>
        </w:rPr>
      </w:pPr>
      <w:bookmarkStart w:id="7" w:name="_Hlk132929564"/>
      <w:r w:rsidRPr="00C770DC">
        <w:rPr>
          <w:rFonts w:cstheme="minorHAnsi"/>
          <w:szCs w:val="24"/>
          <w:lang w:val="en-US" w:eastAsia="zh-CN"/>
        </w:rPr>
        <w:t>Question</w:t>
      </w:r>
      <w:bookmarkEnd w:id="7"/>
      <w:r w:rsidRPr="00C770DC">
        <w:rPr>
          <w:rFonts w:cstheme="minorHAnsi"/>
          <w:szCs w:val="24"/>
          <w:lang w:val="en-US" w:eastAsia="zh-CN"/>
        </w:rPr>
        <w:t xml:space="preserve"> 4/1 - </w:t>
      </w:r>
      <w:r w:rsidRPr="00C770DC">
        <w:rPr>
          <w:rFonts w:cstheme="minorHAnsi"/>
          <w:szCs w:val="24"/>
          <w:highlight w:val="yellow"/>
          <w:lang w:val="en-US" w:eastAsia="zh-CN"/>
        </w:rPr>
        <w:t>Economic aspects</w:t>
      </w:r>
      <w:r w:rsidRPr="00C770DC">
        <w:rPr>
          <w:rFonts w:cstheme="minorHAnsi"/>
          <w:szCs w:val="24"/>
          <w:lang w:val="en-US" w:eastAsia="zh-CN"/>
        </w:rPr>
        <w:t xml:space="preserve"> of national telecommunications/ICTs</w:t>
      </w:r>
    </w:p>
    <w:p w14:paraId="7D335A1E" w14:textId="77777777" w:rsidR="00C770DC" w:rsidRPr="00C770DC" w:rsidRDefault="00C770DC" w:rsidP="00C770DC">
      <w:pPr>
        <w:pStyle w:val="ListParagraph"/>
        <w:numPr>
          <w:ilvl w:val="0"/>
          <w:numId w:val="6"/>
        </w:numPr>
        <w:tabs>
          <w:tab w:val="clear" w:pos="1134"/>
          <w:tab w:val="clear" w:pos="1871"/>
          <w:tab w:val="clear" w:pos="2268"/>
          <w:tab w:val="left" w:pos="794"/>
          <w:tab w:val="left" w:pos="1191"/>
          <w:tab w:val="left" w:pos="1588"/>
          <w:tab w:val="left" w:pos="1985"/>
        </w:tabs>
        <w:overflowPunct/>
        <w:autoSpaceDE/>
        <w:autoSpaceDN/>
        <w:adjustRightInd/>
        <w:spacing w:before="60" w:after="60"/>
        <w:ind w:left="357" w:hanging="357"/>
        <w:contextualSpacing w:val="0"/>
        <w:textAlignment w:val="auto"/>
        <w:rPr>
          <w:rFonts w:cstheme="minorHAnsi"/>
          <w:szCs w:val="24"/>
          <w:lang w:val="en-US" w:eastAsia="zh-CN"/>
        </w:rPr>
      </w:pPr>
      <w:r w:rsidRPr="00C770DC">
        <w:rPr>
          <w:rFonts w:cstheme="minorHAnsi"/>
          <w:szCs w:val="24"/>
          <w:lang w:val="en-US" w:eastAsia="zh-CN"/>
        </w:rPr>
        <w:t xml:space="preserve">Question 5/1 -Telecommunications/ICTs for </w:t>
      </w:r>
      <w:r w:rsidRPr="00C770DC">
        <w:rPr>
          <w:rFonts w:cstheme="minorHAnsi"/>
          <w:szCs w:val="24"/>
          <w:highlight w:val="yellow"/>
          <w:lang w:val="en-US" w:eastAsia="zh-CN"/>
        </w:rPr>
        <w:t>rural and remote areas</w:t>
      </w:r>
    </w:p>
    <w:p w14:paraId="36153719" w14:textId="77777777" w:rsidR="00C770DC" w:rsidRPr="00C770DC" w:rsidRDefault="00C770DC" w:rsidP="00C770DC">
      <w:pPr>
        <w:spacing w:after="120"/>
        <w:rPr>
          <w:rFonts w:cstheme="minorHAnsi"/>
          <w:szCs w:val="24"/>
          <w:u w:val="single"/>
        </w:rPr>
      </w:pPr>
      <w:r w:rsidRPr="00C770DC">
        <w:rPr>
          <w:rFonts w:cstheme="minorHAnsi"/>
          <w:szCs w:val="24"/>
          <w:u w:val="single"/>
        </w:rPr>
        <w:t>ITU-D Study Group 2 Study Questions:</w:t>
      </w:r>
    </w:p>
    <w:p w14:paraId="66EF79D8" w14:textId="77777777" w:rsidR="00C770DC" w:rsidRPr="00C770DC" w:rsidRDefault="00C770DC" w:rsidP="00C770DC">
      <w:pPr>
        <w:pStyle w:val="ListParagraph"/>
        <w:numPr>
          <w:ilvl w:val="0"/>
          <w:numId w:val="7"/>
        </w:numPr>
        <w:tabs>
          <w:tab w:val="clear" w:pos="1134"/>
          <w:tab w:val="clear" w:pos="1871"/>
          <w:tab w:val="clear" w:pos="2268"/>
          <w:tab w:val="left" w:pos="794"/>
          <w:tab w:val="left" w:pos="1191"/>
          <w:tab w:val="left" w:pos="1588"/>
          <w:tab w:val="left" w:pos="1985"/>
        </w:tabs>
        <w:overflowPunct/>
        <w:autoSpaceDE/>
        <w:autoSpaceDN/>
        <w:adjustRightInd/>
        <w:spacing w:before="60" w:after="60"/>
        <w:ind w:left="357" w:hanging="357"/>
        <w:contextualSpacing w:val="0"/>
        <w:textAlignment w:val="auto"/>
        <w:rPr>
          <w:rFonts w:cstheme="minorHAnsi"/>
          <w:szCs w:val="24"/>
          <w:lang w:val="en-US"/>
        </w:rPr>
      </w:pPr>
      <w:r w:rsidRPr="00C770DC">
        <w:rPr>
          <w:rFonts w:cstheme="minorHAnsi"/>
          <w:szCs w:val="24"/>
          <w:lang w:val="en-US"/>
        </w:rPr>
        <w:t xml:space="preserve">Question 1/2 - </w:t>
      </w:r>
      <w:r w:rsidRPr="00C770DC">
        <w:rPr>
          <w:rFonts w:cstheme="minorHAnsi"/>
          <w:szCs w:val="24"/>
          <w:highlight w:val="yellow"/>
          <w:lang w:val="en-US"/>
        </w:rPr>
        <w:t>Smart sustainable cities and communities</w:t>
      </w:r>
    </w:p>
    <w:p w14:paraId="0C22436A" w14:textId="77777777" w:rsidR="00C770DC" w:rsidRPr="00C770DC" w:rsidRDefault="00C770DC" w:rsidP="00C770DC">
      <w:pPr>
        <w:pStyle w:val="ListParagraph"/>
        <w:numPr>
          <w:ilvl w:val="0"/>
          <w:numId w:val="7"/>
        </w:numPr>
        <w:tabs>
          <w:tab w:val="clear" w:pos="1134"/>
          <w:tab w:val="clear" w:pos="1871"/>
          <w:tab w:val="clear" w:pos="2268"/>
          <w:tab w:val="left" w:pos="794"/>
          <w:tab w:val="left" w:pos="1191"/>
          <w:tab w:val="left" w:pos="1588"/>
          <w:tab w:val="left" w:pos="1985"/>
        </w:tabs>
        <w:overflowPunct/>
        <w:autoSpaceDE/>
        <w:autoSpaceDN/>
        <w:adjustRightInd/>
        <w:spacing w:before="60" w:after="60"/>
        <w:ind w:left="357" w:hanging="357"/>
        <w:contextualSpacing w:val="0"/>
        <w:textAlignment w:val="auto"/>
        <w:rPr>
          <w:rFonts w:cstheme="minorHAnsi"/>
          <w:szCs w:val="24"/>
          <w:lang w:val="en-US"/>
        </w:rPr>
      </w:pPr>
      <w:r w:rsidRPr="00C770DC">
        <w:rPr>
          <w:rFonts w:cstheme="minorHAnsi"/>
          <w:szCs w:val="24"/>
          <w:lang w:val="en-US"/>
        </w:rPr>
        <w:t xml:space="preserve">Question 2/2 - Enabling technologies for e-services and applications, including </w:t>
      </w:r>
      <w:r w:rsidRPr="00C770DC">
        <w:rPr>
          <w:rFonts w:cstheme="minorHAnsi"/>
          <w:szCs w:val="24"/>
          <w:highlight w:val="yellow"/>
          <w:lang w:val="en-US"/>
        </w:rPr>
        <w:t>e-health</w:t>
      </w:r>
      <w:r w:rsidRPr="00C770DC">
        <w:rPr>
          <w:rFonts w:cstheme="minorHAnsi"/>
          <w:szCs w:val="24"/>
          <w:lang w:val="en-US"/>
        </w:rPr>
        <w:t xml:space="preserve"> and </w:t>
      </w:r>
      <w:r w:rsidRPr="00C770DC">
        <w:rPr>
          <w:rFonts w:cstheme="minorHAnsi"/>
          <w:szCs w:val="24"/>
          <w:highlight w:val="yellow"/>
          <w:lang w:val="en-US"/>
        </w:rPr>
        <w:t>e-education</w:t>
      </w:r>
    </w:p>
    <w:p w14:paraId="1980FB39" w14:textId="77777777" w:rsidR="00C770DC" w:rsidRPr="00C770DC" w:rsidRDefault="00C770DC" w:rsidP="00C770DC">
      <w:pPr>
        <w:pStyle w:val="ListParagraph"/>
        <w:numPr>
          <w:ilvl w:val="0"/>
          <w:numId w:val="7"/>
        </w:numPr>
        <w:tabs>
          <w:tab w:val="clear" w:pos="1134"/>
          <w:tab w:val="clear" w:pos="1871"/>
          <w:tab w:val="clear" w:pos="2268"/>
          <w:tab w:val="left" w:pos="794"/>
          <w:tab w:val="left" w:pos="1191"/>
          <w:tab w:val="left" w:pos="1588"/>
          <w:tab w:val="left" w:pos="1985"/>
        </w:tabs>
        <w:overflowPunct/>
        <w:autoSpaceDE/>
        <w:autoSpaceDN/>
        <w:adjustRightInd/>
        <w:spacing w:before="60" w:after="60"/>
        <w:ind w:left="357" w:hanging="357"/>
        <w:contextualSpacing w:val="0"/>
        <w:textAlignment w:val="auto"/>
        <w:rPr>
          <w:rFonts w:cstheme="minorHAnsi"/>
          <w:szCs w:val="24"/>
          <w:lang w:val="en-US" w:eastAsia="zh-CN"/>
        </w:rPr>
      </w:pPr>
      <w:r w:rsidRPr="00C770DC">
        <w:rPr>
          <w:rFonts w:cstheme="minorHAnsi"/>
          <w:szCs w:val="24"/>
          <w:lang w:val="en-US" w:eastAsia="zh-CN"/>
        </w:rPr>
        <w:t xml:space="preserve">Question 7/2 - Strategies and policies concerning </w:t>
      </w:r>
      <w:r w:rsidRPr="00C770DC">
        <w:rPr>
          <w:rFonts w:cstheme="minorHAnsi"/>
          <w:szCs w:val="24"/>
          <w:highlight w:val="yellow"/>
          <w:lang w:val="en-US" w:eastAsia="zh-CN"/>
        </w:rPr>
        <w:t>human exposure</w:t>
      </w:r>
      <w:r w:rsidRPr="00C770DC">
        <w:rPr>
          <w:rFonts w:cstheme="minorHAnsi"/>
          <w:szCs w:val="24"/>
          <w:lang w:val="en-US" w:eastAsia="zh-CN"/>
        </w:rPr>
        <w:t xml:space="preserve"> to electromagnetic fields</w:t>
      </w:r>
    </w:p>
    <w:p w14:paraId="043278A7" w14:textId="77777777" w:rsidR="00C770DC" w:rsidRPr="00C770DC" w:rsidRDefault="00C770DC" w:rsidP="00C770DC">
      <w:pPr>
        <w:keepNext/>
        <w:spacing w:after="120"/>
        <w:rPr>
          <w:rFonts w:cstheme="minorHAnsi"/>
          <w:szCs w:val="24"/>
        </w:rPr>
      </w:pPr>
      <w:r w:rsidRPr="00C770DC">
        <w:rPr>
          <w:rFonts w:eastAsia="Batang" w:cstheme="minorHAnsi"/>
          <w:b/>
          <w:szCs w:val="24"/>
        </w:rPr>
        <w:t xml:space="preserve">Summary and Proposals </w:t>
      </w:r>
      <w:r w:rsidRPr="00C770DC">
        <w:rPr>
          <w:rFonts w:cstheme="minorHAnsi"/>
          <w:b/>
          <w:bCs/>
          <w:szCs w:val="24"/>
        </w:rPr>
        <w:t>to implement Resolution 9</w:t>
      </w:r>
      <w:r w:rsidRPr="00C770DC">
        <w:rPr>
          <w:rFonts w:cstheme="minorHAnsi"/>
          <w:szCs w:val="24"/>
        </w:rPr>
        <w:t xml:space="preserve"> </w:t>
      </w:r>
    </w:p>
    <w:p w14:paraId="1F4B41F6" w14:textId="77777777" w:rsidR="00C770DC" w:rsidRPr="00C770DC" w:rsidRDefault="00C770DC" w:rsidP="00C770DC">
      <w:pPr>
        <w:pStyle w:val="ListParagraph"/>
        <w:numPr>
          <w:ilvl w:val="0"/>
          <w:numId w:val="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C770DC">
        <w:rPr>
          <w:rFonts w:cstheme="minorHAnsi"/>
          <w:szCs w:val="24"/>
        </w:rPr>
        <w:t>ITU-D and ITU-R Directors to collaborate closely to improve cooperation, via ITU-D SGs and ITU-R SG 1.</w:t>
      </w:r>
    </w:p>
    <w:p w14:paraId="252E430D" w14:textId="77777777" w:rsidR="00C770DC" w:rsidRPr="00C770DC" w:rsidRDefault="00C770DC" w:rsidP="00C770DC">
      <w:pPr>
        <w:pStyle w:val="ListParagraph"/>
        <w:numPr>
          <w:ilvl w:val="0"/>
          <w:numId w:val="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C770DC">
        <w:rPr>
          <w:rFonts w:cstheme="minorHAnsi"/>
          <w:szCs w:val="24"/>
        </w:rPr>
        <w:t xml:space="preserve">ITU-R SG 1 nominates Mr Mohamad Haji (Kenya) and Dr Haim Mazar (ATDI) as the liaison- rapporteurs to ITU-D SGs 1 and 2. </w:t>
      </w:r>
    </w:p>
    <w:p w14:paraId="7ACF048A" w14:textId="77777777" w:rsidR="00C770DC" w:rsidRPr="00C770DC" w:rsidRDefault="00C770DC" w:rsidP="00C770DC">
      <w:pPr>
        <w:pStyle w:val="ListParagraph"/>
        <w:numPr>
          <w:ilvl w:val="0"/>
          <w:numId w:val="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C770DC">
        <w:rPr>
          <w:rFonts w:cstheme="minorHAnsi"/>
          <w:szCs w:val="24"/>
        </w:rPr>
        <w:t xml:space="preserve">The Inter-Sector Coordination Group (ISCG) may guide how to progress collaboration among ITU-D/R/T Sectors on Resolution 9. </w:t>
      </w:r>
    </w:p>
    <w:p w14:paraId="72EE1286" w14:textId="77777777" w:rsidR="00C770DC" w:rsidRPr="00C770DC" w:rsidRDefault="00C770DC" w:rsidP="00C770DC">
      <w:pPr>
        <w:pStyle w:val="ListParagraph"/>
        <w:numPr>
          <w:ilvl w:val="0"/>
          <w:numId w:val="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C770DC">
        <w:rPr>
          <w:rStyle w:val="Hyperlink"/>
          <w:rFonts w:eastAsia="MS Mincho" w:cstheme="minorHAnsi"/>
          <w:color w:val="auto"/>
          <w:szCs w:val="24"/>
          <w:u w:val="none"/>
        </w:rPr>
        <w:t xml:space="preserve">The Telecommunication Development Advisory Group (TDAG), in collaboration with the regional focal points and the BR, </w:t>
      </w:r>
      <w:r w:rsidRPr="00C770DC">
        <w:rPr>
          <w:rFonts w:cstheme="minorHAnsi"/>
          <w:szCs w:val="24"/>
        </w:rPr>
        <w:t>may guide ITU-D SGs, how to advance collaboration.</w:t>
      </w:r>
    </w:p>
    <w:p w14:paraId="7759C759" w14:textId="3BF6CCD2" w:rsidR="00821996" w:rsidRDefault="005568E0" w:rsidP="005568E0">
      <w:pPr>
        <w:tabs>
          <w:tab w:val="clear" w:pos="794"/>
          <w:tab w:val="clear" w:pos="1191"/>
          <w:tab w:val="clear" w:pos="1588"/>
          <w:tab w:val="clear" w:pos="1985"/>
        </w:tabs>
        <w:spacing w:after="120"/>
        <w:jc w:val="center"/>
      </w:pPr>
      <w:bookmarkStart w:id="8" w:name="Proposal"/>
      <w:bookmarkEnd w:id="8"/>
      <w:r>
        <w:rPr>
          <w:rFonts w:cstheme="minorHAnsi"/>
        </w:rPr>
        <w:t>________________</w:t>
      </w:r>
    </w:p>
    <w:sectPr w:rsidR="00821996" w:rsidSect="00473791">
      <w:headerReference w:type="default" r:id="rId15"/>
      <w:footerReference w:type="first" r:id="rId1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55BC4" w14:textId="77777777" w:rsidR="00741A62" w:rsidRDefault="00741A62">
      <w:r>
        <w:separator/>
      </w:r>
    </w:p>
  </w:endnote>
  <w:endnote w:type="continuationSeparator" w:id="0">
    <w:p w14:paraId="6E13D8A0" w14:textId="77777777" w:rsidR="00741A62" w:rsidRDefault="00741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ahoma"/>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855" w:type="dxa"/>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C770DC" w:rsidRPr="00C770DC" w14:paraId="19C54F6A" w14:textId="77777777" w:rsidTr="00C770DC">
      <w:tc>
        <w:tcPr>
          <w:tcW w:w="1526" w:type="dxa"/>
          <w:tcBorders>
            <w:top w:val="single" w:sz="4" w:space="0" w:color="auto"/>
            <w:left w:val="nil"/>
            <w:bottom w:val="nil"/>
            <w:right w:val="nil"/>
          </w:tcBorders>
          <w:hideMark/>
        </w:tcPr>
        <w:p w14:paraId="7085CAE0" w14:textId="77777777" w:rsidR="00C770DC" w:rsidRPr="00C770DC" w:rsidRDefault="00C770DC" w:rsidP="00C770DC">
          <w:pPr>
            <w:pStyle w:val="FirstFooter"/>
            <w:tabs>
              <w:tab w:val="left" w:pos="1559"/>
              <w:tab w:val="left" w:pos="3828"/>
            </w:tabs>
            <w:rPr>
              <w:rFonts w:cstheme="minorHAnsi"/>
              <w:sz w:val="18"/>
              <w:szCs w:val="18"/>
              <w:lang w:eastAsia="zh-CN"/>
            </w:rPr>
          </w:pPr>
          <w:r w:rsidRPr="00C770DC">
            <w:rPr>
              <w:rFonts w:cstheme="minorHAnsi"/>
              <w:sz w:val="18"/>
              <w:szCs w:val="18"/>
              <w:lang w:val="en-US"/>
            </w:rPr>
            <w:t>Contact:</w:t>
          </w:r>
        </w:p>
      </w:tc>
      <w:tc>
        <w:tcPr>
          <w:tcW w:w="2410" w:type="dxa"/>
          <w:tcBorders>
            <w:top w:val="single" w:sz="4" w:space="0" w:color="auto"/>
            <w:left w:val="nil"/>
            <w:bottom w:val="nil"/>
            <w:right w:val="nil"/>
          </w:tcBorders>
          <w:hideMark/>
        </w:tcPr>
        <w:p w14:paraId="57C4E63D" w14:textId="77777777" w:rsidR="00C770DC" w:rsidRPr="00C770DC" w:rsidRDefault="00C770DC" w:rsidP="00C770DC">
          <w:pPr>
            <w:pStyle w:val="FirstFooter"/>
            <w:tabs>
              <w:tab w:val="left" w:pos="2302"/>
            </w:tabs>
            <w:ind w:left="2302" w:hanging="2302"/>
            <w:rPr>
              <w:rFonts w:cstheme="minorHAnsi"/>
              <w:sz w:val="18"/>
              <w:szCs w:val="18"/>
              <w:lang w:val="en-US"/>
            </w:rPr>
          </w:pPr>
          <w:r w:rsidRPr="00C770DC">
            <w:rPr>
              <w:rFonts w:cstheme="minorHAnsi"/>
              <w:sz w:val="18"/>
              <w:szCs w:val="18"/>
              <w:lang w:val="en-US"/>
            </w:rPr>
            <w:t>Name/Organization/Entity:</w:t>
          </w:r>
        </w:p>
      </w:tc>
      <w:tc>
        <w:tcPr>
          <w:tcW w:w="5919" w:type="dxa"/>
          <w:tcBorders>
            <w:top w:val="single" w:sz="4" w:space="0" w:color="auto"/>
            <w:left w:val="nil"/>
            <w:bottom w:val="nil"/>
            <w:right w:val="nil"/>
          </w:tcBorders>
          <w:hideMark/>
        </w:tcPr>
        <w:p w14:paraId="37C19D89" w14:textId="77777777" w:rsidR="00C770DC" w:rsidRPr="00C770DC" w:rsidRDefault="00C770DC" w:rsidP="00C770DC">
          <w:pPr>
            <w:pStyle w:val="FirstFooter"/>
            <w:rPr>
              <w:rFonts w:cstheme="minorHAnsi"/>
              <w:sz w:val="18"/>
              <w:szCs w:val="18"/>
              <w:lang w:val="en-US"/>
            </w:rPr>
          </w:pPr>
          <w:proofErr w:type="spellStart"/>
          <w:r w:rsidRPr="00C770DC">
            <w:rPr>
              <w:rFonts w:cstheme="minorHAnsi"/>
              <w:sz w:val="18"/>
              <w:szCs w:val="18"/>
              <w:lang w:val="en-US"/>
            </w:rPr>
            <w:t>Mr</w:t>
          </w:r>
          <w:proofErr w:type="spellEnd"/>
          <w:r w:rsidRPr="00C770DC">
            <w:rPr>
              <w:rFonts w:cstheme="minorHAnsi"/>
              <w:sz w:val="18"/>
              <w:szCs w:val="18"/>
              <w:lang w:val="en-US"/>
            </w:rPr>
            <w:t xml:space="preserve"> Mohamed A. Haji, Communications Authority of Kenya (CA), Kenya </w:t>
          </w:r>
        </w:p>
      </w:tc>
    </w:tr>
    <w:tr w:rsidR="00C770DC" w:rsidRPr="00C770DC" w14:paraId="73D3B91C" w14:textId="77777777" w:rsidTr="00C770DC">
      <w:tc>
        <w:tcPr>
          <w:tcW w:w="1526" w:type="dxa"/>
          <w:tcBorders>
            <w:top w:val="nil"/>
            <w:left w:val="nil"/>
            <w:bottom w:val="nil"/>
            <w:right w:val="nil"/>
          </w:tcBorders>
        </w:tcPr>
        <w:p w14:paraId="4184434A" w14:textId="77777777" w:rsidR="00C770DC" w:rsidRPr="00C770DC" w:rsidRDefault="00C770DC" w:rsidP="00C770DC">
          <w:pPr>
            <w:pStyle w:val="FirstFooter"/>
            <w:tabs>
              <w:tab w:val="left" w:pos="1559"/>
              <w:tab w:val="left" w:pos="3828"/>
            </w:tabs>
            <w:rPr>
              <w:rFonts w:cstheme="minorHAnsi"/>
              <w:sz w:val="18"/>
              <w:szCs w:val="18"/>
              <w:lang w:val="en-US"/>
            </w:rPr>
          </w:pPr>
        </w:p>
      </w:tc>
      <w:tc>
        <w:tcPr>
          <w:tcW w:w="2410" w:type="dxa"/>
          <w:tcBorders>
            <w:top w:val="nil"/>
            <w:left w:val="nil"/>
            <w:bottom w:val="nil"/>
            <w:right w:val="nil"/>
          </w:tcBorders>
          <w:hideMark/>
        </w:tcPr>
        <w:p w14:paraId="0A16470D" w14:textId="77777777" w:rsidR="00C770DC" w:rsidRPr="00C770DC" w:rsidRDefault="00C770DC" w:rsidP="00C770DC">
          <w:pPr>
            <w:pStyle w:val="FirstFooter"/>
            <w:tabs>
              <w:tab w:val="left" w:pos="2302"/>
            </w:tabs>
            <w:rPr>
              <w:rFonts w:cstheme="minorHAnsi"/>
              <w:sz w:val="18"/>
              <w:szCs w:val="18"/>
              <w:lang w:val="en-US"/>
            </w:rPr>
          </w:pPr>
          <w:r w:rsidRPr="00C770DC">
            <w:rPr>
              <w:rFonts w:cstheme="minorHAnsi"/>
              <w:sz w:val="18"/>
              <w:szCs w:val="18"/>
              <w:lang w:val="en-US"/>
            </w:rPr>
            <w:t>Phone number:</w:t>
          </w:r>
        </w:p>
      </w:tc>
      <w:tc>
        <w:tcPr>
          <w:tcW w:w="5919" w:type="dxa"/>
          <w:tcBorders>
            <w:top w:val="nil"/>
            <w:left w:val="nil"/>
            <w:bottom w:val="nil"/>
            <w:right w:val="nil"/>
          </w:tcBorders>
          <w:hideMark/>
        </w:tcPr>
        <w:p w14:paraId="13B0770C" w14:textId="77777777" w:rsidR="00C770DC" w:rsidRPr="00C770DC" w:rsidRDefault="00C770DC" w:rsidP="00C770DC">
          <w:pPr>
            <w:pStyle w:val="FirstFooter"/>
            <w:rPr>
              <w:rFonts w:cstheme="minorHAnsi"/>
              <w:sz w:val="18"/>
              <w:szCs w:val="18"/>
              <w:lang w:val="en-US"/>
            </w:rPr>
          </w:pPr>
          <w:r w:rsidRPr="00C770DC">
            <w:rPr>
              <w:rFonts w:cstheme="minorHAnsi"/>
              <w:sz w:val="18"/>
              <w:szCs w:val="18"/>
              <w:lang w:val="en-US"/>
            </w:rPr>
            <w:t>n/a</w:t>
          </w:r>
        </w:p>
      </w:tc>
    </w:tr>
    <w:tr w:rsidR="00C770DC" w:rsidRPr="00C770DC" w14:paraId="0BEF01D1" w14:textId="77777777" w:rsidTr="00C770DC">
      <w:tc>
        <w:tcPr>
          <w:tcW w:w="1526" w:type="dxa"/>
          <w:tcBorders>
            <w:top w:val="nil"/>
            <w:left w:val="nil"/>
            <w:bottom w:val="single" w:sz="4" w:space="0" w:color="auto"/>
            <w:right w:val="nil"/>
          </w:tcBorders>
        </w:tcPr>
        <w:p w14:paraId="1C715864" w14:textId="77777777" w:rsidR="00C770DC" w:rsidRPr="00C770DC" w:rsidRDefault="00C770DC" w:rsidP="00C770DC">
          <w:pPr>
            <w:pStyle w:val="FirstFooter"/>
            <w:tabs>
              <w:tab w:val="left" w:pos="1559"/>
              <w:tab w:val="left" w:pos="3828"/>
            </w:tabs>
            <w:rPr>
              <w:rFonts w:cstheme="minorHAnsi"/>
              <w:sz w:val="18"/>
              <w:szCs w:val="18"/>
              <w:lang w:val="en-US"/>
            </w:rPr>
          </w:pPr>
        </w:p>
      </w:tc>
      <w:tc>
        <w:tcPr>
          <w:tcW w:w="2410" w:type="dxa"/>
          <w:tcBorders>
            <w:top w:val="nil"/>
            <w:left w:val="nil"/>
            <w:bottom w:val="single" w:sz="4" w:space="0" w:color="auto"/>
            <w:right w:val="nil"/>
          </w:tcBorders>
          <w:hideMark/>
        </w:tcPr>
        <w:p w14:paraId="4358B97D" w14:textId="77777777" w:rsidR="00C770DC" w:rsidRPr="00C770DC" w:rsidRDefault="00C770DC" w:rsidP="00C770DC">
          <w:pPr>
            <w:pStyle w:val="FirstFooter"/>
            <w:tabs>
              <w:tab w:val="left" w:pos="2302"/>
            </w:tabs>
            <w:rPr>
              <w:rFonts w:cstheme="minorHAnsi"/>
              <w:sz w:val="18"/>
              <w:szCs w:val="18"/>
              <w:lang w:val="en-US"/>
            </w:rPr>
          </w:pPr>
          <w:r w:rsidRPr="00C770DC">
            <w:rPr>
              <w:rFonts w:cstheme="minorHAnsi"/>
              <w:sz w:val="18"/>
              <w:szCs w:val="18"/>
              <w:lang w:val="en-US"/>
            </w:rPr>
            <w:t>E-mail:</w:t>
          </w:r>
        </w:p>
      </w:tc>
      <w:tc>
        <w:tcPr>
          <w:tcW w:w="5919" w:type="dxa"/>
          <w:tcBorders>
            <w:top w:val="nil"/>
            <w:left w:val="nil"/>
            <w:bottom w:val="single" w:sz="4" w:space="0" w:color="auto"/>
            <w:right w:val="nil"/>
          </w:tcBorders>
          <w:hideMark/>
        </w:tcPr>
        <w:p w14:paraId="3DD0BCFD" w14:textId="77777777" w:rsidR="00C770DC" w:rsidRPr="00C770DC" w:rsidRDefault="006F0140" w:rsidP="00C770DC">
          <w:pPr>
            <w:pStyle w:val="FirstFooter"/>
            <w:rPr>
              <w:rFonts w:cstheme="minorHAnsi"/>
              <w:sz w:val="18"/>
              <w:szCs w:val="18"/>
              <w:lang w:val="en-US"/>
            </w:rPr>
          </w:pPr>
          <w:hyperlink r:id="rId1" w:history="1">
            <w:r w:rsidR="00C770DC" w:rsidRPr="00C770DC">
              <w:rPr>
                <w:rStyle w:val="Hyperlink"/>
                <w:rFonts w:cstheme="minorHAnsi"/>
                <w:sz w:val="18"/>
                <w:szCs w:val="18"/>
                <w:lang w:val="en-US"/>
              </w:rPr>
              <w:t>haji@ca.go.ke</w:t>
            </w:r>
          </w:hyperlink>
          <w:r w:rsidR="00C770DC" w:rsidRPr="00C770DC">
            <w:rPr>
              <w:rFonts w:cstheme="minorHAnsi"/>
              <w:sz w:val="18"/>
              <w:szCs w:val="18"/>
              <w:lang w:val="en-US"/>
            </w:rPr>
            <w:t xml:space="preserve"> </w:t>
          </w:r>
        </w:p>
      </w:tc>
    </w:tr>
    <w:tr w:rsidR="00C770DC" w:rsidRPr="00C770DC" w14:paraId="14FCCFB0" w14:textId="77777777" w:rsidTr="00C770DC">
      <w:tc>
        <w:tcPr>
          <w:tcW w:w="1526" w:type="dxa"/>
          <w:tcBorders>
            <w:top w:val="single" w:sz="4" w:space="0" w:color="auto"/>
            <w:left w:val="nil"/>
            <w:bottom w:val="nil"/>
            <w:right w:val="nil"/>
          </w:tcBorders>
          <w:hideMark/>
        </w:tcPr>
        <w:p w14:paraId="6B256279" w14:textId="77777777" w:rsidR="00C770DC" w:rsidRPr="00C770DC" w:rsidRDefault="00C770DC" w:rsidP="00C770DC">
          <w:pPr>
            <w:pStyle w:val="FirstFooter"/>
            <w:tabs>
              <w:tab w:val="left" w:pos="1559"/>
              <w:tab w:val="left" w:pos="3828"/>
            </w:tabs>
            <w:rPr>
              <w:rFonts w:cstheme="minorHAnsi"/>
              <w:sz w:val="18"/>
              <w:szCs w:val="18"/>
            </w:rPr>
          </w:pPr>
          <w:r w:rsidRPr="00C770DC">
            <w:rPr>
              <w:rFonts w:cstheme="minorHAnsi"/>
              <w:sz w:val="18"/>
              <w:szCs w:val="18"/>
              <w:lang w:val="en-US"/>
            </w:rPr>
            <w:t>Contact:</w:t>
          </w:r>
        </w:p>
      </w:tc>
      <w:tc>
        <w:tcPr>
          <w:tcW w:w="2410" w:type="dxa"/>
          <w:tcBorders>
            <w:top w:val="single" w:sz="4" w:space="0" w:color="auto"/>
            <w:left w:val="nil"/>
            <w:bottom w:val="nil"/>
            <w:right w:val="nil"/>
          </w:tcBorders>
          <w:hideMark/>
        </w:tcPr>
        <w:p w14:paraId="143FBAF7" w14:textId="77777777" w:rsidR="00C770DC" w:rsidRPr="00C770DC" w:rsidRDefault="00C770DC" w:rsidP="00C770DC">
          <w:pPr>
            <w:pStyle w:val="FirstFooter"/>
            <w:tabs>
              <w:tab w:val="left" w:pos="2302"/>
            </w:tabs>
            <w:ind w:left="2302" w:hanging="2302"/>
            <w:rPr>
              <w:rFonts w:cstheme="minorHAnsi"/>
              <w:sz w:val="18"/>
              <w:szCs w:val="18"/>
              <w:lang w:val="en-US"/>
            </w:rPr>
          </w:pPr>
          <w:r w:rsidRPr="00C770DC">
            <w:rPr>
              <w:rFonts w:cstheme="minorHAnsi"/>
              <w:sz w:val="18"/>
              <w:szCs w:val="18"/>
              <w:lang w:val="en-US"/>
            </w:rPr>
            <w:t>Name/Organization/Entity:</w:t>
          </w:r>
        </w:p>
      </w:tc>
      <w:tc>
        <w:tcPr>
          <w:tcW w:w="5919" w:type="dxa"/>
          <w:tcBorders>
            <w:top w:val="single" w:sz="4" w:space="0" w:color="auto"/>
            <w:left w:val="nil"/>
            <w:bottom w:val="nil"/>
            <w:right w:val="nil"/>
          </w:tcBorders>
          <w:hideMark/>
        </w:tcPr>
        <w:p w14:paraId="6BF444B5" w14:textId="77777777" w:rsidR="00C770DC" w:rsidRPr="00C770DC" w:rsidRDefault="00C770DC" w:rsidP="00C770DC">
          <w:pPr>
            <w:pStyle w:val="FirstFooter"/>
            <w:rPr>
              <w:rFonts w:cstheme="minorHAnsi"/>
              <w:sz w:val="18"/>
              <w:szCs w:val="18"/>
              <w:lang w:val="en-US"/>
            </w:rPr>
          </w:pPr>
          <w:proofErr w:type="spellStart"/>
          <w:r w:rsidRPr="00C770DC">
            <w:rPr>
              <w:rFonts w:cstheme="minorHAnsi"/>
              <w:sz w:val="18"/>
              <w:szCs w:val="18"/>
              <w:lang w:val="en-US"/>
            </w:rPr>
            <w:t>Mr</w:t>
          </w:r>
          <w:proofErr w:type="spellEnd"/>
          <w:r w:rsidRPr="00C770DC">
            <w:rPr>
              <w:rFonts w:cstheme="minorHAnsi"/>
              <w:sz w:val="18"/>
              <w:szCs w:val="18"/>
              <w:lang w:val="en-US"/>
            </w:rPr>
            <w:t xml:space="preserve"> Haim Mazar; ATDI, France</w:t>
          </w:r>
        </w:p>
      </w:tc>
    </w:tr>
    <w:tr w:rsidR="00C770DC" w:rsidRPr="00C770DC" w14:paraId="79ED9916" w14:textId="77777777" w:rsidTr="00C770DC">
      <w:tc>
        <w:tcPr>
          <w:tcW w:w="1526" w:type="dxa"/>
          <w:tcBorders>
            <w:top w:val="nil"/>
            <w:left w:val="nil"/>
            <w:bottom w:val="nil"/>
            <w:right w:val="nil"/>
          </w:tcBorders>
        </w:tcPr>
        <w:p w14:paraId="41B85733" w14:textId="77777777" w:rsidR="00C770DC" w:rsidRPr="00C770DC" w:rsidRDefault="00C770DC" w:rsidP="00C770DC">
          <w:pPr>
            <w:pStyle w:val="FirstFooter"/>
            <w:tabs>
              <w:tab w:val="left" w:pos="1559"/>
              <w:tab w:val="left" w:pos="3828"/>
            </w:tabs>
            <w:rPr>
              <w:rFonts w:cstheme="minorHAnsi"/>
              <w:sz w:val="18"/>
              <w:szCs w:val="18"/>
              <w:lang w:val="en-US"/>
            </w:rPr>
          </w:pPr>
        </w:p>
      </w:tc>
      <w:tc>
        <w:tcPr>
          <w:tcW w:w="2410" w:type="dxa"/>
          <w:tcBorders>
            <w:top w:val="nil"/>
            <w:left w:val="nil"/>
            <w:bottom w:val="nil"/>
            <w:right w:val="nil"/>
          </w:tcBorders>
          <w:hideMark/>
        </w:tcPr>
        <w:p w14:paraId="57F60536" w14:textId="77777777" w:rsidR="00C770DC" w:rsidRPr="00C770DC" w:rsidRDefault="00C770DC" w:rsidP="00C770DC">
          <w:pPr>
            <w:pStyle w:val="FirstFooter"/>
            <w:tabs>
              <w:tab w:val="left" w:pos="2302"/>
            </w:tabs>
            <w:rPr>
              <w:rFonts w:cstheme="minorHAnsi"/>
              <w:sz w:val="18"/>
              <w:szCs w:val="18"/>
              <w:lang w:val="en-US"/>
            </w:rPr>
          </w:pPr>
          <w:r w:rsidRPr="00C770DC">
            <w:rPr>
              <w:rFonts w:cstheme="minorHAnsi"/>
              <w:sz w:val="18"/>
              <w:szCs w:val="18"/>
              <w:lang w:val="en-US"/>
            </w:rPr>
            <w:t>Phone number:</w:t>
          </w:r>
        </w:p>
      </w:tc>
      <w:tc>
        <w:tcPr>
          <w:tcW w:w="5919" w:type="dxa"/>
          <w:tcBorders>
            <w:top w:val="nil"/>
            <w:left w:val="nil"/>
            <w:bottom w:val="nil"/>
            <w:right w:val="nil"/>
          </w:tcBorders>
          <w:hideMark/>
        </w:tcPr>
        <w:p w14:paraId="1432BF9D" w14:textId="77777777" w:rsidR="00C770DC" w:rsidRPr="00C770DC" w:rsidRDefault="00C770DC" w:rsidP="00C770DC">
          <w:pPr>
            <w:pStyle w:val="FirstFooter"/>
            <w:rPr>
              <w:rFonts w:cstheme="minorHAnsi"/>
              <w:sz w:val="18"/>
              <w:szCs w:val="18"/>
              <w:lang w:val="en-US"/>
            </w:rPr>
          </w:pPr>
          <w:r w:rsidRPr="00C770DC">
            <w:rPr>
              <w:rFonts w:cstheme="minorHAnsi"/>
              <w:sz w:val="18"/>
              <w:szCs w:val="18"/>
              <w:lang w:val="en-US"/>
            </w:rPr>
            <w:t>n/a</w:t>
          </w:r>
        </w:p>
      </w:tc>
    </w:tr>
    <w:tr w:rsidR="00C770DC" w:rsidRPr="00C770DC" w14:paraId="66C662C4" w14:textId="77777777" w:rsidTr="00C770DC">
      <w:tc>
        <w:tcPr>
          <w:tcW w:w="1526" w:type="dxa"/>
          <w:tcBorders>
            <w:top w:val="nil"/>
            <w:left w:val="nil"/>
            <w:bottom w:val="nil"/>
            <w:right w:val="nil"/>
          </w:tcBorders>
        </w:tcPr>
        <w:p w14:paraId="2B16E3E5" w14:textId="77777777" w:rsidR="00C770DC" w:rsidRPr="00C770DC" w:rsidRDefault="00C770DC" w:rsidP="00C770DC">
          <w:pPr>
            <w:pStyle w:val="FirstFooter"/>
            <w:tabs>
              <w:tab w:val="left" w:pos="1559"/>
              <w:tab w:val="left" w:pos="3828"/>
            </w:tabs>
            <w:rPr>
              <w:rFonts w:cstheme="minorHAnsi"/>
              <w:sz w:val="18"/>
              <w:szCs w:val="18"/>
              <w:lang w:val="en-US"/>
            </w:rPr>
          </w:pPr>
        </w:p>
      </w:tc>
      <w:tc>
        <w:tcPr>
          <w:tcW w:w="2410" w:type="dxa"/>
          <w:tcBorders>
            <w:top w:val="nil"/>
            <w:left w:val="nil"/>
            <w:bottom w:val="nil"/>
            <w:right w:val="nil"/>
          </w:tcBorders>
          <w:hideMark/>
        </w:tcPr>
        <w:p w14:paraId="28318842" w14:textId="77777777" w:rsidR="00C770DC" w:rsidRPr="00C770DC" w:rsidRDefault="00C770DC" w:rsidP="00C770DC">
          <w:pPr>
            <w:pStyle w:val="FirstFooter"/>
            <w:tabs>
              <w:tab w:val="left" w:pos="2302"/>
            </w:tabs>
            <w:rPr>
              <w:rFonts w:cstheme="minorHAnsi"/>
              <w:sz w:val="18"/>
              <w:szCs w:val="18"/>
              <w:lang w:val="en-US"/>
            </w:rPr>
          </w:pPr>
          <w:r w:rsidRPr="00C770DC">
            <w:rPr>
              <w:rFonts w:cstheme="minorHAnsi"/>
              <w:sz w:val="18"/>
              <w:szCs w:val="18"/>
              <w:lang w:val="en-US"/>
            </w:rPr>
            <w:t>E-mail:</w:t>
          </w:r>
        </w:p>
      </w:tc>
      <w:tc>
        <w:tcPr>
          <w:tcW w:w="5919" w:type="dxa"/>
          <w:tcBorders>
            <w:top w:val="nil"/>
            <w:left w:val="nil"/>
            <w:bottom w:val="nil"/>
            <w:right w:val="nil"/>
          </w:tcBorders>
          <w:hideMark/>
        </w:tcPr>
        <w:p w14:paraId="0F450B12" w14:textId="77777777" w:rsidR="00C770DC" w:rsidRPr="00C770DC" w:rsidRDefault="006F0140" w:rsidP="00C770DC">
          <w:pPr>
            <w:pStyle w:val="FirstFooter"/>
            <w:rPr>
              <w:rFonts w:cstheme="minorHAnsi"/>
              <w:sz w:val="18"/>
              <w:szCs w:val="18"/>
              <w:lang w:val="en-US"/>
            </w:rPr>
          </w:pPr>
          <w:hyperlink r:id="rId2" w:history="1">
            <w:r w:rsidR="00C770DC" w:rsidRPr="00C770DC">
              <w:rPr>
                <w:rStyle w:val="Hyperlink"/>
                <w:rFonts w:cstheme="minorHAnsi"/>
                <w:sz w:val="18"/>
                <w:szCs w:val="18"/>
                <w:lang w:val="en-US"/>
              </w:rPr>
              <w:t>h.mazar@atdi-group.com</w:t>
            </w:r>
          </w:hyperlink>
          <w:r w:rsidR="00C770DC" w:rsidRPr="00C770DC">
            <w:rPr>
              <w:rFonts w:cstheme="minorHAnsi"/>
              <w:sz w:val="18"/>
              <w:szCs w:val="18"/>
              <w:lang w:val="en-US"/>
            </w:rPr>
            <w:t xml:space="preserve"> </w:t>
          </w:r>
        </w:p>
      </w:tc>
    </w:tr>
  </w:tbl>
  <w:p w14:paraId="5AEFE7F9" w14:textId="77777777" w:rsidR="0059420B" w:rsidRPr="00C770DC" w:rsidRDefault="0059420B" w:rsidP="00B80157">
    <w:pPr>
      <w:pStyle w:val="Footer"/>
      <w:jc w:val="center"/>
      <w:rPr>
        <w:sz w:val="18"/>
        <w:szCs w:val="18"/>
        <w:lang w:val="en-US"/>
      </w:rPr>
    </w:pPr>
  </w:p>
  <w:p w14:paraId="40A321D0" w14:textId="77777777" w:rsidR="00721657" w:rsidRPr="004146FD" w:rsidRDefault="006F0140" w:rsidP="00B80157">
    <w:pPr>
      <w:pStyle w:val="Footer"/>
      <w:jc w:val="center"/>
      <w:rPr>
        <w:sz w:val="18"/>
        <w:szCs w:val="18"/>
        <w:lang w:val="en-GB"/>
      </w:rPr>
    </w:pPr>
    <w:hyperlink r:id="rId3" w:history="1">
      <w:r w:rsidR="008B47C7" w:rsidRPr="004146FD">
        <w:rPr>
          <w:rStyle w:val="Hyperlink"/>
          <w:caps w:val="0"/>
          <w:noProof w:val="0"/>
          <w:sz w:val="18"/>
          <w:szCs w:val="18"/>
          <w:lang w:val="en-US"/>
        </w:rPr>
        <w:t>TDAG</w:t>
      </w:r>
    </w:hyperlink>
    <w:hyperlink r:id="rId4"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4D3FC" w14:textId="77777777" w:rsidR="00741A62" w:rsidRDefault="00741A62">
      <w:r>
        <w:t>____________________</w:t>
      </w:r>
    </w:p>
  </w:footnote>
  <w:footnote w:type="continuationSeparator" w:id="0">
    <w:p w14:paraId="552CFA37" w14:textId="77777777" w:rsidR="00741A62" w:rsidRDefault="00741A62">
      <w:r>
        <w:continuationSeparator/>
      </w:r>
    </w:p>
  </w:footnote>
  <w:footnote w:id="1">
    <w:p w14:paraId="32498A34" w14:textId="77777777" w:rsidR="00C770DC" w:rsidRDefault="00C770DC" w:rsidP="00C770DC">
      <w:pPr>
        <w:spacing w:before="0"/>
        <w:rPr>
          <w:rFonts w:cstheme="minorHAnsi"/>
          <w:sz w:val="20"/>
        </w:rPr>
      </w:pPr>
      <w:r>
        <w:rPr>
          <w:rStyle w:val="FootnoteReference"/>
          <w:rFonts w:cstheme="minorHAnsi"/>
          <w:sz w:val="20"/>
        </w:rPr>
        <w:footnoteRef/>
      </w:r>
      <w:r>
        <w:rPr>
          <w:rFonts w:cstheme="minorHAnsi"/>
          <w:sz w:val="20"/>
        </w:rPr>
        <w:t xml:space="preserve"> See </w:t>
      </w:r>
      <w:hyperlink r:id="rId1" w:history="1">
        <w:r>
          <w:rPr>
            <w:rStyle w:val="Hyperlink"/>
            <w:rFonts w:cstheme="minorHAnsi"/>
            <w:sz w:val="20"/>
          </w:rPr>
          <w:t>https://www.itu.int/en/ITU-D/Study-Groups/2022-2025/Pages/reference/Questions-under-study.aspx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4E3E0F05"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375CDB">
      <w:rPr>
        <w:sz w:val="22"/>
        <w:szCs w:val="22"/>
        <w:lang w:val="de-CH"/>
      </w:rPr>
      <w:t>2</w:t>
    </w:r>
    <w:r w:rsidR="00C770DC">
      <w:rPr>
        <w:sz w:val="22"/>
        <w:szCs w:val="22"/>
        <w:lang w:val="de-CH"/>
      </w:rPr>
      <w:t>2</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B51A9"/>
    <w:multiLevelType w:val="hybridMultilevel"/>
    <w:tmpl w:val="E5325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4F5E83"/>
    <w:multiLevelType w:val="hybridMultilevel"/>
    <w:tmpl w:val="FEFA3F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34403960"/>
    <w:multiLevelType w:val="hybridMultilevel"/>
    <w:tmpl w:val="A45273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542F4D49"/>
    <w:multiLevelType w:val="hybridMultilevel"/>
    <w:tmpl w:val="8A44F3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6ACB327A"/>
    <w:multiLevelType w:val="hybridMultilevel"/>
    <w:tmpl w:val="34E0D6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707B6364"/>
    <w:multiLevelType w:val="hybridMultilevel"/>
    <w:tmpl w:val="70C008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763E7A4F"/>
    <w:multiLevelType w:val="hybridMultilevel"/>
    <w:tmpl w:val="EE94584A"/>
    <w:lvl w:ilvl="0" w:tplc="04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4"/>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1B21"/>
    <w:rsid w:val="0009225C"/>
    <w:rsid w:val="000A17C4"/>
    <w:rsid w:val="000A36A4"/>
    <w:rsid w:val="000B2352"/>
    <w:rsid w:val="000B675C"/>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4B44"/>
    <w:rsid w:val="001850FE"/>
    <w:rsid w:val="00185135"/>
    <w:rsid w:val="0019037C"/>
    <w:rsid w:val="001905A9"/>
    <w:rsid w:val="00191273"/>
    <w:rsid w:val="001942A7"/>
    <w:rsid w:val="0019587B"/>
    <w:rsid w:val="001A163D"/>
    <w:rsid w:val="001A441E"/>
    <w:rsid w:val="001A6733"/>
    <w:rsid w:val="001B357F"/>
    <w:rsid w:val="001C3368"/>
    <w:rsid w:val="001C3444"/>
    <w:rsid w:val="001C3702"/>
    <w:rsid w:val="001C4656"/>
    <w:rsid w:val="001C46BC"/>
    <w:rsid w:val="001C6B7B"/>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6716F"/>
    <w:rsid w:val="002715FD"/>
    <w:rsid w:val="002770B1"/>
    <w:rsid w:val="00285B33"/>
    <w:rsid w:val="00287A3C"/>
    <w:rsid w:val="002A2FC6"/>
    <w:rsid w:val="002C1EC7"/>
    <w:rsid w:val="002C2F60"/>
    <w:rsid w:val="002C3015"/>
    <w:rsid w:val="002C4342"/>
    <w:rsid w:val="002C7EA3"/>
    <w:rsid w:val="002D20AE"/>
    <w:rsid w:val="002D6C61"/>
    <w:rsid w:val="002E04BB"/>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75CDB"/>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46FD"/>
    <w:rsid w:val="00416DDE"/>
    <w:rsid w:val="00426A0A"/>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68E0"/>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0745"/>
    <w:rsid w:val="005F1CA7"/>
    <w:rsid w:val="005F43DD"/>
    <w:rsid w:val="005F51A9"/>
    <w:rsid w:val="005F6BE1"/>
    <w:rsid w:val="005F7416"/>
    <w:rsid w:val="00600C11"/>
    <w:rsid w:val="00606B89"/>
    <w:rsid w:val="00611EAF"/>
    <w:rsid w:val="00623F30"/>
    <w:rsid w:val="00625FB8"/>
    <w:rsid w:val="006261BD"/>
    <w:rsid w:val="00627EFC"/>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0140"/>
    <w:rsid w:val="006F3D93"/>
    <w:rsid w:val="007019B1"/>
    <w:rsid w:val="00721657"/>
    <w:rsid w:val="007279A8"/>
    <w:rsid w:val="00727B1A"/>
    <w:rsid w:val="00741337"/>
    <w:rsid w:val="00741A62"/>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46539"/>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8591F"/>
    <w:rsid w:val="0099155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1F35"/>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3A22"/>
    <w:rsid w:val="00AB4962"/>
    <w:rsid w:val="00AB734E"/>
    <w:rsid w:val="00AB740F"/>
    <w:rsid w:val="00AC6F14"/>
    <w:rsid w:val="00AC7221"/>
    <w:rsid w:val="00AD4677"/>
    <w:rsid w:val="00AE5961"/>
    <w:rsid w:val="00AF0745"/>
    <w:rsid w:val="00AF3D3E"/>
    <w:rsid w:val="00AF4971"/>
    <w:rsid w:val="00AF5276"/>
    <w:rsid w:val="00AF7C86"/>
    <w:rsid w:val="00B01046"/>
    <w:rsid w:val="00B10294"/>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770DC"/>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0FF1"/>
    <w:rsid w:val="00D013EE"/>
    <w:rsid w:val="00D01F54"/>
    <w:rsid w:val="00D040F7"/>
    <w:rsid w:val="00D04A76"/>
    <w:rsid w:val="00D10FC7"/>
    <w:rsid w:val="00D1519F"/>
    <w:rsid w:val="00D20E99"/>
    <w:rsid w:val="00D21C83"/>
    <w:rsid w:val="00D35BDD"/>
    <w:rsid w:val="00D63006"/>
    <w:rsid w:val="00D70D35"/>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5653"/>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84E9F"/>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33C"/>
    <w:rsid w:val="00FE3669"/>
    <w:rsid w:val="00FE5204"/>
    <w:rsid w:val="00FE7831"/>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ootnote Reference/,Appel note de bas de p,Footnote symbol,Style 12,(NECG) Footnote Reference,Style 124,o,fr,Style 13,FR,Style 17,Style 3,Appel note de bas de p + 11 pt,Italic,Footnote,Appel note de bas de p1,Appel note de bas de p2"/>
    <w:basedOn w:val="DefaultParagraphFont"/>
    <w:qForma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Recommendation,List Paragraph11,O5,Para_sk,Resume Title,- Bullets,Ref,Use Case List Paragraph,Bullet List Paragraph,List Paragraph111,List Paragraph Option,EG Bullet 1,Bulleted List1,b1,Bullet for no #'s,Body Bullet,Table Number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ListParagraphChar">
    <w:name w:val="List Paragraph Char"/>
    <w:aliases w:val="Recommendation Char,List Paragraph11 Char,O5 Char,Para_sk Char,Resume Title Char,- Bullets Char,Ref Char,Use Case List Paragraph Char,Bullet List Paragraph Char,List Paragraph111 Char,List Paragraph Option Char,EG Bullet 1 Char"/>
    <w:basedOn w:val="DefaultParagraphFont"/>
    <w:link w:val="ListParagraph"/>
    <w:uiPriority w:val="34"/>
    <w:qFormat/>
    <w:rsid w:val="00EC5653"/>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EC5653"/>
    <w:rPr>
      <w:color w:val="605E5C"/>
      <w:shd w:val="clear" w:color="auto" w:fill="E1DFDD"/>
    </w:rPr>
  </w:style>
  <w:style w:type="paragraph" w:styleId="Revision">
    <w:name w:val="Revision"/>
    <w:hidden/>
    <w:uiPriority w:val="99"/>
    <w:semiHidden/>
    <w:rsid w:val="00426A0A"/>
    <w:rPr>
      <w:rFonts w:asciiTheme="minorHAnsi" w:hAnsiTheme="minorHAnsi"/>
      <w:sz w:val="24"/>
      <w:lang w:val="en-GB" w:eastAsia="en-US"/>
    </w:rPr>
  </w:style>
  <w:style w:type="paragraph" w:styleId="BalloonText">
    <w:name w:val="Balloon Text"/>
    <w:basedOn w:val="Normal"/>
    <w:link w:val="BalloonTextChar"/>
    <w:semiHidden/>
    <w:unhideWhenUsed/>
    <w:rsid w:val="002E04B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E04BB"/>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528421">
      <w:bodyDiv w:val="1"/>
      <w:marLeft w:val="0"/>
      <w:marRight w:val="0"/>
      <w:marTop w:val="0"/>
      <w:marBottom w:val="0"/>
      <w:divBdr>
        <w:top w:val="none" w:sz="0" w:space="0" w:color="auto"/>
        <w:left w:val="none" w:sz="0" w:space="0" w:color="auto"/>
        <w:bottom w:val="none" w:sz="0" w:space="0" w:color="auto"/>
        <w:right w:val="none" w:sz="0" w:space="0" w:color="auto"/>
      </w:divBdr>
    </w:div>
    <w:div w:id="283193606">
      <w:bodyDiv w:val="1"/>
      <w:marLeft w:val="0"/>
      <w:marRight w:val="0"/>
      <w:marTop w:val="0"/>
      <w:marBottom w:val="0"/>
      <w:divBdr>
        <w:top w:val="none" w:sz="0" w:space="0" w:color="auto"/>
        <w:left w:val="none" w:sz="0" w:space="0" w:color="auto"/>
        <w:bottom w:val="none" w:sz="0" w:space="0" w:color="auto"/>
        <w:right w:val="none" w:sz="0" w:space="0" w:color="auto"/>
      </w:divBdr>
    </w:div>
    <w:div w:id="82080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D22-SG02-R-000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D22-SG01-R-000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22-SG02-C-003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D22-SG01-C-0035/" TargetMode="External"/><Relationship Id="rId4" Type="http://schemas.openxmlformats.org/officeDocument/2006/relationships/settings" Target="settings.xml"/><Relationship Id="rId9" Type="http://schemas.openxmlformats.org/officeDocument/2006/relationships/hyperlink" Target="https://www.itu.int/md/R19-SG01-C-0112/en" TargetMode="External"/><Relationship Id="rId14" Type="http://schemas.openxmlformats.org/officeDocument/2006/relationships/hyperlink" Target="https://www.itu.int/dms_pub/itu-d/opb/tdc/d-tdc-wtdc-2022-pdf-e.pdf"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ITU-D/TDAG/" TargetMode="External"/><Relationship Id="rId2" Type="http://schemas.openxmlformats.org/officeDocument/2006/relationships/hyperlink" Target="mailto:h.mazar@atdi-group.com" TargetMode="External"/><Relationship Id="rId1" Type="http://schemas.openxmlformats.org/officeDocument/2006/relationships/hyperlink" Target="mailto:haji@ca.go.ke" TargetMode="External"/><Relationship Id="rId4" Type="http://schemas.openxmlformats.org/officeDocument/2006/relationships/hyperlink" Target="http://www.itu.int/en/ITU-D/Conferences/TDAG/Pages/default.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D/Study-Groups/2022-2025/Pages/reference/Questions-under-stud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3DD9F-1492-46F7-866C-CD0C60DA8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1114</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2</cp:revision>
  <cp:lastPrinted>2014-11-04T09:22:00Z</cp:lastPrinted>
  <dcterms:created xsi:type="dcterms:W3CDTF">2023-04-27T06:53:00Z</dcterms:created>
  <dcterms:modified xsi:type="dcterms:W3CDTF">2023-04-27T06:53:00Z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