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B3101A" w14:paraId="3F0E9EC4" w14:textId="77777777" w:rsidTr="00952667">
        <w:trPr>
          <w:cantSplit/>
          <w:trHeight w:val="1134"/>
        </w:trPr>
        <w:tc>
          <w:tcPr>
            <w:tcW w:w="6379" w:type="dxa"/>
          </w:tcPr>
          <w:p w14:paraId="68FE8375" w14:textId="6390CADE" w:rsidR="00307769" w:rsidRPr="00B3101A" w:rsidRDefault="00B42366" w:rsidP="00307769">
            <w:pPr>
              <w:tabs>
                <w:tab w:val="clear" w:pos="1191"/>
                <w:tab w:val="clear" w:pos="1588"/>
                <w:tab w:val="clear" w:pos="1985"/>
              </w:tabs>
              <w:ind w:left="34"/>
              <w:rPr>
                <w:b/>
                <w:bCs/>
                <w:sz w:val="32"/>
                <w:szCs w:val="32"/>
                <w:lang w:val="es-ES_tradnl"/>
              </w:rPr>
            </w:pPr>
            <w:r w:rsidRPr="00B3101A">
              <w:rPr>
                <w:b/>
                <w:bCs/>
                <w:sz w:val="32"/>
                <w:szCs w:val="32"/>
                <w:lang w:val="es-ES_tradnl"/>
              </w:rPr>
              <w:t>Grupo Asesor de Desarrollo de las Telecomunicaciones</w:t>
            </w:r>
            <w:r w:rsidR="00307769" w:rsidRPr="00B3101A">
              <w:rPr>
                <w:b/>
                <w:bCs/>
                <w:sz w:val="32"/>
                <w:szCs w:val="32"/>
                <w:lang w:val="es-ES_tradnl"/>
              </w:rPr>
              <w:t xml:space="preserve"> (</w:t>
            </w:r>
            <w:r w:rsidRPr="00B3101A">
              <w:rPr>
                <w:b/>
                <w:bCs/>
                <w:sz w:val="32"/>
                <w:szCs w:val="32"/>
                <w:lang w:val="es-ES_tradnl"/>
              </w:rPr>
              <w:t>GADT</w:t>
            </w:r>
            <w:r w:rsidR="00307769" w:rsidRPr="00B3101A">
              <w:rPr>
                <w:b/>
                <w:bCs/>
                <w:sz w:val="32"/>
                <w:szCs w:val="32"/>
                <w:lang w:val="es-ES_tradnl"/>
              </w:rPr>
              <w:t>)</w:t>
            </w:r>
          </w:p>
          <w:p w14:paraId="5F5F590A" w14:textId="7C41D50B" w:rsidR="00307769" w:rsidRPr="00B3101A" w:rsidRDefault="00307769" w:rsidP="00307769">
            <w:pPr>
              <w:tabs>
                <w:tab w:val="clear" w:pos="1191"/>
                <w:tab w:val="clear" w:pos="1588"/>
                <w:tab w:val="clear" w:pos="1985"/>
              </w:tabs>
              <w:spacing w:after="120"/>
              <w:ind w:left="34"/>
              <w:rPr>
                <w:rFonts w:ascii="Verdana" w:hAnsi="Verdana"/>
                <w:sz w:val="28"/>
                <w:szCs w:val="28"/>
                <w:lang w:val="es-ES_tradnl"/>
              </w:rPr>
            </w:pPr>
            <w:r w:rsidRPr="00B3101A">
              <w:rPr>
                <w:b/>
                <w:bCs/>
                <w:sz w:val="26"/>
                <w:szCs w:val="26"/>
                <w:lang w:val="es-ES_tradnl"/>
              </w:rPr>
              <w:t>30</w:t>
            </w:r>
            <w:r w:rsidR="00B42366" w:rsidRPr="00B3101A">
              <w:rPr>
                <w:b/>
                <w:bCs/>
                <w:sz w:val="26"/>
                <w:szCs w:val="26"/>
                <w:lang w:val="es-ES_tradnl"/>
              </w:rPr>
              <w:t xml:space="preserve">ª reunión, Ginebra, Suiza, </w:t>
            </w:r>
            <w:r w:rsidRPr="00B3101A">
              <w:rPr>
                <w:b/>
                <w:bCs/>
                <w:sz w:val="26"/>
                <w:szCs w:val="26"/>
                <w:lang w:val="es-ES_tradnl"/>
              </w:rPr>
              <w:t xml:space="preserve">19-23 </w:t>
            </w:r>
            <w:r w:rsidR="00B42366" w:rsidRPr="00B3101A">
              <w:rPr>
                <w:b/>
                <w:bCs/>
                <w:sz w:val="26"/>
                <w:szCs w:val="26"/>
                <w:lang w:val="es-ES_tradnl"/>
              </w:rPr>
              <w:t>de junio de</w:t>
            </w:r>
            <w:r w:rsidRPr="00B3101A">
              <w:rPr>
                <w:b/>
                <w:bCs/>
                <w:sz w:val="26"/>
                <w:szCs w:val="26"/>
                <w:lang w:val="es-ES_tradnl"/>
              </w:rPr>
              <w:t xml:space="preserve"> 2023</w:t>
            </w:r>
          </w:p>
        </w:tc>
        <w:tc>
          <w:tcPr>
            <w:tcW w:w="3509" w:type="dxa"/>
          </w:tcPr>
          <w:p w14:paraId="67E7B4C4" w14:textId="0F52E4CC" w:rsidR="00307769" w:rsidRPr="00B3101A" w:rsidRDefault="00307769" w:rsidP="00952667">
            <w:pPr>
              <w:spacing w:after="120"/>
              <w:ind w:right="142"/>
              <w:jc w:val="right"/>
              <w:rPr>
                <w:lang w:val="es-ES_tradnl"/>
              </w:rPr>
            </w:pPr>
            <w:r w:rsidRPr="00B3101A">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B3101A" w14:paraId="3C13197B" w14:textId="77777777" w:rsidTr="002018F0">
        <w:trPr>
          <w:cantSplit/>
          <w:trHeight w:val="766"/>
        </w:trPr>
        <w:tc>
          <w:tcPr>
            <w:tcW w:w="6379" w:type="dxa"/>
            <w:tcBorders>
              <w:top w:val="single" w:sz="12" w:space="0" w:color="auto"/>
            </w:tcBorders>
          </w:tcPr>
          <w:p w14:paraId="2EED9DB2" w14:textId="77777777" w:rsidR="00683C32" w:rsidRPr="00B3101A"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B3101A" w:rsidRDefault="00683C32" w:rsidP="00107E85">
            <w:pPr>
              <w:spacing w:before="0"/>
              <w:rPr>
                <w:b/>
                <w:bCs/>
                <w:sz w:val="20"/>
                <w:lang w:val="es-ES_tradnl"/>
              </w:rPr>
            </w:pPr>
          </w:p>
        </w:tc>
      </w:tr>
      <w:tr w:rsidR="00683C32" w:rsidRPr="00B3101A" w14:paraId="0BB3FBC4" w14:textId="77777777" w:rsidTr="0009076F">
        <w:trPr>
          <w:cantSplit/>
        </w:trPr>
        <w:tc>
          <w:tcPr>
            <w:tcW w:w="6379" w:type="dxa"/>
          </w:tcPr>
          <w:p w14:paraId="43C54B3D" w14:textId="77777777" w:rsidR="00683C32" w:rsidRPr="00B3101A" w:rsidRDefault="00683C32" w:rsidP="00400CCF">
            <w:pPr>
              <w:pStyle w:val="Committee"/>
              <w:spacing w:before="0"/>
              <w:rPr>
                <w:b w:val="0"/>
                <w:szCs w:val="24"/>
                <w:lang w:val="es-ES_tradnl"/>
              </w:rPr>
            </w:pPr>
          </w:p>
        </w:tc>
        <w:tc>
          <w:tcPr>
            <w:tcW w:w="3509" w:type="dxa"/>
          </w:tcPr>
          <w:p w14:paraId="02E44EE9" w14:textId="337AC017" w:rsidR="00683C32" w:rsidRPr="00B3101A" w:rsidRDefault="0096201B" w:rsidP="00B648C7">
            <w:pPr>
              <w:spacing w:before="0"/>
              <w:jc w:val="both"/>
              <w:rPr>
                <w:bCs/>
                <w:szCs w:val="24"/>
                <w:lang w:val="es-ES_tradnl"/>
              </w:rPr>
            </w:pPr>
            <w:r w:rsidRPr="00B3101A">
              <w:rPr>
                <w:b/>
                <w:bCs/>
                <w:lang w:val="es-ES_tradnl"/>
              </w:rPr>
              <w:t>Document</w:t>
            </w:r>
            <w:r w:rsidR="00B42366" w:rsidRPr="00B3101A">
              <w:rPr>
                <w:b/>
                <w:bCs/>
                <w:lang w:val="es-ES_tradnl"/>
              </w:rPr>
              <w:t>o</w:t>
            </w:r>
            <w:r w:rsidRPr="00B3101A">
              <w:rPr>
                <w:b/>
                <w:bCs/>
                <w:lang w:val="es-ES_tradnl"/>
              </w:rPr>
              <w:t xml:space="preserve"> </w:t>
            </w:r>
            <w:bookmarkStart w:id="0" w:name="DocRef1"/>
            <w:bookmarkEnd w:id="0"/>
            <w:r w:rsidRPr="00B3101A">
              <w:rPr>
                <w:b/>
                <w:bCs/>
                <w:lang w:val="es-ES_tradnl"/>
              </w:rPr>
              <w:t>TDAG</w:t>
            </w:r>
            <w:r w:rsidR="003242AB" w:rsidRPr="00B3101A">
              <w:rPr>
                <w:b/>
                <w:bCs/>
                <w:lang w:val="es-ES_tradnl"/>
              </w:rPr>
              <w:t>-</w:t>
            </w:r>
            <w:r w:rsidR="00B648C7" w:rsidRPr="00B3101A">
              <w:rPr>
                <w:b/>
                <w:bCs/>
                <w:lang w:val="es-ES_tradnl"/>
              </w:rPr>
              <w:t>2</w:t>
            </w:r>
            <w:bookmarkStart w:id="1" w:name="DocNo1"/>
            <w:bookmarkEnd w:id="1"/>
            <w:r w:rsidR="00307769" w:rsidRPr="00B3101A">
              <w:rPr>
                <w:b/>
                <w:bCs/>
                <w:lang w:val="es-ES_tradnl"/>
              </w:rPr>
              <w:t>3</w:t>
            </w:r>
            <w:r w:rsidR="0009076F" w:rsidRPr="00B3101A">
              <w:rPr>
                <w:b/>
                <w:bCs/>
                <w:lang w:val="es-ES_tradnl"/>
              </w:rPr>
              <w:t>/</w:t>
            </w:r>
            <w:r w:rsidR="00F13DC8" w:rsidRPr="00B3101A">
              <w:rPr>
                <w:b/>
                <w:bCs/>
                <w:lang w:val="es-ES_tradnl"/>
              </w:rPr>
              <w:t>15</w:t>
            </w:r>
            <w:r w:rsidRPr="00B3101A">
              <w:rPr>
                <w:b/>
                <w:bCs/>
                <w:lang w:val="es-ES_tradnl"/>
              </w:rPr>
              <w:t>-</w:t>
            </w:r>
            <w:r w:rsidR="00B42366" w:rsidRPr="00B3101A">
              <w:rPr>
                <w:b/>
                <w:bCs/>
                <w:lang w:val="es-ES_tradnl"/>
              </w:rPr>
              <w:t>S</w:t>
            </w:r>
          </w:p>
        </w:tc>
      </w:tr>
      <w:tr w:rsidR="00683C32" w:rsidRPr="00B3101A" w14:paraId="24D04936" w14:textId="77777777" w:rsidTr="0009076F">
        <w:trPr>
          <w:cantSplit/>
        </w:trPr>
        <w:tc>
          <w:tcPr>
            <w:tcW w:w="6379" w:type="dxa"/>
          </w:tcPr>
          <w:p w14:paraId="12CE4DBF" w14:textId="77777777" w:rsidR="00683C32" w:rsidRPr="00B3101A" w:rsidRDefault="00683C32" w:rsidP="00400CCF">
            <w:pPr>
              <w:spacing w:before="0"/>
              <w:rPr>
                <w:b/>
                <w:bCs/>
                <w:smallCaps/>
                <w:szCs w:val="24"/>
                <w:lang w:val="es-ES_tradnl"/>
              </w:rPr>
            </w:pPr>
          </w:p>
        </w:tc>
        <w:tc>
          <w:tcPr>
            <w:tcW w:w="3509" w:type="dxa"/>
          </w:tcPr>
          <w:p w14:paraId="0F89640F" w14:textId="67132151" w:rsidR="00683C32" w:rsidRPr="00B3101A" w:rsidRDefault="0084072C" w:rsidP="00B648C7">
            <w:pPr>
              <w:spacing w:before="0"/>
              <w:rPr>
                <w:b/>
                <w:szCs w:val="24"/>
                <w:lang w:val="es-ES_tradnl"/>
              </w:rPr>
            </w:pPr>
            <w:bookmarkStart w:id="2" w:name="CreationDate"/>
            <w:bookmarkEnd w:id="2"/>
            <w:r w:rsidRPr="00B3101A">
              <w:rPr>
                <w:b/>
                <w:bCs/>
                <w:szCs w:val="28"/>
                <w:lang w:val="es-ES_tradnl"/>
              </w:rPr>
              <w:t>9</w:t>
            </w:r>
            <w:r w:rsidR="00D07439" w:rsidRPr="00B3101A">
              <w:rPr>
                <w:b/>
                <w:bCs/>
                <w:szCs w:val="28"/>
                <w:lang w:val="es-ES_tradnl"/>
              </w:rPr>
              <w:t xml:space="preserve"> de mayo </w:t>
            </w:r>
            <w:r w:rsidR="00B42366" w:rsidRPr="00B3101A">
              <w:rPr>
                <w:b/>
                <w:bCs/>
                <w:szCs w:val="28"/>
                <w:lang w:val="es-ES_tradnl"/>
              </w:rPr>
              <w:t xml:space="preserve">de </w:t>
            </w:r>
            <w:r w:rsidR="00CE0422" w:rsidRPr="00B3101A">
              <w:rPr>
                <w:b/>
                <w:bCs/>
                <w:szCs w:val="28"/>
                <w:lang w:val="es-ES_tradnl"/>
              </w:rPr>
              <w:t>20</w:t>
            </w:r>
            <w:r w:rsidR="00B648C7" w:rsidRPr="00B3101A">
              <w:rPr>
                <w:b/>
                <w:bCs/>
                <w:szCs w:val="28"/>
                <w:lang w:val="es-ES_tradnl"/>
              </w:rPr>
              <w:t>2</w:t>
            </w:r>
            <w:r w:rsidR="00307769" w:rsidRPr="00B3101A">
              <w:rPr>
                <w:b/>
                <w:bCs/>
                <w:szCs w:val="28"/>
                <w:lang w:val="es-ES_tradnl"/>
              </w:rPr>
              <w:t>3</w:t>
            </w:r>
          </w:p>
        </w:tc>
      </w:tr>
      <w:tr w:rsidR="00683C32" w:rsidRPr="00B3101A" w14:paraId="7B96545F" w14:textId="77777777" w:rsidTr="0009076F">
        <w:trPr>
          <w:cantSplit/>
        </w:trPr>
        <w:tc>
          <w:tcPr>
            <w:tcW w:w="6379" w:type="dxa"/>
          </w:tcPr>
          <w:p w14:paraId="65956FD3" w14:textId="77777777" w:rsidR="00683C32" w:rsidRPr="00B3101A" w:rsidRDefault="00683C32" w:rsidP="00400CCF">
            <w:pPr>
              <w:spacing w:before="0"/>
              <w:rPr>
                <w:b/>
                <w:bCs/>
                <w:smallCaps/>
                <w:szCs w:val="24"/>
                <w:lang w:val="es-ES_tradnl"/>
              </w:rPr>
            </w:pPr>
          </w:p>
        </w:tc>
        <w:tc>
          <w:tcPr>
            <w:tcW w:w="3509" w:type="dxa"/>
          </w:tcPr>
          <w:p w14:paraId="30EFD39F" w14:textId="560C5C27" w:rsidR="00514D2F" w:rsidRPr="00B3101A" w:rsidRDefault="0096201B" w:rsidP="00400CCF">
            <w:pPr>
              <w:spacing w:before="0"/>
              <w:rPr>
                <w:szCs w:val="24"/>
                <w:lang w:val="es-ES_tradnl"/>
              </w:rPr>
            </w:pPr>
            <w:r w:rsidRPr="00B3101A">
              <w:rPr>
                <w:b/>
                <w:lang w:val="es-ES_tradnl"/>
              </w:rPr>
              <w:t>Original:</w:t>
            </w:r>
            <w:bookmarkStart w:id="3" w:name="Original"/>
            <w:bookmarkEnd w:id="3"/>
            <w:r w:rsidR="00CE0422" w:rsidRPr="00B3101A">
              <w:rPr>
                <w:b/>
                <w:lang w:val="es-ES_tradnl"/>
              </w:rPr>
              <w:t xml:space="preserve"> </w:t>
            </w:r>
            <w:r w:rsidR="00B42366" w:rsidRPr="00B3101A">
              <w:rPr>
                <w:b/>
                <w:lang w:val="es-ES_tradnl"/>
              </w:rPr>
              <w:t>inglés</w:t>
            </w:r>
          </w:p>
        </w:tc>
      </w:tr>
      <w:tr w:rsidR="00A13162" w:rsidRPr="00C33FEA" w14:paraId="31656E31" w14:textId="77777777" w:rsidTr="00107E85">
        <w:trPr>
          <w:cantSplit/>
          <w:trHeight w:val="852"/>
        </w:trPr>
        <w:tc>
          <w:tcPr>
            <w:tcW w:w="9888" w:type="dxa"/>
            <w:gridSpan w:val="2"/>
          </w:tcPr>
          <w:p w14:paraId="512FCA01" w14:textId="3F9AB30F" w:rsidR="00A13162" w:rsidRPr="00891D60" w:rsidRDefault="00D07439" w:rsidP="0030353C">
            <w:pPr>
              <w:pStyle w:val="Source"/>
              <w:rPr>
                <w:lang w:val="es-ES_tradnl"/>
              </w:rPr>
            </w:pPr>
            <w:bookmarkStart w:id="4" w:name="Source"/>
            <w:bookmarkEnd w:id="4"/>
            <w:r w:rsidRPr="00891D60">
              <w:rPr>
                <w:lang w:val="es-ES_tradnl"/>
              </w:rPr>
              <w:t>Director de la Oficina de Desarrollo de las Telecomunicaciones</w:t>
            </w:r>
          </w:p>
        </w:tc>
      </w:tr>
      <w:tr w:rsidR="00AC6F14" w:rsidRPr="00C33FEA" w14:paraId="2CBD3A36" w14:textId="77777777" w:rsidTr="00107E85">
        <w:trPr>
          <w:cantSplit/>
        </w:trPr>
        <w:tc>
          <w:tcPr>
            <w:tcW w:w="9888" w:type="dxa"/>
            <w:gridSpan w:val="2"/>
          </w:tcPr>
          <w:p w14:paraId="1B4121DF" w14:textId="6C996326" w:rsidR="00AC6F14" w:rsidRPr="00B3101A" w:rsidRDefault="00F13DC8" w:rsidP="0030353C">
            <w:pPr>
              <w:pStyle w:val="Title1"/>
              <w:rPr>
                <w:lang w:val="es-ES_tradnl"/>
              </w:rPr>
            </w:pPr>
            <w:bookmarkStart w:id="5" w:name="Title"/>
            <w:bookmarkEnd w:id="5"/>
            <w:r w:rsidRPr="00B3101A">
              <w:rPr>
                <w:lang w:val="es-ES_tradnl"/>
              </w:rPr>
              <w:t xml:space="preserve">Resultados de la Conferencia Mundial de Desarrollo </w:t>
            </w:r>
            <w:r w:rsidR="0084072C" w:rsidRPr="00B3101A">
              <w:rPr>
                <w:lang w:val="es-ES_tradnl"/>
              </w:rPr>
              <w:br/>
            </w:r>
            <w:r w:rsidRPr="00B3101A">
              <w:rPr>
                <w:lang w:val="es-ES_tradnl"/>
              </w:rPr>
              <w:t>de las Telecomunicaciones de 2022</w:t>
            </w:r>
            <w:r w:rsidR="0084072C" w:rsidRPr="00B3101A">
              <w:rPr>
                <w:lang w:val="es-ES_tradnl"/>
              </w:rPr>
              <w:t xml:space="preserve"> </w:t>
            </w:r>
            <w:r w:rsidR="00D07439" w:rsidRPr="00B3101A">
              <w:rPr>
                <w:lang w:val="es-ES_tradnl"/>
              </w:rPr>
              <w:t>(</w:t>
            </w:r>
            <w:r w:rsidR="0084072C" w:rsidRPr="00B3101A">
              <w:rPr>
                <w:lang w:val="es-ES_tradnl"/>
              </w:rPr>
              <w:t>CMDT-22</w:t>
            </w:r>
            <w:r w:rsidR="00D07439" w:rsidRPr="00B3101A">
              <w:rPr>
                <w:lang w:val="es-ES_tradnl"/>
              </w:rPr>
              <w:t>)</w:t>
            </w:r>
          </w:p>
        </w:tc>
      </w:tr>
      <w:tr w:rsidR="00A721F4" w:rsidRPr="00C33FEA" w14:paraId="23A30231" w14:textId="77777777" w:rsidTr="00A721F4">
        <w:trPr>
          <w:cantSplit/>
        </w:trPr>
        <w:tc>
          <w:tcPr>
            <w:tcW w:w="9888" w:type="dxa"/>
            <w:gridSpan w:val="2"/>
            <w:tcBorders>
              <w:bottom w:val="single" w:sz="4" w:space="0" w:color="auto"/>
            </w:tcBorders>
          </w:tcPr>
          <w:p w14:paraId="726EE70E" w14:textId="77777777" w:rsidR="00A721F4" w:rsidRPr="00B3101A" w:rsidRDefault="00A721F4" w:rsidP="0030353C">
            <w:pPr>
              <w:rPr>
                <w:lang w:val="es-ES_tradnl"/>
              </w:rPr>
            </w:pPr>
          </w:p>
        </w:tc>
      </w:tr>
      <w:tr w:rsidR="00A721F4" w:rsidRPr="00B3101A"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B3101A" w:rsidRDefault="00B42366" w:rsidP="00EA0C51">
            <w:pPr>
              <w:spacing w:after="120"/>
              <w:rPr>
                <w:b/>
                <w:bCs/>
                <w:szCs w:val="24"/>
                <w:lang w:val="es-ES_tradnl"/>
              </w:rPr>
            </w:pPr>
            <w:r w:rsidRPr="00B3101A">
              <w:rPr>
                <w:b/>
                <w:bCs/>
                <w:szCs w:val="24"/>
                <w:lang w:val="es-ES_tradnl"/>
              </w:rPr>
              <w:t>Resumen</w:t>
            </w:r>
            <w:r w:rsidR="00A721F4" w:rsidRPr="00B3101A">
              <w:rPr>
                <w:b/>
                <w:bCs/>
                <w:szCs w:val="24"/>
                <w:lang w:val="es-ES_tradnl"/>
              </w:rPr>
              <w:t>:</w:t>
            </w:r>
          </w:p>
          <w:p w14:paraId="6A2741D9" w14:textId="7F06D29E" w:rsidR="00805355" w:rsidRPr="00B3101A" w:rsidRDefault="00805355" w:rsidP="00805355">
            <w:pPr>
              <w:rPr>
                <w:szCs w:val="24"/>
                <w:lang w:val="es-ES_tradnl"/>
              </w:rPr>
            </w:pPr>
            <w:r w:rsidRPr="00B3101A">
              <w:rPr>
                <w:szCs w:val="24"/>
                <w:lang w:val="es-ES_tradnl"/>
              </w:rPr>
              <w:t>La Conferencia Mundial de Desarrollo de las Telecomunicaciones de la UIT 2022 (CMDT-22) tuvo lugar en Kigali (</w:t>
            </w:r>
            <w:proofErr w:type="spellStart"/>
            <w:r w:rsidRPr="00B3101A">
              <w:rPr>
                <w:szCs w:val="24"/>
                <w:lang w:val="es-ES_tradnl"/>
              </w:rPr>
              <w:t>R</w:t>
            </w:r>
            <w:r w:rsidR="00E04A6A" w:rsidRPr="00B3101A">
              <w:rPr>
                <w:szCs w:val="24"/>
                <w:lang w:val="es-ES_tradnl"/>
              </w:rPr>
              <w:t>w</w:t>
            </w:r>
            <w:r w:rsidRPr="00B3101A">
              <w:rPr>
                <w:szCs w:val="24"/>
                <w:lang w:val="es-ES_tradnl"/>
              </w:rPr>
              <w:t>anda</w:t>
            </w:r>
            <w:proofErr w:type="spellEnd"/>
            <w:r w:rsidRPr="00B3101A">
              <w:rPr>
                <w:szCs w:val="24"/>
                <w:lang w:val="es-ES_tradnl"/>
              </w:rPr>
              <w:t>) del 6 al 16 de junio de 2022</w:t>
            </w:r>
            <w:r w:rsidR="00A81544" w:rsidRPr="00B3101A">
              <w:rPr>
                <w:szCs w:val="24"/>
                <w:lang w:val="es-ES_tradnl"/>
              </w:rPr>
              <w:t xml:space="preserve">, y </w:t>
            </w:r>
            <w:r w:rsidRPr="00B3101A">
              <w:rPr>
                <w:szCs w:val="24"/>
                <w:lang w:val="es-ES_tradnl"/>
              </w:rPr>
              <w:t xml:space="preserve">adoptó </w:t>
            </w:r>
            <w:r w:rsidR="00A81544" w:rsidRPr="00B3101A">
              <w:rPr>
                <w:szCs w:val="24"/>
                <w:lang w:val="es-ES_tradnl"/>
              </w:rPr>
              <w:t xml:space="preserve">el </w:t>
            </w:r>
            <w:r w:rsidRPr="00B3101A">
              <w:rPr>
                <w:szCs w:val="24"/>
                <w:lang w:val="es-ES_tradnl"/>
              </w:rPr>
              <w:t>plan de acción para el UIT-D, denominado Plan de Acción de Kigali (</w:t>
            </w:r>
            <w:r w:rsidR="00450C13" w:rsidRPr="00B3101A">
              <w:rPr>
                <w:szCs w:val="24"/>
                <w:lang w:val="es-ES_tradnl"/>
              </w:rPr>
              <w:t>PAK</w:t>
            </w:r>
            <w:r w:rsidRPr="00B3101A">
              <w:rPr>
                <w:szCs w:val="24"/>
                <w:lang w:val="es-ES_tradnl"/>
              </w:rPr>
              <w:t>).</w:t>
            </w:r>
          </w:p>
          <w:p w14:paraId="1CC65964" w14:textId="6374AA43" w:rsidR="00D07439" w:rsidRPr="00B3101A" w:rsidRDefault="00805355" w:rsidP="00805355">
            <w:pPr>
              <w:rPr>
                <w:iCs/>
                <w:lang w:val="es-ES_tradnl"/>
              </w:rPr>
            </w:pPr>
            <w:r w:rsidRPr="00B3101A">
              <w:rPr>
                <w:szCs w:val="24"/>
                <w:lang w:val="es-ES_tradnl"/>
              </w:rPr>
              <w:t>El objetivo de este informe es proporcionar al GADT información actualizada sobre los resultados de la CMDT-22</w:t>
            </w:r>
            <w:r w:rsidR="00D07439" w:rsidRPr="00B3101A">
              <w:rPr>
                <w:iCs/>
                <w:lang w:val="es-ES_tradnl"/>
              </w:rPr>
              <w:t>.</w:t>
            </w:r>
          </w:p>
          <w:p w14:paraId="00601DE9" w14:textId="77777777" w:rsidR="00D07439" w:rsidRPr="00B3101A" w:rsidRDefault="00D07439" w:rsidP="00D07439">
            <w:pPr>
              <w:spacing w:after="120"/>
              <w:rPr>
                <w:b/>
                <w:bCs/>
                <w:szCs w:val="24"/>
                <w:lang w:val="es-ES_tradnl"/>
              </w:rPr>
            </w:pPr>
            <w:r w:rsidRPr="00B3101A">
              <w:rPr>
                <w:b/>
                <w:bCs/>
                <w:lang w:val="es-ES_tradnl"/>
              </w:rPr>
              <w:t>Acción solicitada:</w:t>
            </w:r>
          </w:p>
          <w:p w14:paraId="02681930" w14:textId="5D4C223A" w:rsidR="00D07439" w:rsidRPr="00B3101A" w:rsidRDefault="00D07439" w:rsidP="00D07439">
            <w:pPr>
              <w:rPr>
                <w:lang w:val="es-ES_tradnl"/>
              </w:rPr>
            </w:pPr>
            <w:r w:rsidRPr="00B3101A">
              <w:rPr>
                <w:bCs/>
                <w:szCs w:val="24"/>
                <w:lang w:val="es-ES_tradnl"/>
              </w:rPr>
              <w:t xml:space="preserve">Se invita al GADT a tomar nota de este </w:t>
            </w:r>
            <w:r w:rsidR="0074608B" w:rsidRPr="00B3101A">
              <w:rPr>
                <w:bCs/>
                <w:szCs w:val="24"/>
                <w:lang w:val="es-ES_tradnl"/>
              </w:rPr>
              <w:t>informe</w:t>
            </w:r>
            <w:r w:rsidRPr="00B3101A">
              <w:rPr>
                <w:bCs/>
                <w:szCs w:val="24"/>
                <w:lang w:val="es-ES_tradnl"/>
              </w:rPr>
              <w:t>.</w:t>
            </w:r>
          </w:p>
          <w:p w14:paraId="6E9AF9FD" w14:textId="77777777" w:rsidR="00D07439" w:rsidRPr="00B3101A" w:rsidRDefault="00D07439" w:rsidP="00D07439">
            <w:pPr>
              <w:spacing w:after="120"/>
              <w:rPr>
                <w:b/>
                <w:bCs/>
                <w:szCs w:val="24"/>
                <w:lang w:val="es-ES_tradnl"/>
              </w:rPr>
            </w:pPr>
            <w:r w:rsidRPr="00B3101A">
              <w:rPr>
                <w:b/>
                <w:bCs/>
                <w:szCs w:val="24"/>
                <w:lang w:val="es-ES_tradnl"/>
              </w:rPr>
              <w:t>Referencias:</w:t>
            </w:r>
          </w:p>
          <w:p w14:paraId="1ECDD20E" w14:textId="2925091F" w:rsidR="00A721F4" w:rsidRPr="00B3101A" w:rsidRDefault="00E520D8" w:rsidP="00C33FEA">
            <w:pPr>
              <w:pStyle w:val="Heading1"/>
              <w:spacing w:after="120"/>
              <w:rPr>
                <w:lang w:val="es-ES_tradnl"/>
              </w:rPr>
            </w:pPr>
            <w:hyperlink r:id="rId9" w:history="1">
              <w:r w:rsidR="00F907AA" w:rsidRPr="00B3101A">
                <w:rPr>
                  <w:rStyle w:val="Hyperlink"/>
                  <w:lang w:val="es-ES_tradnl"/>
                </w:rPr>
                <w:t>Informe Final de</w:t>
              </w:r>
              <w:r w:rsidR="00F907AA" w:rsidRPr="00B3101A">
                <w:rPr>
                  <w:rStyle w:val="Hyperlink"/>
                  <w:lang w:val="es-ES_tradnl"/>
                </w:rPr>
                <w:t xml:space="preserve"> </w:t>
              </w:r>
              <w:r w:rsidR="00F907AA" w:rsidRPr="00B3101A">
                <w:rPr>
                  <w:rStyle w:val="Hyperlink"/>
                  <w:lang w:val="es-ES_tradnl"/>
                </w:rPr>
                <w:t>la CMDT-22</w:t>
              </w:r>
            </w:hyperlink>
          </w:p>
        </w:tc>
      </w:tr>
    </w:tbl>
    <w:p w14:paraId="336D7025" w14:textId="77777777" w:rsidR="00D07439" w:rsidRPr="00B3101A" w:rsidRDefault="00D07439" w:rsidP="00EA0C51">
      <w:pPr>
        <w:spacing w:after="120"/>
        <w:rPr>
          <w:lang w:val="es-ES_tradnl"/>
        </w:rPr>
      </w:pPr>
    </w:p>
    <w:p w14:paraId="0874131C" w14:textId="77777777" w:rsidR="00D07439" w:rsidRPr="00B3101A" w:rsidRDefault="00D07439">
      <w:pPr>
        <w:tabs>
          <w:tab w:val="clear" w:pos="794"/>
          <w:tab w:val="clear" w:pos="1191"/>
          <w:tab w:val="clear" w:pos="1588"/>
          <w:tab w:val="clear" w:pos="1985"/>
        </w:tabs>
        <w:overflowPunct/>
        <w:autoSpaceDE/>
        <w:autoSpaceDN/>
        <w:adjustRightInd/>
        <w:spacing w:before="0"/>
        <w:textAlignment w:val="auto"/>
        <w:rPr>
          <w:lang w:val="es-ES_tradnl"/>
        </w:rPr>
      </w:pPr>
      <w:r w:rsidRPr="00B3101A">
        <w:rPr>
          <w:lang w:val="es-ES_tradnl"/>
        </w:rPr>
        <w:br w:type="page"/>
      </w:r>
    </w:p>
    <w:p w14:paraId="6A837B86" w14:textId="714AE785" w:rsidR="00F56EEB" w:rsidRPr="00B3101A" w:rsidRDefault="00F56EEB" w:rsidP="00F600F9">
      <w:pPr>
        <w:pStyle w:val="Heading1"/>
        <w:rPr>
          <w:rFonts w:cstheme="minorHAnsi"/>
          <w:sz w:val="24"/>
          <w:szCs w:val="24"/>
          <w:lang w:val="es-ES_tradnl"/>
        </w:rPr>
      </w:pPr>
      <w:r w:rsidRPr="00B3101A">
        <w:rPr>
          <w:lang w:val="es-ES_tradnl"/>
        </w:rPr>
        <w:lastRenderedPageBreak/>
        <w:t>1</w:t>
      </w:r>
      <w:r w:rsidRPr="00B3101A">
        <w:rPr>
          <w:lang w:val="es-ES_tradnl"/>
        </w:rPr>
        <w:tab/>
      </w:r>
      <w:proofErr w:type="gramStart"/>
      <w:r w:rsidRPr="00B3101A">
        <w:rPr>
          <w:lang w:val="es-ES_tradnl"/>
        </w:rPr>
        <w:t>Introducción</w:t>
      </w:r>
      <w:proofErr w:type="gramEnd"/>
    </w:p>
    <w:p w14:paraId="5126B618" w14:textId="77777777" w:rsidR="00F56EEB" w:rsidRPr="00B3101A" w:rsidRDefault="00F56EEB" w:rsidP="00F600F9">
      <w:pPr>
        <w:rPr>
          <w:rFonts w:cstheme="minorHAnsi"/>
          <w:bCs/>
          <w:color w:val="000000"/>
          <w:lang w:val="es-ES_tradnl"/>
        </w:rPr>
      </w:pPr>
      <w:r w:rsidRPr="00B3101A">
        <w:rPr>
          <w:lang w:val="es-ES_tradnl"/>
        </w:rPr>
        <w:t>1.1</w:t>
      </w:r>
      <w:r w:rsidRPr="00B3101A">
        <w:rPr>
          <w:lang w:val="es-ES_tradnl"/>
        </w:rPr>
        <w:tab/>
        <w:t>La octava Conferencia Mundial de Desarrollo de las Telecomunicaciones (CMDT-22) de la Unión Internacional de Telecomunicaciones (UIT), celebrada del 6 al 16 de junio de 2022 en Kigali (</w:t>
      </w:r>
      <w:proofErr w:type="spellStart"/>
      <w:r w:rsidRPr="00B3101A">
        <w:rPr>
          <w:lang w:val="es-ES_tradnl"/>
        </w:rPr>
        <w:t>Rwanda</w:t>
      </w:r>
      <w:proofErr w:type="spellEnd"/>
      <w:r w:rsidRPr="00B3101A">
        <w:rPr>
          <w:lang w:val="es-ES_tradnl"/>
        </w:rPr>
        <w:t>), fue un evento histórico destinado a proporcionar conectividad asequible y significativa a los 2 900 millones de personas que aún carecen de conexión a Internet, que se calcula que en todo el mundo carecen de ella.</w:t>
      </w:r>
    </w:p>
    <w:p w14:paraId="55249E92" w14:textId="77777777" w:rsidR="00F56EEB" w:rsidRPr="00B3101A" w:rsidRDefault="00F56EEB" w:rsidP="00F600F9">
      <w:pPr>
        <w:rPr>
          <w:rFonts w:cstheme="minorHAnsi"/>
          <w:bCs/>
          <w:color w:val="000000"/>
          <w:lang w:val="es-ES_tradnl"/>
        </w:rPr>
      </w:pPr>
      <w:r w:rsidRPr="00B3101A">
        <w:rPr>
          <w:lang w:val="es-ES_tradnl"/>
        </w:rPr>
        <w:t>1.2</w:t>
      </w:r>
      <w:r w:rsidRPr="00B3101A">
        <w:rPr>
          <w:lang w:val="es-ES_tradnl"/>
        </w:rPr>
        <w:tab/>
        <w:t xml:space="preserve">Celebrada en torno al tema </w:t>
      </w:r>
      <w:r w:rsidRPr="00B3101A">
        <w:rPr>
          <w:b/>
          <w:bCs/>
          <w:i/>
          <w:iCs/>
          <w:lang w:val="es-ES_tradnl"/>
        </w:rPr>
        <w:t>Conectar a quienes carecen de conexión para lograr el desarrollo sostenible</w:t>
      </w:r>
      <w:r w:rsidRPr="00B3101A">
        <w:rPr>
          <w:lang w:val="es-ES_tradnl"/>
        </w:rPr>
        <w:t>, la CMDT-22 contó con la asistencia de 2 152 participantes (1 304 en persona y 848 en línea). Los participantes provenían de 150 Estados Miembros (127 países de forma presencial y 23 a distancia), 96 Miembros de Sector del Sector de Desarrollo de las Telecomunicaciones de la UIT (UIT-D), 37 Instituciones Académicas y observadores en virtud de la Resolución 99 de la Conferencia de Plenipotenciarios, y las Naciones Unidas y sus organismos especializados.</w:t>
      </w:r>
    </w:p>
    <w:p w14:paraId="78E4176F" w14:textId="77777777" w:rsidR="00F56EEB" w:rsidRPr="00B3101A" w:rsidRDefault="00F56EEB" w:rsidP="001C5031">
      <w:pPr>
        <w:rPr>
          <w:lang w:val="es-ES_tradnl"/>
        </w:rPr>
      </w:pPr>
      <w:r w:rsidRPr="00B3101A">
        <w:rPr>
          <w:lang w:val="es-ES_tradnl"/>
        </w:rPr>
        <w:t>1.3</w:t>
      </w:r>
      <w:r w:rsidRPr="00B3101A">
        <w:rPr>
          <w:lang w:val="es-ES_tradnl"/>
        </w:rPr>
        <w:tab/>
        <w:t>Los principales resultados de la CMDT-22 fueron los siguientes:</w:t>
      </w:r>
    </w:p>
    <w:p w14:paraId="6163F9B4" w14:textId="5B013601" w:rsidR="00F56EEB" w:rsidRPr="00B3101A" w:rsidRDefault="00932A16" w:rsidP="00932A16">
      <w:pPr>
        <w:pStyle w:val="enumlev1"/>
        <w:rPr>
          <w:lang w:val="es-ES_tradnl"/>
        </w:rPr>
      </w:pPr>
      <w:r w:rsidRPr="00B3101A">
        <w:rPr>
          <w:rFonts w:cstheme="minorHAnsi"/>
          <w:bCs/>
          <w:color w:val="000000"/>
          <w:lang w:val="es-ES_tradnl"/>
        </w:rPr>
        <w:t>–</w:t>
      </w:r>
      <w:r w:rsidRPr="00B3101A">
        <w:rPr>
          <w:rFonts w:cstheme="minorHAnsi"/>
          <w:bCs/>
          <w:color w:val="000000"/>
          <w:lang w:val="es-ES_tradnl"/>
        </w:rPr>
        <w:tab/>
      </w:r>
      <w:r w:rsidR="00F56EEB" w:rsidRPr="00B3101A">
        <w:rPr>
          <w:lang w:val="es-ES_tradnl"/>
        </w:rPr>
        <w:t xml:space="preserve">La </w:t>
      </w:r>
      <w:r w:rsidR="00F56EEB" w:rsidRPr="00B3101A">
        <w:rPr>
          <w:b/>
          <w:bCs/>
          <w:lang w:val="es-ES_tradnl"/>
        </w:rPr>
        <w:t>Declaración de Kigali</w:t>
      </w:r>
      <w:r w:rsidR="00F56EEB" w:rsidRPr="00B3101A">
        <w:rPr>
          <w:lang w:val="es-ES_tradnl"/>
        </w:rPr>
        <w:t>, en la que se ponen de manifiesto las principales conclusiones y prioridades establecidas en la Conferencia y fortalece el apoyo político con respecto a la misión de desarrollo y los objetivos estratégicos de la UIT.</w:t>
      </w:r>
    </w:p>
    <w:p w14:paraId="536F5C4F" w14:textId="78627319" w:rsidR="00F56EEB" w:rsidRPr="00B3101A" w:rsidRDefault="00932A16" w:rsidP="00932A16">
      <w:pPr>
        <w:pStyle w:val="enumlev1"/>
        <w:rPr>
          <w:lang w:val="es-ES_tradnl"/>
        </w:rPr>
      </w:pPr>
      <w:r w:rsidRPr="00B3101A">
        <w:rPr>
          <w:rFonts w:cstheme="minorHAnsi"/>
          <w:bCs/>
          <w:color w:val="000000"/>
          <w:lang w:val="es-ES_tradnl"/>
        </w:rPr>
        <w:t>–</w:t>
      </w:r>
      <w:r w:rsidRPr="00B3101A">
        <w:rPr>
          <w:rFonts w:cstheme="minorHAnsi"/>
          <w:bCs/>
          <w:color w:val="000000"/>
          <w:lang w:val="es-ES_tradnl"/>
        </w:rPr>
        <w:tab/>
      </w:r>
      <w:r w:rsidR="00F56EEB" w:rsidRPr="00B3101A">
        <w:rPr>
          <w:lang w:val="es-ES_tradnl"/>
        </w:rPr>
        <w:t xml:space="preserve">El </w:t>
      </w:r>
      <w:r w:rsidR="00F56EEB" w:rsidRPr="00B3101A">
        <w:rPr>
          <w:b/>
          <w:bCs/>
          <w:lang w:val="es-ES_tradnl"/>
        </w:rPr>
        <w:t>Plan de Acción de Kigali</w:t>
      </w:r>
      <w:r w:rsidR="00F56EEB" w:rsidRPr="00B3101A">
        <w:rPr>
          <w:lang w:val="es-ES_tradnl"/>
        </w:rPr>
        <w:t>, que consiste en un vasto conjunto de medidas para fomentar el desarrollo equitativo y sostenible de las redes y servicios de telecomunicaciones/TIC.</w:t>
      </w:r>
    </w:p>
    <w:p w14:paraId="72352E72" w14:textId="782BBC38" w:rsidR="00F56EEB" w:rsidRPr="00B3101A" w:rsidRDefault="00932A16" w:rsidP="00932A16">
      <w:pPr>
        <w:pStyle w:val="enumlev1"/>
        <w:rPr>
          <w:lang w:val="es-ES_tradnl"/>
        </w:rPr>
      </w:pPr>
      <w:r w:rsidRPr="00B3101A">
        <w:rPr>
          <w:lang w:val="es-ES_tradnl"/>
        </w:rPr>
        <w:t>–</w:t>
      </w:r>
      <w:r w:rsidRPr="00B3101A">
        <w:rPr>
          <w:lang w:val="es-ES_tradnl"/>
        </w:rPr>
        <w:tab/>
      </w:r>
      <w:r w:rsidR="00F56EEB" w:rsidRPr="00B3101A">
        <w:rPr>
          <w:lang w:val="es-ES_tradnl"/>
        </w:rPr>
        <w:t xml:space="preserve">Las </w:t>
      </w:r>
      <w:r w:rsidR="00F56EEB" w:rsidRPr="00B3101A">
        <w:rPr>
          <w:b/>
          <w:bCs/>
          <w:lang w:val="es-ES_tradnl"/>
        </w:rPr>
        <w:t xml:space="preserve">Iniciativas Regionales </w:t>
      </w:r>
      <w:r w:rsidR="00F56EEB" w:rsidRPr="00B3101A">
        <w:rPr>
          <w:lang w:val="es-ES_tradnl"/>
        </w:rPr>
        <w:t>para África, las Américas, los Estados Árabes, Asia-Pacífico, la Comunidad de Estados Independientes (CEI) y Europa. Las Iniciativas Regionales tienen por objeto identificar las principales esferas prioritarias de las telecomunicaciones/TIC de interés para cada región, que se abordarán mediante asociaciones y la movilización de recursos para realizar proyectos que forman parte del Plan de Acción del UIT-D.</w:t>
      </w:r>
    </w:p>
    <w:p w14:paraId="7D43ACE4" w14:textId="2A990D10" w:rsidR="00F56EEB" w:rsidRPr="00B3101A" w:rsidRDefault="00932A16" w:rsidP="00932A16">
      <w:pPr>
        <w:pStyle w:val="enumlev1"/>
        <w:rPr>
          <w:lang w:val="es-ES_tradnl"/>
        </w:rPr>
      </w:pPr>
      <w:r w:rsidRPr="00B3101A">
        <w:rPr>
          <w:lang w:val="es-ES_tradnl"/>
        </w:rPr>
        <w:t>–</w:t>
      </w:r>
      <w:r w:rsidRPr="00B3101A">
        <w:rPr>
          <w:lang w:val="es-ES_tradnl"/>
        </w:rPr>
        <w:tab/>
      </w:r>
      <w:r w:rsidR="00F56EEB" w:rsidRPr="00B3101A">
        <w:rPr>
          <w:b/>
          <w:bCs/>
          <w:lang w:val="es-ES_tradnl"/>
        </w:rPr>
        <w:t xml:space="preserve">4 nuevas Resoluciones </w:t>
      </w:r>
      <w:r w:rsidR="00F56EEB" w:rsidRPr="00B3101A">
        <w:rPr>
          <w:lang w:val="es-ES_tradnl"/>
        </w:rPr>
        <w:t xml:space="preserve">y </w:t>
      </w:r>
      <w:r w:rsidR="00F56EEB" w:rsidRPr="00B3101A">
        <w:rPr>
          <w:b/>
          <w:bCs/>
          <w:lang w:val="es-ES_tradnl"/>
        </w:rPr>
        <w:t>40 Resoluciones revisadas</w:t>
      </w:r>
      <w:r w:rsidR="00F56EEB" w:rsidRPr="00B3101A">
        <w:rPr>
          <w:lang w:val="es-ES_tradnl"/>
        </w:rPr>
        <w:t>.</w:t>
      </w:r>
    </w:p>
    <w:p w14:paraId="284CB32C" w14:textId="536DE38C" w:rsidR="00F56EEB" w:rsidRPr="00B3101A" w:rsidRDefault="00932A16" w:rsidP="00932A16">
      <w:pPr>
        <w:pStyle w:val="enumlev1"/>
        <w:rPr>
          <w:lang w:val="es-ES_tradnl"/>
        </w:rPr>
      </w:pPr>
      <w:r w:rsidRPr="00B3101A">
        <w:rPr>
          <w:lang w:val="es-ES_tradnl"/>
        </w:rPr>
        <w:t>–</w:t>
      </w:r>
      <w:r w:rsidRPr="00B3101A">
        <w:rPr>
          <w:lang w:val="es-ES_tradnl"/>
        </w:rPr>
        <w:tab/>
      </w:r>
      <w:r w:rsidR="00F56EEB" w:rsidRPr="00B3101A">
        <w:rPr>
          <w:b/>
          <w:bCs/>
          <w:lang w:val="es-ES_tradnl"/>
        </w:rPr>
        <w:t xml:space="preserve">Cuestiones de estudio del UIT-D </w:t>
      </w:r>
      <w:r w:rsidR="00F56EEB" w:rsidRPr="00B3101A">
        <w:rPr>
          <w:lang w:val="es-ES_tradnl"/>
        </w:rPr>
        <w:t>nuevas y revisadas que se estudiarán durante el periodo</w:t>
      </w:r>
      <w:r w:rsidRPr="00B3101A">
        <w:rPr>
          <w:lang w:val="es-ES_tradnl"/>
        </w:rPr>
        <w:t> </w:t>
      </w:r>
      <w:r w:rsidR="00F56EEB" w:rsidRPr="00B3101A">
        <w:rPr>
          <w:lang w:val="es-ES_tradnl"/>
        </w:rPr>
        <w:t>2022-2025.</w:t>
      </w:r>
    </w:p>
    <w:p w14:paraId="21825AB4" w14:textId="1D29689E" w:rsidR="00F56EEB" w:rsidRPr="00B3101A" w:rsidRDefault="00932A16" w:rsidP="00932A16">
      <w:pPr>
        <w:pStyle w:val="enumlev1"/>
        <w:rPr>
          <w:lang w:val="es-ES_tradnl"/>
        </w:rPr>
      </w:pPr>
      <w:r w:rsidRPr="00B3101A">
        <w:rPr>
          <w:lang w:val="es-ES_tradnl"/>
        </w:rPr>
        <w:t>–</w:t>
      </w:r>
      <w:r w:rsidRPr="00B3101A">
        <w:rPr>
          <w:lang w:val="es-ES_tradnl"/>
        </w:rPr>
        <w:tab/>
      </w:r>
      <w:r w:rsidR="00F56EEB" w:rsidRPr="00B3101A">
        <w:rPr>
          <w:lang w:val="es-ES_tradnl"/>
        </w:rPr>
        <w:t xml:space="preserve">La CMDT-22 nombró a la </w:t>
      </w:r>
      <w:r w:rsidR="00F56EEB" w:rsidRPr="00B3101A">
        <w:rPr>
          <w:b/>
          <w:bCs/>
          <w:lang w:val="es-ES_tradnl"/>
        </w:rPr>
        <w:t>Oficina del Grupo Asesor de Desarrollo de las Telecomunicaciones (GADT)</w:t>
      </w:r>
      <w:r w:rsidR="00F56EEB" w:rsidRPr="00B3101A">
        <w:rPr>
          <w:lang w:val="es-ES_tradnl"/>
        </w:rPr>
        <w:t xml:space="preserve">, integrada por el </w:t>
      </w:r>
      <w:proofErr w:type="gramStart"/>
      <w:r w:rsidR="00F56EEB" w:rsidRPr="00B3101A">
        <w:rPr>
          <w:lang w:val="es-ES_tradnl"/>
        </w:rPr>
        <w:t>Presidente</w:t>
      </w:r>
      <w:proofErr w:type="gramEnd"/>
      <w:r w:rsidR="00F56EEB" w:rsidRPr="00B3101A">
        <w:rPr>
          <w:lang w:val="es-ES_tradnl"/>
        </w:rPr>
        <w:t xml:space="preserve"> y los Vicepresidentes del GADT y los Presidentes de las Comisiones de Estudio del UIT-D.</w:t>
      </w:r>
    </w:p>
    <w:p w14:paraId="20DE7C51" w14:textId="1C8010AC" w:rsidR="00F56EEB" w:rsidRPr="00B3101A" w:rsidRDefault="00932A16" w:rsidP="00932A16">
      <w:pPr>
        <w:pStyle w:val="enumlev1"/>
        <w:rPr>
          <w:rFonts w:cstheme="minorHAnsi"/>
          <w:bCs/>
          <w:szCs w:val="24"/>
          <w:lang w:val="es-ES_tradnl"/>
        </w:rPr>
      </w:pPr>
      <w:r w:rsidRPr="00B3101A">
        <w:rPr>
          <w:lang w:val="es-ES_tradnl"/>
        </w:rPr>
        <w:t>–</w:t>
      </w:r>
      <w:r w:rsidRPr="00B3101A">
        <w:rPr>
          <w:lang w:val="es-ES_tradnl"/>
        </w:rPr>
        <w:tab/>
      </w:r>
      <w:r w:rsidR="00F56EEB" w:rsidRPr="00B3101A">
        <w:rPr>
          <w:lang w:val="es-ES_tradnl"/>
        </w:rPr>
        <w:t xml:space="preserve">La CMDT-22 nombró a los equipos directivos de las </w:t>
      </w:r>
      <w:r w:rsidR="00F56EEB" w:rsidRPr="00B3101A">
        <w:rPr>
          <w:b/>
          <w:bCs/>
          <w:lang w:val="es-ES_tradnl"/>
        </w:rPr>
        <w:t>Comisiones de Estudio del UIT-D</w:t>
      </w:r>
      <w:r w:rsidR="00F56EEB" w:rsidRPr="00B3101A">
        <w:rPr>
          <w:lang w:val="es-ES_tradnl"/>
        </w:rPr>
        <w:t xml:space="preserve">, integradas por el </w:t>
      </w:r>
      <w:proofErr w:type="gramStart"/>
      <w:r w:rsidR="00F56EEB" w:rsidRPr="00B3101A">
        <w:rPr>
          <w:lang w:val="es-ES_tradnl"/>
        </w:rPr>
        <w:t>Presidente</w:t>
      </w:r>
      <w:proofErr w:type="gramEnd"/>
      <w:r w:rsidR="00F56EEB" w:rsidRPr="00B3101A">
        <w:rPr>
          <w:lang w:val="es-ES_tradnl"/>
        </w:rPr>
        <w:t xml:space="preserve"> y los Vicepresidentes de cada Comisión de Estudio.</w:t>
      </w:r>
    </w:p>
    <w:p w14:paraId="1253E980" w14:textId="0E2578C7" w:rsidR="00F56EEB" w:rsidRPr="00B3101A" w:rsidRDefault="00F56EEB" w:rsidP="00F600F9">
      <w:pPr>
        <w:pStyle w:val="Heading1"/>
        <w:rPr>
          <w:lang w:val="es-ES_tradnl"/>
        </w:rPr>
      </w:pPr>
      <w:r w:rsidRPr="00B3101A">
        <w:rPr>
          <w:lang w:val="es-ES_tradnl"/>
        </w:rPr>
        <w:t>2</w:t>
      </w:r>
      <w:r w:rsidRPr="00B3101A">
        <w:rPr>
          <w:lang w:val="es-ES_tradnl"/>
        </w:rPr>
        <w:tab/>
      </w:r>
      <w:proofErr w:type="gramStart"/>
      <w:r w:rsidRPr="00B3101A">
        <w:rPr>
          <w:lang w:val="es-ES_tradnl"/>
        </w:rPr>
        <w:t>El</w:t>
      </w:r>
      <w:proofErr w:type="gramEnd"/>
      <w:r w:rsidRPr="00B3101A">
        <w:rPr>
          <w:lang w:val="es-ES_tradnl"/>
        </w:rPr>
        <w:t xml:space="preserve"> Plan de Acción de Kigali (PAK)</w:t>
      </w:r>
    </w:p>
    <w:p w14:paraId="38317E36" w14:textId="7D1E62BC" w:rsidR="00F56EEB" w:rsidRPr="00B3101A" w:rsidRDefault="00F56EEB" w:rsidP="00F600F9">
      <w:pPr>
        <w:rPr>
          <w:rFonts w:cstheme="minorHAnsi"/>
          <w:color w:val="000000"/>
          <w:szCs w:val="24"/>
          <w:lang w:val="es-ES_tradnl"/>
        </w:rPr>
      </w:pPr>
      <w:r w:rsidRPr="00B3101A">
        <w:rPr>
          <w:lang w:val="es-ES_tradnl"/>
        </w:rPr>
        <w:t>2.1</w:t>
      </w:r>
      <w:r w:rsidRPr="00B3101A">
        <w:rPr>
          <w:lang w:val="es-ES_tradnl"/>
        </w:rPr>
        <w:tab/>
        <w:t>El PAK se ajusta a un marco de GBR, basado en las prioridades del UIT-D identificadas como esferas fundamentales de trabajo, que contribuirán a la ejecución del Plan Estratégico de la</w:t>
      </w:r>
      <w:r w:rsidR="00C33FEA">
        <w:rPr>
          <w:lang w:val="es-ES_tradnl"/>
        </w:rPr>
        <w:t> </w:t>
      </w:r>
      <w:r w:rsidRPr="00B3101A">
        <w:rPr>
          <w:lang w:val="es-ES_tradnl"/>
        </w:rPr>
        <w:t>UIT para 2024-2027. En la Figura 1 se muestra la estructura del PAK y su contribución al Plan Estratégico de la UIT.</w:t>
      </w:r>
    </w:p>
    <w:p w14:paraId="09D39A93" w14:textId="0D225E79" w:rsidR="001F1530" w:rsidRPr="00B3101A" w:rsidRDefault="001F1530" w:rsidP="00932A16">
      <w:pPr>
        <w:pStyle w:val="Figuretitle"/>
        <w:keepNext/>
        <w:spacing w:before="120"/>
        <w:rPr>
          <w:lang w:val="es-ES_tradnl"/>
        </w:rPr>
      </w:pPr>
      <w:r w:rsidRPr="00B3101A">
        <w:rPr>
          <w:lang w:val="es-ES_tradnl"/>
        </w:rPr>
        <w:lastRenderedPageBreak/>
        <w:t xml:space="preserve">Figura 1: Estructura del Plan de Acción de Kigali y su </w:t>
      </w:r>
      <w:r w:rsidR="00932A16" w:rsidRPr="00B3101A">
        <w:rPr>
          <w:lang w:val="es-ES_tradnl"/>
        </w:rPr>
        <w:br/>
      </w:r>
      <w:r w:rsidRPr="00B3101A">
        <w:rPr>
          <w:lang w:val="es-ES_tradnl"/>
        </w:rPr>
        <w:t>contribución al Plan Estratégico de la UIT</w:t>
      </w:r>
    </w:p>
    <w:p w14:paraId="5DC3A59F" w14:textId="5E1C6D68" w:rsidR="00F56EEB" w:rsidRPr="00B3101A" w:rsidRDefault="001F1530" w:rsidP="00932A16">
      <w:pPr>
        <w:jc w:val="center"/>
        <w:rPr>
          <w:lang w:val="es-ES_tradnl"/>
        </w:rPr>
      </w:pPr>
      <w:r w:rsidRPr="00B3101A">
        <w:rPr>
          <w:noProof/>
          <w:lang w:val="es-ES_tradnl" w:eastAsia="es-ES_tradnl"/>
        </w:rPr>
        <w:drawing>
          <wp:inline distT="0" distB="0" distL="0" distR="0" wp14:anchorId="72B15741" wp14:editId="186D51A0">
            <wp:extent cx="5362678" cy="3384550"/>
            <wp:effectExtent l="0" t="0" r="9525" b="6350"/>
            <wp:docPr id="4" name="Picture 4"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creenshot, font, de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77509" cy="3393910"/>
                    </a:xfrm>
                    <a:prstGeom prst="rect">
                      <a:avLst/>
                    </a:prstGeom>
                    <a:noFill/>
                    <a:ln>
                      <a:noFill/>
                    </a:ln>
                  </pic:spPr>
                </pic:pic>
              </a:graphicData>
            </a:graphic>
          </wp:inline>
        </w:drawing>
      </w:r>
    </w:p>
    <w:p w14:paraId="35B5B3F5" w14:textId="5C3E53A9" w:rsidR="00F56EEB" w:rsidRPr="00B3101A" w:rsidRDefault="00F56EEB" w:rsidP="00F600F9">
      <w:pPr>
        <w:spacing w:before="240"/>
        <w:rPr>
          <w:rFonts w:cstheme="minorHAnsi"/>
          <w:color w:val="000000"/>
          <w:szCs w:val="24"/>
          <w:lang w:val="es-ES_tradnl"/>
        </w:rPr>
      </w:pPr>
      <w:r w:rsidRPr="00B3101A">
        <w:rPr>
          <w:lang w:val="es-ES_tradnl"/>
        </w:rPr>
        <w:t>2.2</w:t>
      </w:r>
      <w:r w:rsidRPr="00B3101A">
        <w:rPr>
          <w:lang w:val="es-ES_tradnl"/>
        </w:rPr>
        <w:tab/>
        <w:t xml:space="preserve">El </w:t>
      </w:r>
      <w:r w:rsidR="00450C13" w:rsidRPr="00B3101A">
        <w:rPr>
          <w:lang w:val="es-ES_tradnl"/>
        </w:rPr>
        <w:t>PAK</w:t>
      </w:r>
      <w:r w:rsidRPr="00B3101A">
        <w:rPr>
          <w:lang w:val="es-ES_tradnl"/>
        </w:rPr>
        <w:t xml:space="preserve"> está constituido por prioridades del UIT-D y se ofrece a través de una serie de ofertas fundamentales (productos y servicios) y factores </w:t>
      </w:r>
      <w:r w:rsidR="00450C13" w:rsidRPr="00B3101A">
        <w:rPr>
          <w:lang w:val="es-ES_tradnl"/>
        </w:rPr>
        <w:t>habilitadores</w:t>
      </w:r>
      <w:r w:rsidRPr="00B3101A">
        <w:rPr>
          <w:lang w:val="es-ES_tradnl"/>
        </w:rPr>
        <w:t>. A fin de garantizar la coherencia con el mandato de la UIT y otros procesos e iniciativas fundamentales, éstos están claramente vinculados con Resoluciones específicas de la UIT, las Líneas de Acción de la CMSI y los</w:t>
      </w:r>
      <w:r w:rsidR="00932A16" w:rsidRPr="00B3101A">
        <w:rPr>
          <w:lang w:val="es-ES_tradnl"/>
        </w:rPr>
        <w:t> </w:t>
      </w:r>
      <w:r w:rsidRPr="00B3101A">
        <w:rPr>
          <w:lang w:val="es-ES_tradnl"/>
        </w:rPr>
        <w:t>ODS.</w:t>
      </w:r>
    </w:p>
    <w:p w14:paraId="16C586C3" w14:textId="77777777" w:rsidR="00F56EEB" w:rsidRPr="00B3101A" w:rsidRDefault="00F56EEB" w:rsidP="00932A16">
      <w:pPr>
        <w:pStyle w:val="Heading2"/>
        <w:rPr>
          <w:rFonts w:cstheme="minorHAnsi"/>
          <w:color w:val="000000"/>
          <w:szCs w:val="24"/>
          <w:lang w:val="es-ES_tradnl"/>
        </w:rPr>
      </w:pPr>
      <w:r w:rsidRPr="00B3101A">
        <w:rPr>
          <w:lang w:val="es-ES_tradnl"/>
        </w:rPr>
        <w:t>2.3</w:t>
      </w:r>
      <w:r w:rsidRPr="00B3101A">
        <w:rPr>
          <w:lang w:val="es-ES_tradnl"/>
        </w:rPr>
        <w:tab/>
        <w:t>Prioridades del UIT-D</w:t>
      </w:r>
    </w:p>
    <w:p w14:paraId="32CFA8A1" w14:textId="77777777" w:rsidR="00F56EEB" w:rsidRPr="00B3101A" w:rsidRDefault="00F56EEB" w:rsidP="00F56EEB">
      <w:pPr>
        <w:tabs>
          <w:tab w:val="clear" w:pos="794"/>
          <w:tab w:val="clear" w:pos="1191"/>
          <w:tab w:val="clear" w:pos="1588"/>
          <w:tab w:val="clear" w:pos="1985"/>
        </w:tabs>
        <w:spacing w:after="120"/>
        <w:ind w:left="567" w:hanging="567"/>
        <w:rPr>
          <w:rFonts w:cstheme="minorHAnsi"/>
          <w:color w:val="000000"/>
          <w:szCs w:val="24"/>
          <w:lang w:val="es-ES_tradnl"/>
        </w:rPr>
      </w:pPr>
      <w:r w:rsidRPr="00B3101A">
        <w:rPr>
          <w:lang w:val="es-ES_tradnl"/>
        </w:rPr>
        <w:t>Las cinco prioridades del Sector de Desarrollo son las siguientes:</w:t>
      </w:r>
    </w:p>
    <w:p w14:paraId="6384EE65" w14:textId="77777777" w:rsidR="00F56EEB" w:rsidRPr="00B3101A" w:rsidRDefault="00F56EEB" w:rsidP="00932A16">
      <w:pPr>
        <w:pStyle w:val="Headingi"/>
        <w:rPr>
          <w:rFonts w:cstheme="minorHAnsi"/>
          <w:color w:val="000000"/>
          <w:szCs w:val="24"/>
          <w:lang w:val="es-ES_tradnl"/>
        </w:rPr>
      </w:pPr>
      <w:r w:rsidRPr="00B3101A">
        <w:rPr>
          <w:lang w:val="es-ES_tradnl"/>
        </w:rPr>
        <w:t>Conectividad asequible</w:t>
      </w:r>
    </w:p>
    <w:p w14:paraId="7DBA8496" w14:textId="2BD64A66" w:rsidR="00F56EEB" w:rsidRPr="00B3101A" w:rsidRDefault="00F56EEB" w:rsidP="00932A16">
      <w:pPr>
        <w:rPr>
          <w:rFonts w:cstheme="minorHAnsi"/>
          <w:color w:val="000000"/>
          <w:szCs w:val="24"/>
          <w:lang w:val="es-ES_tradnl"/>
        </w:rPr>
      </w:pPr>
      <w:r w:rsidRPr="00B3101A">
        <w:rPr>
          <w:lang w:val="es-ES_tradnl"/>
        </w:rPr>
        <w:t>Esta prioridad se centra en la utilización de una conectividad moderna, disponible, segura, accesible y asequible mediante el despliegue de infraestructuras y servicios de telecomunicaciones/TIC para la reducción de la brecha digital.</w:t>
      </w:r>
    </w:p>
    <w:p w14:paraId="777D5DE8" w14:textId="77777777" w:rsidR="00F56EEB" w:rsidRPr="00B3101A" w:rsidRDefault="00F56EEB" w:rsidP="00932A16">
      <w:pPr>
        <w:pStyle w:val="Headingi"/>
        <w:rPr>
          <w:rFonts w:cstheme="minorHAnsi"/>
          <w:color w:val="000000"/>
          <w:szCs w:val="24"/>
          <w:lang w:val="es-ES_tradnl"/>
        </w:rPr>
      </w:pPr>
      <w:r w:rsidRPr="00B3101A">
        <w:rPr>
          <w:lang w:val="es-ES_tradnl"/>
        </w:rPr>
        <w:t>Transformación digital</w:t>
      </w:r>
    </w:p>
    <w:p w14:paraId="1F889162" w14:textId="273C1F07" w:rsidR="00F56EEB" w:rsidRPr="00B3101A" w:rsidRDefault="00F56EEB" w:rsidP="00932A16">
      <w:pPr>
        <w:rPr>
          <w:rFonts w:cstheme="minorHAnsi"/>
          <w:color w:val="000000"/>
          <w:szCs w:val="24"/>
          <w:lang w:val="es-ES_tradnl"/>
        </w:rPr>
      </w:pPr>
      <w:r w:rsidRPr="00B3101A">
        <w:rPr>
          <w:lang w:val="es-ES_tradnl"/>
        </w:rPr>
        <w:t>Esta prioridad se centra en: 1) el desarrollo y utilización de las telecomunicaciones/TIC, así como de las aplicaciones y servicios para colmar la brecha digital y empoderar a las personas y las sociedades para el desarrollo sostenible; 2) el apoyo a los Miembros del UIT-D para impulsar la transformación digital a través del emprendimiento en las TIC y una mayor innovación en el ecosistema de TIC, al tiempo que alienta el empoderamiento de partes interesadas fundamentales y la creación de nuevas oportunidades para ellas en el sector de las telecomunicaciones/TIC.</w:t>
      </w:r>
    </w:p>
    <w:p w14:paraId="553E1911" w14:textId="77777777" w:rsidR="00F56EEB" w:rsidRPr="00B3101A" w:rsidRDefault="00F56EEB" w:rsidP="00932A16">
      <w:pPr>
        <w:pStyle w:val="Headingi"/>
        <w:rPr>
          <w:rFonts w:cstheme="minorHAnsi"/>
          <w:color w:val="000000"/>
          <w:szCs w:val="24"/>
          <w:lang w:val="es-ES_tradnl"/>
        </w:rPr>
      </w:pPr>
      <w:r w:rsidRPr="00B3101A">
        <w:rPr>
          <w:lang w:val="es-ES_tradnl"/>
        </w:rPr>
        <w:lastRenderedPageBreak/>
        <w:t>Entorno político y reglamentario propicio</w:t>
      </w:r>
    </w:p>
    <w:p w14:paraId="4A54916B" w14:textId="6C55C0D9" w:rsidR="00F56EEB" w:rsidRPr="00B3101A" w:rsidRDefault="00F56EEB" w:rsidP="00932A16">
      <w:pPr>
        <w:rPr>
          <w:rFonts w:cstheme="minorHAnsi"/>
          <w:color w:val="000000"/>
          <w:szCs w:val="24"/>
          <w:lang w:val="es-ES_tradnl"/>
        </w:rPr>
      </w:pPr>
      <w:r w:rsidRPr="00B3101A">
        <w:rPr>
          <w:lang w:val="es-ES_tradnl"/>
        </w:rPr>
        <w:t>Esta prioridad se centra en el fomento de un entorno político y reglamentario propicio para el desarrollo sostenible de las telecomunicaciones/TIC y que fomente la inversión en infraestructuras y en TIC y una mayor adopción de telecomunicaciones/TIC.</w:t>
      </w:r>
    </w:p>
    <w:p w14:paraId="295B9375" w14:textId="77777777" w:rsidR="00F56EEB" w:rsidRPr="00B3101A" w:rsidRDefault="00F56EEB" w:rsidP="00932A16">
      <w:pPr>
        <w:pStyle w:val="Headingi"/>
        <w:rPr>
          <w:rFonts w:cstheme="minorHAnsi"/>
          <w:color w:val="000000"/>
          <w:szCs w:val="24"/>
          <w:lang w:val="es-ES_tradnl"/>
        </w:rPr>
      </w:pPr>
      <w:r w:rsidRPr="00B3101A">
        <w:rPr>
          <w:lang w:val="es-ES_tradnl"/>
        </w:rPr>
        <w:t>Movilización de recursos y cooperación internacional</w:t>
      </w:r>
    </w:p>
    <w:p w14:paraId="3934C453" w14:textId="07867A54" w:rsidR="00F56EEB" w:rsidRPr="00B3101A" w:rsidRDefault="00F56EEB" w:rsidP="00932A16">
      <w:pPr>
        <w:rPr>
          <w:rFonts w:cstheme="minorHAnsi"/>
          <w:color w:val="000000"/>
          <w:szCs w:val="24"/>
          <w:lang w:val="es-ES_tradnl"/>
        </w:rPr>
      </w:pPr>
      <w:r w:rsidRPr="00B3101A">
        <w:rPr>
          <w:lang w:val="es-ES_tradnl"/>
        </w:rPr>
        <w:t>Esta prioridad se centra en la movilización y atracción de recursos y en el fomento de la cooperación internacional sobre temas relacionados con el desarrollo de las telecomunicaciones/TIC. Esta prioridad temática también es transversal, al proporcionar recursos y fomentar la cooperación internacional para obtener resultados globales pertinentes.</w:t>
      </w:r>
    </w:p>
    <w:p w14:paraId="385C6F4E" w14:textId="77777777" w:rsidR="00F56EEB" w:rsidRPr="00B3101A" w:rsidRDefault="00F56EEB" w:rsidP="00932A16">
      <w:pPr>
        <w:pStyle w:val="Headingi"/>
        <w:rPr>
          <w:rFonts w:cstheme="minorHAnsi"/>
          <w:color w:val="000000"/>
          <w:szCs w:val="24"/>
          <w:lang w:val="es-ES_tradnl"/>
        </w:rPr>
      </w:pPr>
      <w:r w:rsidRPr="00B3101A">
        <w:rPr>
          <w:lang w:val="es-ES_tradnl"/>
        </w:rPr>
        <w:t>Telecomunicaciones/TIC inclusivas y seguras para el desarrollo sostenible</w:t>
      </w:r>
    </w:p>
    <w:p w14:paraId="4D26E44B" w14:textId="3349E521" w:rsidR="00F56EEB" w:rsidRPr="00B3101A" w:rsidRDefault="00F56EEB" w:rsidP="00932A16">
      <w:pPr>
        <w:rPr>
          <w:rFonts w:cstheme="minorHAnsi"/>
          <w:color w:val="000000"/>
          <w:szCs w:val="24"/>
          <w:lang w:val="es-ES_tradnl"/>
        </w:rPr>
      </w:pPr>
      <w:r w:rsidRPr="00B3101A">
        <w:rPr>
          <w:lang w:val="es-ES_tradnl"/>
        </w:rPr>
        <w:t>Esta prioridad se centra en prestar asistencia a los Estados Miembros para lograr unas telecomunicaciones/TIC seguras en aras del desarrollo digital para todos.</w:t>
      </w:r>
    </w:p>
    <w:p w14:paraId="6810ECBB" w14:textId="77777777" w:rsidR="00F56EEB" w:rsidRPr="00B3101A" w:rsidRDefault="00F56EEB" w:rsidP="00932A16">
      <w:pPr>
        <w:pStyle w:val="Heading2"/>
        <w:rPr>
          <w:rFonts w:cstheme="minorHAnsi"/>
          <w:color w:val="000000"/>
          <w:szCs w:val="24"/>
          <w:lang w:val="es-ES_tradnl"/>
        </w:rPr>
      </w:pPr>
      <w:r w:rsidRPr="00B3101A">
        <w:rPr>
          <w:lang w:val="es-ES_tradnl"/>
        </w:rPr>
        <w:t>2.4</w:t>
      </w:r>
      <w:r w:rsidRPr="00B3101A">
        <w:rPr>
          <w:lang w:val="es-ES_tradnl"/>
        </w:rPr>
        <w:tab/>
        <w:t>Productos y servicios</w:t>
      </w:r>
    </w:p>
    <w:p w14:paraId="6C56B9D1" w14:textId="53FF1CA1" w:rsidR="00F56EEB" w:rsidRPr="00B3101A" w:rsidRDefault="00F56EEB" w:rsidP="00932A16">
      <w:pPr>
        <w:rPr>
          <w:lang w:val="es-ES_tradnl"/>
        </w:rPr>
      </w:pPr>
      <w:r w:rsidRPr="00B3101A">
        <w:rPr>
          <w:lang w:val="es-ES_tradnl"/>
        </w:rPr>
        <w:t xml:space="preserve">A fin de lograr las realizaciones enumeradas en el marco de las Prioridades Temáticas, el UIT-D desplegará una gama de productos y servicios para sus Miembros, los organismos de las Naciones Unidas y otras partes interesadas. El </w:t>
      </w:r>
      <w:r w:rsidR="00450C13" w:rsidRPr="00B3101A">
        <w:rPr>
          <w:lang w:val="es-ES_tradnl"/>
        </w:rPr>
        <w:t>PAK</w:t>
      </w:r>
      <w:r w:rsidRPr="00B3101A">
        <w:rPr>
          <w:lang w:val="es-ES_tradnl"/>
        </w:rPr>
        <w:t xml:space="preserve"> proporciona una lista de estos productos y servicios, pero esa lista no es exhaustiva y se podrán desarrollar productos y servicios adicionales para cada resultado e IFR a fin de garantizar que cada prioridad cuenta con el marco de acción correspondiente. Los productos y servicios pertenecen a las siguientes categorías generales:</w:t>
      </w:r>
    </w:p>
    <w:p w14:paraId="562378BE" w14:textId="412BF616" w:rsidR="00F56EEB" w:rsidRPr="00B3101A" w:rsidRDefault="00932A16" w:rsidP="00932A16">
      <w:pPr>
        <w:pStyle w:val="enumlev1"/>
        <w:rPr>
          <w:i/>
          <w:iCs/>
          <w:lang w:val="es-ES_tradnl"/>
        </w:rPr>
      </w:pPr>
      <w:r w:rsidRPr="00B3101A">
        <w:rPr>
          <w:lang w:val="es-ES_tradnl"/>
        </w:rPr>
        <w:t>–</w:t>
      </w:r>
      <w:r w:rsidRPr="00B3101A">
        <w:rPr>
          <w:lang w:val="es-ES_tradnl"/>
        </w:rPr>
        <w:tab/>
      </w:r>
      <w:r w:rsidR="00F56EEB" w:rsidRPr="00B3101A">
        <w:rPr>
          <w:i/>
          <w:iCs/>
          <w:lang w:val="es-ES_tradnl"/>
        </w:rPr>
        <w:t xml:space="preserve">Elaboración de marcos </w:t>
      </w:r>
      <w:r w:rsidR="005D2D7C" w:rsidRPr="00B3101A">
        <w:rPr>
          <w:i/>
          <w:iCs/>
          <w:lang w:val="es-ES_tradnl"/>
        </w:rPr>
        <w:t>políticos</w:t>
      </w:r>
      <w:r w:rsidR="00F56EEB" w:rsidRPr="00B3101A">
        <w:rPr>
          <w:i/>
          <w:iCs/>
          <w:lang w:val="es-ES_tradnl"/>
        </w:rPr>
        <w:t xml:space="preserve"> y productos de conocimiento</w:t>
      </w:r>
    </w:p>
    <w:p w14:paraId="29DBE791" w14:textId="0D53CA13" w:rsidR="00F56EEB" w:rsidRPr="00B3101A" w:rsidRDefault="00932A16" w:rsidP="00932A16">
      <w:pPr>
        <w:pStyle w:val="enumlev1"/>
        <w:rPr>
          <w:i/>
          <w:iCs/>
          <w:lang w:val="es-ES_tradnl"/>
        </w:rPr>
      </w:pPr>
      <w:r w:rsidRPr="00B3101A">
        <w:rPr>
          <w:i/>
          <w:iCs/>
          <w:lang w:val="es-ES_tradnl"/>
        </w:rPr>
        <w:t>–</w:t>
      </w:r>
      <w:r w:rsidRPr="00B3101A">
        <w:rPr>
          <w:i/>
          <w:iCs/>
          <w:lang w:val="es-ES_tradnl"/>
        </w:rPr>
        <w:tab/>
      </w:r>
      <w:r w:rsidR="00F56EEB" w:rsidRPr="00B3101A">
        <w:rPr>
          <w:i/>
          <w:iCs/>
          <w:lang w:val="es-ES_tradnl"/>
        </w:rPr>
        <w:t>Suministro de datos y estadísticas</w:t>
      </w:r>
    </w:p>
    <w:p w14:paraId="744F77A5" w14:textId="62A79D64" w:rsidR="00F56EEB" w:rsidRPr="00B3101A" w:rsidRDefault="00932A16" w:rsidP="00932A16">
      <w:pPr>
        <w:pStyle w:val="enumlev1"/>
        <w:rPr>
          <w:i/>
          <w:iCs/>
          <w:lang w:val="es-ES_tradnl"/>
        </w:rPr>
      </w:pPr>
      <w:r w:rsidRPr="00B3101A">
        <w:rPr>
          <w:i/>
          <w:iCs/>
          <w:lang w:val="es-ES_tradnl"/>
        </w:rPr>
        <w:t>–</w:t>
      </w:r>
      <w:r w:rsidRPr="00B3101A">
        <w:rPr>
          <w:i/>
          <w:iCs/>
          <w:lang w:val="es-ES_tradnl"/>
        </w:rPr>
        <w:tab/>
      </w:r>
      <w:r w:rsidR="00F56EEB" w:rsidRPr="00B3101A">
        <w:rPr>
          <w:i/>
          <w:iCs/>
          <w:lang w:val="es-ES_tradnl"/>
        </w:rPr>
        <w:t>Capacitación</w:t>
      </w:r>
    </w:p>
    <w:p w14:paraId="27ADEA35" w14:textId="180C85D1" w:rsidR="00F56EEB" w:rsidRPr="00B3101A" w:rsidRDefault="00932A16" w:rsidP="00932A16">
      <w:pPr>
        <w:pStyle w:val="enumlev1"/>
        <w:rPr>
          <w:i/>
          <w:iCs/>
          <w:lang w:val="es-ES_tradnl"/>
        </w:rPr>
      </w:pPr>
      <w:r w:rsidRPr="00B3101A">
        <w:rPr>
          <w:i/>
          <w:iCs/>
          <w:lang w:val="es-ES_tradnl"/>
        </w:rPr>
        <w:t>–</w:t>
      </w:r>
      <w:r w:rsidRPr="00B3101A">
        <w:rPr>
          <w:i/>
          <w:iCs/>
          <w:lang w:val="es-ES_tradnl"/>
        </w:rPr>
        <w:tab/>
      </w:r>
      <w:r w:rsidR="00F56EEB" w:rsidRPr="00B3101A">
        <w:rPr>
          <w:i/>
          <w:iCs/>
          <w:lang w:val="es-ES_tradnl"/>
        </w:rPr>
        <w:t>Prestación de asistencia técnica</w:t>
      </w:r>
    </w:p>
    <w:p w14:paraId="55FEB112" w14:textId="3DA000FF" w:rsidR="00F56EEB" w:rsidRPr="00B3101A" w:rsidRDefault="00932A16" w:rsidP="00932A16">
      <w:pPr>
        <w:pStyle w:val="enumlev1"/>
        <w:rPr>
          <w:rFonts w:cstheme="minorHAnsi"/>
          <w:color w:val="000000"/>
          <w:szCs w:val="24"/>
          <w:lang w:val="es-ES_tradnl"/>
        </w:rPr>
      </w:pPr>
      <w:r w:rsidRPr="00B3101A">
        <w:rPr>
          <w:i/>
          <w:iCs/>
          <w:lang w:val="es-ES_tradnl"/>
        </w:rPr>
        <w:t>–</w:t>
      </w:r>
      <w:r w:rsidRPr="00B3101A">
        <w:rPr>
          <w:i/>
          <w:iCs/>
          <w:lang w:val="es-ES_tradnl"/>
        </w:rPr>
        <w:tab/>
      </w:r>
      <w:r w:rsidR="00F56EEB" w:rsidRPr="00B3101A">
        <w:rPr>
          <w:i/>
          <w:iCs/>
          <w:lang w:val="es-ES_tradnl"/>
        </w:rPr>
        <w:t>Creación de plataformas</w:t>
      </w:r>
    </w:p>
    <w:p w14:paraId="26DBD3C3" w14:textId="77777777" w:rsidR="00F56EEB" w:rsidRPr="00B3101A" w:rsidRDefault="00F56EEB" w:rsidP="00932A16">
      <w:pPr>
        <w:pStyle w:val="Heading2"/>
        <w:rPr>
          <w:lang w:val="es-ES_tradnl"/>
        </w:rPr>
      </w:pPr>
      <w:r w:rsidRPr="00B3101A">
        <w:rPr>
          <w:lang w:val="es-ES_tradnl"/>
        </w:rPr>
        <w:t>2.5</w:t>
      </w:r>
      <w:r w:rsidRPr="00B3101A">
        <w:rPr>
          <w:lang w:val="es-ES_tradnl"/>
        </w:rPr>
        <w:tab/>
        <w:t>Factores habilitadores</w:t>
      </w:r>
    </w:p>
    <w:p w14:paraId="5A57999C" w14:textId="77777777" w:rsidR="00F56EEB" w:rsidRPr="00B3101A" w:rsidRDefault="00F56EEB" w:rsidP="00F56EEB">
      <w:pPr>
        <w:tabs>
          <w:tab w:val="clear" w:pos="794"/>
          <w:tab w:val="clear" w:pos="1191"/>
          <w:tab w:val="clear" w:pos="1588"/>
          <w:tab w:val="clear" w:pos="1985"/>
        </w:tabs>
        <w:overflowPunct/>
        <w:spacing w:after="120"/>
        <w:textAlignment w:val="auto"/>
        <w:rPr>
          <w:rFonts w:cstheme="minorHAnsi"/>
          <w:color w:val="000000"/>
          <w:szCs w:val="24"/>
          <w:lang w:val="es-ES_tradnl"/>
        </w:rPr>
      </w:pPr>
      <w:r w:rsidRPr="00B3101A">
        <w:rPr>
          <w:lang w:val="es-ES_tradnl"/>
        </w:rPr>
        <w:t>El UIT-D elaborará el Plan de Acción a través de varios "factores habilitadores" definidos en el PAK. Los factores habilitadores constituyen los métodos de trabajo que permiten a la BDT cumplir sus objetivos y prioridades de manera más eficaz y eficiente. Estos integran tanto los valores de la UIT de eficiencia, transparencia, responsabilidad, apertura, universalidad y neutralidad, como su condición de organización antropocéntrica, orientada a los servicios y basada en los resultados, aprovechan sus principales puntos fuertes y abordan sus puntos débiles, para prestar un adecuado servicio a sus Miembros. Los factores habilitadores definidos en el PAK son los siguientes:</w:t>
      </w:r>
    </w:p>
    <w:p w14:paraId="6DACD13B" w14:textId="47892E64" w:rsidR="00F56EEB" w:rsidRPr="00B3101A" w:rsidRDefault="00F600F9" w:rsidP="00F600F9">
      <w:pPr>
        <w:pStyle w:val="enumlev1"/>
        <w:rPr>
          <w:rFonts w:cstheme="minorHAnsi"/>
          <w:color w:val="000000"/>
          <w:szCs w:val="24"/>
          <w:lang w:val="es-ES_tradnl"/>
        </w:rPr>
      </w:pPr>
      <w:r w:rsidRPr="00B3101A">
        <w:rPr>
          <w:i/>
          <w:iCs/>
          <w:lang w:val="es-ES_tradnl"/>
        </w:rPr>
        <w:t>–</w:t>
      </w:r>
      <w:r w:rsidRPr="00B3101A">
        <w:rPr>
          <w:i/>
          <w:iCs/>
          <w:lang w:val="es-ES_tradnl"/>
        </w:rPr>
        <w:tab/>
      </w:r>
      <w:r w:rsidR="00E91C63" w:rsidRPr="00B3101A">
        <w:rPr>
          <w:i/>
          <w:iCs/>
          <w:lang w:val="es-ES_tradnl"/>
        </w:rPr>
        <w:t>Impulso de</w:t>
      </w:r>
      <w:r w:rsidR="00F56EEB" w:rsidRPr="00B3101A">
        <w:rPr>
          <w:i/>
          <w:iCs/>
          <w:lang w:val="es-ES_tradnl"/>
        </w:rPr>
        <w:t xml:space="preserve"> los Miembros</w:t>
      </w:r>
    </w:p>
    <w:p w14:paraId="19E3C34A" w14:textId="599F1F4B" w:rsidR="00F56EEB" w:rsidRPr="00B3101A" w:rsidRDefault="00F600F9" w:rsidP="00F600F9">
      <w:pPr>
        <w:pStyle w:val="enumlev1"/>
        <w:rPr>
          <w:rFonts w:cstheme="minorHAnsi"/>
          <w:color w:val="000000"/>
          <w:szCs w:val="24"/>
          <w:lang w:val="es-ES_tradnl"/>
        </w:rPr>
      </w:pPr>
      <w:r w:rsidRPr="00B3101A">
        <w:rPr>
          <w:i/>
          <w:iCs/>
          <w:lang w:val="es-ES_tradnl"/>
        </w:rPr>
        <w:t>–</w:t>
      </w:r>
      <w:r w:rsidRPr="00B3101A">
        <w:rPr>
          <w:i/>
          <w:iCs/>
          <w:lang w:val="es-ES_tradnl"/>
        </w:rPr>
        <w:tab/>
      </w:r>
      <w:r w:rsidR="00F56EEB" w:rsidRPr="00B3101A">
        <w:rPr>
          <w:i/>
          <w:iCs/>
          <w:lang w:val="es-ES_tradnl"/>
        </w:rPr>
        <w:t>Presencia regional</w:t>
      </w:r>
    </w:p>
    <w:p w14:paraId="51C7B54A" w14:textId="7F01502E" w:rsidR="00F56EEB" w:rsidRPr="00B3101A" w:rsidRDefault="00F600F9" w:rsidP="00F600F9">
      <w:pPr>
        <w:pStyle w:val="enumlev1"/>
        <w:rPr>
          <w:rFonts w:cstheme="minorHAnsi"/>
          <w:color w:val="000000"/>
          <w:szCs w:val="24"/>
          <w:lang w:val="es-ES_tradnl"/>
        </w:rPr>
      </w:pPr>
      <w:r w:rsidRPr="00B3101A">
        <w:rPr>
          <w:i/>
          <w:iCs/>
          <w:lang w:val="es-ES_tradnl"/>
        </w:rPr>
        <w:t>–</w:t>
      </w:r>
      <w:r w:rsidRPr="00B3101A">
        <w:rPr>
          <w:i/>
          <w:iCs/>
          <w:lang w:val="es-ES_tradnl"/>
        </w:rPr>
        <w:tab/>
      </w:r>
      <w:r w:rsidR="00F56EEB" w:rsidRPr="00B3101A">
        <w:rPr>
          <w:i/>
          <w:iCs/>
          <w:lang w:val="es-ES_tradnl"/>
        </w:rPr>
        <w:t>Diversidad e inclusión</w:t>
      </w:r>
    </w:p>
    <w:p w14:paraId="7582B5B1" w14:textId="3BFF7F58" w:rsidR="00F56EEB" w:rsidRPr="00B3101A" w:rsidRDefault="00F600F9" w:rsidP="00F600F9">
      <w:pPr>
        <w:pStyle w:val="enumlev1"/>
        <w:rPr>
          <w:rFonts w:cstheme="minorHAnsi"/>
          <w:color w:val="000000"/>
          <w:szCs w:val="24"/>
          <w:lang w:val="es-ES_tradnl"/>
        </w:rPr>
      </w:pPr>
      <w:r w:rsidRPr="00B3101A">
        <w:rPr>
          <w:i/>
          <w:iCs/>
          <w:lang w:val="es-ES_tradnl"/>
        </w:rPr>
        <w:t>–</w:t>
      </w:r>
      <w:r w:rsidRPr="00B3101A">
        <w:rPr>
          <w:i/>
          <w:iCs/>
          <w:lang w:val="es-ES_tradnl"/>
        </w:rPr>
        <w:tab/>
      </w:r>
      <w:r w:rsidR="00F56EEB" w:rsidRPr="00B3101A">
        <w:rPr>
          <w:i/>
          <w:iCs/>
          <w:lang w:val="es-ES_tradnl"/>
        </w:rPr>
        <w:t>Compromiso con la sostenibilidad medioambiental</w:t>
      </w:r>
    </w:p>
    <w:p w14:paraId="32813107" w14:textId="4F3228EA" w:rsidR="00F56EEB" w:rsidRPr="00B3101A" w:rsidRDefault="00F600F9" w:rsidP="00F600F9">
      <w:pPr>
        <w:pStyle w:val="enumlev1"/>
        <w:rPr>
          <w:rFonts w:cstheme="minorHAnsi"/>
          <w:color w:val="000000"/>
          <w:szCs w:val="24"/>
          <w:lang w:val="es-ES_tradnl"/>
        </w:rPr>
      </w:pPr>
      <w:r w:rsidRPr="00B3101A">
        <w:rPr>
          <w:i/>
          <w:iCs/>
          <w:lang w:val="es-ES_tradnl"/>
        </w:rPr>
        <w:t>–</w:t>
      </w:r>
      <w:r w:rsidRPr="00B3101A">
        <w:rPr>
          <w:i/>
          <w:iCs/>
          <w:lang w:val="es-ES_tradnl"/>
        </w:rPr>
        <w:tab/>
      </w:r>
      <w:r w:rsidR="00F56EEB" w:rsidRPr="00B3101A">
        <w:rPr>
          <w:i/>
          <w:iCs/>
          <w:lang w:val="es-ES_tradnl"/>
        </w:rPr>
        <w:t>Asociaciones y cooperación internacional</w:t>
      </w:r>
    </w:p>
    <w:p w14:paraId="21429869" w14:textId="2499F342" w:rsidR="00F56EEB" w:rsidRPr="00B3101A" w:rsidRDefault="00F600F9" w:rsidP="00F600F9">
      <w:pPr>
        <w:pStyle w:val="enumlev1"/>
        <w:rPr>
          <w:rFonts w:cstheme="minorHAnsi"/>
          <w:color w:val="000000"/>
          <w:szCs w:val="24"/>
          <w:lang w:val="es-ES_tradnl"/>
        </w:rPr>
      </w:pPr>
      <w:r w:rsidRPr="00B3101A">
        <w:rPr>
          <w:i/>
          <w:iCs/>
          <w:lang w:val="es-ES_tradnl"/>
        </w:rPr>
        <w:t>–</w:t>
      </w:r>
      <w:r w:rsidRPr="00B3101A">
        <w:rPr>
          <w:i/>
          <w:iCs/>
          <w:lang w:val="es-ES_tradnl"/>
        </w:rPr>
        <w:tab/>
      </w:r>
      <w:r w:rsidR="00F56EEB" w:rsidRPr="00B3101A">
        <w:rPr>
          <w:i/>
          <w:iCs/>
          <w:lang w:val="es-ES_tradnl"/>
        </w:rPr>
        <w:t>Movilización de recursos</w:t>
      </w:r>
    </w:p>
    <w:p w14:paraId="12DDB6D5" w14:textId="02429471" w:rsidR="00F56EEB" w:rsidRPr="00B3101A" w:rsidRDefault="00F600F9" w:rsidP="00F600F9">
      <w:pPr>
        <w:pStyle w:val="enumlev1"/>
        <w:rPr>
          <w:rFonts w:cstheme="minorHAnsi"/>
          <w:color w:val="000000"/>
          <w:lang w:val="es-ES_tradnl"/>
        </w:rPr>
      </w:pPr>
      <w:r w:rsidRPr="00B3101A">
        <w:rPr>
          <w:i/>
          <w:iCs/>
          <w:lang w:val="es-ES_tradnl"/>
        </w:rPr>
        <w:t>–</w:t>
      </w:r>
      <w:r w:rsidRPr="00B3101A">
        <w:rPr>
          <w:i/>
          <w:iCs/>
          <w:lang w:val="es-ES_tradnl"/>
        </w:rPr>
        <w:tab/>
      </w:r>
      <w:r w:rsidR="00F56EEB" w:rsidRPr="00B3101A">
        <w:rPr>
          <w:i/>
          <w:iCs/>
          <w:lang w:val="es-ES_tradnl"/>
        </w:rPr>
        <w:t>Excelencia en los recursos humanos e innovación institucional</w:t>
      </w:r>
    </w:p>
    <w:p w14:paraId="5EBBD62E" w14:textId="77777777" w:rsidR="00F56EEB" w:rsidRPr="00B3101A" w:rsidRDefault="00F56EEB" w:rsidP="00932A16">
      <w:pPr>
        <w:pStyle w:val="Heading2"/>
        <w:rPr>
          <w:lang w:val="es-ES_tradnl"/>
        </w:rPr>
      </w:pPr>
      <w:r w:rsidRPr="00B3101A">
        <w:rPr>
          <w:lang w:val="es-ES_tradnl"/>
        </w:rPr>
        <w:lastRenderedPageBreak/>
        <w:t>2.6</w:t>
      </w:r>
      <w:r w:rsidRPr="00B3101A">
        <w:rPr>
          <w:lang w:val="es-ES_tradnl"/>
        </w:rPr>
        <w:tab/>
        <w:t>Vinculaciones</w:t>
      </w:r>
    </w:p>
    <w:p w14:paraId="67148384" w14:textId="715B4B07" w:rsidR="00F56EEB" w:rsidRPr="00B3101A" w:rsidRDefault="00F56EEB" w:rsidP="00F56EEB">
      <w:pPr>
        <w:tabs>
          <w:tab w:val="clear" w:pos="794"/>
          <w:tab w:val="clear" w:pos="1191"/>
          <w:tab w:val="clear" w:pos="1588"/>
          <w:tab w:val="clear" w:pos="1985"/>
        </w:tabs>
        <w:overflowPunct/>
        <w:spacing w:after="120"/>
        <w:textAlignment w:val="auto"/>
        <w:rPr>
          <w:rFonts w:cstheme="minorHAnsi"/>
          <w:color w:val="000000"/>
          <w:szCs w:val="24"/>
          <w:lang w:val="es-ES_tradnl"/>
        </w:rPr>
      </w:pPr>
      <w:r w:rsidRPr="00B3101A">
        <w:rPr>
          <w:lang w:val="es-ES_tradnl"/>
        </w:rPr>
        <w:t>Un importante objetivo del PAK es garantizar que el UIT-D siga aportando su contribución al Plan Estratégico de la UIT, los Objetivos de Desarrollo Sostenible de las Naciones Unidas, las Líneas de Acción de la CMSI, así como las Resoluciones, Iniciativas Regionales y Cuestiones de Estudio del</w:t>
      </w:r>
      <w:r w:rsidR="005D2D7C">
        <w:rPr>
          <w:lang w:val="es-ES_tradnl"/>
        </w:rPr>
        <w:t> </w:t>
      </w:r>
      <w:r w:rsidRPr="00B3101A">
        <w:rPr>
          <w:lang w:val="es-ES_tradnl"/>
        </w:rPr>
        <w:t>UIT-D pertinentes de la UIT. En consecuencia, el Plan de Acción, organizado en torno a las prioridades del UIT-D, proporciona información al respecto y garantiza vínculos entre las correspondientes ofertas de productos y servicios, factores habilitadores, principales productos, resultados esperados e IFR.</w:t>
      </w:r>
    </w:p>
    <w:p w14:paraId="190652DF" w14:textId="77777777" w:rsidR="00F56EEB" w:rsidRPr="00B3101A" w:rsidRDefault="00F56EEB" w:rsidP="00F56EEB">
      <w:pPr>
        <w:keepNext/>
        <w:tabs>
          <w:tab w:val="clear" w:pos="794"/>
          <w:tab w:val="clear" w:pos="1191"/>
          <w:tab w:val="clear" w:pos="1588"/>
          <w:tab w:val="clear" w:pos="1985"/>
        </w:tabs>
        <w:overflowPunct/>
        <w:spacing w:after="120"/>
        <w:textAlignment w:val="auto"/>
        <w:rPr>
          <w:rFonts w:cstheme="minorHAnsi"/>
          <w:color w:val="000000"/>
          <w:szCs w:val="24"/>
          <w:lang w:val="es-ES_tradnl"/>
        </w:rPr>
      </w:pPr>
      <w:r w:rsidRPr="00B3101A">
        <w:rPr>
          <w:lang w:val="es-ES_tradnl"/>
        </w:rPr>
        <w:t>Los vínculos entre estos elementos se muestran en la Figura 2.</w:t>
      </w:r>
    </w:p>
    <w:p w14:paraId="6A6460F0" w14:textId="77777777" w:rsidR="006A2E75" w:rsidRPr="00B3101A" w:rsidRDefault="006A2E75" w:rsidP="006A2E75">
      <w:pPr>
        <w:pStyle w:val="Figuretitle"/>
        <w:spacing w:before="480" w:after="240"/>
        <w:rPr>
          <w:lang w:val="es-ES_tradnl"/>
        </w:rPr>
      </w:pPr>
      <w:r w:rsidRPr="00B3101A">
        <w:rPr>
          <w:lang w:val="es-ES_tradnl"/>
        </w:rPr>
        <w:t>Figura 2: Vínculos de las prioridades del UIT y las principales ofertas y factores habilitadores</w:t>
      </w:r>
      <w:r w:rsidRPr="00B3101A">
        <w:rPr>
          <w:lang w:val="es-ES_tradnl"/>
        </w:rPr>
        <w:br/>
        <w:t>con las Resoluciones de la UIT, las Líneas de Acción de la CMSI y los ODS</w:t>
      </w:r>
    </w:p>
    <w:p w14:paraId="27E7BB4B" w14:textId="77777777" w:rsidR="006A2E75" w:rsidRPr="00B3101A" w:rsidRDefault="006A2E75" w:rsidP="006A2E75">
      <w:pPr>
        <w:pStyle w:val="Figure"/>
        <w:rPr>
          <w:lang w:val="es-ES_tradnl"/>
        </w:rPr>
      </w:pPr>
      <w:r w:rsidRPr="00B3101A">
        <w:rPr>
          <w:noProof/>
          <w:lang w:val="es-ES_tradnl" w:eastAsia="es-ES_tradnl"/>
        </w:rPr>
        <w:drawing>
          <wp:inline distT="0" distB="0" distL="0" distR="0" wp14:anchorId="0008F980" wp14:editId="73586163">
            <wp:extent cx="6120765" cy="3870960"/>
            <wp:effectExtent l="0" t="0" r="0" b="0"/>
            <wp:docPr id="6" name="Picture 6"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3870960"/>
                    </a:xfrm>
                    <a:prstGeom prst="rect">
                      <a:avLst/>
                    </a:prstGeom>
                  </pic:spPr>
                </pic:pic>
              </a:graphicData>
            </a:graphic>
          </wp:inline>
        </w:drawing>
      </w:r>
    </w:p>
    <w:p w14:paraId="51D1F536" w14:textId="2E51D821" w:rsidR="00F56EEB" w:rsidRPr="00B3101A" w:rsidRDefault="00F56EEB" w:rsidP="00F600F9">
      <w:pPr>
        <w:pStyle w:val="Heading1"/>
        <w:rPr>
          <w:lang w:val="es-ES_tradnl"/>
        </w:rPr>
      </w:pPr>
      <w:r w:rsidRPr="00B3101A">
        <w:rPr>
          <w:lang w:val="es-ES_tradnl"/>
        </w:rPr>
        <w:t>3</w:t>
      </w:r>
      <w:r w:rsidRPr="00B3101A">
        <w:rPr>
          <w:lang w:val="es-ES_tradnl"/>
        </w:rPr>
        <w:tab/>
      </w:r>
      <w:proofErr w:type="gramStart"/>
      <w:r w:rsidRPr="00B3101A">
        <w:rPr>
          <w:lang w:val="es-ES_tradnl"/>
        </w:rPr>
        <w:t>Iniciativas</w:t>
      </w:r>
      <w:proofErr w:type="gramEnd"/>
      <w:r w:rsidRPr="00B3101A">
        <w:rPr>
          <w:lang w:val="es-ES_tradnl"/>
        </w:rPr>
        <w:t xml:space="preserve"> regionales</w:t>
      </w:r>
    </w:p>
    <w:p w14:paraId="7EB8F620" w14:textId="7805AB58" w:rsidR="00F56EEB" w:rsidRPr="00B3101A" w:rsidRDefault="00F56EEB" w:rsidP="00F600F9">
      <w:pPr>
        <w:rPr>
          <w:rFonts w:cstheme="minorHAnsi"/>
          <w:color w:val="000000"/>
          <w:szCs w:val="24"/>
          <w:lang w:val="es-ES_tradnl"/>
        </w:rPr>
      </w:pPr>
      <w:r w:rsidRPr="00B3101A">
        <w:rPr>
          <w:lang w:val="es-ES_tradnl"/>
        </w:rPr>
        <w:t>Los trabajos del UIT-D se coordinan entre las seis regiones, que agrupan a los Miembros del UIT-D en África, las Américas, los Estados Árabes, Asia y el Pacífico, la CEI y Europa. Durante el proceso preparatorio de la CMDT-22, cada región elabora iniciativas específicas para el UIT-D en su región, y la CMDT-22 refrenda las prioridades, convirtiéndolas en Iniciativas Regionales que son un producto esencial del UIT-D para el siguiente periodo.</w:t>
      </w:r>
    </w:p>
    <w:p w14:paraId="18C71DD7" w14:textId="77777777" w:rsidR="00F56EEB" w:rsidRPr="00B3101A" w:rsidRDefault="00F56EEB" w:rsidP="00526D43">
      <w:pPr>
        <w:keepNext/>
        <w:rPr>
          <w:rFonts w:cstheme="minorHAnsi"/>
          <w:color w:val="000000"/>
          <w:szCs w:val="24"/>
          <w:lang w:val="es-ES_tradnl"/>
        </w:rPr>
      </w:pPr>
      <w:r w:rsidRPr="00B3101A">
        <w:rPr>
          <w:lang w:val="es-ES_tradnl"/>
        </w:rPr>
        <w:lastRenderedPageBreak/>
        <w:t>La CMDT-22 refrendó en total las siguientes 28 Iniciativas Regionales, en las seis Regiones:</w:t>
      </w:r>
    </w:p>
    <w:p w14:paraId="29D09075" w14:textId="77777777" w:rsidR="00F56EEB" w:rsidRPr="00B3101A" w:rsidRDefault="00F56EEB" w:rsidP="00F600F9">
      <w:pPr>
        <w:pStyle w:val="Headingb"/>
        <w:rPr>
          <w:color w:val="000000"/>
          <w:szCs w:val="24"/>
          <w:lang w:val="es-ES_tradnl"/>
        </w:rPr>
      </w:pPr>
      <w:r w:rsidRPr="00B3101A">
        <w:rPr>
          <w:lang w:val="es-ES_tradnl"/>
        </w:rPr>
        <w:t>Región de África</w:t>
      </w:r>
    </w:p>
    <w:p w14:paraId="414299B1" w14:textId="243CAA6F" w:rsidR="00F56EEB" w:rsidRPr="00B3101A" w:rsidRDefault="00F600F9" w:rsidP="00F600F9">
      <w:pPr>
        <w:pStyle w:val="enumlev1"/>
        <w:rPr>
          <w:lang w:val="es-ES_tradnl"/>
        </w:rPr>
      </w:pPr>
      <w:r w:rsidRPr="00B3101A">
        <w:rPr>
          <w:lang w:val="es-ES_tradnl"/>
        </w:rPr>
        <w:t>–</w:t>
      </w:r>
      <w:r w:rsidRPr="00B3101A">
        <w:rPr>
          <w:lang w:val="es-ES_tradnl"/>
        </w:rPr>
        <w:tab/>
      </w:r>
      <w:r w:rsidR="00F56EEB" w:rsidRPr="00B3101A">
        <w:rPr>
          <w:lang w:val="es-ES_tradnl"/>
        </w:rPr>
        <w:t>AFR1: Respaldar la transformación digital para impulsar una rápida transición a la economía digital y acelerando al mismo tiempo la innovación en África</w:t>
      </w:r>
    </w:p>
    <w:p w14:paraId="330EF631" w14:textId="36C34476" w:rsidR="00F56EEB" w:rsidRPr="00B3101A" w:rsidRDefault="00F600F9" w:rsidP="00F600F9">
      <w:pPr>
        <w:pStyle w:val="enumlev1"/>
        <w:rPr>
          <w:lang w:val="es-ES_tradnl"/>
        </w:rPr>
      </w:pPr>
      <w:r w:rsidRPr="00B3101A">
        <w:rPr>
          <w:lang w:val="es-ES_tradnl"/>
        </w:rPr>
        <w:t>–</w:t>
      </w:r>
      <w:r w:rsidR="00F56EEB" w:rsidRPr="00B3101A">
        <w:rPr>
          <w:lang w:val="es-ES_tradnl"/>
        </w:rPr>
        <w:tab/>
        <w:t>AFR2: Implementar y ampliar infraestructuras de banda ancha, conectividad y tecnologías emergentes</w:t>
      </w:r>
    </w:p>
    <w:p w14:paraId="600775F0" w14:textId="0271278C" w:rsidR="00F56EEB" w:rsidRPr="00B3101A" w:rsidRDefault="00F600F9" w:rsidP="00F600F9">
      <w:pPr>
        <w:pStyle w:val="enumlev1"/>
        <w:rPr>
          <w:lang w:val="es-ES_tradnl"/>
        </w:rPr>
      </w:pPr>
      <w:r w:rsidRPr="00B3101A">
        <w:rPr>
          <w:lang w:val="es-ES_tradnl"/>
        </w:rPr>
        <w:t>–</w:t>
      </w:r>
      <w:r w:rsidRPr="00B3101A">
        <w:rPr>
          <w:lang w:val="es-ES_tradnl"/>
        </w:rPr>
        <w:tab/>
      </w:r>
      <w:r w:rsidR="00F56EEB" w:rsidRPr="00B3101A">
        <w:rPr>
          <w:lang w:val="es-ES_tradnl"/>
        </w:rPr>
        <w:t>AFR3: Creación de confianza, protección y seguridad en la utilización de las telecomunicaciones/tecnologías de la información y la comunicación, y la protección de los datos personales</w:t>
      </w:r>
    </w:p>
    <w:p w14:paraId="1944649D" w14:textId="6B5A168A"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AFR4: Fomentar las tecnologías emergentes y los ecosistemas de innovación</w:t>
      </w:r>
    </w:p>
    <w:p w14:paraId="6FD48824" w14:textId="7FFC62D0" w:rsidR="00F56EEB" w:rsidRPr="00B3101A" w:rsidRDefault="00F56EEB" w:rsidP="00F600F9">
      <w:pPr>
        <w:pStyle w:val="Headingb"/>
        <w:rPr>
          <w:color w:val="000000"/>
          <w:szCs w:val="24"/>
          <w:lang w:val="es-ES_tradnl"/>
        </w:rPr>
      </w:pPr>
      <w:r w:rsidRPr="00323583">
        <w:rPr>
          <w:lang w:val="es-ES_tradnl"/>
        </w:rPr>
        <w:t xml:space="preserve">Región de </w:t>
      </w:r>
      <w:r w:rsidR="00F600F9" w:rsidRPr="00323583">
        <w:rPr>
          <w:lang w:val="es-ES_tradnl"/>
        </w:rPr>
        <w:t>América</w:t>
      </w:r>
      <w:r w:rsidR="00526D43" w:rsidRPr="00323583">
        <w:rPr>
          <w:lang w:val="es-ES_tradnl"/>
        </w:rPr>
        <w:t>s</w:t>
      </w:r>
    </w:p>
    <w:p w14:paraId="4777B441" w14:textId="660FFD0D"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AMS1: Despliegue de infraestructuras de telecomunicaciones/tecnologías de la información y la comunicación modernas, resilientes, seguras y sostenibles</w:t>
      </w:r>
    </w:p>
    <w:p w14:paraId="564B0019" w14:textId="78C08882"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AMS2: Mejora y expansión de la alfabetización digital, las aptitudes digitales y los programas de inclusión digital, especialmente entre las poblaciones vulnerables</w:t>
      </w:r>
    </w:p>
    <w:p w14:paraId="164F9ACC" w14:textId="31A25D06"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AMS3: Apoyo eficaz a la transformación digital y a los ecosistemas de innovación mediante proyectos de conectividad ampliables, financiados y sostenibles</w:t>
      </w:r>
    </w:p>
    <w:p w14:paraId="06F2442D" w14:textId="14B30474"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AMS4: Desarrollo de políticas y marcos reglamentarios propicios a la conexión de quienes no lo están, mediante telecomunicaciones/TIC accesibles y asequibles que apoyen el cumplimiento de los ODS y el progreso hacia la economía digital</w:t>
      </w:r>
    </w:p>
    <w:p w14:paraId="172E3171" w14:textId="77777777" w:rsidR="00F56EEB" w:rsidRPr="00B3101A" w:rsidRDefault="00F56EEB" w:rsidP="00F56EEB">
      <w:pPr>
        <w:keepNext/>
        <w:tabs>
          <w:tab w:val="clear" w:pos="794"/>
          <w:tab w:val="clear" w:pos="1191"/>
          <w:tab w:val="clear" w:pos="1588"/>
          <w:tab w:val="clear" w:pos="1985"/>
          <w:tab w:val="left" w:pos="567"/>
          <w:tab w:val="left" w:pos="1134"/>
        </w:tabs>
        <w:spacing w:after="120"/>
        <w:ind w:left="714" w:hanging="357"/>
        <w:rPr>
          <w:b/>
          <w:bCs/>
          <w:color w:val="000000"/>
          <w:szCs w:val="24"/>
          <w:lang w:val="es-ES_tradnl"/>
        </w:rPr>
      </w:pPr>
      <w:r w:rsidRPr="00B3101A">
        <w:rPr>
          <w:b/>
          <w:bCs/>
          <w:lang w:val="es-ES_tradnl"/>
        </w:rPr>
        <w:t>Estados Árabes</w:t>
      </w:r>
    </w:p>
    <w:p w14:paraId="622B6D47" w14:textId="483DA033"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ARB1: Economía digital sostenible a través de la transformación digital</w:t>
      </w:r>
    </w:p>
    <w:p w14:paraId="370C2398" w14:textId="11F1A2C6"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ARB2: Aumentar la confianza, seguridad y privacidad en la utilización de las telecomunicaciones/tecnologías de la información y comunicación en la era de las tecnologías digitales nuevas y emergentes</w:t>
      </w:r>
    </w:p>
    <w:p w14:paraId="67BE6026" w14:textId="5CDC4C38"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ARB3: Desarrollar infraestructuras digitales para ciudades y comunidades inteligentes y sostenibles</w:t>
      </w:r>
    </w:p>
    <w:p w14:paraId="0D7B7B28" w14:textId="5CA1D6F1"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ARB4: Crear capacidades y fomentar la innovación, el espíritu emprendedor y la visión de futuro digital</w:t>
      </w:r>
    </w:p>
    <w:p w14:paraId="55306FD8" w14:textId="4DF0BB04"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ARB5: Desarrollar medios para la reglamentación digital</w:t>
      </w:r>
    </w:p>
    <w:p w14:paraId="3E3F81CB" w14:textId="77777777" w:rsidR="00F56EEB" w:rsidRPr="00B3101A" w:rsidRDefault="00F56EEB" w:rsidP="00F600F9">
      <w:pPr>
        <w:pStyle w:val="Headingb"/>
        <w:rPr>
          <w:color w:val="000000"/>
          <w:szCs w:val="24"/>
          <w:lang w:val="es-ES_tradnl"/>
        </w:rPr>
      </w:pPr>
      <w:r w:rsidRPr="00526D43">
        <w:rPr>
          <w:lang w:val="es-ES_tradnl"/>
        </w:rPr>
        <w:t>Asia y el Pacífico</w:t>
      </w:r>
    </w:p>
    <w:p w14:paraId="256317CC" w14:textId="2143AE8F"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ASP1: Abordar las necesidades específicas de los países menos adelantados, los pequeños Estados insulares en desarrollo, incluidos los países insulares del Pacífico, y los países en desarrollo sin litoral</w:t>
      </w:r>
    </w:p>
    <w:p w14:paraId="6594B8C9" w14:textId="717E05B0"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 xml:space="preserve">ASP2: Aprovechar las tecnologías de la información y la comunicación en pro de la </w:t>
      </w:r>
      <w:proofErr w:type="gramStart"/>
      <w:r w:rsidR="00F56EEB" w:rsidRPr="00B3101A">
        <w:rPr>
          <w:lang w:val="es-ES_tradnl"/>
        </w:rPr>
        <w:t>economía digital y las sociedades digitales</w:t>
      </w:r>
      <w:proofErr w:type="gramEnd"/>
      <w:r w:rsidR="00F56EEB" w:rsidRPr="00B3101A">
        <w:rPr>
          <w:lang w:val="es-ES_tradnl"/>
        </w:rPr>
        <w:t xml:space="preserve"> inclusivas</w:t>
      </w:r>
    </w:p>
    <w:p w14:paraId="1581E265" w14:textId="2CF055B1"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ASP3: Fomentar el desarrollo de infraestructuras para mejorar la conectividad digital y conectar a quienes carecen de conexión</w:t>
      </w:r>
    </w:p>
    <w:p w14:paraId="32D6FB55" w14:textId="71678704"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ASP4: Habilitar entornos políticos y reglamentarios para acelerar la transformación digital</w:t>
      </w:r>
    </w:p>
    <w:p w14:paraId="7C74C005" w14:textId="32BE8ECA" w:rsidR="00F56EEB" w:rsidRPr="00B3101A" w:rsidRDefault="0091223D" w:rsidP="0091223D">
      <w:pPr>
        <w:pStyle w:val="enumlev1"/>
        <w:rPr>
          <w:color w:val="000000"/>
          <w:szCs w:val="24"/>
          <w:lang w:val="es-ES_tradnl"/>
        </w:rPr>
      </w:pPr>
      <w:r w:rsidRPr="00B3101A">
        <w:rPr>
          <w:lang w:val="es-ES_tradnl"/>
        </w:rPr>
        <w:lastRenderedPageBreak/>
        <w:t>–</w:t>
      </w:r>
      <w:r w:rsidRPr="00B3101A">
        <w:rPr>
          <w:lang w:val="es-ES_tradnl"/>
        </w:rPr>
        <w:tab/>
      </w:r>
      <w:r w:rsidR="00F56EEB" w:rsidRPr="00B3101A">
        <w:rPr>
          <w:lang w:val="es-ES_tradnl"/>
        </w:rPr>
        <w:t>ASP5: Contribuir a un ecosistema de tecnologías de la información y la comunicación seguro y resiliente</w:t>
      </w:r>
    </w:p>
    <w:p w14:paraId="25F77F59" w14:textId="77777777" w:rsidR="00F56EEB" w:rsidRPr="00B3101A" w:rsidRDefault="00F56EEB" w:rsidP="0091223D">
      <w:pPr>
        <w:pStyle w:val="Headingb"/>
        <w:rPr>
          <w:color w:val="000000"/>
          <w:szCs w:val="24"/>
          <w:lang w:val="es-ES_tradnl"/>
        </w:rPr>
      </w:pPr>
      <w:r w:rsidRPr="00B3101A">
        <w:rPr>
          <w:lang w:val="es-ES_tradnl"/>
        </w:rPr>
        <w:t>Región de la CEI</w:t>
      </w:r>
    </w:p>
    <w:p w14:paraId="22DD32CE" w14:textId="03ECA356"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CEI1: Desarrollo de infraestructuras para fomentar la innovación y las asociaciones para la introducción de nuevas tecnologías: Internet de las cosas, incluida la Internet industrial, las ciudades y comunidades inteligentes, las redes de comunicación 5G/IMT-2020 y de la próxima generación NET-2030, las tecnologías cuánticas, la inteligencia artificial, la salud digital, las competencias digitales y la protección del medio ambiente</w:t>
      </w:r>
    </w:p>
    <w:p w14:paraId="1AF2C887" w14:textId="3C8BB1A6"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CEI2: Ciberseguridad y protección de los datos personales</w:t>
      </w:r>
    </w:p>
    <w:p w14:paraId="6F03A5A7" w14:textId="4970A2A0"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CEI3: Creación de un entorno jurídico y reglamentario propicio para acelerar la transformación digital</w:t>
      </w:r>
    </w:p>
    <w:p w14:paraId="79F6E3DC" w14:textId="26FA5096"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CEI4: Competencias digitales y accesibilidad de las tecnologías de la información y la comunicación para la población, en particular para las personas con discapacidad</w:t>
      </w:r>
    </w:p>
    <w:p w14:paraId="0F907A38" w14:textId="02B335F2"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CEI5: Desarrollo de ciudades y comunidades inteligentes</w:t>
      </w:r>
    </w:p>
    <w:p w14:paraId="34AD5D3C" w14:textId="77777777" w:rsidR="00F56EEB" w:rsidRPr="00B3101A" w:rsidRDefault="00F56EEB" w:rsidP="0091223D">
      <w:pPr>
        <w:pStyle w:val="Headingb"/>
        <w:rPr>
          <w:color w:val="000000"/>
          <w:szCs w:val="24"/>
          <w:lang w:val="es-ES_tradnl"/>
        </w:rPr>
      </w:pPr>
      <w:r w:rsidRPr="00B3101A">
        <w:rPr>
          <w:lang w:val="es-ES_tradnl"/>
        </w:rPr>
        <w:t>Europa</w:t>
      </w:r>
    </w:p>
    <w:p w14:paraId="79DE84AF" w14:textId="115D3E60"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EUR1: Desarrollo de infraestructuras digitales</w:t>
      </w:r>
    </w:p>
    <w:p w14:paraId="68952F20" w14:textId="37D73056"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EUR2: La transformación digital para la resiliencia</w:t>
      </w:r>
    </w:p>
    <w:p w14:paraId="3E3DBAB6" w14:textId="4C4C6B42"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EUR3: Inclusión digital y desarrollo de competencias</w:t>
      </w:r>
    </w:p>
    <w:p w14:paraId="6130BB05" w14:textId="48AA5478"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EUR4: Confianza y seguridad en la utilización de las telecomunicaciones/tecnologías de la información y la comunicación</w:t>
      </w:r>
    </w:p>
    <w:p w14:paraId="2583A607" w14:textId="76E94EF2"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EUR5: Ecosistemas de innovación digital</w:t>
      </w:r>
    </w:p>
    <w:p w14:paraId="46853402" w14:textId="77777777" w:rsidR="00F56EEB" w:rsidRPr="00B3101A" w:rsidRDefault="00F56EEB" w:rsidP="00F56EEB">
      <w:pPr>
        <w:tabs>
          <w:tab w:val="clear" w:pos="794"/>
          <w:tab w:val="clear" w:pos="1191"/>
          <w:tab w:val="clear" w:pos="1588"/>
          <w:tab w:val="clear" w:pos="1985"/>
        </w:tabs>
        <w:overflowPunct/>
        <w:spacing w:after="120"/>
        <w:textAlignment w:val="auto"/>
        <w:rPr>
          <w:rFonts w:cstheme="minorHAnsi"/>
          <w:color w:val="000000"/>
          <w:szCs w:val="24"/>
          <w:lang w:val="es-ES_tradnl"/>
        </w:rPr>
      </w:pPr>
      <w:r w:rsidRPr="00B3101A">
        <w:rPr>
          <w:lang w:val="es-ES_tradnl"/>
        </w:rPr>
        <w:t>Las Iniciativas Regionales aportan mayor especificidad a las prioridades de alto nivel del UIT-D, en el contexto de las prioridades estratégicas generales de la UIT. Las regiones describieron en detalle los resultados previstos de cada Iniciativa Regional, que luego fueron refrendados por la CMDT-22, y que establecen con mayor precisión los trabajos del UIT-D en la región pertinente.</w:t>
      </w:r>
    </w:p>
    <w:p w14:paraId="7F2905EB" w14:textId="6F86850F" w:rsidR="00F56EEB" w:rsidRPr="00B3101A" w:rsidRDefault="00F56EEB" w:rsidP="00F600F9">
      <w:pPr>
        <w:pStyle w:val="Heading1"/>
        <w:rPr>
          <w:lang w:val="es-ES_tradnl"/>
        </w:rPr>
      </w:pPr>
      <w:r w:rsidRPr="00B3101A">
        <w:rPr>
          <w:lang w:val="es-ES_tradnl"/>
        </w:rPr>
        <w:t>4</w:t>
      </w:r>
      <w:r w:rsidRPr="00B3101A">
        <w:rPr>
          <w:lang w:val="es-ES_tradnl"/>
        </w:rPr>
        <w:tab/>
      </w:r>
      <w:proofErr w:type="gramStart"/>
      <w:r w:rsidRPr="00B3101A">
        <w:rPr>
          <w:lang w:val="es-ES_tradnl"/>
        </w:rPr>
        <w:t>Cuestiones</w:t>
      </w:r>
      <w:proofErr w:type="gramEnd"/>
      <w:r w:rsidRPr="00B3101A">
        <w:rPr>
          <w:lang w:val="es-ES_tradnl"/>
        </w:rPr>
        <w:t xml:space="preserve"> de las Comisiones de Estudio del UIT-D</w:t>
      </w:r>
    </w:p>
    <w:p w14:paraId="63D4F65D" w14:textId="77777777" w:rsidR="00F56EEB" w:rsidRPr="00B3101A" w:rsidRDefault="00F56EEB" w:rsidP="0033736A">
      <w:pPr>
        <w:rPr>
          <w:rFonts w:cstheme="minorHAnsi"/>
          <w:color w:val="000000"/>
          <w:szCs w:val="24"/>
          <w:lang w:val="es-ES_tradnl"/>
        </w:rPr>
      </w:pPr>
      <w:r w:rsidRPr="00B3101A">
        <w:rPr>
          <w:lang w:val="es-ES_tradnl"/>
        </w:rPr>
        <w:t>La CMDT-22 revisó las actuales Cuestiones de Estudio del UIT-D y elaboró nuevas Cuestiones, resultando en un total de catorce (14) Cuestiones de Estudio para el periodo 2022-2025. Las Cuestiones de la Comisión de Estudio 1 se enmarcan en el ámbito del "entorno habilitador para una conectividad efectiva", mientras que las de la Comisión de Estudio 2 se refieren a la transformación digital, como se indica en los cuadros siguientes.</w:t>
      </w:r>
    </w:p>
    <w:p w14:paraId="7B47EE6A" w14:textId="77777777" w:rsidR="0033736A" w:rsidRPr="00B3101A" w:rsidRDefault="0033736A">
      <w:pPr>
        <w:tabs>
          <w:tab w:val="clear" w:pos="794"/>
          <w:tab w:val="clear" w:pos="1191"/>
          <w:tab w:val="clear" w:pos="1588"/>
          <w:tab w:val="clear" w:pos="1985"/>
        </w:tabs>
        <w:overflowPunct/>
        <w:autoSpaceDE/>
        <w:autoSpaceDN/>
        <w:adjustRightInd/>
        <w:spacing w:before="0"/>
        <w:textAlignment w:val="auto"/>
        <w:rPr>
          <w:b/>
          <w:lang w:val="es-ES_tradnl"/>
        </w:rPr>
      </w:pPr>
      <w:r w:rsidRPr="00B3101A">
        <w:rPr>
          <w:lang w:val="es-ES_tradnl"/>
        </w:rPr>
        <w:br w:type="page"/>
      </w:r>
    </w:p>
    <w:p w14:paraId="7BFC407F" w14:textId="03F8CFC8" w:rsidR="00F56EEB" w:rsidRPr="00B3101A" w:rsidRDefault="00F56EEB" w:rsidP="0033736A">
      <w:pPr>
        <w:pStyle w:val="Tabletitle"/>
        <w:spacing w:after="240"/>
        <w:rPr>
          <w:color w:val="000000"/>
          <w:lang w:val="es-ES_tradnl"/>
        </w:rPr>
      </w:pPr>
      <w:r w:rsidRPr="00B3101A">
        <w:rPr>
          <w:lang w:val="es-ES_tradnl"/>
        </w:rPr>
        <w:lastRenderedPageBreak/>
        <w:t>Comisión de Estudio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3402"/>
        <w:gridCol w:w="3402"/>
      </w:tblGrid>
      <w:tr w:rsidR="00F56EEB" w:rsidRPr="00B3101A" w14:paraId="06462A9D" w14:textId="77777777" w:rsidTr="0033736A">
        <w:trPr>
          <w:trHeight w:val="117"/>
          <w:tblHeader/>
        </w:trPr>
        <w:tc>
          <w:tcPr>
            <w:tcW w:w="2208" w:type="dxa"/>
          </w:tcPr>
          <w:p w14:paraId="17434BDD" w14:textId="77777777" w:rsidR="00F56EEB" w:rsidRPr="00B3101A" w:rsidRDefault="00F56EEB" w:rsidP="00526D43">
            <w:pPr>
              <w:pStyle w:val="Tablehead"/>
              <w:rPr>
                <w:rFonts w:cstheme="minorHAnsi"/>
                <w:color w:val="000000"/>
                <w:szCs w:val="22"/>
                <w:lang w:val="es-ES_tradnl"/>
              </w:rPr>
            </w:pPr>
            <w:r w:rsidRPr="00B3101A">
              <w:rPr>
                <w:lang w:val="es-ES_tradnl"/>
              </w:rPr>
              <w:t>Nuevo número</w:t>
            </w:r>
          </w:p>
        </w:tc>
        <w:tc>
          <w:tcPr>
            <w:tcW w:w="3402" w:type="dxa"/>
          </w:tcPr>
          <w:p w14:paraId="0BC21D5A" w14:textId="77777777" w:rsidR="00F56EEB" w:rsidRPr="00B3101A" w:rsidRDefault="00F56EEB" w:rsidP="00526D43">
            <w:pPr>
              <w:pStyle w:val="Tablehead"/>
              <w:rPr>
                <w:rFonts w:cstheme="minorHAnsi"/>
                <w:color w:val="000000"/>
                <w:szCs w:val="22"/>
                <w:lang w:val="es-ES_tradnl"/>
              </w:rPr>
            </w:pPr>
            <w:r w:rsidRPr="00B3101A">
              <w:rPr>
                <w:lang w:val="es-ES_tradnl"/>
              </w:rPr>
              <w:t>Título</w:t>
            </w:r>
          </w:p>
        </w:tc>
        <w:tc>
          <w:tcPr>
            <w:tcW w:w="3402" w:type="dxa"/>
          </w:tcPr>
          <w:p w14:paraId="30ECC4C9" w14:textId="77777777" w:rsidR="00F56EEB" w:rsidRPr="00B3101A" w:rsidRDefault="00F56EEB" w:rsidP="00526D43">
            <w:pPr>
              <w:pStyle w:val="Tablehead"/>
              <w:rPr>
                <w:rFonts w:cstheme="minorHAnsi"/>
                <w:color w:val="000000"/>
                <w:szCs w:val="22"/>
                <w:lang w:val="es-ES_tradnl"/>
              </w:rPr>
            </w:pPr>
            <w:r w:rsidRPr="00B3101A">
              <w:rPr>
                <w:lang w:val="es-ES_tradnl"/>
              </w:rPr>
              <w:t>Origen</w:t>
            </w:r>
          </w:p>
        </w:tc>
      </w:tr>
      <w:tr w:rsidR="00F56EEB" w:rsidRPr="00C33FEA" w14:paraId="5E52353C" w14:textId="77777777" w:rsidTr="0033736A">
        <w:trPr>
          <w:trHeight w:val="213"/>
        </w:trPr>
        <w:tc>
          <w:tcPr>
            <w:tcW w:w="2208" w:type="dxa"/>
          </w:tcPr>
          <w:p w14:paraId="4CDD8979" w14:textId="77777777" w:rsidR="00F56EEB" w:rsidRPr="00526D43" w:rsidRDefault="00F56EEB" w:rsidP="00526D43">
            <w:pPr>
              <w:pStyle w:val="Tabletext"/>
              <w:jc w:val="center"/>
              <w:rPr>
                <w:rFonts w:cstheme="minorHAnsi"/>
                <w:b/>
                <w:bCs/>
                <w:color w:val="000000"/>
                <w:szCs w:val="22"/>
                <w:lang w:val="es-ES_tradnl"/>
              </w:rPr>
            </w:pPr>
            <w:r w:rsidRPr="00526D43">
              <w:rPr>
                <w:b/>
                <w:bCs/>
                <w:lang w:val="es-ES_tradnl"/>
              </w:rPr>
              <w:t>Cuestión 1/1</w:t>
            </w:r>
          </w:p>
        </w:tc>
        <w:tc>
          <w:tcPr>
            <w:tcW w:w="3402" w:type="dxa"/>
          </w:tcPr>
          <w:p w14:paraId="69EFC8E3" w14:textId="194CCF61" w:rsidR="00F56EEB" w:rsidRPr="00B3101A" w:rsidRDefault="00F56EEB" w:rsidP="00526D43">
            <w:pPr>
              <w:pStyle w:val="Tabletext"/>
              <w:rPr>
                <w:rFonts w:cstheme="minorHAnsi"/>
                <w:color w:val="000000"/>
                <w:szCs w:val="22"/>
                <w:lang w:val="es-ES_tradnl"/>
              </w:rPr>
            </w:pPr>
            <w:r w:rsidRPr="00B3101A">
              <w:rPr>
                <w:lang w:val="es-ES_tradnl"/>
              </w:rPr>
              <w:t xml:space="preserve">Estrategias y políticas para el despliegue de la banda ancha en </w:t>
            </w:r>
            <w:r w:rsidR="00526D43" w:rsidRPr="00B3101A">
              <w:rPr>
                <w:lang w:val="es-ES_tradnl"/>
              </w:rPr>
              <w:t>los países</w:t>
            </w:r>
            <w:r w:rsidRPr="00B3101A">
              <w:rPr>
                <w:lang w:val="es-ES_tradnl"/>
              </w:rPr>
              <w:t xml:space="preserve"> en desarrollo</w:t>
            </w:r>
          </w:p>
        </w:tc>
        <w:tc>
          <w:tcPr>
            <w:tcW w:w="3402" w:type="dxa"/>
          </w:tcPr>
          <w:p w14:paraId="2EFA95D1" w14:textId="77777777" w:rsidR="00F56EEB" w:rsidRPr="00B3101A" w:rsidRDefault="00F56EEB" w:rsidP="00526D43">
            <w:pPr>
              <w:pStyle w:val="Tabletext"/>
              <w:rPr>
                <w:rFonts w:cstheme="minorHAnsi"/>
                <w:color w:val="000000"/>
                <w:szCs w:val="22"/>
                <w:lang w:val="es-ES_tradnl"/>
              </w:rPr>
            </w:pPr>
            <w:r w:rsidRPr="00B3101A">
              <w:rPr>
                <w:lang w:val="es-ES_tradnl"/>
              </w:rPr>
              <w:t>Continuación de la Cuestión 1/1 con temas nuevos adicionales</w:t>
            </w:r>
          </w:p>
        </w:tc>
      </w:tr>
      <w:tr w:rsidR="00F56EEB" w:rsidRPr="00C33FEA" w14:paraId="779FACFF" w14:textId="77777777" w:rsidTr="0033736A">
        <w:trPr>
          <w:trHeight w:val="417"/>
        </w:trPr>
        <w:tc>
          <w:tcPr>
            <w:tcW w:w="2208" w:type="dxa"/>
          </w:tcPr>
          <w:p w14:paraId="12D1357D" w14:textId="77777777" w:rsidR="00F56EEB" w:rsidRPr="00526D43" w:rsidRDefault="00F56EEB" w:rsidP="00526D43">
            <w:pPr>
              <w:pStyle w:val="Tabletext"/>
              <w:jc w:val="center"/>
              <w:rPr>
                <w:rFonts w:cstheme="minorHAnsi"/>
                <w:b/>
                <w:bCs/>
                <w:color w:val="000000"/>
                <w:szCs w:val="22"/>
                <w:lang w:val="es-ES_tradnl"/>
              </w:rPr>
            </w:pPr>
            <w:r w:rsidRPr="00526D43">
              <w:rPr>
                <w:b/>
                <w:bCs/>
                <w:lang w:val="es-ES_tradnl"/>
              </w:rPr>
              <w:t>Cuestión 2/1</w:t>
            </w:r>
          </w:p>
        </w:tc>
        <w:tc>
          <w:tcPr>
            <w:tcW w:w="3402" w:type="dxa"/>
          </w:tcPr>
          <w:p w14:paraId="7EFDA518" w14:textId="77777777" w:rsidR="00F56EEB" w:rsidRPr="00B3101A" w:rsidRDefault="00F56EEB" w:rsidP="00526D43">
            <w:pPr>
              <w:pStyle w:val="Tabletext"/>
              <w:rPr>
                <w:rFonts w:cstheme="minorHAnsi"/>
                <w:color w:val="000000"/>
                <w:szCs w:val="22"/>
                <w:lang w:val="es-ES_tradnl"/>
              </w:rPr>
            </w:pPr>
            <w:r w:rsidRPr="00B3101A">
              <w:rPr>
                <w:lang w:val="es-ES_tradnl"/>
              </w:rPr>
              <w:t>Estrategias, políticas, reglamentación y métodos para la transición y adopción de tecnologías digitales de radiodifusión, incluida la prestación de nuevos servicios en diversos entornos</w:t>
            </w:r>
          </w:p>
        </w:tc>
        <w:tc>
          <w:tcPr>
            <w:tcW w:w="3402" w:type="dxa"/>
          </w:tcPr>
          <w:p w14:paraId="63B37BC2" w14:textId="77777777" w:rsidR="00F56EEB" w:rsidRPr="00B3101A" w:rsidRDefault="00F56EEB" w:rsidP="00526D43">
            <w:pPr>
              <w:pStyle w:val="Tabletext"/>
              <w:rPr>
                <w:rFonts w:cstheme="minorHAnsi"/>
                <w:color w:val="000000"/>
                <w:szCs w:val="22"/>
                <w:lang w:val="es-ES_tradnl"/>
              </w:rPr>
            </w:pPr>
            <w:r w:rsidRPr="00B3101A">
              <w:rPr>
                <w:lang w:val="es-ES_tradnl"/>
              </w:rPr>
              <w:t>Continuación de la Cuestión 2/1 con el título revisado y los temas actualizados</w:t>
            </w:r>
          </w:p>
        </w:tc>
      </w:tr>
      <w:tr w:rsidR="00F56EEB" w:rsidRPr="00C33FEA" w14:paraId="249311B1" w14:textId="77777777" w:rsidTr="0033736A">
        <w:trPr>
          <w:trHeight w:val="315"/>
        </w:trPr>
        <w:tc>
          <w:tcPr>
            <w:tcW w:w="2208" w:type="dxa"/>
          </w:tcPr>
          <w:p w14:paraId="43BCA594" w14:textId="77777777" w:rsidR="00F56EEB" w:rsidRPr="00526D43" w:rsidRDefault="00F56EEB" w:rsidP="00526D43">
            <w:pPr>
              <w:pStyle w:val="Tabletext"/>
              <w:jc w:val="center"/>
              <w:rPr>
                <w:rFonts w:cstheme="minorHAnsi"/>
                <w:b/>
                <w:bCs/>
                <w:color w:val="000000"/>
                <w:szCs w:val="22"/>
                <w:lang w:val="es-ES_tradnl"/>
              </w:rPr>
            </w:pPr>
            <w:r w:rsidRPr="00526D43">
              <w:rPr>
                <w:b/>
                <w:bCs/>
                <w:lang w:val="es-ES_tradnl"/>
              </w:rPr>
              <w:t>Cuestión 3/1*</w:t>
            </w:r>
          </w:p>
        </w:tc>
        <w:tc>
          <w:tcPr>
            <w:tcW w:w="3402" w:type="dxa"/>
          </w:tcPr>
          <w:p w14:paraId="3728EAD2" w14:textId="77777777" w:rsidR="00F56EEB" w:rsidRPr="00B3101A" w:rsidRDefault="00F56EEB" w:rsidP="00526D43">
            <w:pPr>
              <w:pStyle w:val="Tabletext"/>
              <w:rPr>
                <w:rFonts w:cstheme="minorHAnsi"/>
                <w:color w:val="000000"/>
                <w:szCs w:val="22"/>
                <w:lang w:val="es-ES_tradnl"/>
              </w:rPr>
            </w:pPr>
            <w:r w:rsidRPr="00B3101A">
              <w:rPr>
                <w:lang w:val="es-ES_tradnl"/>
              </w:rPr>
              <w:t>Utilización de las telecomunicaciones/TIC para la reducción del riesgo de catástrofes y su gestión</w:t>
            </w:r>
          </w:p>
        </w:tc>
        <w:tc>
          <w:tcPr>
            <w:tcW w:w="3402" w:type="dxa"/>
          </w:tcPr>
          <w:p w14:paraId="37C53BC7" w14:textId="77777777" w:rsidR="00F56EEB" w:rsidRPr="00B3101A" w:rsidRDefault="00F56EEB" w:rsidP="00526D43">
            <w:pPr>
              <w:pStyle w:val="Tabletext"/>
              <w:rPr>
                <w:rFonts w:cstheme="minorHAnsi"/>
                <w:color w:val="000000"/>
                <w:szCs w:val="22"/>
                <w:lang w:val="es-ES_tradnl"/>
              </w:rPr>
            </w:pPr>
            <w:r w:rsidRPr="00B3101A">
              <w:rPr>
                <w:lang w:val="es-ES_tradnl"/>
              </w:rPr>
              <w:t>Continuación de la antigua Cuestión 5/2 de la Comisión de Estudio 2 con temas actualizados</w:t>
            </w:r>
          </w:p>
        </w:tc>
      </w:tr>
      <w:tr w:rsidR="00F56EEB" w:rsidRPr="00C33FEA" w14:paraId="0E6E22F7" w14:textId="77777777" w:rsidTr="0033736A">
        <w:trPr>
          <w:trHeight w:val="315"/>
        </w:trPr>
        <w:tc>
          <w:tcPr>
            <w:tcW w:w="2208" w:type="dxa"/>
          </w:tcPr>
          <w:p w14:paraId="391A8952" w14:textId="77777777" w:rsidR="00F56EEB" w:rsidRPr="00526D43" w:rsidRDefault="00F56EEB" w:rsidP="00526D43">
            <w:pPr>
              <w:pStyle w:val="Tabletext"/>
              <w:jc w:val="center"/>
              <w:rPr>
                <w:rFonts w:cstheme="minorHAnsi"/>
                <w:b/>
                <w:bCs/>
                <w:color w:val="000000"/>
                <w:szCs w:val="22"/>
                <w:lang w:val="es-ES_tradnl"/>
              </w:rPr>
            </w:pPr>
            <w:r w:rsidRPr="00526D43">
              <w:rPr>
                <w:b/>
                <w:bCs/>
                <w:lang w:val="es-ES_tradnl"/>
              </w:rPr>
              <w:t>Cuestión 4/1</w:t>
            </w:r>
          </w:p>
        </w:tc>
        <w:tc>
          <w:tcPr>
            <w:tcW w:w="3402" w:type="dxa"/>
          </w:tcPr>
          <w:p w14:paraId="4A12D658" w14:textId="77777777" w:rsidR="00F56EEB" w:rsidRPr="00B3101A" w:rsidRDefault="00F56EEB" w:rsidP="00526D43">
            <w:pPr>
              <w:pStyle w:val="Tabletext"/>
              <w:rPr>
                <w:rFonts w:cstheme="minorHAnsi"/>
                <w:color w:val="000000"/>
                <w:szCs w:val="22"/>
                <w:lang w:val="es-ES_tradnl"/>
              </w:rPr>
            </w:pPr>
            <w:r w:rsidRPr="00B3101A">
              <w:rPr>
                <w:lang w:val="es-ES_tradnl"/>
              </w:rPr>
              <w:t>Aspectos económicos de las telecomunicaciones/TIC</w:t>
            </w:r>
          </w:p>
        </w:tc>
        <w:tc>
          <w:tcPr>
            <w:tcW w:w="3402" w:type="dxa"/>
          </w:tcPr>
          <w:p w14:paraId="4FB5D9B7" w14:textId="77777777" w:rsidR="00F56EEB" w:rsidRPr="00B3101A" w:rsidRDefault="00F56EEB" w:rsidP="00526D43">
            <w:pPr>
              <w:pStyle w:val="Tabletext"/>
              <w:rPr>
                <w:rFonts w:cstheme="minorHAnsi"/>
                <w:color w:val="000000"/>
                <w:szCs w:val="22"/>
                <w:lang w:val="es-ES_tradnl"/>
              </w:rPr>
            </w:pPr>
            <w:r w:rsidRPr="00B3101A">
              <w:rPr>
                <w:lang w:val="es-ES_tradnl"/>
              </w:rPr>
              <w:t>Continuación de la Cuestión 4/1 con el título acortado y los temas actualizados</w:t>
            </w:r>
          </w:p>
        </w:tc>
      </w:tr>
      <w:tr w:rsidR="00F56EEB" w:rsidRPr="00C33FEA" w14:paraId="1C8C6A48" w14:textId="77777777" w:rsidTr="0033736A">
        <w:trPr>
          <w:trHeight w:val="315"/>
        </w:trPr>
        <w:tc>
          <w:tcPr>
            <w:tcW w:w="2208" w:type="dxa"/>
          </w:tcPr>
          <w:p w14:paraId="32401D45" w14:textId="77777777" w:rsidR="00F56EEB" w:rsidRPr="00526D43" w:rsidRDefault="00F56EEB" w:rsidP="00526D43">
            <w:pPr>
              <w:pStyle w:val="Tabletext"/>
              <w:jc w:val="center"/>
              <w:rPr>
                <w:rFonts w:cstheme="minorHAnsi"/>
                <w:b/>
                <w:bCs/>
                <w:color w:val="000000"/>
                <w:szCs w:val="22"/>
                <w:lang w:val="es-ES_tradnl"/>
              </w:rPr>
            </w:pPr>
            <w:r w:rsidRPr="00526D43">
              <w:rPr>
                <w:b/>
                <w:bCs/>
                <w:lang w:val="es-ES_tradnl"/>
              </w:rPr>
              <w:t>Cuestión 5/1</w:t>
            </w:r>
          </w:p>
        </w:tc>
        <w:tc>
          <w:tcPr>
            <w:tcW w:w="3402" w:type="dxa"/>
          </w:tcPr>
          <w:p w14:paraId="60AFBB1A" w14:textId="77777777" w:rsidR="00F56EEB" w:rsidRPr="00B3101A" w:rsidRDefault="00F56EEB" w:rsidP="00526D43">
            <w:pPr>
              <w:pStyle w:val="Tabletext"/>
              <w:rPr>
                <w:rFonts w:cstheme="minorHAnsi"/>
                <w:color w:val="000000"/>
                <w:szCs w:val="22"/>
                <w:lang w:val="es-ES_tradnl"/>
              </w:rPr>
            </w:pPr>
            <w:r w:rsidRPr="00B3101A">
              <w:rPr>
                <w:lang w:val="es-ES_tradnl"/>
              </w:rPr>
              <w:t>Telecomunicaciones/TIC para las zonas rurales y remotas</w:t>
            </w:r>
          </w:p>
        </w:tc>
        <w:tc>
          <w:tcPr>
            <w:tcW w:w="3402" w:type="dxa"/>
          </w:tcPr>
          <w:p w14:paraId="50A9C8E2" w14:textId="77777777" w:rsidR="00F56EEB" w:rsidRPr="00B3101A" w:rsidRDefault="00F56EEB" w:rsidP="00526D43">
            <w:pPr>
              <w:pStyle w:val="Tabletext"/>
              <w:rPr>
                <w:rFonts w:cstheme="minorHAnsi"/>
                <w:color w:val="000000"/>
                <w:szCs w:val="22"/>
                <w:lang w:val="es-ES_tradnl"/>
              </w:rPr>
            </w:pPr>
            <w:r w:rsidRPr="00B3101A">
              <w:rPr>
                <w:lang w:val="es-ES_tradnl"/>
              </w:rPr>
              <w:t>Continuación de la Cuestión 5/1 con el título acortado y los temas actualizados</w:t>
            </w:r>
          </w:p>
        </w:tc>
      </w:tr>
      <w:tr w:rsidR="00F56EEB" w:rsidRPr="00C33FEA" w14:paraId="0ADCB260" w14:textId="77777777" w:rsidTr="0033736A">
        <w:trPr>
          <w:trHeight w:val="315"/>
        </w:trPr>
        <w:tc>
          <w:tcPr>
            <w:tcW w:w="2208" w:type="dxa"/>
          </w:tcPr>
          <w:p w14:paraId="51D62060" w14:textId="77777777" w:rsidR="00F56EEB" w:rsidRPr="00526D43" w:rsidRDefault="00F56EEB" w:rsidP="00526D43">
            <w:pPr>
              <w:pStyle w:val="Tabletext"/>
              <w:jc w:val="center"/>
              <w:rPr>
                <w:rFonts w:cstheme="minorHAnsi"/>
                <w:b/>
                <w:bCs/>
                <w:color w:val="000000"/>
                <w:szCs w:val="22"/>
                <w:lang w:val="es-ES_tradnl"/>
              </w:rPr>
            </w:pPr>
            <w:r w:rsidRPr="00526D43">
              <w:rPr>
                <w:b/>
                <w:bCs/>
                <w:lang w:val="es-ES_tradnl"/>
              </w:rPr>
              <w:t>Cuestión 6/1</w:t>
            </w:r>
          </w:p>
        </w:tc>
        <w:tc>
          <w:tcPr>
            <w:tcW w:w="3402" w:type="dxa"/>
          </w:tcPr>
          <w:p w14:paraId="1EA4E303" w14:textId="77777777" w:rsidR="00F56EEB" w:rsidRPr="00B3101A" w:rsidRDefault="00F56EEB" w:rsidP="00526D43">
            <w:pPr>
              <w:pStyle w:val="Tabletext"/>
              <w:rPr>
                <w:rFonts w:cstheme="minorHAnsi"/>
                <w:color w:val="000000"/>
                <w:szCs w:val="22"/>
                <w:lang w:val="es-ES_tradnl"/>
              </w:rPr>
            </w:pPr>
            <w:r w:rsidRPr="00B3101A">
              <w:rPr>
                <w:lang w:val="es-ES_tradnl"/>
              </w:rPr>
              <w:t>Información, protección y derechos del consumidor</w:t>
            </w:r>
          </w:p>
        </w:tc>
        <w:tc>
          <w:tcPr>
            <w:tcW w:w="3402" w:type="dxa"/>
          </w:tcPr>
          <w:p w14:paraId="36A59F4A" w14:textId="77777777" w:rsidR="00F56EEB" w:rsidRPr="00B3101A" w:rsidRDefault="00F56EEB" w:rsidP="00526D43">
            <w:pPr>
              <w:pStyle w:val="Tabletext"/>
              <w:rPr>
                <w:rFonts w:cstheme="minorHAnsi"/>
                <w:color w:val="000000"/>
                <w:szCs w:val="22"/>
                <w:lang w:val="es-ES_tradnl"/>
              </w:rPr>
            </w:pPr>
            <w:r w:rsidRPr="00B3101A">
              <w:rPr>
                <w:lang w:val="es-ES_tradnl"/>
              </w:rPr>
              <w:t>Continuación de la Cuestión 6/1 con el título acortado y los temas actualizados</w:t>
            </w:r>
          </w:p>
        </w:tc>
      </w:tr>
      <w:tr w:rsidR="00F56EEB" w:rsidRPr="00C33FEA" w14:paraId="7F235316" w14:textId="77777777" w:rsidTr="0033736A">
        <w:trPr>
          <w:trHeight w:val="315"/>
        </w:trPr>
        <w:tc>
          <w:tcPr>
            <w:tcW w:w="2208" w:type="dxa"/>
          </w:tcPr>
          <w:p w14:paraId="4FB3D435" w14:textId="77777777" w:rsidR="00F56EEB" w:rsidRPr="00526D43" w:rsidRDefault="00F56EEB" w:rsidP="00526D43">
            <w:pPr>
              <w:pStyle w:val="Tabletext"/>
              <w:jc w:val="center"/>
              <w:rPr>
                <w:rFonts w:cstheme="minorHAnsi"/>
                <w:b/>
                <w:bCs/>
                <w:color w:val="000000"/>
                <w:szCs w:val="22"/>
                <w:lang w:val="es-ES_tradnl"/>
              </w:rPr>
            </w:pPr>
            <w:r w:rsidRPr="00526D43">
              <w:rPr>
                <w:b/>
                <w:bCs/>
                <w:lang w:val="es-ES_tradnl"/>
              </w:rPr>
              <w:t>Cuestión 7/1</w:t>
            </w:r>
          </w:p>
        </w:tc>
        <w:tc>
          <w:tcPr>
            <w:tcW w:w="3402" w:type="dxa"/>
          </w:tcPr>
          <w:p w14:paraId="40E0CC19" w14:textId="77777777" w:rsidR="00F56EEB" w:rsidRPr="00B3101A" w:rsidRDefault="00F56EEB" w:rsidP="00526D43">
            <w:pPr>
              <w:pStyle w:val="Tabletext"/>
              <w:rPr>
                <w:rFonts w:cstheme="minorHAnsi"/>
                <w:color w:val="000000"/>
                <w:szCs w:val="22"/>
                <w:lang w:val="es-ES_tradnl"/>
              </w:rPr>
            </w:pPr>
            <w:r w:rsidRPr="00B3101A">
              <w:rPr>
                <w:lang w:val="es-ES_tradnl"/>
              </w:rPr>
              <w:t>Accesibilidad de las telecomunicaciones/TIC para permitir la comunicación inclusiva, en especial para las personas con discapacidad</w:t>
            </w:r>
          </w:p>
        </w:tc>
        <w:tc>
          <w:tcPr>
            <w:tcW w:w="3402" w:type="dxa"/>
          </w:tcPr>
          <w:p w14:paraId="0B02A291" w14:textId="77777777" w:rsidR="00F56EEB" w:rsidRPr="00B3101A" w:rsidRDefault="00F56EEB" w:rsidP="00526D43">
            <w:pPr>
              <w:pStyle w:val="Tabletext"/>
              <w:rPr>
                <w:rFonts w:cstheme="minorHAnsi"/>
                <w:color w:val="000000"/>
                <w:szCs w:val="22"/>
                <w:lang w:val="es-ES_tradnl"/>
              </w:rPr>
            </w:pPr>
            <w:r w:rsidRPr="00B3101A">
              <w:rPr>
                <w:lang w:val="es-ES_tradnl"/>
              </w:rPr>
              <w:t>Continuación de la Cuestión 2/1 con el título revisado y los temas actualizados</w:t>
            </w:r>
          </w:p>
        </w:tc>
      </w:tr>
    </w:tbl>
    <w:p w14:paraId="333B3213" w14:textId="77777777" w:rsidR="0033736A" w:rsidRPr="00B3101A" w:rsidRDefault="0033736A">
      <w:pPr>
        <w:tabs>
          <w:tab w:val="clear" w:pos="794"/>
          <w:tab w:val="clear" w:pos="1191"/>
          <w:tab w:val="clear" w:pos="1588"/>
          <w:tab w:val="clear" w:pos="1985"/>
        </w:tabs>
        <w:overflowPunct/>
        <w:autoSpaceDE/>
        <w:autoSpaceDN/>
        <w:adjustRightInd/>
        <w:spacing w:before="0"/>
        <w:textAlignment w:val="auto"/>
        <w:rPr>
          <w:b/>
          <w:lang w:val="es-ES_tradnl"/>
        </w:rPr>
      </w:pPr>
      <w:r w:rsidRPr="00B3101A">
        <w:rPr>
          <w:lang w:val="es-ES_tradnl"/>
        </w:rPr>
        <w:br w:type="page"/>
      </w:r>
    </w:p>
    <w:p w14:paraId="09377EF6" w14:textId="4A838968" w:rsidR="00F56EEB" w:rsidRPr="00B3101A" w:rsidRDefault="00F56EEB" w:rsidP="0033736A">
      <w:pPr>
        <w:pStyle w:val="Tabletitle"/>
        <w:spacing w:after="240"/>
        <w:rPr>
          <w:color w:val="000000"/>
          <w:lang w:val="es-ES_tradnl"/>
        </w:rPr>
      </w:pPr>
      <w:r w:rsidRPr="00B3101A">
        <w:rPr>
          <w:lang w:val="es-ES_tradnl"/>
        </w:rPr>
        <w:t>Comisión de Estudio 2</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3402"/>
        <w:gridCol w:w="3402"/>
      </w:tblGrid>
      <w:tr w:rsidR="00F56EEB" w:rsidRPr="00B3101A" w14:paraId="35D68D74" w14:textId="77777777" w:rsidTr="0033736A">
        <w:trPr>
          <w:trHeight w:val="117"/>
        </w:trPr>
        <w:tc>
          <w:tcPr>
            <w:tcW w:w="1656" w:type="dxa"/>
          </w:tcPr>
          <w:p w14:paraId="310E6288" w14:textId="77777777" w:rsidR="00F56EEB" w:rsidRPr="00B3101A" w:rsidRDefault="00F56EEB" w:rsidP="00451C91">
            <w:pPr>
              <w:pStyle w:val="Tablehead"/>
              <w:rPr>
                <w:rFonts w:cstheme="minorHAnsi"/>
                <w:color w:val="000000"/>
                <w:szCs w:val="22"/>
                <w:lang w:val="es-ES_tradnl"/>
              </w:rPr>
            </w:pPr>
            <w:r w:rsidRPr="00B3101A">
              <w:rPr>
                <w:lang w:val="es-ES_tradnl"/>
              </w:rPr>
              <w:t>Nuevo número</w:t>
            </w:r>
          </w:p>
        </w:tc>
        <w:tc>
          <w:tcPr>
            <w:tcW w:w="3402" w:type="dxa"/>
          </w:tcPr>
          <w:p w14:paraId="0FE6D9F8" w14:textId="77777777" w:rsidR="00F56EEB" w:rsidRPr="00B3101A" w:rsidRDefault="00F56EEB" w:rsidP="00451C91">
            <w:pPr>
              <w:pStyle w:val="Tablehead"/>
              <w:rPr>
                <w:rFonts w:cstheme="minorHAnsi"/>
                <w:color w:val="000000"/>
                <w:szCs w:val="22"/>
                <w:lang w:val="es-ES_tradnl"/>
              </w:rPr>
            </w:pPr>
            <w:r w:rsidRPr="00B3101A">
              <w:rPr>
                <w:lang w:val="es-ES_tradnl"/>
              </w:rPr>
              <w:t>Título</w:t>
            </w:r>
          </w:p>
        </w:tc>
        <w:tc>
          <w:tcPr>
            <w:tcW w:w="3402" w:type="dxa"/>
          </w:tcPr>
          <w:p w14:paraId="2644BB6A" w14:textId="77777777" w:rsidR="00F56EEB" w:rsidRPr="00B3101A" w:rsidRDefault="00F56EEB" w:rsidP="00451C91">
            <w:pPr>
              <w:pStyle w:val="Tablehead"/>
              <w:rPr>
                <w:rFonts w:cstheme="minorHAnsi"/>
                <w:color w:val="000000"/>
                <w:szCs w:val="22"/>
                <w:lang w:val="es-ES_tradnl"/>
              </w:rPr>
            </w:pPr>
            <w:r w:rsidRPr="00B3101A">
              <w:rPr>
                <w:lang w:val="es-ES_tradnl"/>
              </w:rPr>
              <w:t>Origen</w:t>
            </w:r>
          </w:p>
        </w:tc>
      </w:tr>
      <w:tr w:rsidR="00F56EEB" w:rsidRPr="00C33FEA" w14:paraId="0E776C23" w14:textId="77777777" w:rsidTr="0033736A">
        <w:trPr>
          <w:trHeight w:val="315"/>
        </w:trPr>
        <w:tc>
          <w:tcPr>
            <w:tcW w:w="1656" w:type="dxa"/>
          </w:tcPr>
          <w:p w14:paraId="02FD5A9C" w14:textId="77777777" w:rsidR="00F56EEB" w:rsidRPr="00451C91" w:rsidRDefault="00F56EEB" w:rsidP="00451C91">
            <w:pPr>
              <w:pStyle w:val="Tabletext"/>
              <w:jc w:val="center"/>
              <w:rPr>
                <w:rFonts w:cstheme="minorHAnsi"/>
                <w:b/>
                <w:bCs/>
                <w:color w:val="000000"/>
                <w:szCs w:val="22"/>
                <w:lang w:val="es-ES_tradnl"/>
              </w:rPr>
            </w:pPr>
            <w:r w:rsidRPr="00451C91">
              <w:rPr>
                <w:b/>
                <w:bCs/>
                <w:lang w:val="es-ES_tradnl"/>
              </w:rPr>
              <w:t>Cuestión 1/2</w:t>
            </w:r>
          </w:p>
        </w:tc>
        <w:tc>
          <w:tcPr>
            <w:tcW w:w="3402" w:type="dxa"/>
          </w:tcPr>
          <w:p w14:paraId="4C89C061" w14:textId="77777777" w:rsidR="00F56EEB" w:rsidRPr="00B3101A" w:rsidRDefault="00F56EEB" w:rsidP="00451C91">
            <w:pPr>
              <w:pStyle w:val="Tabletext"/>
              <w:rPr>
                <w:rFonts w:cstheme="minorHAnsi"/>
                <w:color w:val="000000"/>
                <w:szCs w:val="22"/>
                <w:lang w:val="es-ES_tradnl"/>
              </w:rPr>
            </w:pPr>
            <w:r w:rsidRPr="00B3101A">
              <w:rPr>
                <w:lang w:val="es-ES_tradnl"/>
              </w:rPr>
              <w:t>Ciudades y comunidades inteligentes y sostenibles</w:t>
            </w:r>
          </w:p>
        </w:tc>
        <w:tc>
          <w:tcPr>
            <w:tcW w:w="3402" w:type="dxa"/>
          </w:tcPr>
          <w:p w14:paraId="5BA61B70" w14:textId="77777777" w:rsidR="00F56EEB" w:rsidRPr="00B3101A" w:rsidRDefault="00F56EEB" w:rsidP="00451C91">
            <w:pPr>
              <w:pStyle w:val="Tabletext"/>
              <w:rPr>
                <w:rFonts w:cstheme="minorHAnsi"/>
                <w:color w:val="000000"/>
                <w:szCs w:val="22"/>
                <w:lang w:val="es-ES_tradnl"/>
              </w:rPr>
            </w:pPr>
            <w:r w:rsidRPr="00B3101A">
              <w:rPr>
                <w:lang w:val="es-ES_tradnl"/>
              </w:rPr>
              <w:t>Continuación de la Cuestión 1/2 con el título acortado y los temas actualizados</w:t>
            </w:r>
          </w:p>
        </w:tc>
      </w:tr>
      <w:tr w:rsidR="00F56EEB" w:rsidRPr="00C33FEA" w14:paraId="3DA8BC58" w14:textId="77777777" w:rsidTr="0033736A">
        <w:trPr>
          <w:trHeight w:val="315"/>
        </w:trPr>
        <w:tc>
          <w:tcPr>
            <w:tcW w:w="1656" w:type="dxa"/>
          </w:tcPr>
          <w:p w14:paraId="167C2307" w14:textId="77777777" w:rsidR="00F56EEB" w:rsidRPr="00451C91" w:rsidRDefault="00F56EEB" w:rsidP="00451C91">
            <w:pPr>
              <w:pStyle w:val="Tabletext"/>
              <w:jc w:val="center"/>
              <w:rPr>
                <w:rFonts w:cstheme="minorHAnsi"/>
                <w:b/>
                <w:bCs/>
                <w:color w:val="000000"/>
                <w:szCs w:val="22"/>
                <w:lang w:val="es-ES_tradnl"/>
              </w:rPr>
            </w:pPr>
            <w:r w:rsidRPr="00451C91">
              <w:rPr>
                <w:b/>
                <w:bCs/>
                <w:lang w:val="es-ES_tradnl"/>
              </w:rPr>
              <w:t>Cuestión 2/2</w:t>
            </w:r>
          </w:p>
        </w:tc>
        <w:tc>
          <w:tcPr>
            <w:tcW w:w="3402" w:type="dxa"/>
          </w:tcPr>
          <w:p w14:paraId="335892BE" w14:textId="77777777" w:rsidR="00F56EEB" w:rsidRPr="00B3101A" w:rsidRDefault="00F56EEB" w:rsidP="00451C91">
            <w:pPr>
              <w:pStyle w:val="Tabletext"/>
              <w:rPr>
                <w:rFonts w:cstheme="minorHAnsi"/>
                <w:color w:val="000000"/>
                <w:szCs w:val="22"/>
                <w:lang w:val="es-ES_tradnl"/>
              </w:rPr>
            </w:pPr>
            <w:r w:rsidRPr="00B3101A">
              <w:rPr>
                <w:lang w:val="es-ES_tradnl"/>
              </w:rPr>
              <w:t xml:space="preserve">Tecnologías habilitadoras para los servicios y aplicaciones electrónicos, incluidas la </w:t>
            </w:r>
            <w:proofErr w:type="spellStart"/>
            <w:r w:rsidRPr="00B3101A">
              <w:rPr>
                <w:lang w:val="es-ES_tradnl"/>
              </w:rPr>
              <w:t>cibersalud</w:t>
            </w:r>
            <w:proofErr w:type="spellEnd"/>
            <w:r w:rsidRPr="00B3101A">
              <w:rPr>
                <w:lang w:val="es-ES_tradnl"/>
              </w:rPr>
              <w:t xml:space="preserve"> y la </w:t>
            </w:r>
            <w:proofErr w:type="spellStart"/>
            <w:r w:rsidRPr="00B3101A">
              <w:rPr>
                <w:lang w:val="es-ES_tradnl"/>
              </w:rPr>
              <w:t>cibereducación</w:t>
            </w:r>
            <w:proofErr w:type="spellEnd"/>
          </w:p>
        </w:tc>
        <w:tc>
          <w:tcPr>
            <w:tcW w:w="3402" w:type="dxa"/>
          </w:tcPr>
          <w:p w14:paraId="68025CA3" w14:textId="77777777" w:rsidR="00F56EEB" w:rsidRPr="00B3101A" w:rsidRDefault="00F56EEB" w:rsidP="00451C91">
            <w:pPr>
              <w:pStyle w:val="Tabletext"/>
              <w:rPr>
                <w:rFonts w:cstheme="minorHAnsi"/>
                <w:color w:val="000000"/>
                <w:szCs w:val="22"/>
                <w:lang w:val="es-ES_tradnl"/>
              </w:rPr>
            </w:pPr>
            <w:r w:rsidRPr="00B3101A">
              <w:rPr>
                <w:lang w:val="es-ES_tradnl"/>
              </w:rPr>
              <w:t>Continuación de la Cuestión 2/2, ampliada para abarcar más temas</w:t>
            </w:r>
          </w:p>
        </w:tc>
      </w:tr>
      <w:tr w:rsidR="00F56EEB" w:rsidRPr="00C33FEA" w14:paraId="45C170E2" w14:textId="77777777" w:rsidTr="0033736A">
        <w:trPr>
          <w:trHeight w:val="315"/>
        </w:trPr>
        <w:tc>
          <w:tcPr>
            <w:tcW w:w="1656" w:type="dxa"/>
          </w:tcPr>
          <w:p w14:paraId="0D4E61BA" w14:textId="77777777" w:rsidR="00F56EEB" w:rsidRPr="00451C91" w:rsidRDefault="00F56EEB" w:rsidP="00451C91">
            <w:pPr>
              <w:pStyle w:val="Tabletext"/>
              <w:jc w:val="center"/>
              <w:rPr>
                <w:rFonts w:cstheme="minorHAnsi"/>
                <w:b/>
                <w:bCs/>
                <w:color w:val="000000"/>
                <w:szCs w:val="22"/>
                <w:lang w:val="es-ES_tradnl"/>
              </w:rPr>
            </w:pPr>
            <w:r w:rsidRPr="00451C91">
              <w:rPr>
                <w:b/>
                <w:bCs/>
                <w:lang w:val="es-ES_tradnl"/>
              </w:rPr>
              <w:t>Cuestión 3/2</w:t>
            </w:r>
          </w:p>
        </w:tc>
        <w:tc>
          <w:tcPr>
            <w:tcW w:w="3402" w:type="dxa"/>
          </w:tcPr>
          <w:p w14:paraId="1307C350" w14:textId="77777777" w:rsidR="00F56EEB" w:rsidRPr="00B3101A" w:rsidRDefault="00F56EEB" w:rsidP="00451C91">
            <w:pPr>
              <w:pStyle w:val="Tabletext"/>
              <w:rPr>
                <w:rFonts w:cstheme="minorHAnsi"/>
                <w:color w:val="000000"/>
                <w:szCs w:val="22"/>
                <w:lang w:val="es-ES_tradnl"/>
              </w:rPr>
            </w:pPr>
            <w:r w:rsidRPr="00B3101A">
              <w:rPr>
                <w:lang w:val="es-ES_tradnl"/>
              </w:rPr>
              <w:t>Seguridad en las redes de información y comunicación: prácticas idóneas para el desarrollo de una cultura de ciberseguridad</w:t>
            </w:r>
          </w:p>
        </w:tc>
        <w:tc>
          <w:tcPr>
            <w:tcW w:w="3402" w:type="dxa"/>
          </w:tcPr>
          <w:p w14:paraId="2BDC8405" w14:textId="77777777" w:rsidR="00F56EEB" w:rsidRPr="00B3101A" w:rsidRDefault="00F56EEB" w:rsidP="00451C91">
            <w:pPr>
              <w:pStyle w:val="Tabletext"/>
              <w:rPr>
                <w:rFonts w:cstheme="minorHAnsi"/>
                <w:color w:val="000000"/>
                <w:szCs w:val="22"/>
                <w:lang w:val="es-ES_tradnl"/>
              </w:rPr>
            </w:pPr>
            <w:r w:rsidRPr="00B3101A">
              <w:rPr>
                <w:lang w:val="es-ES_tradnl"/>
              </w:rPr>
              <w:t>Continuación de la Cuestión 3/2 con temas nuevos adicionales</w:t>
            </w:r>
          </w:p>
        </w:tc>
      </w:tr>
      <w:tr w:rsidR="00F56EEB" w:rsidRPr="00C33FEA" w14:paraId="4B147F29" w14:textId="77777777" w:rsidTr="0033736A">
        <w:trPr>
          <w:trHeight w:val="315"/>
        </w:trPr>
        <w:tc>
          <w:tcPr>
            <w:tcW w:w="1656" w:type="dxa"/>
          </w:tcPr>
          <w:p w14:paraId="2914695E" w14:textId="77777777" w:rsidR="00F56EEB" w:rsidRPr="00451C91" w:rsidRDefault="00F56EEB" w:rsidP="00451C91">
            <w:pPr>
              <w:pStyle w:val="Tabletext"/>
              <w:jc w:val="center"/>
              <w:rPr>
                <w:rFonts w:cstheme="minorHAnsi"/>
                <w:b/>
                <w:bCs/>
                <w:color w:val="000000"/>
                <w:szCs w:val="22"/>
                <w:lang w:val="es-ES_tradnl"/>
              </w:rPr>
            </w:pPr>
            <w:r w:rsidRPr="00451C91">
              <w:rPr>
                <w:b/>
                <w:bCs/>
                <w:lang w:val="es-ES_tradnl"/>
              </w:rPr>
              <w:t>Cuestión 4/2</w:t>
            </w:r>
          </w:p>
        </w:tc>
        <w:tc>
          <w:tcPr>
            <w:tcW w:w="3402" w:type="dxa"/>
          </w:tcPr>
          <w:p w14:paraId="0F1AF7C5" w14:textId="77777777" w:rsidR="00F56EEB" w:rsidRPr="00B3101A" w:rsidRDefault="00F56EEB" w:rsidP="00451C91">
            <w:pPr>
              <w:pStyle w:val="Tabletext"/>
              <w:rPr>
                <w:rFonts w:cstheme="minorHAnsi"/>
                <w:color w:val="000000"/>
                <w:szCs w:val="22"/>
                <w:lang w:val="es-ES_tradnl"/>
              </w:rPr>
            </w:pPr>
            <w:r w:rsidRPr="00B3101A">
              <w:rPr>
                <w:lang w:val="es-ES_tradnl"/>
              </w:rPr>
              <w:t>Equipos de telecomunicaciones/TIC: conformidad e interoperabilidad, la lucha contra la falsificación y el robo de dispositivos móviles</w:t>
            </w:r>
          </w:p>
        </w:tc>
        <w:tc>
          <w:tcPr>
            <w:tcW w:w="3402" w:type="dxa"/>
          </w:tcPr>
          <w:p w14:paraId="189FF206" w14:textId="77777777" w:rsidR="00F56EEB" w:rsidRPr="00B3101A" w:rsidRDefault="00F56EEB" w:rsidP="00451C91">
            <w:pPr>
              <w:pStyle w:val="Tabletext"/>
              <w:rPr>
                <w:rFonts w:cstheme="minorHAnsi"/>
                <w:color w:val="000000"/>
                <w:szCs w:val="22"/>
                <w:lang w:val="es-ES_tradnl"/>
              </w:rPr>
            </w:pPr>
            <w:r w:rsidRPr="00B3101A">
              <w:rPr>
                <w:lang w:val="es-ES_tradnl"/>
              </w:rPr>
              <w:t>Continuación de la Cuestión 4/2 con el título acortado y los temas actualizados</w:t>
            </w:r>
          </w:p>
        </w:tc>
      </w:tr>
      <w:tr w:rsidR="00F56EEB" w:rsidRPr="00B3101A" w14:paraId="285CC896" w14:textId="77777777" w:rsidTr="0033736A">
        <w:trPr>
          <w:trHeight w:val="213"/>
        </w:trPr>
        <w:tc>
          <w:tcPr>
            <w:tcW w:w="1656" w:type="dxa"/>
          </w:tcPr>
          <w:p w14:paraId="6C5F1D76" w14:textId="77777777" w:rsidR="00F56EEB" w:rsidRPr="00451C91" w:rsidRDefault="00F56EEB" w:rsidP="00451C91">
            <w:pPr>
              <w:pStyle w:val="Tabletext"/>
              <w:jc w:val="center"/>
              <w:rPr>
                <w:rFonts w:cstheme="minorHAnsi"/>
                <w:b/>
                <w:bCs/>
                <w:color w:val="000000"/>
                <w:szCs w:val="22"/>
                <w:lang w:val="es-ES_tradnl"/>
              </w:rPr>
            </w:pPr>
            <w:r w:rsidRPr="00451C91">
              <w:rPr>
                <w:b/>
                <w:bCs/>
                <w:lang w:val="es-ES_tradnl"/>
              </w:rPr>
              <w:t>Cuestión 5/2*</w:t>
            </w:r>
          </w:p>
        </w:tc>
        <w:tc>
          <w:tcPr>
            <w:tcW w:w="3402" w:type="dxa"/>
          </w:tcPr>
          <w:p w14:paraId="17FA2258" w14:textId="77777777" w:rsidR="00F56EEB" w:rsidRPr="00B3101A" w:rsidRDefault="00F56EEB" w:rsidP="00451C91">
            <w:pPr>
              <w:pStyle w:val="Tabletext"/>
              <w:rPr>
                <w:rFonts w:cstheme="minorHAnsi"/>
                <w:color w:val="000000"/>
                <w:szCs w:val="22"/>
                <w:lang w:val="es-ES_tradnl"/>
              </w:rPr>
            </w:pPr>
            <w:r w:rsidRPr="00B3101A">
              <w:rPr>
                <w:lang w:val="es-ES_tradnl"/>
              </w:rPr>
              <w:t>Adopción de las telecomunicaciones/TIC y mejora de las calificaciones digitales</w:t>
            </w:r>
          </w:p>
        </w:tc>
        <w:tc>
          <w:tcPr>
            <w:tcW w:w="3402" w:type="dxa"/>
          </w:tcPr>
          <w:p w14:paraId="720441CA" w14:textId="77777777" w:rsidR="00F56EEB" w:rsidRPr="00B3101A" w:rsidRDefault="00F56EEB" w:rsidP="00451C91">
            <w:pPr>
              <w:pStyle w:val="Tabletext"/>
              <w:rPr>
                <w:rFonts w:cstheme="minorHAnsi"/>
                <w:color w:val="000000"/>
                <w:szCs w:val="22"/>
                <w:lang w:val="es-ES_tradnl"/>
              </w:rPr>
            </w:pPr>
            <w:r w:rsidRPr="00B3101A">
              <w:rPr>
                <w:lang w:val="es-ES_tradnl"/>
              </w:rPr>
              <w:t>Cuestión nueva</w:t>
            </w:r>
          </w:p>
        </w:tc>
      </w:tr>
      <w:tr w:rsidR="00F56EEB" w:rsidRPr="00C33FEA" w14:paraId="250FB81F" w14:textId="77777777" w:rsidTr="0033736A">
        <w:trPr>
          <w:trHeight w:val="315"/>
        </w:trPr>
        <w:tc>
          <w:tcPr>
            <w:tcW w:w="1656" w:type="dxa"/>
          </w:tcPr>
          <w:p w14:paraId="0A87F30B" w14:textId="77777777" w:rsidR="00F56EEB" w:rsidRPr="00451C91" w:rsidRDefault="00F56EEB" w:rsidP="00451C91">
            <w:pPr>
              <w:pStyle w:val="Tabletext"/>
              <w:jc w:val="center"/>
              <w:rPr>
                <w:rFonts w:cstheme="minorHAnsi"/>
                <w:b/>
                <w:bCs/>
                <w:color w:val="000000"/>
                <w:szCs w:val="22"/>
                <w:lang w:val="es-ES_tradnl"/>
              </w:rPr>
            </w:pPr>
            <w:r w:rsidRPr="00451C91">
              <w:rPr>
                <w:b/>
                <w:bCs/>
                <w:lang w:val="es-ES_tradnl"/>
              </w:rPr>
              <w:t>Cuestión 6/2</w:t>
            </w:r>
          </w:p>
        </w:tc>
        <w:tc>
          <w:tcPr>
            <w:tcW w:w="3402" w:type="dxa"/>
          </w:tcPr>
          <w:p w14:paraId="1C83AA97" w14:textId="77777777" w:rsidR="00F56EEB" w:rsidRPr="00B3101A" w:rsidRDefault="00F56EEB" w:rsidP="00451C91">
            <w:pPr>
              <w:pStyle w:val="Tabletext"/>
              <w:rPr>
                <w:rFonts w:cstheme="minorHAnsi"/>
                <w:color w:val="000000"/>
                <w:szCs w:val="22"/>
                <w:lang w:val="es-ES_tradnl"/>
              </w:rPr>
            </w:pPr>
            <w:r w:rsidRPr="00B3101A">
              <w:rPr>
                <w:lang w:val="es-ES_tradnl"/>
              </w:rPr>
              <w:t>TIC para el medio ambiente</w:t>
            </w:r>
          </w:p>
        </w:tc>
        <w:tc>
          <w:tcPr>
            <w:tcW w:w="3402" w:type="dxa"/>
          </w:tcPr>
          <w:p w14:paraId="0234222D" w14:textId="77777777" w:rsidR="00F56EEB" w:rsidRPr="00B3101A" w:rsidRDefault="00F56EEB" w:rsidP="00451C91">
            <w:pPr>
              <w:pStyle w:val="Tabletext"/>
              <w:rPr>
                <w:rFonts w:cstheme="minorHAnsi"/>
                <w:color w:val="000000"/>
                <w:szCs w:val="22"/>
                <w:lang w:val="es-ES_tradnl"/>
              </w:rPr>
            </w:pPr>
            <w:r w:rsidRPr="00B3101A">
              <w:rPr>
                <w:lang w:val="es-ES_tradnl"/>
              </w:rPr>
              <w:t>Continuación de la Cuestión 6/2 con el título acortado y los temas actualizados</w:t>
            </w:r>
          </w:p>
        </w:tc>
      </w:tr>
      <w:tr w:rsidR="00F56EEB" w:rsidRPr="00B3101A" w14:paraId="584F5559" w14:textId="77777777" w:rsidTr="0033736A">
        <w:trPr>
          <w:trHeight w:val="213"/>
        </w:trPr>
        <w:tc>
          <w:tcPr>
            <w:tcW w:w="1656" w:type="dxa"/>
          </w:tcPr>
          <w:p w14:paraId="67173156" w14:textId="77777777" w:rsidR="00F56EEB" w:rsidRPr="00451C91" w:rsidRDefault="00F56EEB" w:rsidP="00451C91">
            <w:pPr>
              <w:pStyle w:val="Tabletext"/>
              <w:jc w:val="center"/>
              <w:rPr>
                <w:rFonts w:cstheme="minorHAnsi"/>
                <w:b/>
                <w:bCs/>
                <w:color w:val="000000"/>
                <w:szCs w:val="22"/>
                <w:lang w:val="es-ES_tradnl"/>
              </w:rPr>
            </w:pPr>
            <w:r w:rsidRPr="00451C91">
              <w:rPr>
                <w:b/>
                <w:bCs/>
                <w:lang w:val="es-ES_tradnl"/>
              </w:rPr>
              <w:t>Cuestión 7/2</w:t>
            </w:r>
          </w:p>
        </w:tc>
        <w:tc>
          <w:tcPr>
            <w:tcW w:w="3402" w:type="dxa"/>
          </w:tcPr>
          <w:p w14:paraId="7FCCAA4C" w14:textId="77777777" w:rsidR="00F56EEB" w:rsidRPr="00B3101A" w:rsidRDefault="00F56EEB" w:rsidP="00451C91">
            <w:pPr>
              <w:pStyle w:val="Tabletext"/>
              <w:rPr>
                <w:rFonts w:cstheme="minorHAnsi"/>
                <w:color w:val="000000"/>
                <w:szCs w:val="22"/>
                <w:lang w:val="es-ES_tradnl"/>
              </w:rPr>
            </w:pPr>
            <w:r w:rsidRPr="00B3101A">
              <w:rPr>
                <w:lang w:val="es-ES_tradnl"/>
              </w:rPr>
              <w:t>Estrategias y políticas relativas a la exposición de las personas a los campos electromagnéticos</w:t>
            </w:r>
          </w:p>
        </w:tc>
        <w:tc>
          <w:tcPr>
            <w:tcW w:w="3402" w:type="dxa"/>
          </w:tcPr>
          <w:p w14:paraId="69AE21B0" w14:textId="77777777" w:rsidR="00F56EEB" w:rsidRPr="00B3101A" w:rsidRDefault="00F56EEB" w:rsidP="00451C91">
            <w:pPr>
              <w:pStyle w:val="Tabletext"/>
              <w:rPr>
                <w:rFonts w:cstheme="minorHAnsi"/>
                <w:color w:val="000000"/>
                <w:szCs w:val="22"/>
                <w:lang w:val="es-ES_tradnl"/>
              </w:rPr>
            </w:pPr>
            <w:r w:rsidRPr="00B3101A">
              <w:rPr>
                <w:lang w:val="es-ES_tradnl"/>
              </w:rPr>
              <w:t xml:space="preserve">Continuación de la Cuestión </w:t>
            </w:r>
          </w:p>
        </w:tc>
      </w:tr>
    </w:tbl>
    <w:p w14:paraId="768A0D32" w14:textId="02F5F043" w:rsidR="00F56EEB" w:rsidRPr="00B3101A" w:rsidRDefault="00F56EEB" w:rsidP="00F600F9">
      <w:pPr>
        <w:pStyle w:val="Heading1"/>
        <w:rPr>
          <w:lang w:val="es-ES_tradnl"/>
        </w:rPr>
      </w:pPr>
      <w:r w:rsidRPr="00B3101A">
        <w:rPr>
          <w:lang w:val="es-ES_tradnl"/>
        </w:rPr>
        <w:t>5</w:t>
      </w:r>
      <w:r w:rsidRPr="00B3101A">
        <w:rPr>
          <w:lang w:val="es-ES_tradnl"/>
        </w:rPr>
        <w:tab/>
      </w:r>
      <w:proofErr w:type="gramStart"/>
      <w:r w:rsidRPr="00B3101A">
        <w:rPr>
          <w:lang w:val="es-ES_tradnl"/>
        </w:rPr>
        <w:t>Resoluciones</w:t>
      </w:r>
      <w:proofErr w:type="gramEnd"/>
      <w:r w:rsidRPr="00B3101A">
        <w:rPr>
          <w:lang w:val="es-ES_tradnl"/>
        </w:rPr>
        <w:t xml:space="preserve"> de la CMDT-22</w:t>
      </w:r>
    </w:p>
    <w:p w14:paraId="29293D83" w14:textId="77777777" w:rsidR="00F56EEB" w:rsidRPr="00B3101A" w:rsidRDefault="00F56EEB" w:rsidP="0033736A">
      <w:pPr>
        <w:rPr>
          <w:rFonts w:cstheme="minorHAnsi"/>
          <w:color w:val="000000"/>
          <w:szCs w:val="24"/>
          <w:lang w:val="es-ES_tradnl"/>
        </w:rPr>
      </w:pPr>
      <w:r w:rsidRPr="00B3101A">
        <w:rPr>
          <w:lang w:val="es-ES_tradnl"/>
        </w:rPr>
        <w:t>La CMDT-22 revisó 40 Resoluciones de la CMDT para garantizar que el UIT-D siga centrándose en las necesidades de los Miembros de la UIT. La Conferencia también elaboró cuatro (4) nuevas Resoluciones sobre los siguientes temas:</w:t>
      </w:r>
    </w:p>
    <w:p w14:paraId="2E29984B" w14:textId="6DD5452D" w:rsidR="00F56EEB" w:rsidRPr="00B3101A" w:rsidRDefault="00B3101A" w:rsidP="00B3101A">
      <w:pPr>
        <w:pStyle w:val="enumlev1"/>
        <w:rPr>
          <w:rFonts w:cstheme="minorHAnsi"/>
          <w:color w:val="000000"/>
          <w:szCs w:val="24"/>
          <w:lang w:val="es-ES_tradnl"/>
        </w:rPr>
      </w:pPr>
      <w:r w:rsidRPr="00451C91">
        <w:rPr>
          <w:b/>
          <w:bCs/>
          <w:lang w:val="es-ES_tradnl"/>
        </w:rPr>
        <w:t>–</w:t>
      </w:r>
      <w:r w:rsidRPr="00451C91">
        <w:rPr>
          <w:b/>
          <w:bCs/>
          <w:lang w:val="es-ES_tradnl"/>
        </w:rPr>
        <w:tab/>
      </w:r>
      <w:r w:rsidR="00F56EEB" w:rsidRPr="00451C91">
        <w:rPr>
          <w:b/>
          <w:bCs/>
          <w:lang w:val="es-ES_tradnl"/>
        </w:rPr>
        <w:t>Resolución 87 (Kigali, 2022):</w:t>
      </w:r>
      <w:r w:rsidR="00F56EEB" w:rsidRPr="00451C91">
        <w:rPr>
          <w:lang w:val="es-ES_tradnl"/>
        </w:rPr>
        <w:t xml:space="preserve"> Conexión de todas las escuelas a Internet y de todos los</w:t>
      </w:r>
      <w:r w:rsidR="00F56EEB" w:rsidRPr="00B3101A">
        <w:rPr>
          <w:lang w:val="es-ES_tradnl"/>
        </w:rPr>
        <w:t xml:space="preserve"> jóvenes a los servicios de tecnologías de la información y la comunicación, que tiene por objeto garantizar que todas las escuelas estén conectadas a Internet a través de la iniciativa conjunta UIT-UNICEF Giga.</w:t>
      </w:r>
    </w:p>
    <w:p w14:paraId="0CC43696" w14:textId="0A310E0C" w:rsidR="00F56EEB" w:rsidRPr="00B3101A" w:rsidRDefault="00B3101A" w:rsidP="00B3101A">
      <w:pPr>
        <w:pStyle w:val="enumlev1"/>
        <w:rPr>
          <w:rFonts w:cstheme="minorHAnsi"/>
          <w:color w:val="000000"/>
          <w:szCs w:val="24"/>
          <w:lang w:val="es-ES_tradnl"/>
        </w:rPr>
      </w:pPr>
      <w:r w:rsidRPr="00B3101A">
        <w:rPr>
          <w:b/>
          <w:bCs/>
          <w:lang w:val="es-ES_tradnl"/>
        </w:rPr>
        <w:t>–</w:t>
      </w:r>
      <w:r w:rsidRPr="00B3101A">
        <w:rPr>
          <w:b/>
          <w:bCs/>
          <w:lang w:val="es-ES_tradnl"/>
        </w:rPr>
        <w:tab/>
      </w:r>
      <w:r w:rsidR="00F56EEB" w:rsidRPr="00B3101A">
        <w:rPr>
          <w:b/>
          <w:bCs/>
          <w:lang w:val="es-ES_tradnl"/>
        </w:rPr>
        <w:t>Resolución 88 (Kigali, 2022):</w:t>
      </w:r>
      <w:r w:rsidR="00F56EEB" w:rsidRPr="00B3101A">
        <w:rPr>
          <w:lang w:val="es-ES_tradnl"/>
        </w:rPr>
        <w:t xml:space="preserve"> Coalición Digital Partner2Connect de la UIT, en la que se formaliza la Coalición Digital Partner2Connect como plataforma principal para fomentar nuevas asociaciones en torno a la conectividad efectiva y la transformación digital a escala mundial, prestando especial atención a las comunidades más difíciles de conectar, entre otras cosas.</w:t>
      </w:r>
    </w:p>
    <w:p w14:paraId="5E6EDAF4" w14:textId="2A211A38" w:rsidR="00F56EEB" w:rsidRPr="00B3101A" w:rsidRDefault="00B3101A" w:rsidP="00451C91">
      <w:pPr>
        <w:pStyle w:val="enumlev1"/>
        <w:keepLines/>
        <w:rPr>
          <w:rFonts w:eastAsia="Calibri" w:cstheme="minorHAnsi"/>
          <w:szCs w:val="24"/>
          <w:lang w:val="es-ES_tradnl"/>
        </w:rPr>
      </w:pPr>
      <w:r w:rsidRPr="00B3101A">
        <w:rPr>
          <w:b/>
          <w:bCs/>
          <w:lang w:val="es-ES_tradnl"/>
        </w:rPr>
        <w:lastRenderedPageBreak/>
        <w:t>–</w:t>
      </w:r>
      <w:r w:rsidRPr="00B3101A">
        <w:rPr>
          <w:b/>
          <w:bCs/>
          <w:lang w:val="es-ES_tradnl"/>
        </w:rPr>
        <w:tab/>
      </w:r>
      <w:r w:rsidR="00F56EEB" w:rsidRPr="00B3101A">
        <w:rPr>
          <w:b/>
          <w:bCs/>
          <w:lang w:val="es-ES_tradnl"/>
        </w:rPr>
        <w:t xml:space="preserve">Resolución 89 (Kigali, 2022): </w:t>
      </w:r>
      <w:r w:rsidR="00F56EEB" w:rsidRPr="00B3101A">
        <w:rPr>
          <w:lang w:val="es-ES_tradnl"/>
        </w:rPr>
        <w:t xml:space="preserve">Transformación digital para el desarrollo sostenible, que tiene por objeto impulsar los esfuerzos para promover la transformación digital para el desarrollo sostenible, reconociendo el enorme potencial que tienen las TIC para crear un cambio positivo, significativo y duradero. Se invita a los </w:t>
      </w:r>
      <w:proofErr w:type="gramStart"/>
      <w:r w:rsidR="00F56EEB" w:rsidRPr="00B3101A">
        <w:rPr>
          <w:lang w:val="es-ES_tradnl"/>
        </w:rPr>
        <w:t>Directores</w:t>
      </w:r>
      <w:proofErr w:type="gramEnd"/>
      <w:r w:rsidR="00F56EEB" w:rsidRPr="00B3101A">
        <w:rPr>
          <w:lang w:val="es-ES_tradnl"/>
        </w:rPr>
        <w:t xml:space="preserve"> de la Oficina de Radiocomunicaciones, de la Oficina de Normalización de las Telecomunicaciones y de la Oficina de Desarrollo de las Telecomunicaciones a colaborar activamente para satisfacer las necesidades que se abordan en esta Resolución en los ámbitos de interés mutuo relacionados con las tecnologías de transformación digital, en el marco del enfoque "Una</w:t>
      </w:r>
      <w:r w:rsidR="00451C91">
        <w:rPr>
          <w:lang w:val="es-ES_tradnl"/>
        </w:rPr>
        <w:t> </w:t>
      </w:r>
      <w:r w:rsidR="00F56EEB" w:rsidRPr="00B3101A">
        <w:rPr>
          <w:lang w:val="es-ES_tradnl"/>
        </w:rPr>
        <w:t>UIT" y mejorando la coordinación entre los tres Sectores.</w:t>
      </w:r>
    </w:p>
    <w:p w14:paraId="5DD2A0E6" w14:textId="47888235" w:rsidR="00F56EEB" w:rsidRPr="00B3101A" w:rsidRDefault="00B3101A" w:rsidP="00B3101A">
      <w:pPr>
        <w:pStyle w:val="enumlev1"/>
        <w:rPr>
          <w:rFonts w:eastAsia="Calibri" w:cstheme="minorHAnsi"/>
          <w:szCs w:val="24"/>
          <w:lang w:val="es-ES_tradnl"/>
        </w:rPr>
      </w:pPr>
      <w:r w:rsidRPr="00B3101A">
        <w:rPr>
          <w:b/>
          <w:bCs/>
          <w:lang w:val="es-ES_tradnl"/>
        </w:rPr>
        <w:t>–</w:t>
      </w:r>
      <w:r w:rsidRPr="00B3101A">
        <w:rPr>
          <w:b/>
          <w:bCs/>
          <w:lang w:val="es-ES_tradnl"/>
        </w:rPr>
        <w:tab/>
      </w:r>
      <w:r w:rsidR="00F56EEB" w:rsidRPr="00B3101A">
        <w:rPr>
          <w:b/>
          <w:bCs/>
          <w:lang w:val="es-ES_tradnl"/>
        </w:rPr>
        <w:t xml:space="preserve">Resolución 90 (Kigali, 2022): </w:t>
      </w:r>
      <w:r w:rsidR="00F56EEB" w:rsidRPr="00B3101A">
        <w:rPr>
          <w:lang w:val="es-ES_tradnl"/>
        </w:rPr>
        <w:t>Fomento de la iniciativa empresarial y los ecosistemas de innovación digital centrados en las telecomunicaciones/TIC para un desarrollo digital sostenible, cuyo objetivo es crear un entorno propicio para la iniciativa empresarial y los ecosistemas de innovación digital a fin de contribuir a acelerar la consecución de</w:t>
      </w:r>
      <w:r w:rsidR="00451C91">
        <w:rPr>
          <w:lang w:val="es-ES_tradnl"/>
        </w:rPr>
        <w:t xml:space="preserve"> </w:t>
      </w:r>
      <w:r w:rsidR="00F56EEB" w:rsidRPr="00B3101A">
        <w:rPr>
          <w:lang w:val="es-ES_tradnl"/>
        </w:rPr>
        <w:t>los Objetivos de Desarrollo Sostenible de las Naciones Unidas.</w:t>
      </w:r>
    </w:p>
    <w:p w14:paraId="747384B9" w14:textId="7250E5FD" w:rsidR="00F56EEB" w:rsidRPr="00B3101A" w:rsidRDefault="00F56EEB" w:rsidP="00F600F9">
      <w:pPr>
        <w:pStyle w:val="Heading1"/>
        <w:rPr>
          <w:lang w:val="es-ES_tradnl"/>
        </w:rPr>
      </w:pPr>
      <w:r w:rsidRPr="00B3101A">
        <w:rPr>
          <w:lang w:val="es-ES_tradnl"/>
        </w:rPr>
        <w:t>6</w:t>
      </w:r>
      <w:r w:rsidRPr="00B3101A">
        <w:rPr>
          <w:lang w:val="es-ES_tradnl"/>
        </w:rPr>
        <w:tab/>
      </w:r>
      <w:proofErr w:type="gramStart"/>
      <w:r w:rsidRPr="00B3101A">
        <w:rPr>
          <w:lang w:val="es-ES_tradnl"/>
        </w:rPr>
        <w:t>Grupo</w:t>
      </w:r>
      <w:proofErr w:type="gramEnd"/>
      <w:r w:rsidRPr="00B3101A">
        <w:rPr>
          <w:lang w:val="es-ES_tradnl"/>
        </w:rPr>
        <w:t xml:space="preserve"> Asesor de Desarrollo de las Telecomunicaciones (GADT)</w:t>
      </w:r>
    </w:p>
    <w:p w14:paraId="0EB7A000" w14:textId="77777777" w:rsidR="00F56EEB" w:rsidRPr="00B3101A" w:rsidRDefault="00F56EEB" w:rsidP="00F56EEB">
      <w:pPr>
        <w:tabs>
          <w:tab w:val="clear" w:pos="794"/>
          <w:tab w:val="clear" w:pos="1191"/>
          <w:tab w:val="clear" w:pos="1588"/>
          <w:tab w:val="clear" w:pos="1985"/>
        </w:tabs>
        <w:overflowPunct/>
        <w:spacing w:after="120"/>
        <w:textAlignment w:val="auto"/>
        <w:rPr>
          <w:rFonts w:cstheme="minorHAnsi"/>
          <w:color w:val="000000"/>
          <w:szCs w:val="24"/>
          <w:lang w:val="es-ES_tradnl"/>
        </w:rPr>
      </w:pPr>
      <w:r w:rsidRPr="00B3101A">
        <w:rPr>
          <w:lang w:val="es-ES_tradnl"/>
        </w:rPr>
        <w:t xml:space="preserve">El equipo directivo del GADT está formado por el </w:t>
      </w:r>
      <w:proofErr w:type="gramStart"/>
      <w:r w:rsidRPr="00B3101A">
        <w:rPr>
          <w:lang w:val="es-ES_tradnl"/>
        </w:rPr>
        <w:t>Presidente</w:t>
      </w:r>
      <w:proofErr w:type="gramEnd"/>
      <w:r w:rsidRPr="00B3101A">
        <w:rPr>
          <w:lang w:val="es-ES_tradnl"/>
        </w:rPr>
        <w:t xml:space="preserve"> y los Vicepresidentes del GADT, así como los Presidentes de las Comisiones de Estudio. La CMDT-22 nombró a las siguientes personas que asumirán la Presidencia y Vicepresidencia:</w:t>
      </w:r>
    </w:p>
    <w:p w14:paraId="0F5928D2" w14:textId="77777777" w:rsidR="00B3101A" w:rsidRPr="00B3101A" w:rsidRDefault="00F56EEB" w:rsidP="00F56EEB">
      <w:pPr>
        <w:tabs>
          <w:tab w:val="clear" w:pos="794"/>
          <w:tab w:val="clear" w:pos="1191"/>
          <w:tab w:val="clear" w:pos="1588"/>
          <w:tab w:val="clear" w:pos="1985"/>
        </w:tabs>
        <w:overflowPunct/>
        <w:spacing w:after="120"/>
        <w:ind w:left="1134" w:hanging="567"/>
        <w:textAlignment w:val="auto"/>
        <w:rPr>
          <w:b/>
          <w:bCs/>
          <w:lang w:val="es-ES_tradnl"/>
        </w:rPr>
      </w:pPr>
      <w:r w:rsidRPr="00B3101A">
        <w:rPr>
          <w:b/>
          <w:bCs/>
          <w:lang w:val="es-ES_tradnl"/>
        </w:rPr>
        <w:t>Presidenta:</w:t>
      </w:r>
    </w:p>
    <w:p w14:paraId="3581DDF7" w14:textId="5AAE787B" w:rsidR="00F56EEB" w:rsidRPr="00B3101A" w:rsidRDefault="00F56EEB" w:rsidP="00F56EEB">
      <w:pPr>
        <w:tabs>
          <w:tab w:val="clear" w:pos="794"/>
          <w:tab w:val="clear" w:pos="1191"/>
          <w:tab w:val="clear" w:pos="1588"/>
          <w:tab w:val="clear" w:pos="1985"/>
        </w:tabs>
        <w:overflowPunct/>
        <w:spacing w:after="120"/>
        <w:ind w:left="1134" w:hanging="567"/>
        <w:textAlignment w:val="auto"/>
        <w:rPr>
          <w:rFonts w:cstheme="minorHAnsi"/>
          <w:color w:val="000000"/>
          <w:szCs w:val="24"/>
          <w:lang w:val="es-ES_tradnl"/>
        </w:rPr>
      </w:pPr>
      <w:r w:rsidRPr="00B3101A">
        <w:rPr>
          <w:lang w:val="es-ES_tradnl"/>
        </w:rPr>
        <w:t xml:space="preserve">Sra. Roxanne </w:t>
      </w:r>
      <w:proofErr w:type="spellStart"/>
      <w:r w:rsidRPr="00B3101A">
        <w:rPr>
          <w:lang w:val="es-ES_tradnl"/>
        </w:rPr>
        <w:t>McElvane</w:t>
      </w:r>
      <w:proofErr w:type="spellEnd"/>
      <w:r w:rsidRPr="00B3101A">
        <w:rPr>
          <w:lang w:val="es-ES_tradnl"/>
        </w:rPr>
        <w:t xml:space="preserve"> Webber (Estados Unidos)</w:t>
      </w:r>
    </w:p>
    <w:p w14:paraId="522D2EE3" w14:textId="77777777" w:rsidR="00F56EEB" w:rsidRPr="00B3101A" w:rsidRDefault="00F56EEB" w:rsidP="00F56EEB">
      <w:pPr>
        <w:keepNext/>
        <w:tabs>
          <w:tab w:val="clear" w:pos="794"/>
          <w:tab w:val="clear" w:pos="1191"/>
          <w:tab w:val="clear" w:pos="1588"/>
          <w:tab w:val="clear" w:pos="1985"/>
        </w:tabs>
        <w:overflowPunct/>
        <w:spacing w:before="60" w:after="60"/>
        <w:ind w:left="1134" w:hanging="567"/>
        <w:textAlignment w:val="auto"/>
        <w:rPr>
          <w:rFonts w:cstheme="minorHAnsi"/>
          <w:b/>
          <w:bCs/>
          <w:color w:val="000000"/>
          <w:szCs w:val="24"/>
          <w:lang w:val="es-ES_tradnl"/>
        </w:rPr>
      </w:pPr>
      <w:r w:rsidRPr="00B3101A">
        <w:rPr>
          <w:b/>
          <w:bCs/>
          <w:lang w:val="es-ES_tradnl"/>
        </w:rPr>
        <w:t>Vicepresidentes:</w:t>
      </w:r>
    </w:p>
    <w:p w14:paraId="2A6C925B" w14:textId="77777777" w:rsidR="00F56EEB" w:rsidRPr="00B3101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es-ES_tradnl"/>
        </w:rPr>
      </w:pPr>
      <w:r w:rsidRPr="00B3101A">
        <w:rPr>
          <w:lang w:val="es-ES_tradnl"/>
        </w:rPr>
        <w:t xml:space="preserve">Sra. Regina Fleur </w:t>
      </w:r>
      <w:proofErr w:type="spellStart"/>
      <w:r w:rsidRPr="00B3101A">
        <w:rPr>
          <w:lang w:val="es-ES_tradnl"/>
        </w:rPr>
        <w:t>Assoumou</w:t>
      </w:r>
      <w:proofErr w:type="spellEnd"/>
      <w:r w:rsidRPr="00B3101A">
        <w:rPr>
          <w:lang w:val="es-ES_tradnl"/>
        </w:rPr>
        <w:t xml:space="preserve"> </w:t>
      </w:r>
      <w:proofErr w:type="spellStart"/>
      <w:r w:rsidRPr="00B3101A">
        <w:rPr>
          <w:lang w:val="es-ES_tradnl"/>
        </w:rPr>
        <w:t>Bessou</w:t>
      </w:r>
      <w:proofErr w:type="spellEnd"/>
      <w:r w:rsidRPr="00B3101A">
        <w:rPr>
          <w:lang w:val="es-ES_tradnl"/>
        </w:rPr>
        <w:t xml:space="preserve"> (</w:t>
      </w:r>
      <w:proofErr w:type="gramStart"/>
      <w:r w:rsidRPr="00B3101A">
        <w:rPr>
          <w:lang w:val="es-ES_tradnl"/>
        </w:rPr>
        <w:t>Presidenta</w:t>
      </w:r>
      <w:proofErr w:type="gramEnd"/>
      <w:r w:rsidRPr="00B3101A">
        <w:rPr>
          <w:lang w:val="es-ES_tradnl"/>
        </w:rPr>
        <w:t>, Comisión de Estudio 1)</w:t>
      </w:r>
    </w:p>
    <w:p w14:paraId="2237895F" w14:textId="77777777" w:rsidR="00F56EEB" w:rsidRPr="00B3101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es-ES_tradnl"/>
        </w:rPr>
      </w:pPr>
      <w:r w:rsidRPr="00B3101A">
        <w:rPr>
          <w:lang w:val="es-ES_tradnl"/>
        </w:rPr>
        <w:t xml:space="preserve">Sr. </w:t>
      </w:r>
      <w:proofErr w:type="spellStart"/>
      <w:r w:rsidRPr="00B3101A">
        <w:rPr>
          <w:lang w:val="es-ES_tradnl"/>
        </w:rPr>
        <w:t>Fadel</w:t>
      </w:r>
      <w:proofErr w:type="spellEnd"/>
      <w:r w:rsidRPr="00B3101A">
        <w:rPr>
          <w:lang w:val="es-ES_tradnl"/>
        </w:rPr>
        <w:t xml:space="preserve"> </w:t>
      </w:r>
      <w:proofErr w:type="spellStart"/>
      <w:r w:rsidRPr="00B3101A">
        <w:rPr>
          <w:lang w:val="es-ES_tradnl"/>
        </w:rPr>
        <w:t>Digham</w:t>
      </w:r>
      <w:proofErr w:type="spellEnd"/>
      <w:r w:rsidRPr="00B3101A">
        <w:rPr>
          <w:lang w:val="es-ES_tradnl"/>
        </w:rPr>
        <w:t xml:space="preserve"> (</w:t>
      </w:r>
      <w:proofErr w:type="gramStart"/>
      <w:r w:rsidRPr="00B3101A">
        <w:rPr>
          <w:lang w:val="es-ES_tradnl"/>
        </w:rPr>
        <w:t>Presidente</w:t>
      </w:r>
      <w:proofErr w:type="gramEnd"/>
      <w:r w:rsidRPr="00B3101A">
        <w:rPr>
          <w:lang w:val="es-ES_tradnl"/>
        </w:rPr>
        <w:t>, Comisión de Estudio 2)</w:t>
      </w:r>
    </w:p>
    <w:p w14:paraId="479DD2F5" w14:textId="390C66F3" w:rsidR="00F56EEB" w:rsidRPr="00B3101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es-ES_tradnl"/>
        </w:rPr>
      </w:pPr>
      <w:r w:rsidRPr="00B3101A">
        <w:rPr>
          <w:lang w:val="es-ES_tradnl"/>
        </w:rPr>
        <w:t xml:space="preserve">Sr. Christopher </w:t>
      </w:r>
      <w:proofErr w:type="spellStart"/>
      <w:r w:rsidRPr="00B3101A">
        <w:rPr>
          <w:lang w:val="es-ES_tradnl"/>
        </w:rPr>
        <w:t>Kemei</w:t>
      </w:r>
      <w:proofErr w:type="spellEnd"/>
      <w:r w:rsidRPr="00B3101A">
        <w:rPr>
          <w:lang w:val="es-ES_tradnl"/>
        </w:rPr>
        <w:t xml:space="preserve"> (</w:t>
      </w:r>
      <w:proofErr w:type="spellStart"/>
      <w:r w:rsidRPr="00B3101A">
        <w:rPr>
          <w:lang w:val="es-ES_tradnl"/>
        </w:rPr>
        <w:t>Kenya</w:t>
      </w:r>
      <w:proofErr w:type="spellEnd"/>
      <w:r w:rsidRPr="00B3101A">
        <w:rPr>
          <w:lang w:val="es-ES_tradnl"/>
        </w:rPr>
        <w:t>)</w:t>
      </w:r>
    </w:p>
    <w:p w14:paraId="0CB2EBDB" w14:textId="3EFADD66" w:rsidR="00F56EEB" w:rsidRPr="00B3101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es-ES_tradnl"/>
        </w:rPr>
      </w:pPr>
      <w:r w:rsidRPr="00B3101A">
        <w:rPr>
          <w:lang w:val="es-ES_tradnl"/>
        </w:rPr>
        <w:t xml:space="preserve">Sr. </w:t>
      </w:r>
      <w:proofErr w:type="spellStart"/>
      <w:r w:rsidRPr="00B3101A">
        <w:rPr>
          <w:lang w:val="es-ES_tradnl"/>
        </w:rPr>
        <w:t>Abdulkarim</w:t>
      </w:r>
      <w:proofErr w:type="spellEnd"/>
      <w:r w:rsidRPr="00B3101A">
        <w:rPr>
          <w:lang w:val="es-ES_tradnl"/>
        </w:rPr>
        <w:t xml:space="preserve"> </w:t>
      </w:r>
      <w:proofErr w:type="spellStart"/>
      <w:r w:rsidRPr="00B3101A">
        <w:rPr>
          <w:lang w:val="es-ES_tradnl"/>
        </w:rPr>
        <w:t>Oloyede</w:t>
      </w:r>
      <w:proofErr w:type="spellEnd"/>
      <w:r w:rsidRPr="00B3101A">
        <w:rPr>
          <w:lang w:val="es-ES_tradnl"/>
        </w:rPr>
        <w:t xml:space="preserve"> (Nigeria)</w:t>
      </w:r>
    </w:p>
    <w:p w14:paraId="470EE4C9"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Sra. Agustina Brizio (Argentina)</w:t>
      </w:r>
    </w:p>
    <w:p w14:paraId="216BBDA6"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Sra. Andrea Mamprim Grippa (Brasil)</w:t>
      </w:r>
    </w:p>
    <w:p w14:paraId="3D575FD9"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 Ahmed Abdel Aziz Gad (Egipto)</w:t>
      </w:r>
    </w:p>
    <w:p w14:paraId="5C04D9CD"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Sra. Shahad Albalawi (Arabia Saudita)</w:t>
      </w:r>
    </w:p>
    <w:p w14:paraId="412482BC"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Sra. Ke Wang (China)</w:t>
      </w:r>
    </w:p>
    <w:p w14:paraId="30B84A67" w14:textId="419652FF"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 Ahmad R. Sharafat (República Islámica de Irán)</w:t>
      </w:r>
    </w:p>
    <w:p w14:paraId="290B1EAC" w14:textId="578FC571"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 xml:space="preserve">Sr. Orozobek Zhazybaevich </w:t>
      </w:r>
      <w:r w:rsidRPr="00B615E4">
        <w:rPr>
          <w:lang w:val="pt-BR"/>
        </w:rPr>
        <w:t>Ka</w:t>
      </w:r>
      <w:r w:rsidR="00451C91" w:rsidRPr="00B615E4">
        <w:rPr>
          <w:lang w:val="pt-BR"/>
        </w:rPr>
        <w:t>y</w:t>
      </w:r>
      <w:r w:rsidRPr="00B615E4">
        <w:rPr>
          <w:lang w:val="pt-BR"/>
        </w:rPr>
        <w:t>ikov</w:t>
      </w:r>
      <w:r w:rsidRPr="00C33FEA">
        <w:rPr>
          <w:lang w:val="pt-BR"/>
        </w:rPr>
        <w:t xml:space="preserve"> (Kirguistán)</w:t>
      </w:r>
    </w:p>
    <w:p w14:paraId="2AA46A60" w14:textId="7E7E8A62" w:rsidR="00F56EEB" w:rsidRPr="00B3101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es-ES_tradnl"/>
        </w:rPr>
      </w:pPr>
      <w:r w:rsidRPr="00B3101A">
        <w:rPr>
          <w:lang w:val="es-ES_tradnl"/>
        </w:rPr>
        <w:t xml:space="preserve">Sra. Inga </w:t>
      </w:r>
      <w:proofErr w:type="spellStart"/>
      <w:r w:rsidRPr="00B3101A">
        <w:rPr>
          <w:lang w:val="es-ES_tradnl"/>
        </w:rPr>
        <w:t>Rimkeviciene</w:t>
      </w:r>
      <w:proofErr w:type="spellEnd"/>
      <w:r w:rsidRPr="00B3101A">
        <w:rPr>
          <w:lang w:val="es-ES_tradnl"/>
        </w:rPr>
        <w:t xml:space="preserve"> (Lituania)</w:t>
      </w:r>
    </w:p>
    <w:p w14:paraId="0091C011" w14:textId="77777777" w:rsidR="00F56EEB" w:rsidRPr="00B3101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es-ES_tradnl"/>
        </w:rPr>
      </w:pPr>
      <w:r w:rsidRPr="00B3101A">
        <w:rPr>
          <w:lang w:val="es-ES_tradnl"/>
        </w:rPr>
        <w:t>Sra. Blanca González (España)</w:t>
      </w:r>
    </w:p>
    <w:p w14:paraId="3A19366E" w14:textId="77777777" w:rsidR="00B615E4" w:rsidRDefault="00B615E4">
      <w:pPr>
        <w:tabs>
          <w:tab w:val="clear" w:pos="794"/>
          <w:tab w:val="clear" w:pos="1191"/>
          <w:tab w:val="clear" w:pos="1588"/>
          <w:tab w:val="clear" w:pos="1985"/>
        </w:tabs>
        <w:overflowPunct/>
        <w:autoSpaceDE/>
        <w:autoSpaceDN/>
        <w:adjustRightInd/>
        <w:spacing w:before="0"/>
        <w:textAlignment w:val="auto"/>
        <w:rPr>
          <w:b/>
          <w:sz w:val="28"/>
          <w:lang w:val="es-ES_tradnl"/>
        </w:rPr>
      </w:pPr>
      <w:r>
        <w:rPr>
          <w:lang w:val="es-ES_tradnl"/>
        </w:rPr>
        <w:br w:type="page"/>
      </w:r>
    </w:p>
    <w:p w14:paraId="728201D2" w14:textId="1282AC50" w:rsidR="00F56EEB" w:rsidRPr="00B3101A" w:rsidRDefault="00F56EEB" w:rsidP="00F600F9">
      <w:pPr>
        <w:pStyle w:val="Heading1"/>
        <w:rPr>
          <w:lang w:val="es-ES_tradnl"/>
        </w:rPr>
      </w:pPr>
      <w:r w:rsidRPr="00B3101A">
        <w:rPr>
          <w:lang w:val="es-ES_tradnl"/>
        </w:rPr>
        <w:lastRenderedPageBreak/>
        <w:t>7</w:t>
      </w:r>
      <w:r w:rsidRPr="00B3101A">
        <w:rPr>
          <w:lang w:val="es-ES_tradnl"/>
        </w:rPr>
        <w:tab/>
      </w:r>
      <w:proofErr w:type="gramStart"/>
      <w:r w:rsidRPr="00B3101A">
        <w:rPr>
          <w:lang w:val="es-ES_tradnl"/>
        </w:rPr>
        <w:t>Comisiones</w:t>
      </w:r>
      <w:proofErr w:type="gramEnd"/>
      <w:r w:rsidRPr="00B3101A">
        <w:rPr>
          <w:lang w:val="es-ES_tradnl"/>
        </w:rPr>
        <w:t xml:space="preserve"> de Estudio del UIT-D</w:t>
      </w:r>
    </w:p>
    <w:p w14:paraId="008CD798" w14:textId="77777777" w:rsidR="00F56EEB" w:rsidRPr="00B3101A" w:rsidRDefault="00F56EEB" w:rsidP="00F56EEB">
      <w:pPr>
        <w:tabs>
          <w:tab w:val="clear" w:pos="794"/>
          <w:tab w:val="clear" w:pos="1191"/>
          <w:tab w:val="clear" w:pos="1588"/>
          <w:tab w:val="clear" w:pos="1985"/>
        </w:tabs>
        <w:spacing w:after="120"/>
        <w:rPr>
          <w:lang w:val="es-ES_tradnl"/>
        </w:rPr>
      </w:pPr>
      <w:r w:rsidRPr="00B3101A">
        <w:rPr>
          <w:lang w:val="es-ES_tradnl"/>
        </w:rPr>
        <w:t xml:space="preserve">La CMDT-22 nombró a los </w:t>
      </w:r>
      <w:proofErr w:type="gramStart"/>
      <w:r w:rsidRPr="00B3101A">
        <w:rPr>
          <w:lang w:val="es-ES_tradnl"/>
        </w:rPr>
        <w:t>Presidentes</w:t>
      </w:r>
      <w:proofErr w:type="gramEnd"/>
      <w:r w:rsidRPr="00B3101A">
        <w:rPr>
          <w:lang w:val="es-ES_tradnl"/>
        </w:rPr>
        <w:t xml:space="preserve"> y Vicepresidentes de los equipos directivos de las Comisiones de Estudio 1 y 2 del UIT-D. Los equipos directivos contarán con la colaboración de los Relatores y </w:t>
      </w:r>
      <w:proofErr w:type="spellStart"/>
      <w:r w:rsidRPr="00B3101A">
        <w:rPr>
          <w:lang w:val="es-ES_tradnl"/>
        </w:rPr>
        <w:t>Vicerrelatores</w:t>
      </w:r>
      <w:proofErr w:type="spellEnd"/>
      <w:r w:rsidRPr="00B3101A">
        <w:rPr>
          <w:lang w:val="es-ES_tradnl"/>
        </w:rPr>
        <w:t xml:space="preserve"> para cada Cuestión de estudio, a fin de garantizar que los trabajos se dirijan eficazmente y se informe durante el periodo de estudios.</w:t>
      </w:r>
    </w:p>
    <w:p w14:paraId="36379C70" w14:textId="77777777" w:rsidR="00F56EEB" w:rsidRPr="00C33FEA" w:rsidRDefault="00F56EEB" w:rsidP="00B3101A">
      <w:pPr>
        <w:pStyle w:val="Headingb"/>
        <w:rPr>
          <w:lang w:val="pt-BR"/>
        </w:rPr>
      </w:pPr>
      <w:r w:rsidRPr="00C33FEA">
        <w:rPr>
          <w:lang w:val="pt-BR"/>
        </w:rPr>
        <w:t>Comisión de Estudio 1</w:t>
      </w:r>
    </w:p>
    <w:p w14:paraId="0E7953B3" w14:textId="77777777" w:rsidR="00F56EEB" w:rsidRPr="00C33FEA" w:rsidRDefault="00F56EEB" w:rsidP="00F56EEB">
      <w:pPr>
        <w:keepNext/>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b/>
          <w:bCs/>
          <w:lang w:val="pt-BR"/>
        </w:rPr>
        <w:t>Presidente:</w:t>
      </w:r>
      <w:r w:rsidRPr="00C33FEA">
        <w:rPr>
          <w:lang w:val="pt-BR"/>
        </w:rPr>
        <w:t xml:space="preserve"> </w:t>
      </w:r>
    </w:p>
    <w:p w14:paraId="5F8CC541"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Sra. Regina Fleur Assoumou Bessou (Côte d'Ivoire)</w:t>
      </w:r>
    </w:p>
    <w:p w14:paraId="3678368A" w14:textId="2F161DB6" w:rsidR="00F56EEB" w:rsidRPr="00C33FEA" w:rsidRDefault="00F56EEB" w:rsidP="00F56EEB">
      <w:pPr>
        <w:pStyle w:val="Pa17"/>
        <w:keepNext/>
        <w:spacing w:before="60" w:after="60" w:line="240" w:lineRule="auto"/>
        <w:ind w:left="1134" w:hanging="567"/>
        <w:rPr>
          <w:rFonts w:asciiTheme="minorHAnsi" w:hAnsiTheme="minorHAnsi" w:cstheme="minorHAnsi"/>
          <w:color w:val="000000"/>
          <w:lang w:val="pt-BR"/>
        </w:rPr>
      </w:pPr>
      <w:r w:rsidRPr="00C33FEA">
        <w:rPr>
          <w:b/>
          <w:bCs/>
          <w:lang w:val="pt-BR"/>
        </w:rPr>
        <w:t>Vicepresidentes:</w:t>
      </w:r>
    </w:p>
    <w:p w14:paraId="3CD12380" w14:textId="77777777"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Sangwon Ko (República de Corea)</w:t>
      </w:r>
    </w:p>
    <w:p w14:paraId="3E4BB766" w14:textId="6B4E1F5D"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Sra. Memiko Otsuki (Japón)</w:t>
      </w:r>
    </w:p>
    <w:p w14:paraId="79C78BFC" w14:textId="7E7861D5"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Sunil Singhal (India)</w:t>
      </w:r>
    </w:p>
    <w:p w14:paraId="77522AC5" w14:textId="42241CF9"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Sra. Caecilia Nyamutswa (Zimbabwe)</w:t>
      </w:r>
    </w:p>
    <w:p w14:paraId="263FBAE2" w14:textId="25301F0E"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Amah Vinyo Capo (Togo)</w:t>
      </w:r>
    </w:p>
    <w:p w14:paraId="75F1388E" w14:textId="77777777"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Roberto Mitsuake Hirayama (Brasil)</w:t>
      </w:r>
    </w:p>
    <w:p w14:paraId="4213923A" w14:textId="0C25E789"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Mehmet Alper Tekin (Türkiye)</w:t>
      </w:r>
    </w:p>
    <w:p w14:paraId="03DD919E" w14:textId="6F543298"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Anthony Giannoumis (Noruega)</w:t>
      </w:r>
    </w:p>
    <w:p w14:paraId="66280601" w14:textId="7FA4C631"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Sra. Umida Musaeva (Uzbekistán)</w:t>
      </w:r>
    </w:p>
    <w:p w14:paraId="287B49A1" w14:textId="0ED79611"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Khayala Pashazade (Azerbaiyán)</w:t>
      </w:r>
    </w:p>
    <w:p w14:paraId="1CC4633B"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szCs w:val="24"/>
          <w:lang w:val="pt-BR"/>
        </w:rPr>
      </w:pPr>
      <w:r w:rsidRPr="00C33FEA">
        <w:rPr>
          <w:lang w:val="pt-BR"/>
        </w:rPr>
        <w:t>Sra. Sameera Belal (Kuwait)</w:t>
      </w:r>
    </w:p>
    <w:p w14:paraId="351F9BB0" w14:textId="77777777" w:rsidR="00F56EEB" w:rsidRPr="00C33FEA" w:rsidRDefault="00F56EEB" w:rsidP="00B3101A">
      <w:pPr>
        <w:pStyle w:val="Headingb"/>
        <w:rPr>
          <w:rFonts w:cstheme="minorHAnsi"/>
          <w:szCs w:val="24"/>
          <w:lang w:val="pt-BR"/>
        </w:rPr>
      </w:pPr>
      <w:r w:rsidRPr="00C33FEA">
        <w:rPr>
          <w:lang w:val="pt-BR"/>
        </w:rPr>
        <w:t>Comisión de Estudio 2</w:t>
      </w:r>
    </w:p>
    <w:p w14:paraId="18A46CD5" w14:textId="602537B9" w:rsidR="00F56EEB" w:rsidRPr="00C33FEA" w:rsidRDefault="00F56EEB" w:rsidP="00F56EEB">
      <w:pPr>
        <w:keepNext/>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b/>
          <w:bCs/>
          <w:lang w:val="pt-BR"/>
        </w:rPr>
        <w:t>Presidente:</w:t>
      </w:r>
    </w:p>
    <w:p w14:paraId="76EFDC33"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 Fadel Digham (Egipto)</w:t>
      </w:r>
    </w:p>
    <w:p w14:paraId="6ADF92E6" w14:textId="1E633CEE" w:rsidR="00F56EEB" w:rsidRPr="00C33FEA" w:rsidRDefault="00F56EEB" w:rsidP="00F56EEB">
      <w:pPr>
        <w:pStyle w:val="Pa17"/>
        <w:keepNext/>
        <w:spacing w:before="60" w:after="60" w:line="240" w:lineRule="auto"/>
        <w:ind w:left="1134" w:hanging="567"/>
        <w:rPr>
          <w:rFonts w:asciiTheme="minorHAnsi" w:hAnsiTheme="minorHAnsi" w:cstheme="minorHAnsi"/>
          <w:color w:val="000000"/>
          <w:lang w:val="pt-BR"/>
        </w:rPr>
      </w:pPr>
      <w:r w:rsidRPr="00C33FEA">
        <w:rPr>
          <w:b/>
          <w:bCs/>
          <w:lang w:val="pt-BR"/>
        </w:rPr>
        <w:t>Vicepresidentes:</w:t>
      </w:r>
    </w:p>
    <w:p w14:paraId="1E1383DB" w14:textId="77777777"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Hideo Imanaka (Japón)</w:t>
      </w:r>
    </w:p>
    <w:p w14:paraId="6DB63D9A" w14:textId="3C8D9393"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Sra. Mina Seonmin Jun (República de Corea)</w:t>
      </w:r>
    </w:p>
    <w:p w14:paraId="03661D02" w14:textId="1DE385B8"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Tongning Wu (China)</w:t>
      </w:r>
    </w:p>
    <w:p w14:paraId="7F73841B" w14:textId="545D6474"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Sra. Zainab Ardo (Nigeria)</w:t>
      </w:r>
    </w:p>
    <w:p w14:paraId="0D9FEA5C" w14:textId="4424D71E"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Mohamed Lamine Minthe (Guinea)</w:t>
      </w:r>
    </w:p>
    <w:p w14:paraId="4AEE8A49" w14:textId="1D724745"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Víctor Antonio Martínez Sánchez (Paraguay)</w:t>
      </w:r>
    </w:p>
    <w:p w14:paraId="3C3BFB92" w14:textId="39A22BAC"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Dominique Würges (Francia)</w:t>
      </w:r>
    </w:p>
    <w:p w14:paraId="642EDCD7" w14:textId="2FFA8A8E"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Sra. Alina Modan (Rumania)</w:t>
      </w:r>
    </w:p>
    <w:p w14:paraId="74DB04E9" w14:textId="4CCB57F7"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Diyor Rajabov (Uzbekistán)</w:t>
      </w:r>
    </w:p>
    <w:p w14:paraId="11585290" w14:textId="387DCA6C"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B615E4">
        <w:rPr>
          <w:lang w:val="pt-BR"/>
        </w:rPr>
        <w:t>Sr. Mushfig Guluyev</w:t>
      </w:r>
      <w:r w:rsidRPr="00C33FEA">
        <w:rPr>
          <w:lang w:val="pt-BR"/>
        </w:rPr>
        <w:t xml:space="preserve"> (Azerbaiyán)</w:t>
      </w:r>
    </w:p>
    <w:p w14:paraId="046411CB" w14:textId="77777777" w:rsidR="00F56EEB" w:rsidRPr="00B3101A" w:rsidRDefault="00F56EEB" w:rsidP="00F56EEB">
      <w:pPr>
        <w:tabs>
          <w:tab w:val="clear" w:pos="794"/>
          <w:tab w:val="clear" w:pos="1191"/>
          <w:tab w:val="clear" w:pos="1588"/>
          <w:tab w:val="clear" w:pos="1985"/>
        </w:tabs>
        <w:overflowPunct/>
        <w:spacing w:before="60" w:after="60"/>
        <w:ind w:left="1134" w:hanging="567"/>
        <w:textAlignment w:val="auto"/>
        <w:rPr>
          <w:rFonts w:eastAsia="Calibri" w:cstheme="minorHAnsi"/>
          <w:szCs w:val="24"/>
          <w:lang w:val="es-ES_tradnl"/>
        </w:rPr>
      </w:pPr>
      <w:r w:rsidRPr="00B3101A">
        <w:rPr>
          <w:lang w:val="es-ES_tradnl"/>
        </w:rPr>
        <w:t xml:space="preserve">Sr. Abdelaziz </w:t>
      </w:r>
      <w:proofErr w:type="spellStart"/>
      <w:r w:rsidRPr="00B3101A">
        <w:rPr>
          <w:lang w:val="es-ES_tradnl"/>
        </w:rPr>
        <w:t>Alzarooni</w:t>
      </w:r>
      <w:proofErr w:type="spellEnd"/>
      <w:r w:rsidRPr="00B3101A">
        <w:rPr>
          <w:lang w:val="es-ES_tradnl"/>
        </w:rPr>
        <w:t xml:space="preserve"> (Emiratos Árabes Unidos)</w:t>
      </w:r>
    </w:p>
    <w:p w14:paraId="0E0B440F" w14:textId="68663112" w:rsidR="00F56EEB" w:rsidRPr="00323583" w:rsidRDefault="00F56EEB" w:rsidP="00F56EEB">
      <w:pPr>
        <w:tabs>
          <w:tab w:val="clear" w:pos="794"/>
          <w:tab w:val="clear" w:pos="1191"/>
          <w:tab w:val="clear" w:pos="1588"/>
          <w:tab w:val="clear" w:pos="1985"/>
        </w:tabs>
        <w:spacing w:after="120"/>
        <w:ind w:left="567" w:hanging="567"/>
        <w:rPr>
          <w:lang w:val="es-ES_tradnl"/>
        </w:rPr>
      </w:pPr>
      <w:r w:rsidRPr="00B3101A">
        <w:rPr>
          <w:lang w:val="es-ES_tradnl"/>
        </w:rPr>
        <w:t xml:space="preserve">Todos los resultados anteriores están disponibles en el </w:t>
      </w:r>
      <w:hyperlink r:id="rId12" w:history="1">
        <w:r w:rsidR="00323583" w:rsidRPr="00B3101A">
          <w:rPr>
            <w:rStyle w:val="Hyperlink"/>
            <w:lang w:val="es-ES_tradnl"/>
          </w:rPr>
          <w:t>Informe Final de la C</w:t>
        </w:r>
        <w:r w:rsidR="00323583" w:rsidRPr="00B3101A">
          <w:rPr>
            <w:rStyle w:val="Hyperlink"/>
            <w:lang w:val="es-ES_tradnl"/>
          </w:rPr>
          <w:t>M</w:t>
        </w:r>
        <w:r w:rsidR="00323583" w:rsidRPr="00B3101A">
          <w:rPr>
            <w:rStyle w:val="Hyperlink"/>
            <w:lang w:val="es-ES_tradnl"/>
          </w:rPr>
          <w:t>DT-22</w:t>
        </w:r>
      </w:hyperlink>
      <w:r w:rsidRPr="00B3101A">
        <w:rPr>
          <w:lang w:val="es-ES_tradnl"/>
        </w:rPr>
        <w:t>.</w:t>
      </w:r>
    </w:p>
    <w:p w14:paraId="42EA6D9F" w14:textId="77777777" w:rsidR="00C1798D" w:rsidRPr="00B3101A" w:rsidRDefault="00C1798D" w:rsidP="00411C49">
      <w:pPr>
        <w:pStyle w:val="Reasons"/>
        <w:rPr>
          <w:lang w:val="es-ES_tradnl"/>
        </w:rPr>
      </w:pPr>
    </w:p>
    <w:p w14:paraId="367C4A20" w14:textId="77777777" w:rsidR="00C1798D" w:rsidRPr="00B3101A" w:rsidRDefault="00C1798D">
      <w:pPr>
        <w:jc w:val="center"/>
        <w:rPr>
          <w:lang w:val="es-ES_tradnl"/>
        </w:rPr>
      </w:pPr>
      <w:r w:rsidRPr="00B3101A">
        <w:rPr>
          <w:lang w:val="es-ES_tradnl"/>
        </w:rPr>
        <w:t>______________</w:t>
      </w:r>
    </w:p>
    <w:sectPr w:rsidR="00C1798D" w:rsidRPr="00B3101A" w:rsidSect="00473791">
      <w:headerReference w:type="default" r:id="rId13"/>
      <w:foot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6B8C" w14:textId="77777777" w:rsidR="00E20E36" w:rsidRDefault="00E20E36">
      <w:r>
        <w:separator/>
      </w:r>
    </w:p>
  </w:endnote>
  <w:endnote w:type="continuationSeparator" w:id="0">
    <w:p w14:paraId="338B833D" w14:textId="77777777" w:rsidR="00E20E36" w:rsidRDefault="00E2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23F5" w14:textId="3B29FED1" w:rsidR="001C5031" w:rsidRDefault="00E520D8" w:rsidP="001C5031">
    <w:pPr>
      <w:pStyle w:val="Footer"/>
    </w:pPr>
    <w:r>
      <w:fldChar w:fldCharType="begin"/>
    </w:r>
    <w:r>
      <w:instrText xml:space="preserve"> FILENAME \p  \* MERGEFORMAT </w:instrText>
    </w:r>
    <w:r>
      <w:fldChar w:fldCharType="separate"/>
    </w:r>
    <w:r>
      <w:t>P:\ESP\ITU-D\CONF-D\TDAG23\TDAG23-30\000\015S.docx</w:t>
    </w:r>
    <w:r>
      <w:fldChar w:fldCharType="end"/>
    </w:r>
    <w:r w:rsidR="001C5031">
      <w:t xml:space="preserve"> (520127)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040322" w:rsidRPr="00C33FEA" w14:paraId="695D1810" w14:textId="77777777" w:rsidTr="004E3CF5">
      <w:tc>
        <w:tcPr>
          <w:tcW w:w="1526" w:type="dxa"/>
          <w:tcBorders>
            <w:top w:val="single" w:sz="4" w:space="0" w:color="000000"/>
          </w:tcBorders>
          <w:shd w:val="clear" w:color="auto" w:fill="auto"/>
        </w:tcPr>
        <w:p w14:paraId="746E5A61" w14:textId="51807E3E" w:rsidR="00040322" w:rsidRPr="00842E57" w:rsidRDefault="00040322" w:rsidP="00040322">
          <w:pPr>
            <w:pStyle w:val="FirstFooter"/>
            <w:tabs>
              <w:tab w:val="left" w:pos="1559"/>
              <w:tab w:val="left" w:pos="3828"/>
            </w:tabs>
            <w:rPr>
              <w:sz w:val="18"/>
              <w:szCs w:val="18"/>
              <w:lang w:val="es-ES_tradnl"/>
            </w:rPr>
          </w:pPr>
          <w:r w:rsidRPr="00842E57">
            <w:rPr>
              <w:sz w:val="18"/>
              <w:szCs w:val="18"/>
              <w:lang w:val="es-ES_tradnl"/>
            </w:rPr>
            <w:t>Contacto:</w:t>
          </w:r>
        </w:p>
      </w:tc>
      <w:tc>
        <w:tcPr>
          <w:tcW w:w="2410" w:type="dxa"/>
          <w:tcBorders>
            <w:top w:val="single" w:sz="4" w:space="0" w:color="000000"/>
          </w:tcBorders>
          <w:shd w:val="clear" w:color="auto" w:fill="auto"/>
        </w:tcPr>
        <w:p w14:paraId="488E41E2" w14:textId="28495F32" w:rsidR="00040322" w:rsidRPr="00842E57" w:rsidRDefault="00040322" w:rsidP="00040322">
          <w:pPr>
            <w:pStyle w:val="FirstFooter"/>
            <w:tabs>
              <w:tab w:val="left" w:pos="2302"/>
            </w:tabs>
            <w:ind w:left="2302" w:hanging="2302"/>
            <w:rPr>
              <w:szCs w:val="16"/>
              <w:lang w:val="es-ES_tradnl"/>
            </w:rPr>
          </w:pPr>
          <w:r w:rsidRPr="00842E57">
            <w:rPr>
              <w:szCs w:val="16"/>
              <w:lang w:val="es-ES_tradnl"/>
            </w:rPr>
            <w:t>Nombre/Organización/Entidad:</w:t>
          </w:r>
        </w:p>
      </w:tc>
      <w:tc>
        <w:tcPr>
          <w:tcW w:w="5987" w:type="dxa"/>
          <w:tcBorders>
            <w:top w:val="single" w:sz="4" w:space="0" w:color="000000"/>
          </w:tcBorders>
        </w:tcPr>
        <w:p w14:paraId="148264AE" w14:textId="436CB9B8" w:rsidR="00040322" w:rsidRPr="00842E57" w:rsidRDefault="00040322" w:rsidP="00040322">
          <w:pPr>
            <w:pStyle w:val="FirstFooter"/>
            <w:tabs>
              <w:tab w:val="left" w:pos="2302"/>
            </w:tabs>
            <w:rPr>
              <w:sz w:val="18"/>
              <w:szCs w:val="18"/>
              <w:lang w:val="es-ES_tradnl"/>
            </w:rPr>
          </w:pPr>
          <w:r w:rsidRPr="00416C24">
            <w:rPr>
              <w:sz w:val="18"/>
              <w:szCs w:val="18"/>
              <w:lang w:val="es-ES_tradnl"/>
            </w:rPr>
            <w:t xml:space="preserve">Sra. </w:t>
          </w:r>
          <w:r w:rsidR="00CA141D" w:rsidRPr="00CA141D">
            <w:rPr>
              <w:sz w:val="18"/>
              <w:szCs w:val="18"/>
              <w:lang w:val="es-ES_tradnl"/>
            </w:rPr>
            <w:t xml:space="preserve">Stephen </w:t>
          </w:r>
          <w:proofErr w:type="spellStart"/>
          <w:r w:rsidR="00CA141D" w:rsidRPr="00CA141D">
            <w:rPr>
              <w:sz w:val="18"/>
              <w:szCs w:val="18"/>
              <w:lang w:val="es-ES_tradnl"/>
            </w:rPr>
            <w:t>Bereaux</w:t>
          </w:r>
          <w:proofErr w:type="spellEnd"/>
          <w:r w:rsidR="00CA141D" w:rsidRPr="00CA141D">
            <w:rPr>
              <w:sz w:val="18"/>
              <w:szCs w:val="18"/>
              <w:lang w:val="es-ES_tradnl"/>
            </w:rPr>
            <w:t xml:space="preserve">, </w:t>
          </w:r>
          <w:proofErr w:type="gramStart"/>
          <w:r w:rsidR="00CA141D" w:rsidRPr="00CA141D">
            <w:rPr>
              <w:sz w:val="18"/>
              <w:szCs w:val="18"/>
              <w:lang w:val="es-ES_tradnl"/>
            </w:rPr>
            <w:t>Director</w:t>
          </w:r>
          <w:proofErr w:type="gramEnd"/>
          <w:r w:rsidR="00CA141D" w:rsidRPr="00CA141D">
            <w:rPr>
              <w:sz w:val="18"/>
              <w:szCs w:val="18"/>
              <w:lang w:val="es-ES_tradnl"/>
            </w:rPr>
            <w:t xml:space="preserve"> Adjunto de la Oficina de Desarrollo de las Telecomunicaciones</w:t>
          </w:r>
        </w:p>
      </w:tc>
      <w:bookmarkStart w:id="6" w:name="OrgName"/>
      <w:bookmarkEnd w:id="6"/>
    </w:tr>
    <w:tr w:rsidR="00CE7153" w:rsidRPr="00842E57" w14:paraId="61167678" w14:textId="77777777" w:rsidTr="004E3CF5">
      <w:tc>
        <w:tcPr>
          <w:tcW w:w="1526" w:type="dxa"/>
          <w:shd w:val="clear" w:color="auto" w:fill="auto"/>
        </w:tcPr>
        <w:p w14:paraId="33710823" w14:textId="77777777" w:rsidR="00CE7153" w:rsidRPr="00842E57" w:rsidRDefault="00CE7153" w:rsidP="00CE7153">
          <w:pPr>
            <w:pStyle w:val="FirstFooter"/>
            <w:tabs>
              <w:tab w:val="left" w:pos="1559"/>
              <w:tab w:val="left" w:pos="3828"/>
            </w:tabs>
            <w:rPr>
              <w:sz w:val="20"/>
              <w:lang w:val="es-ES_tradnl"/>
            </w:rPr>
          </w:pPr>
        </w:p>
      </w:tc>
      <w:tc>
        <w:tcPr>
          <w:tcW w:w="2410" w:type="dxa"/>
          <w:shd w:val="clear" w:color="auto" w:fill="auto"/>
        </w:tcPr>
        <w:p w14:paraId="1251F6E4" w14:textId="0AA1FA52" w:rsidR="00CE7153" w:rsidRPr="00842E57" w:rsidRDefault="00CE7153" w:rsidP="00CE7153">
          <w:pPr>
            <w:pStyle w:val="FirstFooter"/>
            <w:tabs>
              <w:tab w:val="left" w:pos="2302"/>
            </w:tabs>
            <w:rPr>
              <w:sz w:val="18"/>
              <w:szCs w:val="18"/>
              <w:lang w:val="es-ES_tradnl"/>
            </w:rPr>
          </w:pPr>
          <w:r w:rsidRPr="00842E57">
            <w:rPr>
              <w:sz w:val="18"/>
              <w:szCs w:val="18"/>
              <w:lang w:val="es-ES_tradnl"/>
            </w:rPr>
            <w:t>Tel.:</w:t>
          </w:r>
        </w:p>
      </w:tc>
      <w:tc>
        <w:tcPr>
          <w:tcW w:w="5987" w:type="dxa"/>
        </w:tcPr>
        <w:p w14:paraId="6D7949F0" w14:textId="05D837DB" w:rsidR="00CE7153" w:rsidRPr="00842E57" w:rsidRDefault="00CE7153" w:rsidP="00CE7153">
          <w:pPr>
            <w:pStyle w:val="FirstFooter"/>
            <w:tabs>
              <w:tab w:val="left" w:pos="2302"/>
            </w:tabs>
            <w:rPr>
              <w:sz w:val="18"/>
              <w:szCs w:val="18"/>
              <w:lang w:val="es-ES_tradnl"/>
            </w:rPr>
          </w:pPr>
          <w:r w:rsidRPr="00523FA7">
            <w:rPr>
              <w:sz w:val="18"/>
              <w:szCs w:val="18"/>
            </w:rPr>
            <w:t>+</w:t>
          </w:r>
          <w:r w:rsidRPr="00D934D7">
            <w:rPr>
              <w:sz w:val="18"/>
              <w:szCs w:val="18"/>
            </w:rPr>
            <w:t>41 22 730 5131</w:t>
          </w:r>
        </w:p>
      </w:tc>
      <w:bookmarkStart w:id="7" w:name="PhoneNo"/>
      <w:bookmarkEnd w:id="7"/>
    </w:tr>
    <w:tr w:rsidR="00CE7153" w:rsidRPr="00842E57" w14:paraId="0299A231" w14:textId="77777777" w:rsidTr="004E3CF5">
      <w:tc>
        <w:tcPr>
          <w:tcW w:w="1526" w:type="dxa"/>
          <w:shd w:val="clear" w:color="auto" w:fill="auto"/>
        </w:tcPr>
        <w:p w14:paraId="35CBC438" w14:textId="77777777" w:rsidR="00CE7153" w:rsidRPr="00842E57" w:rsidRDefault="00CE7153" w:rsidP="00CE7153">
          <w:pPr>
            <w:pStyle w:val="FirstFooter"/>
            <w:tabs>
              <w:tab w:val="left" w:pos="1559"/>
              <w:tab w:val="left" w:pos="3828"/>
            </w:tabs>
            <w:rPr>
              <w:sz w:val="20"/>
              <w:lang w:val="es-ES_tradnl"/>
            </w:rPr>
          </w:pPr>
        </w:p>
      </w:tc>
      <w:tc>
        <w:tcPr>
          <w:tcW w:w="2410" w:type="dxa"/>
          <w:shd w:val="clear" w:color="auto" w:fill="auto"/>
        </w:tcPr>
        <w:p w14:paraId="65335E06" w14:textId="676092A0" w:rsidR="00CE7153" w:rsidRPr="00842E57" w:rsidRDefault="00CE7153" w:rsidP="00CE7153">
          <w:pPr>
            <w:pStyle w:val="FirstFooter"/>
            <w:tabs>
              <w:tab w:val="left" w:pos="2302"/>
            </w:tabs>
            <w:rPr>
              <w:sz w:val="18"/>
              <w:szCs w:val="18"/>
              <w:lang w:val="es-ES_tradnl"/>
            </w:rPr>
          </w:pPr>
          <w:r w:rsidRPr="00842E57">
            <w:rPr>
              <w:sz w:val="18"/>
              <w:szCs w:val="18"/>
              <w:lang w:val="es-ES_tradnl"/>
            </w:rPr>
            <w:t>Correo-e:</w:t>
          </w:r>
        </w:p>
      </w:tc>
      <w:tc>
        <w:tcPr>
          <w:tcW w:w="5987" w:type="dxa"/>
        </w:tcPr>
        <w:p w14:paraId="7EAB0988" w14:textId="7C494FB9" w:rsidR="00CE7153" w:rsidRPr="00842E57" w:rsidRDefault="00E520D8" w:rsidP="00CE7153">
          <w:pPr>
            <w:pStyle w:val="FirstFooter"/>
            <w:tabs>
              <w:tab w:val="left" w:pos="2302"/>
            </w:tabs>
            <w:rPr>
              <w:sz w:val="18"/>
              <w:szCs w:val="18"/>
              <w:lang w:val="es-ES_tradnl"/>
            </w:rPr>
          </w:pPr>
          <w:hyperlink r:id="rId1" w:history="1">
            <w:r w:rsidR="00CE7153" w:rsidRPr="00D934D7">
              <w:rPr>
                <w:rStyle w:val="Hyperlink"/>
                <w:sz w:val="18"/>
                <w:szCs w:val="22"/>
              </w:rPr>
              <w:t>stephen.bereaux@itu.int</w:t>
            </w:r>
          </w:hyperlink>
          <w:r w:rsidR="00CE7153" w:rsidRPr="00D934D7">
            <w:rPr>
              <w:sz w:val="18"/>
              <w:szCs w:val="22"/>
            </w:rPr>
            <w:t xml:space="preserve"> </w:t>
          </w:r>
        </w:p>
      </w:tc>
      <w:bookmarkStart w:id="8" w:name="Email"/>
      <w:bookmarkEnd w:id="8"/>
    </w:tr>
  </w:tbl>
  <w:p w14:paraId="40A321D0" w14:textId="78E43D36" w:rsidR="00721657" w:rsidRPr="003C6C09" w:rsidRDefault="00E520D8" w:rsidP="00380C11">
    <w:pPr>
      <w:pStyle w:val="Footer"/>
      <w:spacing w:before="240"/>
      <w:jc w:val="center"/>
      <w:rPr>
        <w:caps w:val="0"/>
        <w:noProof w:val="0"/>
        <w:color w:val="0000FF" w:themeColor="hyperlink"/>
        <w:sz w:val="18"/>
        <w:szCs w:val="18"/>
        <w:u w:val="single"/>
        <w:lang w:val="en-US"/>
      </w:rPr>
    </w:pPr>
    <w:hyperlink r:id="rId2"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31D9" w14:textId="77777777" w:rsidR="00E20E36" w:rsidRDefault="00E20E36">
      <w:r>
        <w:t>____________________</w:t>
      </w:r>
    </w:p>
  </w:footnote>
  <w:footnote w:type="continuationSeparator" w:id="0">
    <w:p w14:paraId="16D1565E" w14:textId="77777777" w:rsidR="00E20E36" w:rsidRDefault="00E20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6134D1E"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E21BA5">
      <w:rPr>
        <w:sz w:val="22"/>
        <w:szCs w:val="22"/>
        <w:lang w:val="de-CH"/>
      </w:rPr>
      <w:t>15</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66E0"/>
    <w:multiLevelType w:val="hybridMultilevel"/>
    <w:tmpl w:val="B664B4E0"/>
    <w:lvl w:ilvl="0" w:tplc="D8AA70EE">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24A16C40"/>
    <w:multiLevelType w:val="hybridMultilevel"/>
    <w:tmpl w:val="547A1D52"/>
    <w:lvl w:ilvl="0" w:tplc="D8AA70EE">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 w15:restartNumberingAfterBreak="0">
    <w:nsid w:val="2AAF23C2"/>
    <w:multiLevelType w:val="hybridMultilevel"/>
    <w:tmpl w:val="22D6F22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5D402E1B"/>
    <w:multiLevelType w:val="hybridMultilevel"/>
    <w:tmpl w:val="014646D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181B17"/>
    <w:multiLevelType w:val="hybridMultilevel"/>
    <w:tmpl w:val="FFAE6558"/>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7637CA4"/>
    <w:multiLevelType w:val="hybridMultilevel"/>
    <w:tmpl w:val="179E6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039452">
    <w:abstractNumId w:val="3"/>
  </w:num>
  <w:num w:numId="2" w16cid:durableId="789981702">
    <w:abstractNumId w:val="6"/>
  </w:num>
  <w:num w:numId="3" w16cid:durableId="1528177387">
    <w:abstractNumId w:val="1"/>
  </w:num>
  <w:num w:numId="4" w16cid:durableId="1504934740">
    <w:abstractNumId w:val="0"/>
  </w:num>
  <w:num w:numId="5" w16cid:durableId="322321228">
    <w:abstractNumId w:val="4"/>
  </w:num>
  <w:num w:numId="6" w16cid:durableId="59711821">
    <w:abstractNumId w:val="5"/>
  </w:num>
  <w:num w:numId="7" w16cid:durableId="1053191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1E3"/>
    <w:rsid w:val="00002716"/>
    <w:rsid w:val="00003C43"/>
    <w:rsid w:val="00005791"/>
    <w:rsid w:val="00010827"/>
    <w:rsid w:val="00015089"/>
    <w:rsid w:val="0002520B"/>
    <w:rsid w:val="00037A9E"/>
    <w:rsid w:val="00037F91"/>
    <w:rsid w:val="00040322"/>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131A"/>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C5031"/>
    <w:rsid w:val="001D1E06"/>
    <w:rsid w:val="001F1530"/>
    <w:rsid w:val="001F23E6"/>
    <w:rsid w:val="001F4238"/>
    <w:rsid w:val="00200A38"/>
    <w:rsid w:val="00200A46"/>
    <w:rsid w:val="002018F0"/>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953E8"/>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6B05"/>
    <w:rsid w:val="00307769"/>
    <w:rsid w:val="003125C3"/>
    <w:rsid w:val="00312AE6"/>
    <w:rsid w:val="00317D1A"/>
    <w:rsid w:val="003211FF"/>
    <w:rsid w:val="00323583"/>
    <w:rsid w:val="003242AB"/>
    <w:rsid w:val="00327247"/>
    <w:rsid w:val="00327A9D"/>
    <w:rsid w:val="0033130E"/>
    <w:rsid w:val="0033269C"/>
    <w:rsid w:val="0033736A"/>
    <w:rsid w:val="00351C79"/>
    <w:rsid w:val="0035516C"/>
    <w:rsid w:val="00355A4C"/>
    <w:rsid w:val="003604FB"/>
    <w:rsid w:val="00360B73"/>
    <w:rsid w:val="00380B71"/>
    <w:rsid w:val="00380C1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0C13"/>
    <w:rsid w:val="00451C91"/>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6D43"/>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2D7C"/>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858E2"/>
    <w:rsid w:val="00690BB2"/>
    <w:rsid w:val="00693D09"/>
    <w:rsid w:val="006A2E75"/>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4608B"/>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E34AA"/>
    <w:rsid w:val="007F1CC7"/>
    <w:rsid w:val="008027AC"/>
    <w:rsid w:val="008028CE"/>
    <w:rsid w:val="0080332E"/>
    <w:rsid w:val="00805355"/>
    <w:rsid w:val="008141E0"/>
    <w:rsid w:val="00816EE1"/>
    <w:rsid w:val="00816F88"/>
    <w:rsid w:val="00821996"/>
    <w:rsid w:val="00822323"/>
    <w:rsid w:val="00825E81"/>
    <w:rsid w:val="00827BC6"/>
    <w:rsid w:val="008300AD"/>
    <w:rsid w:val="00831171"/>
    <w:rsid w:val="00833024"/>
    <w:rsid w:val="0084072C"/>
    <w:rsid w:val="008419B1"/>
    <w:rsid w:val="00842E57"/>
    <w:rsid w:val="00844A56"/>
    <w:rsid w:val="00845B11"/>
    <w:rsid w:val="00852081"/>
    <w:rsid w:val="00872B6E"/>
    <w:rsid w:val="00874DFD"/>
    <w:rsid w:val="008802F9"/>
    <w:rsid w:val="00883086"/>
    <w:rsid w:val="008879FD"/>
    <w:rsid w:val="00891D60"/>
    <w:rsid w:val="00894C37"/>
    <w:rsid w:val="008A00EA"/>
    <w:rsid w:val="008A3F93"/>
    <w:rsid w:val="008A6236"/>
    <w:rsid w:val="008A6E1C"/>
    <w:rsid w:val="008A72FD"/>
    <w:rsid w:val="008B2EDF"/>
    <w:rsid w:val="008B47C7"/>
    <w:rsid w:val="008B54CB"/>
    <w:rsid w:val="008B5A3D"/>
    <w:rsid w:val="008B76D7"/>
    <w:rsid w:val="008C2281"/>
    <w:rsid w:val="008C4010"/>
    <w:rsid w:val="008C4FDF"/>
    <w:rsid w:val="008C6B1F"/>
    <w:rsid w:val="008D5E4F"/>
    <w:rsid w:val="008E0905"/>
    <w:rsid w:val="008E34F0"/>
    <w:rsid w:val="008F14F5"/>
    <w:rsid w:val="008F71C1"/>
    <w:rsid w:val="008F743C"/>
    <w:rsid w:val="00902D41"/>
    <w:rsid w:val="00902F49"/>
    <w:rsid w:val="00904230"/>
    <w:rsid w:val="0091223D"/>
    <w:rsid w:val="00914004"/>
    <w:rsid w:val="00922EC1"/>
    <w:rsid w:val="00923CF1"/>
    <w:rsid w:val="00924321"/>
    <w:rsid w:val="009301F1"/>
    <w:rsid w:val="009307DF"/>
    <w:rsid w:val="00932A16"/>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154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129AA"/>
    <w:rsid w:val="00B3101A"/>
    <w:rsid w:val="00B310F9"/>
    <w:rsid w:val="00B37866"/>
    <w:rsid w:val="00B412FB"/>
    <w:rsid w:val="00B42366"/>
    <w:rsid w:val="00B4576B"/>
    <w:rsid w:val="00B46350"/>
    <w:rsid w:val="00B46DF3"/>
    <w:rsid w:val="00B615E4"/>
    <w:rsid w:val="00B648C7"/>
    <w:rsid w:val="00B66E8F"/>
    <w:rsid w:val="00B80157"/>
    <w:rsid w:val="00B82FB3"/>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5DFF"/>
    <w:rsid w:val="00C07E26"/>
    <w:rsid w:val="00C1011C"/>
    <w:rsid w:val="00C12F94"/>
    <w:rsid w:val="00C177C5"/>
    <w:rsid w:val="00C1798D"/>
    <w:rsid w:val="00C33FEA"/>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41D"/>
    <w:rsid w:val="00CA1F0B"/>
    <w:rsid w:val="00CB110F"/>
    <w:rsid w:val="00CB2A2E"/>
    <w:rsid w:val="00CB338A"/>
    <w:rsid w:val="00CB79C5"/>
    <w:rsid w:val="00CC411F"/>
    <w:rsid w:val="00CC4B75"/>
    <w:rsid w:val="00CC732E"/>
    <w:rsid w:val="00CD2FCD"/>
    <w:rsid w:val="00CD7207"/>
    <w:rsid w:val="00CE0422"/>
    <w:rsid w:val="00CE0DBE"/>
    <w:rsid w:val="00CE5E4D"/>
    <w:rsid w:val="00CE7153"/>
    <w:rsid w:val="00CF02C4"/>
    <w:rsid w:val="00CF167F"/>
    <w:rsid w:val="00CF72E5"/>
    <w:rsid w:val="00D013EE"/>
    <w:rsid w:val="00D01F54"/>
    <w:rsid w:val="00D040F7"/>
    <w:rsid w:val="00D04A76"/>
    <w:rsid w:val="00D07439"/>
    <w:rsid w:val="00D10FC7"/>
    <w:rsid w:val="00D1519F"/>
    <w:rsid w:val="00D20E99"/>
    <w:rsid w:val="00D21C83"/>
    <w:rsid w:val="00D35BDD"/>
    <w:rsid w:val="00D519D9"/>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4A6A"/>
    <w:rsid w:val="00E05209"/>
    <w:rsid w:val="00E05AC1"/>
    <w:rsid w:val="00E11BCF"/>
    <w:rsid w:val="00E20E36"/>
    <w:rsid w:val="00E21BA5"/>
    <w:rsid w:val="00E2258E"/>
    <w:rsid w:val="00E260C2"/>
    <w:rsid w:val="00E32596"/>
    <w:rsid w:val="00E368F7"/>
    <w:rsid w:val="00E36EB8"/>
    <w:rsid w:val="00E37FB8"/>
    <w:rsid w:val="00E40B07"/>
    <w:rsid w:val="00E42326"/>
    <w:rsid w:val="00E43544"/>
    <w:rsid w:val="00E44D89"/>
    <w:rsid w:val="00E477EA"/>
    <w:rsid w:val="00E520D8"/>
    <w:rsid w:val="00E55807"/>
    <w:rsid w:val="00E63B14"/>
    <w:rsid w:val="00E65CA0"/>
    <w:rsid w:val="00E70D9F"/>
    <w:rsid w:val="00E73278"/>
    <w:rsid w:val="00E83810"/>
    <w:rsid w:val="00E86933"/>
    <w:rsid w:val="00E91C6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13DC8"/>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6EEB"/>
    <w:rsid w:val="00F600F9"/>
    <w:rsid w:val="00F626F7"/>
    <w:rsid w:val="00F736F9"/>
    <w:rsid w:val="00F73833"/>
    <w:rsid w:val="00F907AA"/>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F52741"/>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D07439"/>
    <w:rPr>
      <w:rFonts w:asciiTheme="minorHAnsi" w:hAnsiTheme="minorHAnsi"/>
      <w:sz w:val="24"/>
      <w:lang w:val="en-GB" w:eastAsia="en-US"/>
    </w:rPr>
  </w:style>
  <w:style w:type="paragraph" w:customStyle="1" w:styleId="Pa10">
    <w:name w:val="Pa10"/>
    <w:basedOn w:val="Normal"/>
    <w:next w:val="Normal"/>
    <w:uiPriority w:val="99"/>
    <w:rsid w:val="00F56EEB"/>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paragraph" w:customStyle="1" w:styleId="Pa15">
    <w:name w:val="Pa15"/>
    <w:basedOn w:val="Normal"/>
    <w:next w:val="Normal"/>
    <w:uiPriority w:val="99"/>
    <w:rsid w:val="00F56EEB"/>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F56EEB"/>
    <w:rPr>
      <w:rFonts w:asciiTheme="minorHAnsi" w:hAnsiTheme="minorHAnsi"/>
      <w:sz w:val="24"/>
      <w:lang w:val="en-GB" w:eastAsia="en-US"/>
    </w:rPr>
  </w:style>
  <w:style w:type="paragraph" w:customStyle="1" w:styleId="Pa12">
    <w:name w:val="Pa12"/>
    <w:basedOn w:val="Normal"/>
    <w:next w:val="Normal"/>
    <w:uiPriority w:val="99"/>
    <w:rsid w:val="00F56EEB"/>
    <w:pPr>
      <w:tabs>
        <w:tab w:val="clear" w:pos="794"/>
        <w:tab w:val="clear" w:pos="1191"/>
        <w:tab w:val="clear" w:pos="1588"/>
        <w:tab w:val="clear" w:pos="1985"/>
      </w:tabs>
      <w:overflowPunct/>
      <w:spacing w:before="0" w:line="251" w:lineRule="atLeast"/>
      <w:textAlignment w:val="auto"/>
    </w:pPr>
    <w:rPr>
      <w:rFonts w:ascii="Calibri" w:hAnsi="Calibri" w:cs="Calibri"/>
      <w:szCs w:val="24"/>
      <w:lang w:eastAsia="zh-CN"/>
    </w:rPr>
  </w:style>
  <w:style w:type="paragraph" w:customStyle="1" w:styleId="Pa17">
    <w:name w:val="Pa17"/>
    <w:basedOn w:val="Normal"/>
    <w:next w:val="Normal"/>
    <w:uiPriority w:val="99"/>
    <w:rsid w:val="00F56EEB"/>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paragraph" w:customStyle="1" w:styleId="Pa39">
    <w:name w:val="Pa39"/>
    <w:basedOn w:val="Normal"/>
    <w:next w:val="Normal"/>
    <w:uiPriority w:val="99"/>
    <w:rsid w:val="00F56EEB"/>
    <w:pPr>
      <w:tabs>
        <w:tab w:val="clear" w:pos="794"/>
        <w:tab w:val="clear" w:pos="1191"/>
        <w:tab w:val="clear" w:pos="1588"/>
        <w:tab w:val="clear" w:pos="1985"/>
      </w:tabs>
      <w:overflowPunct/>
      <w:spacing w:before="0" w:line="221" w:lineRule="atLeast"/>
      <w:textAlignment w:val="auto"/>
    </w:pPr>
    <w:rPr>
      <w:rFonts w:ascii="Calibri" w:hAnsi="Calibri" w:cs="Calibri"/>
      <w:szCs w:val="24"/>
      <w:lang w:eastAsia="zh-CN"/>
    </w:rPr>
  </w:style>
  <w:style w:type="paragraph" w:customStyle="1" w:styleId="Pa32">
    <w:name w:val="Pa32"/>
    <w:basedOn w:val="Normal"/>
    <w:next w:val="Normal"/>
    <w:uiPriority w:val="99"/>
    <w:rsid w:val="00F56EEB"/>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paragraph" w:customStyle="1" w:styleId="Figure">
    <w:name w:val="Figure"/>
    <w:basedOn w:val="Normal"/>
    <w:next w:val="Normal"/>
    <w:rsid w:val="006A2E75"/>
    <w:pPr>
      <w:keepNext/>
      <w:keepLines/>
      <w:tabs>
        <w:tab w:val="clear" w:pos="794"/>
        <w:tab w:val="clear" w:pos="1191"/>
        <w:tab w:val="clear" w:pos="1588"/>
        <w:tab w:val="clear" w:pos="1985"/>
        <w:tab w:val="left" w:pos="1134"/>
        <w:tab w:val="left" w:pos="1871"/>
        <w:tab w:val="left" w:pos="2268"/>
      </w:tabs>
      <w:jc w:val="center"/>
    </w:pPr>
  </w:style>
  <w:style w:type="character" w:styleId="PlaceholderText">
    <w:name w:val="Placeholder Text"/>
    <w:basedOn w:val="DefaultParagraphFont"/>
    <w:uiPriority w:val="99"/>
    <w:semiHidden/>
    <w:rsid w:val="00932A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publications/ITU-D/pages/publications.aspx?parent=D-TDC-WTDC-2022&amp;media=electroni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en/publications/ITU-D/pages/publications.aspx?parent=D-TDC-WTDC-2022&amp;media=electronic"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1D1D-D697-43B5-816F-4A302479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11</Pages>
  <Words>3023</Words>
  <Characters>17832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Spanish8</cp:lastModifiedBy>
  <cp:revision>28</cp:revision>
  <cp:lastPrinted>2014-11-04T09:22:00Z</cp:lastPrinted>
  <dcterms:created xsi:type="dcterms:W3CDTF">2023-05-25T14:15:00Z</dcterms:created>
  <dcterms:modified xsi:type="dcterms:W3CDTF">2023-05-26T08:40:00Z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