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57E65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D57E65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D57E65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="00307769" w:rsidRPr="00D57E65">
              <w:rPr>
                <w:b/>
                <w:bCs/>
                <w:sz w:val="32"/>
                <w:szCs w:val="32"/>
                <w:lang w:val="fr-FR"/>
              </w:rPr>
              <w:br/>
            </w:r>
            <w:r w:rsidRPr="00D57E65">
              <w:rPr>
                <w:b/>
                <w:bCs/>
                <w:sz w:val="32"/>
                <w:szCs w:val="32"/>
                <w:lang w:val="fr-FR"/>
              </w:rPr>
              <w:t>des télécommunications (GCDT</w:t>
            </w:r>
            <w:r w:rsidR="00307769" w:rsidRPr="00D57E65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5F5F590A" w14:textId="0A20C9ED" w:rsidR="00307769" w:rsidRPr="00D57E65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D57E65">
              <w:rPr>
                <w:b/>
                <w:bCs/>
                <w:sz w:val="26"/>
                <w:szCs w:val="26"/>
                <w:lang w:val="fr-FR"/>
              </w:rPr>
              <w:t>30</w:t>
            </w:r>
            <w:r w:rsidR="001011EB" w:rsidRPr="00D57E65">
              <w:rPr>
                <w:b/>
                <w:bCs/>
                <w:sz w:val="26"/>
                <w:szCs w:val="26"/>
                <w:lang w:val="fr-FR"/>
              </w:rPr>
              <w:t>ème réunion</w:t>
            </w:r>
            <w:r w:rsidRPr="00D57E65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1011EB" w:rsidRPr="00D57E65">
              <w:rPr>
                <w:b/>
                <w:bCs/>
                <w:sz w:val="26"/>
                <w:szCs w:val="26"/>
                <w:lang w:val="fr-FR"/>
              </w:rPr>
              <w:t>Genève</w:t>
            </w:r>
            <w:r w:rsidRPr="00D57E65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11EB" w:rsidRPr="00D57E65">
              <w:rPr>
                <w:b/>
                <w:bCs/>
                <w:sz w:val="26"/>
                <w:szCs w:val="26"/>
                <w:lang w:val="fr-FR"/>
              </w:rPr>
              <w:t>(Suisse)</w:t>
            </w:r>
            <w:r w:rsidRPr="00D57E65">
              <w:rPr>
                <w:b/>
                <w:bCs/>
                <w:sz w:val="26"/>
                <w:szCs w:val="26"/>
                <w:lang w:val="fr-FR"/>
              </w:rPr>
              <w:t xml:space="preserve">, 19-23 </w:t>
            </w:r>
            <w:r w:rsidR="001011EB" w:rsidRPr="00D57E65">
              <w:rPr>
                <w:b/>
                <w:bCs/>
                <w:sz w:val="26"/>
                <w:szCs w:val="26"/>
                <w:lang w:val="fr-FR"/>
              </w:rPr>
              <w:t>juin</w:t>
            </w:r>
            <w:r w:rsidRPr="00D57E65">
              <w:rPr>
                <w:b/>
                <w:bCs/>
                <w:sz w:val="26"/>
                <w:szCs w:val="26"/>
                <w:lang w:val="fr-FR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D57E65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D57E65">
              <w:rPr>
                <w:noProof/>
                <w:lang w:val="en-US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57E65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57E6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57E65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D57E65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57E65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50231836" w:rsidR="00683C32" w:rsidRPr="00D57E65" w:rsidRDefault="0096201B" w:rsidP="00E25345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57E6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D57E65">
              <w:rPr>
                <w:b/>
                <w:bCs/>
                <w:lang w:val="fr-FR"/>
              </w:rPr>
              <w:t>TDAG</w:t>
            </w:r>
            <w:r w:rsidR="003242AB" w:rsidRPr="00D57E65">
              <w:rPr>
                <w:b/>
                <w:bCs/>
                <w:lang w:val="fr-FR"/>
              </w:rPr>
              <w:t>-</w:t>
            </w:r>
            <w:r w:rsidR="00B648C7" w:rsidRPr="00D57E65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307769" w:rsidRPr="00D57E65">
              <w:rPr>
                <w:b/>
                <w:bCs/>
                <w:lang w:val="fr-FR"/>
              </w:rPr>
              <w:t>3</w:t>
            </w:r>
            <w:r w:rsidR="0009076F" w:rsidRPr="00D57E65">
              <w:rPr>
                <w:b/>
                <w:bCs/>
                <w:lang w:val="fr-FR"/>
              </w:rPr>
              <w:t>/</w:t>
            </w:r>
            <w:r w:rsidR="00492148" w:rsidRPr="00D57E65">
              <w:rPr>
                <w:b/>
                <w:bCs/>
                <w:lang w:val="fr-FR"/>
              </w:rPr>
              <w:t>15</w:t>
            </w:r>
            <w:r w:rsidRPr="00D57E65">
              <w:rPr>
                <w:b/>
                <w:bCs/>
                <w:lang w:val="fr-FR"/>
              </w:rPr>
              <w:t>-</w:t>
            </w:r>
            <w:r w:rsidR="00E25345" w:rsidRPr="00D57E65">
              <w:rPr>
                <w:b/>
                <w:bCs/>
                <w:lang w:val="fr-FR"/>
              </w:rPr>
              <w:t>F</w:t>
            </w:r>
          </w:p>
        </w:tc>
      </w:tr>
      <w:tr w:rsidR="00683C32" w:rsidRPr="00D57E65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57E65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6FF85EAF" w:rsidR="00683C32" w:rsidRPr="00D57E65" w:rsidRDefault="00492148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D57E65">
              <w:rPr>
                <w:b/>
                <w:bCs/>
                <w:szCs w:val="28"/>
                <w:lang w:val="fr-FR"/>
              </w:rPr>
              <w:t>9 mai</w:t>
            </w:r>
            <w:r w:rsidR="00CE0422" w:rsidRPr="00D57E65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D57E65">
              <w:rPr>
                <w:b/>
                <w:bCs/>
                <w:szCs w:val="28"/>
                <w:lang w:val="fr-FR"/>
              </w:rPr>
              <w:t>2</w:t>
            </w:r>
            <w:r w:rsidR="00307769" w:rsidRPr="00D57E65">
              <w:rPr>
                <w:b/>
                <w:bCs/>
                <w:szCs w:val="28"/>
                <w:lang w:val="fr-FR"/>
              </w:rPr>
              <w:t>3</w:t>
            </w:r>
          </w:p>
        </w:tc>
      </w:tr>
      <w:tr w:rsidR="00683C32" w:rsidRPr="00D57E65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57E65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33ACFB79" w:rsidR="00514D2F" w:rsidRPr="00D57E65" w:rsidRDefault="0096201B" w:rsidP="001011EB">
            <w:pPr>
              <w:spacing w:before="0"/>
              <w:rPr>
                <w:szCs w:val="24"/>
                <w:lang w:val="fr-FR"/>
              </w:rPr>
            </w:pPr>
            <w:r w:rsidRPr="00D57E65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D57E65">
              <w:rPr>
                <w:b/>
                <w:lang w:val="fr-FR"/>
              </w:rPr>
              <w:t xml:space="preserve"> </w:t>
            </w:r>
            <w:r w:rsidR="001011EB" w:rsidRPr="00D57E65">
              <w:rPr>
                <w:b/>
                <w:lang w:val="fr-FR"/>
              </w:rPr>
              <w:t>anglais</w:t>
            </w:r>
          </w:p>
        </w:tc>
      </w:tr>
      <w:tr w:rsidR="00A13162" w:rsidRPr="003A13A9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8169868" w:rsidR="00A13162" w:rsidRPr="00D57E65" w:rsidRDefault="00492148" w:rsidP="003A13A9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D57E65">
              <w:rPr>
                <w:lang w:val="fr-FR"/>
              </w:rPr>
              <w:t xml:space="preserve">Directeur du Bureau de </w:t>
            </w:r>
            <w:r w:rsidR="003A13A9">
              <w:rPr>
                <w:lang w:val="fr-FR"/>
              </w:rPr>
              <w:t>d</w:t>
            </w:r>
            <w:r w:rsidRPr="00D57E65">
              <w:rPr>
                <w:lang w:val="fr-FR"/>
              </w:rPr>
              <w:t xml:space="preserve">éveloppement des </w:t>
            </w:r>
            <w:r w:rsidR="003A13A9">
              <w:rPr>
                <w:lang w:val="fr-FR"/>
              </w:rPr>
              <w:t>t</w:t>
            </w:r>
            <w:r w:rsidRPr="00D57E65">
              <w:rPr>
                <w:lang w:val="fr-FR"/>
              </w:rPr>
              <w:t>élécommunications</w:t>
            </w:r>
          </w:p>
        </w:tc>
      </w:tr>
      <w:tr w:rsidR="00AC6F14" w:rsidRPr="003A13A9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8660A3F" w:rsidR="00AC6F14" w:rsidRPr="00D57E65" w:rsidRDefault="00492148" w:rsidP="001011EB">
            <w:pPr>
              <w:pStyle w:val="Title1"/>
              <w:rPr>
                <w:lang w:val="fr-FR"/>
              </w:rPr>
            </w:pPr>
            <w:bookmarkStart w:id="5" w:name="Title"/>
            <w:bookmarkStart w:id="6" w:name="lt_pId019"/>
            <w:bookmarkEnd w:id="5"/>
            <w:r w:rsidRPr="00D57E65">
              <w:rPr>
                <w:lang w:val="fr-FR"/>
              </w:rPr>
              <w:t xml:space="preserve">Résultats de la Conférence mondiale de développement </w:t>
            </w:r>
            <w:r w:rsidRPr="00D57E65">
              <w:rPr>
                <w:lang w:val="fr-FR"/>
              </w:rPr>
              <w:br/>
              <w:t xml:space="preserve">des télécommunications </w:t>
            </w:r>
            <w:bookmarkStart w:id="7" w:name="lt_pId020"/>
            <w:bookmarkEnd w:id="6"/>
            <w:r w:rsidRPr="00D57E65">
              <w:rPr>
                <w:lang w:val="fr-FR"/>
              </w:rPr>
              <w:t>(CMDT-22)</w:t>
            </w:r>
            <w:bookmarkEnd w:id="7"/>
          </w:p>
        </w:tc>
      </w:tr>
      <w:tr w:rsidR="00A721F4" w:rsidRPr="003A13A9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D57E65" w:rsidRDefault="00A721F4" w:rsidP="0030353C">
            <w:pPr>
              <w:rPr>
                <w:lang w:val="fr-FR"/>
              </w:rPr>
            </w:pPr>
          </w:p>
        </w:tc>
      </w:tr>
      <w:tr w:rsidR="00A721F4" w:rsidRPr="003A13A9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D57E6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57E65">
              <w:rPr>
                <w:b/>
                <w:bCs/>
                <w:szCs w:val="24"/>
                <w:lang w:val="fr-FR"/>
              </w:rPr>
              <w:t>Résumé</w:t>
            </w:r>
            <w:r w:rsidR="00A721F4" w:rsidRPr="00D57E65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6B97AC71" w:rsidR="00A721F4" w:rsidRPr="00D57E65" w:rsidRDefault="00492148" w:rsidP="00EA0C51">
            <w:pPr>
              <w:spacing w:after="120"/>
              <w:rPr>
                <w:u w:val="single"/>
                <w:lang w:val="fr-FR"/>
              </w:rPr>
            </w:pPr>
            <w:bookmarkStart w:id="8" w:name="lt_pId022"/>
            <w:r w:rsidRPr="00D57E65">
              <w:rPr>
                <w:lang w:val="fr-FR"/>
              </w:rPr>
              <w:t>La Conférence mondiale de développement des télécommunications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UIT de 2022 (CMDT-22) s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est tenue à Kigali (Rwanda) du 6 au 16 juin 2022 et a adopté un plan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action pour le Secteur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UIT-D à savoir le Plan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action de Kigali (KAP).</w:t>
            </w:r>
            <w:bookmarkEnd w:id="8"/>
          </w:p>
          <w:p w14:paraId="7C86B99B" w14:textId="4842DA4D" w:rsidR="00492148" w:rsidRPr="00D57E65" w:rsidRDefault="00492148" w:rsidP="00EA0C51">
            <w:pPr>
              <w:spacing w:after="120"/>
              <w:rPr>
                <w:szCs w:val="24"/>
                <w:lang w:val="fr-FR"/>
              </w:rPr>
            </w:pPr>
            <w:bookmarkStart w:id="9" w:name="lt_pId023"/>
            <w:r w:rsidRPr="00D57E65">
              <w:rPr>
                <w:szCs w:val="24"/>
                <w:lang w:val="fr-FR"/>
              </w:rPr>
              <w:t>Le présent rapport a pour objet de rendre compte au GCDT des résultats de la CMDT-22.</w:t>
            </w:r>
            <w:bookmarkEnd w:id="9"/>
          </w:p>
          <w:p w14:paraId="76A1C541" w14:textId="23209CDB" w:rsidR="00A721F4" w:rsidRPr="00D57E6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57E65">
              <w:rPr>
                <w:b/>
                <w:bCs/>
                <w:lang w:val="fr-FR"/>
              </w:rPr>
              <w:t>Suite à donner</w:t>
            </w:r>
            <w:r w:rsidR="00A721F4" w:rsidRPr="00D57E65">
              <w:rPr>
                <w:b/>
                <w:bCs/>
                <w:lang w:val="fr-FR"/>
              </w:rPr>
              <w:t>:</w:t>
            </w:r>
          </w:p>
          <w:p w14:paraId="371956FC" w14:textId="21552118" w:rsidR="00A721F4" w:rsidRPr="00D57E65" w:rsidRDefault="00492148" w:rsidP="00EA0C51">
            <w:pPr>
              <w:spacing w:after="120"/>
              <w:rPr>
                <w:szCs w:val="24"/>
                <w:lang w:val="fr-FR"/>
              </w:rPr>
            </w:pPr>
            <w:bookmarkStart w:id="10" w:name="lt_pId025"/>
            <w:r w:rsidRPr="00D57E65">
              <w:rPr>
                <w:lang w:val="fr-FR"/>
              </w:rPr>
              <w:t>Le GCDT est invité à prendre note du présent rapport.</w:t>
            </w:r>
            <w:bookmarkEnd w:id="10"/>
          </w:p>
          <w:p w14:paraId="622ACB80" w14:textId="39EE560D" w:rsidR="00A721F4" w:rsidRPr="00D57E65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D57E65">
              <w:rPr>
                <w:b/>
                <w:bCs/>
                <w:szCs w:val="24"/>
                <w:lang w:val="fr-FR"/>
              </w:rPr>
              <w:t>R</w:t>
            </w:r>
            <w:r w:rsidR="001011EB" w:rsidRPr="00D57E65">
              <w:rPr>
                <w:b/>
                <w:bCs/>
                <w:szCs w:val="24"/>
                <w:lang w:val="fr-FR"/>
              </w:rPr>
              <w:t>é</w:t>
            </w:r>
            <w:r w:rsidRPr="00D57E65">
              <w:rPr>
                <w:b/>
                <w:bCs/>
                <w:szCs w:val="24"/>
                <w:lang w:val="fr-FR"/>
              </w:rPr>
              <w:t>f</w:t>
            </w:r>
            <w:r w:rsidR="001011EB" w:rsidRPr="00D57E65">
              <w:rPr>
                <w:b/>
                <w:bCs/>
                <w:szCs w:val="24"/>
                <w:lang w:val="fr-FR"/>
              </w:rPr>
              <w:t>é</w:t>
            </w:r>
            <w:r w:rsidRPr="00D57E65">
              <w:rPr>
                <w:b/>
                <w:bCs/>
                <w:szCs w:val="24"/>
                <w:lang w:val="fr-FR"/>
              </w:rPr>
              <w:t>rences:</w:t>
            </w:r>
          </w:p>
          <w:p w14:paraId="1ECDD20E" w14:textId="7C73597D" w:rsidR="00A721F4" w:rsidRPr="00D57E65" w:rsidRDefault="00C64FCE" w:rsidP="00EA0C51">
            <w:pPr>
              <w:spacing w:after="120"/>
              <w:rPr>
                <w:lang w:val="fr-FR"/>
              </w:rPr>
            </w:pPr>
            <w:hyperlink r:id="rId8" w:history="1">
              <w:bookmarkStart w:id="11" w:name="lt_pId027"/>
              <w:r w:rsidR="00492148" w:rsidRPr="00D57E65">
                <w:rPr>
                  <w:rStyle w:val="Hyperlink"/>
                  <w:lang w:val="fr-FR"/>
                </w:rPr>
                <w:t>Rapport final de la CMDT-22</w:t>
              </w:r>
              <w:bookmarkEnd w:id="11"/>
            </w:hyperlink>
          </w:p>
        </w:tc>
      </w:tr>
    </w:tbl>
    <w:p w14:paraId="5B29B2A3" w14:textId="77777777" w:rsidR="00923CF1" w:rsidRPr="00D57E65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57E65">
        <w:rPr>
          <w:lang w:val="fr-FR"/>
        </w:rPr>
        <w:br w:type="page"/>
      </w:r>
    </w:p>
    <w:p w14:paraId="474A1302" w14:textId="0831F80D" w:rsidR="00492148" w:rsidRPr="003A13A9" w:rsidRDefault="00492148" w:rsidP="00492148">
      <w:pPr>
        <w:pStyle w:val="Heading1"/>
        <w:rPr>
          <w:sz w:val="24"/>
          <w:szCs w:val="24"/>
          <w:lang w:val="fr-FR"/>
        </w:rPr>
      </w:pPr>
      <w:r w:rsidRPr="003A13A9">
        <w:rPr>
          <w:sz w:val="24"/>
          <w:szCs w:val="24"/>
          <w:lang w:val="fr-FR"/>
        </w:rPr>
        <w:lastRenderedPageBreak/>
        <w:t>1</w:t>
      </w:r>
      <w:r w:rsidRPr="003A13A9">
        <w:rPr>
          <w:sz w:val="24"/>
          <w:szCs w:val="24"/>
          <w:lang w:val="fr-FR"/>
        </w:rPr>
        <w:tab/>
      </w:r>
      <w:bookmarkStart w:id="12" w:name="lt_pId029"/>
      <w:r w:rsidRPr="003A13A9">
        <w:rPr>
          <w:sz w:val="24"/>
          <w:szCs w:val="24"/>
          <w:lang w:val="fr-FR"/>
        </w:rPr>
        <w:t>Introduction</w:t>
      </w:r>
      <w:bookmarkEnd w:id="12"/>
    </w:p>
    <w:p w14:paraId="7FC8174D" w14:textId="0DCF79FA" w:rsidR="00492148" w:rsidRPr="00D57E65" w:rsidRDefault="00492148" w:rsidP="00492148">
      <w:pPr>
        <w:rPr>
          <w:bCs/>
          <w:lang w:val="fr-FR"/>
        </w:rPr>
      </w:pPr>
      <w:r w:rsidRPr="00D57E65">
        <w:rPr>
          <w:bCs/>
          <w:lang w:val="fr-FR"/>
        </w:rPr>
        <w:t>1.1</w:t>
      </w:r>
      <w:r w:rsidRPr="00D57E65">
        <w:rPr>
          <w:bCs/>
          <w:lang w:val="fr-FR"/>
        </w:rPr>
        <w:tab/>
      </w:r>
      <w:bookmarkStart w:id="13" w:name="lt_pId031"/>
      <w:r w:rsidRPr="00D57E65">
        <w:rPr>
          <w:bCs/>
          <w:lang w:val="fr-FR"/>
        </w:rPr>
        <w:t>La huitième Conférence mondiale de développement des télécommunications (CMDT-22) de l</w:t>
      </w:r>
      <w:r w:rsidR="001B693B" w:rsidRPr="00D57E65">
        <w:rPr>
          <w:bCs/>
          <w:lang w:val="fr-FR"/>
        </w:rPr>
        <w:t>'</w:t>
      </w:r>
      <w:r w:rsidRPr="00D57E65">
        <w:rPr>
          <w:bCs/>
          <w:lang w:val="fr-FR"/>
        </w:rPr>
        <w:t>Union internationale des télécommunications (UIT), tenue du 6 au 16 juin 2022 à Kigali (Rwanda), a constitué une manifestation historique organisée dans le but d</w:t>
      </w:r>
      <w:r w:rsidR="001B693B" w:rsidRPr="00D57E65">
        <w:rPr>
          <w:bCs/>
          <w:lang w:val="fr-FR"/>
        </w:rPr>
        <w:t>'</w:t>
      </w:r>
      <w:r w:rsidRPr="00D57E65">
        <w:rPr>
          <w:bCs/>
          <w:lang w:val="fr-FR"/>
        </w:rPr>
        <w:t>apporter une connectivité abordable et efficace aux quelque 2,9 milliards de personnes qui, dans le monde, sont toujours dépourvues d</w:t>
      </w:r>
      <w:r w:rsidR="001B693B" w:rsidRPr="00D57E65">
        <w:rPr>
          <w:bCs/>
          <w:lang w:val="fr-FR"/>
        </w:rPr>
        <w:t>'</w:t>
      </w:r>
      <w:r w:rsidRPr="00D57E65">
        <w:rPr>
          <w:bCs/>
          <w:lang w:val="fr-FR"/>
        </w:rPr>
        <w:t>une connexion Internet.</w:t>
      </w:r>
      <w:bookmarkEnd w:id="13"/>
    </w:p>
    <w:p w14:paraId="3A32F489" w14:textId="5499702B" w:rsidR="00492148" w:rsidRPr="00D57E65" w:rsidRDefault="00492148" w:rsidP="00492148">
      <w:pPr>
        <w:rPr>
          <w:bCs/>
          <w:lang w:val="fr-FR"/>
        </w:rPr>
      </w:pPr>
      <w:r w:rsidRPr="00D57E65">
        <w:rPr>
          <w:bCs/>
          <w:lang w:val="fr-FR"/>
        </w:rPr>
        <w:t>1.2</w:t>
      </w:r>
      <w:r w:rsidRPr="00D57E65">
        <w:rPr>
          <w:bCs/>
          <w:lang w:val="fr-FR"/>
        </w:rPr>
        <w:tab/>
      </w:r>
      <w:bookmarkStart w:id="14" w:name="lt_pId033"/>
      <w:r w:rsidRPr="00D57E65">
        <w:rPr>
          <w:bCs/>
          <w:lang w:val="fr-FR"/>
        </w:rPr>
        <w:t>Organisée sur le thème</w:t>
      </w:r>
      <w:bookmarkEnd w:id="14"/>
      <w:r w:rsidRPr="00D57E65">
        <w:rPr>
          <w:bCs/>
          <w:lang w:val="fr-FR"/>
        </w:rPr>
        <w:t xml:space="preserve"> </w:t>
      </w:r>
      <w:bookmarkStart w:id="15" w:name="lt_pId034"/>
      <w:r w:rsidRPr="00D57E65">
        <w:rPr>
          <w:iCs/>
          <w:lang w:val="fr-FR"/>
        </w:rPr>
        <w:t>"</w:t>
      </w:r>
      <w:r w:rsidRPr="00D57E65">
        <w:rPr>
          <w:b/>
          <w:bCs/>
          <w:i/>
          <w:lang w:val="fr-FR"/>
        </w:rPr>
        <w:t>Connecter ceux qui ne le sont pas encore afin de parvenir au développement durabl</w:t>
      </w:r>
      <w:r w:rsidRPr="00D57E65">
        <w:rPr>
          <w:b/>
          <w:bCs/>
          <w:iCs/>
          <w:lang w:val="fr-FR"/>
        </w:rPr>
        <w:t>e</w:t>
      </w:r>
      <w:r w:rsidRPr="00D57E65">
        <w:rPr>
          <w:iCs/>
          <w:lang w:val="fr-FR"/>
        </w:rPr>
        <w:t>", la CMDT-22 a rassemblé 2 152 participants (1</w:t>
      </w:r>
      <w:r w:rsidR="00157C5B" w:rsidRPr="00D57E65">
        <w:rPr>
          <w:iCs/>
          <w:lang w:val="fr-FR"/>
        </w:rPr>
        <w:t> </w:t>
      </w:r>
      <w:r w:rsidRPr="00D57E65">
        <w:rPr>
          <w:iCs/>
          <w:lang w:val="fr-FR"/>
        </w:rPr>
        <w:t>304 participants en présentiel et 848 participants en ligne)</w:t>
      </w:r>
      <w:bookmarkEnd w:id="15"/>
      <w:r w:rsidRPr="00D57E65">
        <w:rPr>
          <w:bCs/>
          <w:lang w:val="fr-FR"/>
        </w:rPr>
        <w:t xml:space="preserve"> </w:t>
      </w:r>
      <w:bookmarkStart w:id="16" w:name="lt_pId035"/>
      <w:r w:rsidRPr="00D57E65">
        <w:rPr>
          <w:bCs/>
          <w:lang w:val="fr-FR"/>
        </w:rPr>
        <w:t>représentant 150 États Membres (127 pays ayant pris part à la manifestation sur place et 23 ayant participé à distance),</w:t>
      </w:r>
      <w:r w:rsidR="003A13A9">
        <w:rPr>
          <w:bCs/>
          <w:lang w:val="fr-FR"/>
        </w:rPr>
        <w:t xml:space="preserve"> </w:t>
      </w:r>
      <w:r w:rsidR="00157C5B" w:rsidRPr="003A13A9">
        <w:rPr>
          <w:bCs/>
          <w:lang w:val="fr-FR"/>
        </w:rPr>
        <w:t>96</w:t>
      </w:r>
      <w:r w:rsidRPr="003A13A9">
        <w:rPr>
          <w:bCs/>
          <w:lang w:val="fr-FR"/>
        </w:rPr>
        <w:t> M</w:t>
      </w:r>
      <w:r w:rsidRPr="00D57E65">
        <w:rPr>
          <w:bCs/>
          <w:lang w:val="fr-FR"/>
        </w:rPr>
        <w:t>embres du Secteur du développement des télécommunications de l</w:t>
      </w:r>
      <w:r w:rsidR="001B693B" w:rsidRPr="00D57E65">
        <w:rPr>
          <w:bCs/>
          <w:lang w:val="fr-FR"/>
        </w:rPr>
        <w:t>'</w:t>
      </w:r>
      <w:r w:rsidRPr="00D57E65">
        <w:rPr>
          <w:bCs/>
          <w:lang w:val="fr-FR"/>
        </w:rPr>
        <w:t>UIT (UIT-D), 37 établissements universitaires, ainsi que des observateurs au titre de la Résolution 99 de la Conférence de plénipotentiaires et de l</w:t>
      </w:r>
      <w:r w:rsidR="001B693B" w:rsidRPr="00D57E65">
        <w:rPr>
          <w:bCs/>
          <w:lang w:val="fr-FR"/>
        </w:rPr>
        <w:t>'</w:t>
      </w:r>
      <w:r w:rsidRPr="00D57E65">
        <w:rPr>
          <w:bCs/>
          <w:lang w:val="fr-FR"/>
        </w:rPr>
        <w:t>Organisation des Nations Unies et de ses institutions spécialisées</w:t>
      </w:r>
      <w:bookmarkEnd w:id="16"/>
      <w:r w:rsidRPr="00D57E65">
        <w:rPr>
          <w:bCs/>
          <w:lang w:val="fr-FR"/>
        </w:rPr>
        <w:t>.</w:t>
      </w:r>
    </w:p>
    <w:p w14:paraId="4FDC0682" w14:textId="77777777" w:rsidR="00492148" w:rsidRPr="00D57E65" w:rsidRDefault="00492148" w:rsidP="00492148">
      <w:pPr>
        <w:rPr>
          <w:bCs/>
          <w:lang w:val="fr-FR"/>
        </w:rPr>
      </w:pPr>
      <w:r w:rsidRPr="00D57E65">
        <w:rPr>
          <w:bCs/>
          <w:lang w:val="fr-FR"/>
        </w:rPr>
        <w:t>1.3</w:t>
      </w:r>
      <w:r w:rsidRPr="00D57E65">
        <w:rPr>
          <w:bCs/>
          <w:lang w:val="fr-FR"/>
        </w:rPr>
        <w:tab/>
      </w:r>
      <w:bookmarkStart w:id="17" w:name="lt_pId037"/>
      <w:r w:rsidRPr="00D57E65">
        <w:rPr>
          <w:bCs/>
          <w:lang w:val="fr-FR"/>
        </w:rPr>
        <w:t>La CMDT-22 a abouti aux principaux résultats suivants:</w:t>
      </w:r>
      <w:bookmarkEnd w:id="17"/>
    </w:p>
    <w:p w14:paraId="46F281CB" w14:textId="43C4D1D3" w:rsidR="00492148" w:rsidRPr="00D57E65" w:rsidRDefault="00157C5B" w:rsidP="00157C5B">
      <w:pPr>
        <w:pStyle w:val="enumlev1"/>
        <w:rPr>
          <w:lang w:val="fr-FR"/>
        </w:rPr>
      </w:pPr>
      <w:bookmarkStart w:id="18" w:name="lt_pId038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 xml:space="preserve">La </w:t>
      </w:r>
      <w:r w:rsidR="00492148" w:rsidRPr="00D57E65">
        <w:rPr>
          <w:b/>
          <w:lang w:val="fr-FR"/>
        </w:rPr>
        <w:t>Déclaration de Kigali</w:t>
      </w:r>
      <w:r w:rsidR="00492148" w:rsidRPr="00D57E65">
        <w:rPr>
          <w:lang w:val="fr-FR"/>
        </w:rPr>
        <w:t>, qui met en évidence les principales conclusions et priorités établies par la Conférence et renforce l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appui politique en faveur de la mission de développement et des objectifs stratégiques de l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UIT.</w:t>
      </w:r>
      <w:bookmarkEnd w:id="18"/>
    </w:p>
    <w:p w14:paraId="606A170B" w14:textId="05097A2D" w:rsidR="00492148" w:rsidRPr="00D57E65" w:rsidRDefault="00157C5B" w:rsidP="00157C5B">
      <w:pPr>
        <w:pStyle w:val="enumlev1"/>
        <w:rPr>
          <w:lang w:val="fr-FR"/>
        </w:rPr>
      </w:pPr>
      <w:bookmarkStart w:id="19" w:name="lt_pId039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 xml:space="preserve">Le </w:t>
      </w:r>
      <w:r w:rsidR="00492148" w:rsidRPr="00D57E65">
        <w:rPr>
          <w:b/>
          <w:lang w:val="fr-FR"/>
        </w:rPr>
        <w:t>Plan d</w:t>
      </w:r>
      <w:r w:rsidR="001B693B" w:rsidRPr="00D57E65">
        <w:rPr>
          <w:b/>
          <w:lang w:val="fr-FR"/>
        </w:rPr>
        <w:t>'</w:t>
      </w:r>
      <w:r w:rsidR="00492148" w:rsidRPr="00D57E65">
        <w:rPr>
          <w:b/>
          <w:lang w:val="fr-FR"/>
        </w:rPr>
        <w:t>action de Kigali</w:t>
      </w:r>
      <w:r w:rsidR="00492148" w:rsidRPr="00D57E65">
        <w:rPr>
          <w:lang w:val="fr-FR"/>
        </w:rPr>
        <w:t>, qui constitue un programme détaillé destiné à promouvoir la mise en place, dans des conditions équitables et durables, de réseaux et services de télécommunication/TIC.</w:t>
      </w:r>
      <w:bookmarkEnd w:id="19"/>
    </w:p>
    <w:p w14:paraId="6102FA14" w14:textId="3847DD2D" w:rsidR="00492148" w:rsidRPr="00D57E65" w:rsidRDefault="00157C5B" w:rsidP="00157C5B">
      <w:pPr>
        <w:pStyle w:val="enumlev1"/>
        <w:rPr>
          <w:lang w:val="fr-FR"/>
        </w:rPr>
      </w:pPr>
      <w:bookmarkStart w:id="20" w:name="lt_pId040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>Des</w:t>
      </w:r>
      <w:r w:rsidR="00492148" w:rsidRPr="00D57E65">
        <w:rPr>
          <w:bCs/>
          <w:lang w:val="fr-FR"/>
        </w:rPr>
        <w:t xml:space="preserve"> </w:t>
      </w:r>
      <w:r w:rsidR="00492148" w:rsidRPr="00D57E65">
        <w:rPr>
          <w:b/>
          <w:lang w:val="fr-FR"/>
        </w:rPr>
        <w:t>initiatives régionales</w:t>
      </w:r>
      <w:r w:rsidR="00492148" w:rsidRPr="00D57E65">
        <w:rPr>
          <w:bCs/>
          <w:lang w:val="fr-FR"/>
        </w:rPr>
        <w:t xml:space="preserve"> </w:t>
      </w:r>
      <w:r w:rsidR="00492148" w:rsidRPr="00D57E65">
        <w:rPr>
          <w:lang w:val="fr-FR"/>
        </w:rPr>
        <w:t>pour la région Afrique, la région Amériques, la région des États</w:t>
      </w:r>
      <w:r w:rsidRPr="00D57E65">
        <w:rPr>
          <w:lang w:val="fr-FR"/>
        </w:rPr>
        <w:t> </w:t>
      </w:r>
      <w:r w:rsidR="00492148" w:rsidRPr="00D57E65">
        <w:rPr>
          <w:lang w:val="fr-FR"/>
        </w:rPr>
        <w:t>arabes, la région Asie-Pacifique, la Communauté des États indépendants (CEI) et la région Europe.</w:t>
      </w:r>
      <w:bookmarkEnd w:id="20"/>
      <w:r w:rsidR="00492148" w:rsidRPr="00D57E65">
        <w:rPr>
          <w:lang w:val="fr-FR"/>
        </w:rPr>
        <w:t xml:space="preserve"> </w:t>
      </w:r>
      <w:bookmarkStart w:id="21" w:name="lt_pId041"/>
      <w:r w:rsidR="00492148" w:rsidRPr="00D57E65">
        <w:rPr>
          <w:lang w:val="fr-FR"/>
        </w:rPr>
        <w:t>Les initiatives régionales ont pour objet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identifier les principaux domaines prioritaires des télécommunications/TIC intéressant une région, qui sont ensuite traités par le biais de partenariats et de la mobilisation de ressources, afin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exécuter des projets relevant du plan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action de l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UIT-D.</w:t>
      </w:r>
      <w:bookmarkEnd w:id="21"/>
    </w:p>
    <w:p w14:paraId="4A40BF7C" w14:textId="6412F06B" w:rsidR="00492148" w:rsidRPr="00D57E65" w:rsidRDefault="00157C5B" w:rsidP="00157C5B">
      <w:pPr>
        <w:pStyle w:val="enumlev1"/>
        <w:rPr>
          <w:lang w:val="fr-FR"/>
        </w:rPr>
      </w:pPr>
      <w:bookmarkStart w:id="22" w:name="lt_pId042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b/>
          <w:lang w:val="fr-FR"/>
        </w:rPr>
        <w:t xml:space="preserve">Quatre nouvelles résolutions </w:t>
      </w:r>
      <w:r w:rsidR="00492148" w:rsidRPr="00D57E65">
        <w:rPr>
          <w:lang w:val="fr-FR"/>
        </w:rPr>
        <w:t xml:space="preserve">et </w:t>
      </w:r>
      <w:r w:rsidR="00492148" w:rsidRPr="00D57E65">
        <w:rPr>
          <w:b/>
          <w:lang w:val="fr-FR"/>
        </w:rPr>
        <w:t>40 résolutions révisées</w:t>
      </w:r>
      <w:r w:rsidR="00492148" w:rsidRPr="00D57E65">
        <w:rPr>
          <w:bCs/>
          <w:lang w:val="fr-FR"/>
        </w:rPr>
        <w:t>.</w:t>
      </w:r>
      <w:bookmarkEnd w:id="22"/>
    </w:p>
    <w:p w14:paraId="30FED94E" w14:textId="197E23BA" w:rsidR="00492148" w:rsidRPr="00D57E65" w:rsidRDefault="00157C5B" w:rsidP="00157C5B">
      <w:pPr>
        <w:pStyle w:val="enumlev1"/>
        <w:rPr>
          <w:lang w:val="fr-FR"/>
        </w:rPr>
      </w:pPr>
      <w:bookmarkStart w:id="23" w:name="lt_pId043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>Des</w:t>
      </w:r>
      <w:r w:rsidR="00492148" w:rsidRPr="00D57E65">
        <w:rPr>
          <w:bCs/>
          <w:lang w:val="fr-FR"/>
        </w:rPr>
        <w:t xml:space="preserve"> </w:t>
      </w:r>
      <w:r w:rsidR="00492148" w:rsidRPr="00D57E65">
        <w:rPr>
          <w:b/>
          <w:lang w:val="fr-FR"/>
        </w:rPr>
        <w:t>Questions de l</w:t>
      </w:r>
      <w:r w:rsidR="001B693B" w:rsidRPr="00D57E65">
        <w:rPr>
          <w:b/>
          <w:lang w:val="fr-FR"/>
        </w:rPr>
        <w:t>'</w:t>
      </w:r>
      <w:r w:rsidR="00492148" w:rsidRPr="00D57E65">
        <w:rPr>
          <w:b/>
          <w:lang w:val="fr-FR"/>
        </w:rPr>
        <w:t>UIT-D à l</w:t>
      </w:r>
      <w:r w:rsidR="001B693B" w:rsidRPr="00D57E65">
        <w:rPr>
          <w:b/>
          <w:lang w:val="fr-FR"/>
        </w:rPr>
        <w:t>'</w:t>
      </w:r>
      <w:r w:rsidR="00492148" w:rsidRPr="00D57E65">
        <w:rPr>
          <w:b/>
          <w:lang w:val="fr-FR"/>
        </w:rPr>
        <w:t>étude</w:t>
      </w:r>
      <w:r w:rsidR="00492148" w:rsidRPr="00D57E65">
        <w:rPr>
          <w:bCs/>
          <w:lang w:val="fr-FR"/>
        </w:rPr>
        <w:t>, nouvelles ou révisées,</w:t>
      </w:r>
      <w:r w:rsidR="00492148" w:rsidRPr="00D57E65">
        <w:rPr>
          <w:lang w:val="fr-FR"/>
        </w:rPr>
        <w:t xml:space="preserve"> qui seront étudiées pendant la période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études 2022-2025.</w:t>
      </w:r>
      <w:bookmarkEnd w:id="23"/>
    </w:p>
    <w:p w14:paraId="3BE35656" w14:textId="436F72A3" w:rsidR="00492148" w:rsidRPr="00D57E65" w:rsidRDefault="00157C5B" w:rsidP="00157C5B">
      <w:pPr>
        <w:pStyle w:val="enumlev1"/>
        <w:rPr>
          <w:lang w:val="fr-FR"/>
        </w:rPr>
      </w:pPr>
      <w:bookmarkStart w:id="24" w:name="lt_pId044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 xml:space="preserve">La CMDT-22 a nommé les membres du </w:t>
      </w:r>
      <w:r w:rsidR="00492148" w:rsidRPr="00D57E65">
        <w:rPr>
          <w:b/>
          <w:lang w:val="fr-FR"/>
        </w:rPr>
        <w:t>Bureau du Groupe consultatif pour le développement des télécommunications (GCDT)</w:t>
      </w:r>
      <w:r w:rsidR="00492148" w:rsidRPr="00D57E65">
        <w:rPr>
          <w:lang w:val="fr-FR"/>
        </w:rPr>
        <w:t>, qui comprend le président et les vice</w:t>
      </w:r>
      <w:r w:rsidRPr="00D57E65">
        <w:rPr>
          <w:lang w:val="fr-FR"/>
        </w:rPr>
        <w:noBreakHyphen/>
      </w:r>
      <w:r w:rsidR="00492148" w:rsidRPr="00D57E65">
        <w:rPr>
          <w:lang w:val="fr-FR"/>
        </w:rPr>
        <w:t>présidents du GCDT, ainsi que les présidents des commissions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études.</w:t>
      </w:r>
      <w:bookmarkEnd w:id="24"/>
    </w:p>
    <w:p w14:paraId="1B73E248" w14:textId="16FF0C67" w:rsidR="00492148" w:rsidRPr="00D57E65" w:rsidRDefault="00157C5B" w:rsidP="00157C5B">
      <w:pPr>
        <w:pStyle w:val="enumlev1"/>
        <w:rPr>
          <w:lang w:val="fr-FR"/>
        </w:rPr>
      </w:pPr>
      <w:bookmarkStart w:id="25" w:name="lt_pId045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lang w:val="fr-FR"/>
        </w:rPr>
        <w:t xml:space="preserve">La CMDT-22 a nommé les membres des équipes de direction des </w:t>
      </w:r>
      <w:r w:rsidR="00492148" w:rsidRPr="00D57E65">
        <w:rPr>
          <w:b/>
          <w:lang w:val="fr-FR"/>
        </w:rPr>
        <w:t>commissions d</w:t>
      </w:r>
      <w:r w:rsidR="001B693B" w:rsidRPr="00D57E65">
        <w:rPr>
          <w:b/>
          <w:lang w:val="fr-FR"/>
        </w:rPr>
        <w:t>'</w:t>
      </w:r>
      <w:r w:rsidR="00492148" w:rsidRPr="00D57E65">
        <w:rPr>
          <w:b/>
          <w:lang w:val="fr-FR"/>
        </w:rPr>
        <w:t>études de l</w:t>
      </w:r>
      <w:r w:rsidR="001B693B" w:rsidRPr="00D57E65">
        <w:rPr>
          <w:b/>
          <w:lang w:val="fr-FR"/>
        </w:rPr>
        <w:t>'</w:t>
      </w:r>
      <w:r w:rsidR="00492148" w:rsidRPr="00D57E65">
        <w:rPr>
          <w:b/>
          <w:lang w:val="fr-FR"/>
        </w:rPr>
        <w:t>UIT-D</w:t>
      </w:r>
      <w:r w:rsidR="00492148" w:rsidRPr="00D57E65">
        <w:rPr>
          <w:lang w:val="fr-FR"/>
        </w:rPr>
        <w:t>, qui comprennent le président et les vice-présidents de chaque commission d</w:t>
      </w:r>
      <w:r w:rsidR="001B693B" w:rsidRPr="00D57E65">
        <w:rPr>
          <w:lang w:val="fr-FR"/>
        </w:rPr>
        <w:t>'</w:t>
      </w:r>
      <w:r w:rsidR="00492148" w:rsidRPr="00D57E65">
        <w:rPr>
          <w:lang w:val="fr-FR"/>
        </w:rPr>
        <w:t>études.</w:t>
      </w:r>
      <w:bookmarkEnd w:id="25"/>
    </w:p>
    <w:p w14:paraId="47BCB11C" w14:textId="7113F767" w:rsidR="00492148" w:rsidRPr="003A13A9" w:rsidRDefault="00492148" w:rsidP="00157C5B">
      <w:pPr>
        <w:pStyle w:val="Heading1"/>
        <w:rPr>
          <w:sz w:val="24"/>
          <w:szCs w:val="24"/>
          <w:lang w:val="fr-FR"/>
        </w:rPr>
      </w:pPr>
      <w:r w:rsidRPr="003A13A9">
        <w:rPr>
          <w:sz w:val="24"/>
          <w:szCs w:val="24"/>
          <w:lang w:val="fr-FR"/>
        </w:rPr>
        <w:t>2</w:t>
      </w:r>
      <w:r w:rsidRPr="003A13A9">
        <w:rPr>
          <w:sz w:val="24"/>
          <w:szCs w:val="24"/>
          <w:lang w:val="fr-FR"/>
        </w:rPr>
        <w:tab/>
      </w:r>
      <w:bookmarkStart w:id="26" w:name="lt_pId047"/>
      <w:r w:rsidRPr="003A13A9">
        <w:rPr>
          <w:sz w:val="24"/>
          <w:szCs w:val="24"/>
          <w:lang w:val="fr-FR"/>
        </w:rPr>
        <w:t>Plan d</w:t>
      </w:r>
      <w:r w:rsidR="001B693B" w:rsidRPr="003A13A9">
        <w:rPr>
          <w:sz w:val="24"/>
          <w:szCs w:val="24"/>
          <w:lang w:val="fr-FR"/>
        </w:rPr>
        <w:t>'</w:t>
      </w:r>
      <w:r w:rsidRPr="003A13A9">
        <w:rPr>
          <w:sz w:val="24"/>
          <w:szCs w:val="24"/>
          <w:lang w:val="fr-FR"/>
        </w:rPr>
        <w:t>action de Kigali</w:t>
      </w:r>
      <w:bookmarkEnd w:id="26"/>
      <w:r w:rsidRPr="003A13A9">
        <w:rPr>
          <w:sz w:val="24"/>
          <w:szCs w:val="24"/>
          <w:lang w:val="fr-FR"/>
        </w:rPr>
        <w:t xml:space="preserve"> (KAP)</w:t>
      </w:r>
    </w:p>
    <w:p w14:paraId="2CE3478E" w14:textId="535BFB96" w:rsidR="00492148" w:rsidRPr="00D57E65" w:rsidRDefault="00492148" w:rsidP="00492148">
      <w:pPr>
        <w:rPr>
          <w:lang w:val="fr-FR"/>
        </w:rPr>
      </w:pPr>
      <w:r w:rsidRPr="00D57E65">
        <w:rPr>
          <w:lang w:val="fr-FR"/>
        </w:rPr>
        <w:t>2.1</w:t>
      </w:r>
      <w:r w:rsidRPr="00D57E65">
        <w:rPr>
          <w:lang w:val="fr-FR"/>
        </w:rPr>
        <w:tab/>
      </w:r>
      <w:bookmarkStart w:id="27" w:name="lt_pId049"/>
      <w:r w:rsidRPr="00D57E65">
        <w:rPr>
          <w:lang w:val="fr-FR"/>
        </w:rPr>
        <w:t>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 suit un cadre de gestion axée sur les résultats (GAR) reposant sur les priorités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identifiées en tant que principaux domaines de travail, qui contribueront à la mise en œuvre du plan stratégique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 pour la période 2024-2027</w:t>
      </w:r>
      <w:bookmarkEnd w:id="27"/>
      <w:r w:rsidRPr="00D57E65">
        <w:rPr>
          <w:lang w:val="fr-FR"/>
        </w:rPr>
        <w:t>.</w:t>
      </w:r>
      <w:bookmarkStart w:id="28" w:name="lt_pId050"/>
      <w:r w:rsidRPr="00D57E65">
        <w:rPr>
          <w:lang w:val="fr-FR"/>
        </w:rPr>
        <w:t xml:space="preserve"> La Figure 1 représente la structure du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 et sa contribution au plan stratégique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UIT.</w:t>
      </w:r>
      <w:bookmarkEnd w:id="28"/>
    </w:p>
    <w:p w14:paraId="36E7C66B" w14:textId="77777777" w:rsidR="00157C5B" w:rsidRPr="00D57E65" w:rsidRDefault="00157C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FR"/>
        </w:rPr>
      </w:pPr>
      <w:r w:rsidRPr="00D57E65">
        <w:rPr>
          <w:b/>
          <w:bCs/>
          <w:lang w:val="fr-FR"/>
        </w:rPr>
        <w:br w:type="page"/>
      </w:r>
    </w:p>
    <w:p w14:paraId="263CD7E6" w14:textId="64F7F2C9" w:rsidR="00492148" w:rsidRPr="00D57E65" w:rsidRDefault="00492148" w:rsidP="00157C5B">
      <w:pPr>
        <w:pStyle w:val="Figuretitle"/>
        <w:rPr>
          <w:lang w:val="fr-FR"/>
        </w:rPr>
      </w:pPr>
      <w:r w:rsidRPr="00D57E65">
        <w:rPr>
          <w:lang w:val="fr-FR"/>
        </w:rPr>
        <w:lastRenderedPageBreak/>
        <w:t>Figure 1 – Structure du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 xml:space="preserve">action de Kigali et contribution de celui-ci </w:t>
      </w:r>
      <w:r w:rsidRPr="00D57E65">
        <w:rPr>
          <w:lang w:val="fr-FR"/>
        </w:rPr>
        <w:br/>
        <w:t>au plan stratégique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</w:t>
      </w:r>
    </w:p>
    <w:p w14:paraId="073346B5" w14:textId="77777777" w:rsidR="00492148" w:rsidRPr="00D57E65" w:rsidRDefault="00492148" w:rsidP="00157C5B">
      <w:pPr>
        <w:pStyle w:val="Figure"/>
        <w:jc w:val="center"/>
        <w:rPr>
          <w:lang w:val="fr-FR"/>
        </w:rPr>
      </w:pPr>
      <w:r w:rsidRPr="00D57E65">
        <w:rPr>
          <w:noProof/>
        </w:rPr>
        <w:drawing>
          <wp:inline distT="0" distB="0" distL="0" distR="0" wp14:anchorId="62E97337" wp14:editId="30F5F214">
            <wp:extent cx="4230000" cy="2772000"/>
            <wp:effectExtent l="0" t="0" r="0" b="9525"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00" cy="27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C516A" w14:textId="7C953770" w:rsidR="00492148" w:rsidRPr="00D57E65" w:rsidRDefault="00492148" w:rsidP="00157C5B">
      <w:pPr>
        <w:spacing w:before="240"/>
        <w:rPr>
          <w:lang w:val="fr-FR"/>
        </w:rPr>
      </w:pPr>
      <w:r w:rsidRPr="00D57E65">
        <w:rPr>
          <w:lang w:val="fr-FR"/>
        </w:rPr>
        <w:t>2.2</w:t>
      </w:r>
      <w:r w:rsidRPr="00D57E65">
        <w:rPr>
          <w:lang w:val="fr-FR"/>
        </w:rPr>
        <w:tab/>
      </w:r>
      <w:bookmarkStart w:id="29" w:name="lt_pId052"/>
      <w:r w:rsidRPr="00D57E65">
        <w:rPr>
          <w:lang w:val="fr-FR"/>
        </w:rPr>
        <w:t>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 repose sur les priorités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UIT-D, qui sont mises en œuvre par le biais de diverses offres (produits et services) et de divers catalyseurs essentiels.</w:t>
      </w:r>
      <w:bookmarkEnd w:id="29"/>
      <w:r w:rsidRPr="00D57E65">
        <w:rPr>
          <w:lang w:val="fr-FR"/>
        </w:rPr>
        <w:t xml:space="preserve"> </w:t>
      </w:r>
      <w:bookmarkStart w:id="30" w:name="lt_pId053"/>
      <w:r w:rsidRPr="00D57E65">
        <w:rPr>
          <w:lang w:val="fr-FR"/>
        </w:rPr>
        <w:t>Afin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assurer la cohérence avec le mandat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 et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autres initiatives et processus essentiels, ces priorités sont clairement rattachées à des résolutions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UIT, à des grandes orientations du SMSI et aux ODD</w:t>
      </w:r>
      <w:bookmarkEnd w:id="30"/>
      <w:r w:rsidRPr="00D57E65">
        <w:rPr>
          <w:lang w:val="fr-FR"/>
        </w:rPr>
        <w:t>.</w:t>
      </w:r>
    </w:p>
    <w:p w14:paraId="203C2A2C" w14:textId="61043B26" w:rsidR="00492148" w:rsidRPr="00D57E65" w:rsidRDefault="00492148" w:rsidP="00157C5B">
      <w:pPr>
        <w:pStyle w:val="Heading2"/>
        <w:rPr>
          <w:lang w:val="fr-FR"/>
        </w:rPr>
      </w:pPr>
      <w:r w:rsidRPr="00D57E65">
        <w:rPr>
          <w:lang w:val="fr-FR"/>
        </w:rPr>
        <w:t>2.3</w:t>
      </w:r>
      <w:r w:rsidRPr="00D57E65">
        <w:rPr>
          <w:lang w:val="fr-FR"/>
        </w:rPr>
        <w:tab/>
      </w:r>
      <w:bookmarkStart w:id="31" w:name="lt_pId055"/>
      <w:r w:rsidRPr="00D57E65">
        <w:rPr>
          <w:lang w:val="fr-FR"/>
        </w:rPr>
        <w:t>Priorités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</w:t>
      </w:r>
      <w:bookmarkEnd w:id="31"/>
    </w:p>
    <w:p w14:paraId="3F2AAB95" w14:textId="77777777" w:rsidR="00492148" w:rsidRPr="00D57E65" w:rsidRDefault="00492148" w:rsidP="00492148">
      <w:pPr>
        <w:rPr>
          <w:lang w:val="fr-FR"/>
        </w:rPr>
      </w:pPr>
      <w:bookmarkStart w:id="32" w:name="lt_pId056"/>
      <w:r w:rsidRPr="00D57E65">
        <w:rPr>
          <w:lang w:val="fr-FR"/>
        </w:rPr>
        <w:t>Les cinq priorités du Secteur du développement des télécommunications sont les suivantes:</w:t>
      </w:r>
      <w:bookmarkEnd w:id="32"/>
    </w:p>
    <w:p w14:paraId="6305458C" w14:textId="77777777" w:rsidR="00492148" w:rsidRPr="00D57E65" w:rsidRDefault="00492148" w:rsidP="00157C5B">
      <w:pPr>
        <w:pStyle w:val="Headingi"/>
        <w:rPr>
          <w:lang w:val="fr-FR"/>
        </w:rPr>
      </w:pPr>
      <w:bookmarkStart w:id="33" w:name="lt_pId057"/>
      <w:r w:rsidRPr="00D57E65">
        <w:rPr>
          <w:lang w:val="fr-FR"/>
        </w:rPr>
        <w:t>Connectivité financièrement abordable</w:t>
      </w:r>
      <w:bookmarkEnd w:id="33"/>
    </w:p>
    <w:p w14:paraId="5C4A0491" w14:textId="02A1BAE7" w:rsidR="00492148" w:rsidRPr="00D57E65" w:rsidRDefault="00492148" w:rsidP="00492148">
      <w:pPr>
        <w:rPr>
          <w:lang w:val="fr-FR"/>
        </w:rPr>
      </w:pPr>
      <w:bookmarkStart w:id="34" w:name="lt_pId058"/>
      <w:r w:rsidRPr="00D57E65">
        <w:rPr>
          <w:lang w:val="fr-FR"/>
        </w:rPr>
        <w:t>Cette priorité vise essentiellement à utiliser une connectivité moderne, disponible, sûre, accessible et financièrement abordable par le déploiement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une infrastructure et de services de télécommunication/TIC pour réduire les fractures numériques.</w:t>
      </w:r>
      <w:bookmarkEnd w:id="34"/>
    </w:p>
    <w:p w14:paraId="1E9E206B" w14:textId="77777777" w:rsidR="00492148" w:rsidRPr="00D57E65" w:rsidRDefault="00492148" w:rsidP="00157C5B">
      <w:pPr>
        <w:pStyle w:val="Headingi"/>
        <w:rPr>
          <w:lang w:val="fr-FR"/>
        </w:rPr>
      </w:pPr>
      <w:bookmarkStart w:id="35" w:name="lt_pId059"/>
      <w:r w:rsidRPr="00D57E65">
        <w:rPr>
          <w:lang w:val="fr-FR"/>
        </w:rPr>
        <w:t>Transformation numérique</w:t>
      </w:r>
      <w:bookmarkEnd w:id="35"/>
    </w:p>
    <w:p w14:paraId="334E785F" w14:textId="498FE5DE" w:rsidR="00492148" w:rsidRPr="00D57E65" w:rsidRDefault="00492148" w:rsidP="00492148">
      <w:pPr>
        <w:rPr>
          <w:lang w:val="fr-FR"/>
        </w:rPr>
      </w:pPr>
      <w:r w:rsidRPr="00D57E65">
        <w:rPr>
          <w:lang w:val="fr-FR"/>
        </w:rPr>
        <w:t>Cette priorité comporte les principaux éléments suivants: 1) développement et utilisation des télécommunications/TIC, ainsi que des applications et des services, pour réduire la fracture numérique et donner aux personnes et aux sociétés des moyens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agir en faveur du développement durable; 2) aide aux membres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afin de favoriser la transformation numérique en encourageant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esprit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entreprise dans le secteur des TIC et en renforçant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innovation dans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écosystème des TIC, tout en encourageant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autonomisation des parties prenantes locales en leur ouvrant de nouvelles perspectives dans le secteur des télécommunications/TIC.</w:t>
      </w:r>
    </w:p>
    <w:p w14:paraId="646CA3A2" w14:textId="77777777" w:rsidR="00492148" w:rsidRPr="00D57E65" w:rsidRDefault="00492148" w:rsidP="00157C5B">
      <w:pPr>
        <w:pStyle w:val="Headingi"/>
        <w:rPr>
          <w:lang w:val="fr-FR"/>
        </w:rPr>
      </w:pPr>
      <w:bookmarkStart w:id="36" w:name="lt_pId061"/>
      <w:r w:rsidRPr="00D57E65">
        <w:rPr>
          <w:lang w:val="fr-FR"/>
        </w:rPr>
        <w:t>Environnement politique et réglementaire propice</w:t>
      </w:r>
      <w:bookmarkEnd w:id="36"/>
    </w:p>
    <w:p w14:paraId="36CE76DD" w14:textId="1BE61A6D" w:rsidR="00492148" w:rsidRPr="00D57E65" w:rsidRDefault="00492148" w:rsidP="00492148">
      <w:pPr>
        <w:rPr>
          <w:lang w:val="fr-FR"/>
        </w:rPr>
      </w:pPr>
      <w:bookmarkStart w:id="37" w:name="lt_pId062"/>
      <w:r w:rsidRPr="00D57E65">
        <w:rPr>
          <w:lang w:val="fr-FR"/>
        </w:rPr>
        <w:t>Cette priorité vise essentiellement à promouvoir la mise en place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un environnement politique et réglementaire propice au développement durable des télécommunications/TIC, qui encourage les investissements dans les infrastructures et les TIC ainsi que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adoption accrue des télécommunications/TIC.</w:t>
      </w:r>
      <w:bookmarkEnd w:id="37"/>
    </w:p>
    <w:p w14:paraId="29B2BD2D" w14:textId="77777777" w:rsidR="00492148" w:rsidRPr="00D57E65" w:rsidRDefault="00492148" w:rsidP="006D476A">
      <w:pPr>
        <w:pStyle w:val="Headingi"/>
        <w:rPr>
          <w:lang w:val="fr-FR"/>
        </w:rPr>
      </w:pPr>
      <w:bookmarkStart w:id="38" w:name="lt_pId063"/>
      <w:r w:rsidRPr="00D57E65">
        <w:rPr>
          <w:lang w:val="fr-FR"/>
        </w:rPr>
        <w:lastRenderedPageBreak/>
        <w:t>Mobilisation de ressources et coopération internationale</w:t>
      </w:r>
      <w:bookmarkEnd w:id="38"/>
    </w:p>
    <w:p w14:paraId="4910265D" w14:textId="6CE8140C" w:rsidR="00492148" w:rsidRPr="00D57E65" w:rsidRDefault="00492148" w:rsidP="00492148">
      <w:pPr>
        <w:rPr>
          <w:lang w:val="fr-FR"/>
        </w:rPr>
      </w:pPr>
      <w:bookmarkStart w:id="39" w:name="lt_pId064"/>
      <w:r w:rsidRPr="00D57E65">
        <w:rPr>
          <w:lang w:val="fr-FR"/>
        </w:rPr>
        <w:t>Cette priorité vise essentiellement à mobiliser et à attirer des ressources, ainsi qu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à encourager la coopération internationale sur les questions de développement des télécommunications/TIC.</w:t>
      </w:r>
      <w:bookmarkStart w:id="40" w:name="lt_pId065"/>
      <w:bookmarkEnd w:id="39"/>
      <w:r w:rsidRPr="00D57E65">
        <w:rPr>
          <w:lang w:val="fr-FR"/>
        </w:rPr>
        <w:t xml:space="preserve"> Elle s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appuie sur une approche transversale, consistant à mettre à disposition des ressources et à encourager la coopération internationale, en vue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obtenir des résultats pertinents au niveau mondial.</w:t>
      </w:r>
      <w:bookmarkEnd w:id="40"/>
    </w:p>
    <w:p w14:paraId="0B9C8E69" w14:textId="77777777" w:rsidR="00492148" w:rsidRPr="00D57E65" w:rsidRDefault="00492148" w:rsidP="006D476A">
      <w:pPr>
        <w:pStyle w:val="Headingi"/>
        <w:rPr>
          <w:lang w:val="fr-FR"/>
        </w:rPr>
      </w:pPr>
      <w:bookmarkStart w:id="41" w:name="lt_pId066"/>
      <w:r w:rsidRPr="00D57E65">
        <w:rPr>
          <w:lang w:val="fr-FR"/>
        </w:rPr>
        <w:t>Télécommunications</w:t>
      </w:r>
      <w:r w:rsidRPr="003A13A9">
        <w:rPr>
          <w:i w:val="0"/>
          <w:lang w:val="fr-FR"/>
        </w:rPr>
        <w:t>/</w:t>
      </w:r>
      <w:r w:rsidRPr="00D57E65">
        <w:rPr>
          <w:lang w:val="fr-FR"/>
        </w:rPr>
        <w:t>TIC inclusives et sûres au service du développement durable</w:t>
      </w:r>
      <w:bookmarkEnd w:id="41"/>
    </w:p>
    <w:p w14:paraId="101016B5" w14:textId="15E0F80F" w:rsidR="00492148" w:rsidRPr="00D57E65" w:rsidRDefault="00492148" w:rsidP="00492148">
      <w:pPr>
        <w:rPr>
          <w:lang w:val="fr-FR"/>
        </w:rPr>
      </w:pPr>
      <w:bookmarkStart w:id="42" w:name="lt_pId067"/>
      <w:r w:rsidRPr="00D57E65">
        <w:rPr>
          <w:lang w:val="fr-FR"/>
        </w:rPr>
        <w:t>Cette priorité vise à aider les États Membres à établir des télécommunications/TIC sûres au service du développement du numérique pour tous.</w:t>
      </w:r>
      <w:bookmarkEnd w:id="42"/>
    </w:p>
    <w:p w14:paraId="5443D8F2" w14:textId="77777777" w:rsidR="00492148" w:rsidRPr="00D57E65" w:rsidRDefault="00492148" w:rsidP="006D476A">
      <w:pPr>
        <w:pStyle w:val="Heading2"/>
        <w:rPr>
          <w:lang w:val="fr-FR"/>
        </w:rPr>
      </w:pPr>
      <w:r w:rsidRPr="00D57E65">
        <w:rPr>
          <w:lang w:val="fr-FR"/>
        </w:rPr>
        <w:t>2.4</w:t>
      </w:r>
      <w:r w:rsidRPr="00D57E65">
        <w:rPr>
          <w:lang w:val="fr-FR"/>
        </w:rPr>
        <w:tab/>
      </w:r>
      <w:bookmarkStart w:id="43" w:name="lt_pId069"/>
      <w:r w:rsidRPr="00D57E65">
        <w:rPr>
          <w:lang w:val="fr-FR"/>
        </w:rPr>
        <w:t>Produits et services</w:t>
      </w:r>
      <w:bookmarkEnd w:id="43"/>
    </w:p>
    <w:p w14:paraId="49E6A8C9" w14:textId="43E3D8FF" w:rsidR="00492148" w:rsidRPr="00D57E65" w:rsidRDefault="00492148" w:rsidP="00492148">
      <w:pPr>
        <w:rPr>
          <w:lang w:val="fr-FR"/>
        </w:rPr>
      </w:pPr>
      <w:bookmarkStart w:id="44" w:name="lt_pId070"/>
      <w:r w:rsidRPr="00D57E65">
        <w:rPr>
          <w:lang w:val="fr-FR"/>
        </w:rPr>
        <w:t>Pour obtenir les réalisations souhaitées dans le cadre des priorités thématiques,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met à la disposition de ses membres, des institutions du système des Nations Unies et des autres parties prenantes divers produits et services.</w:t>
      </w:r>
      <w:bookmarkEnd w:id="44"/>
      <w:r w:rsidRPr="00D57E65">
        <w:rPr>
          <w:lang w:val="fr-FR"/>
        </w:rPr>
        <w:t xml:space="preserve"> </w:t>
      </w:r>
      <w:bookmarkStart w:id="45" w:name="lt_pId071"/>
      <w:r w:rsidRPr="00D57E65">
        <w:rPr>
          <w:lang w:val="fr-FR"/>
        </w:rPr>
        <w:t>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 xml:space="preserve">action de Kigali contient une liste </w:t>
      </w:r>
      <w:r w:rsidR="006D476A" w:rsidRPr="00D57E65">
        <w:rPr>
          <w:lang w:val="fr-FR"/>
        </w:rPr>
        <w:t xml:space="preserve">– </w:t>
      </w:r>
      <w:r w:rsidRPr="00D57E65">
        <w:rPr>
          <w:lang w:val="fr-FR"/>
        </w:rPr>
        <w:t>non exhaustive</w:t>
      </w:r>
      <w:r w:rsidR="006D476A" w:rsidRPr="00D57E65">
        <w:rPr>
          <w:lang w:val="fr-FR"/>
        </w:rPr>
        <w:t> –</w:t>
      </w:r>
      <w:r w:rsidRPr="00D57E65">
        <w:rPr>
          <w:lang w:val="fr-FR"/>
        </w:rPr>
        <w:t xml:space="preserve"> de ces produits et services, et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autres produits et services pourront être élaborés pour chaque résultat et chaque indicateur fondamental de performance (IFP), afin de faire en sorte que chaque priorité soit assortie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un cadre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</w:t>
      </w:r>
      <w:bookmarkEnd w:id="45"/>
      <w:r w:rsidRPr="00D57E65">
        <w:rPr>
          <w:lang w:val="fr-FR"/>
        </w:rPr>
        <w:t xml:space="preserve"> précis.</w:t>
      </w:r>
      <w:bookmarkStart w:id="46" w:name="lt_pId072"/>
      <w:r w:rsidRPr="00D57E65">
        <w:rPr>
          <w:lang w:val="fr-FR"/>
        </w:rPr>
        <w:t xml:space="preserve"> Les produits et services relèvent des grandes catégories suivantes:</w:t>
      </w:r>
      <w:bookmarkEnd w:id="46"/>
    </w:p>
    <w:p w14:paraId="30E5FDF0" w14:textId="3CB064E5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47" w:name="lt_pId073"/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492148" w:rsidRPr="00D57E65">
        <w:rPr>
          <w:i/>
          <w:iCs/>
          <w:lang w:val="fr-FR"/>
        </w:rPr>
        <w:t>Élaboration de cadres politiques et de supports de connaissance</w:t>
      </w:r>
      <w:bookmarkEnd w:id="47"/>
    </w:p>
    <w:p w14:paraId="024BAEA4" w14:textId="0E03427F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48" w:name="lt_pId074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Fourniture de données et de statistiques</w:t>
      </w:r>
      <w:bookmarkEnd w:id="48"/>
    </w:p>
    <w:p w14:paraId="2C7783E0" w14:textId="2E1AB11E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49" w:name="lt_pId075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Renforcement des capacités</w:t>
      </w:r>
      <w:bookmarkEnd w:id="49"/>
    </w:p>
    <w:p w14:paraId="000AE7FF" w14:textId="3C828C57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50" w:name="lt_pId076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Fourniture d</w:t>
      </w:r>
      <w:r w:rsidR="001B693B" w:rsidRPr="00D57E65">
        <w:rPr>
          <w:i/>
          <w:iCs/>
          <w:lang w:val="fr-FR"/>
        </w:rPr>
        <w:t>'</w:t>
      </w:r>
      <w:r w:rsidR="00492148" w:rsidRPr="00D57E65">
        <w:rPr>
          <w:i/>
          <w:iCs/>
          <w:lang w:val="fr-FR"/>
        </w:rPr>
        <w:t>une assistance technique</w:t>
      </w:r>
      <w:bookmarkEnd w:id="50"/>
    </w:p>
    <w:p w14:paraId="3D72CDEB" w14:textId="7A55FA70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51" w:name="lt_pId077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Plates-formes fédératrices</w:t>
      </w:r>
      <w:bookmarkEnd w:id="51"/>
    </w:p>
    <w:p w14:paraId="7852979F" w14:textId="77777777" w:rsidR="00492148" w:rsidRPr="00D57E65" w:rsidRDefault="00492148" w:rsidP="006D476A">
      <w:pPr>
        <w:pStyle w:val="Heading2"/>
        <w:rPr>
          <w:lang w:val="fr-FR"/>
        </w:rPr>
      </w:pPr>
      <w:r w:rsidRPr="00D57E65">
        <w:rPr>
          <w:lang w:val="fr-FR"/>
        </w:rPr>
        <w:t>2.5</w:t>
      </w:r>
      <w:r w:rsidRPr="00D57E65">
        <w:rPr>
          <w:lang w:val="fr-FR"/>
        </w:rPr>
        <w:tab/>
      </w:r>
      <w:bookmarkStart w:id="52" w:name="lt_pId079"/>
      <w:r w:rsidRPr="00D57E65">
        <w:rPr>
          <w:lang w:val="fr-FR"/>
        </w:rPr>
        <w:t>Catalyseurs</w:t>
      </w:r>
      <w:bookmarkEnd w:id="52"/>
    </w:p>
    <w:p w14:paraId="138FA1C8" w14:textId="4D060CC2" w:rsidR="00492148" w:rsidRPr="00D57E65" w:rsidRDefault="00492148" w:rsidP="00492148">
      <w:pPr>
        <w:rPr>
          <w:lang w:val="fr-FR"/>
        </w:rPr>
      </w:pPr>
      <w:bookmarkStart w:id="53" w:name="lt_pId080"/>
      <w:r w:rsidRPr="00D57E65">
        <w:rPr>
          <w:lang w:val="fr-FR"/>
        </w:rPr>
        <w:t>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mettra en œuvre 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par le biais de plusieurs "catalyseurs" définis dans 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Kigali.</w:t>
      </w:r>
      <w:bookmarkEnd w:id="53"/>
      <w:r w:rsidRPr="00D57E65">
        <w:rPr>
          <w:lang w:val="fr-FR"/>
        </w:rPr>
        <w:t xml:space="preserve"> </w:t>
      </w:r>
      <w:bookmarkStart w:id="54" w:name="lt_pId081"/>
      <w:r w:rsidRPr="00D57E65">
        <w:rPr>
          <w:lang w:val="fr-FR"/>
        </w:rPr>
        <w:t>Les catalyseurs sont des méthodes de travail qui permettent au BDT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atteindre ses objectifs et de mettre en œuvre ses priorités de manière plus efficiente et efficace.</w:t>
      </w:r>
      <w:bookmarkEnd w:id="54"/>
      <w:r w:rsidRPr="00D57E65">
        <w:rPr>
          <w:lang w:val="fr-FR"/>
        </w:rPr>
        <w:t xml:space="preserve"> </w:t>
      </w:r>
      <w:bookmarkStart w:id="55" w:name="lt_pId082"/>
      <w:r w:rsidRPr="00D57E65">
        <w:rPr>
          <w:lang w:val="fr-FR"/>
        </w:rPr>
        <w:t>Ils reflètent les valeurs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 que sont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efficacité, la transparence et la responsabilité,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ouverture,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universalité et la neutralité, ainsi que sa dimension humaine, orientée services et axée sur les résultats, s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appuient sur ses principaux atouts et pallient ses insuffisances, de manière qu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elle puisse aider ses membres.</w:t>
      </w:r>
      <w:bookmarkEnd w:id="55"/>
      <w:r w:rsidRPr="00D57E65">
        <w:rPr>
          <w:lang w:val="fr-FR"/>
        </w:rPr>
        <w:t xml:space="preserve"> </w:t>
      </w:r>
      <w:bookmarkStart w:id="56" w:name="lt_pId083"/>
      <w:r w:rsidRPr="00D57E65">
        <w:rPr>
          <w:lang w:val="fr-FR"/>
        </w:rPr>
        <w:t>Les catalyseurs définis dans 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 sont les suivants:</w:t>
      </w:r>
      <w:bookmarkEnd w:id="56"/>
    </w:p>
    <w:p w14:paraId="083E223E" w14:textId="001A8817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57" w:name="lt_pId084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Travaux reposant sur les contributions des membres</w:t>
      </w:r>
      <w:bookmarkEnd w:id="57"/>
    </w:p>
    <w:p w14:paraId="52B45AEC" w14:textId="47040709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58" w:name="lt_pId085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Présence régionale</w:t>
      </w:r>
      <w:bookmarkEnd w:id="58"/>
    </w:p>
    <w:p w14:paraId="6C10E4A0" w14:textId="2C618946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59" w:name="lt_pId086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Diversité et inclusion</w:t>
      </w:r>
      <w:bookmarkEnd w:id="59"/>
    </w:p>
    <w:p w14:paraId="5F1FC69C" w14:textId="387D458A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60" w:name="lt_pId087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Engagement en faveur de la durabilité environnementale</w:t>
      </w:r>
      <w:bookmarkEnd w:id="60"/>
    </w:p>
    <w:p w14:paraId="61132B82" w14:textId="05407D01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61" w:name="lt_pId088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Partenariats et coopération internationale</w:t>
      </w:r>
      <w:bookmarkEnd w:id="61"/>
    </w:p>
    <w:p w14:paraId="3778F617" w14:textId="7314E391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62" w:name="lt_pId089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Mobilisation de ressources</w:t>
      </w:r>
      <w:bookmarkEnd w:id="62"/>
    </w:p>
    <w:p w14:paraId="36859E5B" w14:textId="16534479" w:rsidR="00492148" w:rsidRPr="00D57E65" w:rsidRDefault="006D476A" w:rsidP="006D476A">
      <w:pPr>
        <w:pStyle w:val="enumlev1"/>
        <w:rPr>
          <w:i/>
          <w:iCs/>
          <w:lang w:val="fr-FR"/>
        </w:rPr>
      </w:pPr>
      <w:bookmarkStart w:id="63" w:name="lt_pId090"/>
      <w:r w:rsidRPr="00D57E65">
        <w:rPr>
          <w:i/>
          <w:iCs/>
          <w:lang w:val="fr-FR"/>
        </w:rPr>
        <w:t>–</w:t>
      </w:r>
      <w:r w:rsidRPr="00D57E65">
        <w:rPr>
          <w:i/>
          <w:iCs/>
          <w:lang w:val="fr-FR"/>
        </w:rPr>
        <w:tab/>
      </w:r>
      <w:r w:rsidR="00492148" w:rsidRPr="00D57E65">
        <w:rPr>
          <w:i/>
          <w:iCs/>
          <w:lang w:val="fr-FR"/>
        </w:rPr>
        <w:t>Excellence en matière de ressources humaines et d</w:t>
      </w:r>
      <w:r w:rsidR="001B693B" w:rsidRPr="00D57E65">
        <w:rPr>
          <w:i/>
          <w:iCs/>
          <w:lang w:val="fr-FR"/>
        </w:rPr>
        <w:t>'</w:t>
      </w:r>
      <w:r w:rsidR="00492148" w:rsidRPr="00D57E65">
        <w:rPr>
          <w:i/>
          <w:iCs/>
          <w:lang w:val="fr-FR"/>
        </w:rPr>
        <w:t>innovation institutionnelle</w:t>
      </w:r>
      <w:bookmarkEnd w:id="63"/>
    </w:p>
    <w:p w14:paraId="3F18E645" w14:textId="77777777" w:rsidR="00492148" w:rsidRPr="00D57E65" w:rsidRDefault="00492148" w:rsidP="006D476A">
      <w:pPr>
        <w:pStyle w:val="Heading2"/>
        <w:rPr>
          <w:lang w:val="fr-FR"/>
        </w:rPr>
      </w:pPr>
      <w:r w:rsidRPr="00D57E65">
        <w:rPr>
          <w:lang w:val="fr-FR"/>
        </w:rPr>
        <w:lastRenderedPageBreak/>
        <w:t>2.6</w:t>
      </w:r>
      <w:r w:rsidRPr="00D57E65">
        <w:rPr>
          <w:lang w:val="fr-FR"/>
        </w:rPr>
        <w:tab/>
      </w:r>
      <w:bookmarkStart w:id="64" w:name="lt_pId092"/>
      <w:r w:rsidRPr="00D57E65">
        <w:rPr>
          <w:lang w:val="fr-FR"/>
        </w:rPr>
        <w:t>Liens</w:t>
      </w:r>
      <w:bookmarkEnd w:id="64"/>
    </w:p>
    <w:p w14:paraId="3946BD68" w14:textId="76897AB4" w:rsidR="00492148" w:rsidRPr="00D57E65" w:rsidRDefault="00492148" w:rsidP="00492148">
      <w:pPr>
        <w:rPr>
          <w:lang w:val="fr-FR"/>
        </w:rPr>
      </w:pPr>
      <w:bookmarkStart w:id="65" w:name="lt_pId093"/>
      <w:r w:rsidRPr="00D57E65">
        <w:rPr>
          <w:lang w:val="fr-FR"/>
        </w:rPr>
        <w:t>Un objectif important du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 de Kigali est de veiller à ce que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continue de s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</w:t>
      </w:r>
      <w:r w:rsidR="003A13A9">
        <w:rPr>
          <w:lang w:val="fr-FR"/>
        </w:rPr>
        <w:t>cquitter de sa contribution au P</w:t>
      </w:r>
      <w:r w:rsidRPr="00D57E65">
        <w:rPr>
          <w:lang w:val="fr-FR"/>
        </w:rPr>
        <w:t>lan stratégique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 et de s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employer à atteindre les ODD fixés par les Nations Unies et à mettre en œuvre les grandes orientations du SMSI, ainsi que les résolutions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UIT, les initiatives régionales et les Questions confiées aux commissions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études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 pertinentes.</w:t>
      </w:r>
      <w:bookmarkEnd w:id="65"/>
      <w:r w:rsidRPr="00D57E65">
        <w:rPr>
          <w:lang w:val="fr-FR"/>
        </w:rPr>
        <w:t xml:space="preserve"> </w:t>
      </w:r>
      <w:bookmarkStart w:id="66" w:name="lt_pId094"/>
      <w:r w:rsidRPr="00D57E65">
        <w:rPr>
          <w:lang w:val="fr-FR"/>
        </w:rPr>
        <w:t>En conséquence, le plan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action, qui est organisé autour des priorités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UIT-D, donne des informations sur les liens entre les offres de produits et de services, les catalyseurs, les principaux produits, les résultats attendus et les indicateurs IFP correspondants</w:t>
      </w:r>
      <w:bookmarkEnd w:id="66"/>
      <w:r w:rsidR="006D476A" w:rsidRPr="00D57E65">
        <w:rPr>
          <w:lang w:val="fr-FR"/>
        </w:rPr>
        <w:t>.</w:t>
      </w:r>
    </w:p>
    <w:p w14:paraId="69DD1E8A" w14:textId="17B446DB" w:rsidR="00492148" w:rsidRPr="00D57E65" w:rsidRDefault="00492148" w:rsidP="00492148">
      <w:pPr>
        <w:rPr>
          <w:lang w:val="fr-FR"/>
        </w:rPr>
      </w:pPr>
      <w:bookmarkStart w:id="67" w:name="lt_pId095"/>
      <w:r w:rsidRPr="00D57E65">
        <w:rPr>
          <w:lang w:val="fr-FR"/>
        </w:rPr>
        <w:t>Les liens entre ces éléments sont illustrés dans la Figure 2 ci-dessous.</w:t>
      </w:r>
      <w:bookmarkStart w:id="68" w:name="lt_pId097"/>
      <w:bookmarkEnd w:id="67"/>
      <w:bookmarkEnd w:id="68"/>
    </w:p>
    <w:p w14:paraId="750B9367" w14:textId="6B5B3E87" w:rsidR="00B60838" w:rsidRPr="00D57E65" w:rsidRDefault="00B60838" w:rsidP="00B60838">
      <w:pPr>
        <w:pStyle w:val="Figuretitle"/>
        <w:spacing w:before="240"/>
        <w:rPr>
          <w:lang w:val="fr-FR"/>
        </w:rPr>
      </w:pPr>
      <w:r w:rsidRPr="00D57E65">
        <w:rPr>
          <w:lang w:val="fr-FR"/>
        </w:rPr>
        <w:t>Figure 2 – Liens entre les priorités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UIT-D, les principales offres de produits</w:t>
      </w:r>
      <w:r w:rsidRPr="00D57E65">
        <w:rPr>
          <w:lang w:val="fr-FR"/>
        </w:rPr>
        <w:br/>
        <w:t>et de services et les principaux catalyseurs et les Résolutions de l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UIT,</w:t>
      </w:r>
      <w:r w:rsidRPr="00D57E65">
        <w:rPr>
          <w:lang w:val="fr-FR"/>
        </w:rPr>
        <w:br/>
        <w:t>les grandes orientations du SMSI et les ODD</w:t>
      </w:r>
    </w:p>
    <w:p w14:paraId="5822DD36" w14:textId="54F0CB2B" w:rsidR="00B60838" w:rsidRPr="00D57E65" w:rsidRDefault="001B693B" w:rsidP="00B60838">
      <w:pPr>
        <w:pStyle w:val="Figure"/>
        <w:jc w:val="center"/>
        <w:rPr>
          <w:lang w:val="fr-FR"/>
        </w:rPr>
      </w:pPr>
      <w:r w:rsidRPr="00D57E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D4FED" wp14:editId="394141DB">
                <wp:simplePos x="0" y="0"/>
                <wp:positionH relativeFrom="margin">
                  <wp:posOffset>3748543</wp:posOffset>
                </wp:positionH>
                <wp:positionV relativeFrom="paragraph">
                  <wp:posOffset>2984113</wp:posOffset>
                </wp:positionV>
                <wp:extent cx="683812" cy="237186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2" cy="237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F921" w14:textId="5D78DE77" w:rsidR="001B693B" w:rsidRPr="00B60838" w:rsidRDefault="001B693B" w:rsidP="001B693B">
                            <w:pPr>
                              <w:tabs>
                                <w:tab w:val="clear" w:pos="794"/>
                              </w:tabs>
                              <w:spacing w:before="0" w:line="120" w:lineRule="exact"/>
                              <w:ind w:left="-142" w:right="-153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1B693B"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>Plates-formes fédératrices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9D4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15pt;margin-top:234.95pt;width:53.85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" stroked="f">
                <v:textbox>
                  <w:txbxContent>
                    <w:p w14:paraId="0DA6F921" w14:textId="5D78DE77" w:rsidR="001B693B" w:rsidRPr="00B60838" w:rsidRDefault="001B693B" w:rsidP="001B693B">
                      <w:pPr>
                        <w:tabs>
                          <w:tab w:val="clear" w:pos="794"/>
                        </w:tabs>
                        <w:spacing w:before="0" w:line="120" w:lineRule="exact"/>
                        <w:ind w:left="-142" w:right="-153"/>
                        <w:jc w:val="center"/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1B693B"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  <w:t>Plates-formes fédératrices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838" w:rsidRPr="00D57E6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EACDC" wp14:editId="1A11F1B2">
                <wp:simplePos x="0" y="0"/>
                <wp:positionH relativeFrom="column">
                  <wp:posOffset>4599333</wp:posOffset>
                </wp:positionH>
                <wp:positionV relativeFrom="paragraph">
                  <wp:posOffset>3365775</wp:posOffset>
                </wp:positionV>
                <wp:extent cx="1105231" cy="428929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428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2C19" w14:textId="70C69B21" w:rsidR="00B60838" w:rsidRPr="00B60838" w:rsidRDefault="00B60838" w:rsidP="001B693B">
                            <w:pPr>
                              <w:spacing w:before="0" w:line="130" w:lineRule="exact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B60838">
                              <w:rPr>
                                <w:b/>
                                <w:bCs/>
                                <w:sz w:val="14"/>
                                <w:szCs w:val="14"/>
                                <w:lang w:val="fr-FR"/>
                              </w:rPr>
                              <w:t>Excellence en matière de ressources humaines et d'innovation institutionnelle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EACDC" id="_x0000_s1027" type="#_x0000_t202" style="position:absolute;left:0;text-align:left;margin-left:362.15pt;margin-top:265pt;width:87.0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" stroked="f">
                <v:textbox>
                  <w:txbxContent>
                    <w:p w14:paraId="4C222C19" w14:textId="70C69B21" w:rsidR="00B60838" w:rsidRPr="00B60838" w:rsidRDefault="00B60838" w:rsidP="001B693B">
                      <w:pPr>
                        <w:spacing w:before="0" w:line="130" w:lineRule="exact"/>
                        <w:jc w:val="center"/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</w:pPr>
                      <w:r w:rsidRPr="00B60838">
                        <w:rPr>
                          <w:b/>
                          <w:bCs/>
                          <w:sz w:val="14"/>
                          <w:szCs w:val="14"/>
                          <w:lang w:val="fr-FR"/>
                        </w:rPr>
                        <w:t>Excellence en matière de ressources humaines et d'innovation institutionnelle</w:t>
                      </w:r>
                    </w:p>
                  </w:txbxContent>
                </v:textbox>
              </v:shape>
            </w:pict>
          </mc:Fallback>
        </mc:AlternateContent>
      </w:r>
      <w:r w:rsidR="00B60838" w:rsidRPr="00D57E65">
        <w:rPr>
          <w:noProof/>
        </w:rPr>
        <w:drawing>
          <wp:inline distT="0" distB="0" distL="0" distR="0" wp14:anchorId="72AB505B" wp14:editId="3136B61C">
            <wp:extent cx="6080400" cy="381600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9453E" w14:textId="76F24278" w:rsidR="00B60838" w:rsidRPr="00675C68" w:rsidRDefault="00B60838" w:rsidP="001B693B">
      <w:pPr>
        <w:pStyle w:val="Heading1"/>
        <w:rPr>
          <w:sz w:val="24"/>
          <w:szCs w:val="24"/>
          <w:lang w:val="fr-FR"/>
        </w:rPr>
      </w:pPr>
      <w:r w:rsidRPr="00675C68">
        <w:rPr>
          <w:sz w:val="24"/>
          <w:szCs w:val="24"/>
          <w:lang w:val="fr-FR"/>
        </w:rPr>
        <w:t>3</w:t>
      </w:r>
      <w:r w:rsidRPr="00675C68">
        <w:rPr>
          <w:sz w:val="24"/>
          <w:szCs w:val="24"/>
          <w:lang w:val="fr-FR"/>
        </w:rPr>
        <w:tab/>
        <w:t>Initiatives régionales</w:t>
      </w:r>
    </w:p>
    <w:p w14:paraId="1CC20EED" w14:textId="7B14ACE6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Les travaux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sont coordonnés entre six régions qui regroupent les membres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en fonction de leur emplacement géographique. Ces régions sont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 xml:space="preserve">Afrique, les Amériques, les </w:t>
      </w:r>
      <w:r w:rsidR="001B693B" w:rsidRPr="00D57E65">
        <w:rPr>
          <w:lang w:val="fr-FR"/>
        </w:rPr>
        <w:t>États </w:t>
      </w:r>
      <w:r w:rsidRPr="00B60838">
        <w:rPr>
          <w:lang w:val="fr-FR"/>
        </w:rPr>
        <w:t>arabes,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Asie-Pacifique, la CEI et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Europe. Dans le cadre du processus préparatoire en vue de la CMDT-22, chaque région élabore des initiatives spécifiques pour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dans la région et la</w:t>
      </w:r>
      <w:r w:rsidR="001B693B" w:rsidRPr="00D57E65">
        <w:rPr>
          <w:lang w:val="fr-FR"/>
        </w:rPr>
        <w:t> </w:t>
      </w:r>
      <w:r w:rsidRPr="00B60838">
        <w:rPr>
          <w:lang w:val="fr-FR"/>
        </w:rPr>
        <w:t>CMDT</w:t>
      </w:r>
      <w:r w:rsidR="001B693B" w:rsidRPr="00D57E65">
        <w:rPr>
          <w:lang w:val="fr-FR"/>
        </w:rPr>
        <w:noBreakHyphen/>
      </w:r>
      <w:r w:rsidRPr="00B60838">
        <w:rPr>
          <w:lang w:val="fr-FR"/>
        </w:rPr>
        <w:t>22 approuve ces priorités dans le cadre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initiatives régionales, qui constituent un produit essentiel du Secteur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pendant la période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à venir.</w:t>
      </w:r>
    </w:p>
    <w:p w14:paraId="3EF08EC8" w14:textId="77777777" w:rsidR="001B693B" w:rsidRPr="00D57E65" w:rsidRDefault="001B69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57E65">
        <w:rPr>
          <w:lang w:val="fr-FR"/>
        </w:rPr>
        <w:br w:type="page"/>
      </w:r>
    </w:p>
    <w:p w14:paraId="5BC364CD" w14:textId="7C5E0B9D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lastRenderedPageBreak/>
        <w:t>Au total, la CMDT-22 a approuvé 28 initiatives régionales réparties entre les six régions, comme suit:</w:t>
      </w:r>
    </w:p>
    <w:p w14:paraId="71FEE9FB" w14:textId="77777777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Région Afrique</w:t>
      </w:r>
    </w:p>
    <w:p w14:paraId="5B633665" w14:textId="6339E66B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="00B60838" w:rsidRPr="00D57E65">
        <w:rPr>
          <w:lang w:val="fr-FR"/>
        </w:rPr>
        <w:tab/>
        <w:t>ARF 1: Appuyer la transformation numérique pour permettre une transition rapide vers une économie numérique tout en accélérant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en Afrique</w:t>
      </w:r>
    </w:p>
    <w:p w14:paraId="082AB668" w14:textId="3F49823E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AFR2: Mise en œuvre et expansion des infrastructures à large bande, de la connectivité et des technologies émergentes</w:t>
      </w:r>
    </w:p>
    <w:p w14:paraId="69A474F7" w14:textId="75224B54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AFR3: Renforcer la confiance, la sûreté et la sécurité dans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utilisation des télécommunications/technologies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et la protection des données personnelles</w:t>
      </w:r>
    </w:p>
    <w:p w14:paraId="652828FB" w14:textId="02166988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AFR4: Promouvoir les technologies émergentes et les écosystèmes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</w:t>
      </w:r>
    </w:p>
    <w:p w14:paraId="50B90BAF" w14:textId="77777777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Région Amériques</w:t>
      </w:r>
    </w:p>
    <w:p w14:paraId="660224FE" w14:textId="15AFB2DD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AMS1: Déploiement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infrastructures de télécommunication/technologies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modernes, résilientes, sécurisées et durables</w:t>
      </w:r>
    </w:p>
    <w:p w14:paraId="7B521E1B" w14:textId="106D7CF7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AMS2: Amélioration et intensification des programmes de maîtrise des outils et compétences numériques et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inclusion numérique, en particulier pour les populations vulnérables</w:t>
      </w:r>
    </w:p>
    <w:p w14:paraId="1859D8FD" w14:textId="30DB3430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AMS3: Appui efficace à la transformation numérique et aux écosystèmes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dans le cadre de projets de connectivité modulables, financés et durables</w:t>
      </w:r>
    </w:p>
    <w:p w14:paraId="49E61A08" w14:textId="1A0D4E3C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AMS4: Mise en place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environnements politiques et réglementaires propices pour connecter les personnes qui ne le sont pas encore grâce à des télécommunications/technologies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accessibles et abordables qui favorisent la réalisation des Objectifs de développement durable et le passage à une économie numérique</w:t>
      </w:r>
    </w:p>
    <w:p w14:paraId="1B81809F" w14:textId="686780A1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 xml:space="preserve">Région des </w:t>
      </w:r>
      <w:r w:rsidR="00533D53" w:rsidRPr="00D57E65">
        <w:rPr>
          <w:lang w:val="fr-FR"/>
        </w:rPr>
        <w:t>États</w:t>
      </w:r>
      <w:r w:rsidRPr="00D57E65">
        <w:rPr>
          <w:lang w:val="fr-FR"/>
        </w:rPr>
        <w:t xml:space="preserve"> arabes</w:t>
      </w:r>
    </w:p>
    <w:p w14:paraId="523013D3" w14:textId="0B7F01A8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ARB1: Parvenir à une économie numérique durable grâce à la transformation numérique</w:t>
      </w:r>
    </w:p>
    <w:p w14:paraId="19756B1C" w14:textId="226F43CE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ARB2: Renforcer la confiance, la sécurité et la confidentialité dans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utilisation des télécommunications/technologies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à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ère des technologies numériques nouvelles et émergentes</w:t>
      </w:r>
    </w:p>
    <w:p w14:paraId="489AC266" w14:textId="1AD9C40A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ARB3: Développer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infrastructure numérique au service des villes et des communautés intelligentes</w:t>
      </w:r>
    </w:p>
    <w:p w14:paraId="7420A9DA" w14:textId="1CAD90C3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ARB4: Renforcer les capacités et encourager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innovation,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entrepreneuriat et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anticipation dans le domaine du numérique</w:t>
      </w:r>
    </w:p>
    <w:p w14:paraId="2421187E" w14:textId="4997502C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ARB5: Élaborer des moyens pour réglementer le numérique</w:t>
      </w:r>
    </w:p>
    <w:p w14:paraId="24B55CD6" w14:textId="77777777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Région Asie-Pacifique</w:t>
      </w:r>
    </w:p>
    <w:p w14:paraId="5CB74705" w14:textId="5F60B4DB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 xml:space="preserve">ASP1: Répondre aux besoins particuliers des pays les moins avancés, des petits </w:t>
      </w:r>
      <w:r w:rsidR="00DE6F99" w:rsidRPr="00D57E65">
        <w:rPr>
          <w:lang w:val="fr-FR"/>
        </w:rPr>
        <w:t>États</w:t>
      </w:r>
      <w:r w:rsidR="00B60838" w:rsidRPr="00D57E65">
        <w:rPr>
          <w:lang w:val="fr-FR"/>
        </w:rPr>
        <w:t xml:space="preserve"> insulaires en développement, y compris des pays insulaires du Pacifique, et des pays en développement sans littoral</w:t>
      </w:r>
    </w:p>
    <w:p w14:paraId="7E2C7D61" w14:textId="1C07122C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ASP2: Tirer parti des 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pour favoriser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économie numérique et créer des sociétés numériques inclusives</w:t>
      </w:r>
    </w:p>
    <w:p w14:paraId="0BD2E807" w14:textId="5650E8F1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lastRenderedPageBreak/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ASP3: Promouvoir le développement des infrastructures pour améliorer la connectivité numérique et connecter ceux qui ne le sont pas</w:t>
      </w:r>
    </w:p>
    <w:p w14:paraId="351C1CB3" w14:textId="79053FE9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ASP4: Créer un environnement politique et réglementaire favorable pour accélérer la transformation numérique</w:t>
      </w:r>
    </w:p>
    <w:p w14:paraId="1285D5CC" w14:textId="109395AB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ASP5: Contribuer à la mise en place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un environnement des 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fiable et solide</w:t>
      </w:r>
    </w:p>
    <w:p w14:paraId="3367B3A0" w14:textId="77777777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Région de la CEI</w:t>
      </w:r>
    </w:p>
    <w:p w14:paraId="2C62C3AA" w14:textId="08E1714E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CEI1: Développer les infrastructures pour promouvoir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et les partenariats dans le cadre de la mise en œuvre des nouvelles technologies – Internet des objets, y compris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Internet industriel, villes et communautés intelligentes, réseaux de communication 5G/IMT-2020 et réseaux de prochaine génération NET-2030, technologies quantiques, intelligence artificielle, santé numérique, compétences numériques et protection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environnement</w:t>
      </w:r>
    </w:p>
    <w:p w14:paraId="63F90F9F" w14:textId="4BC468F2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CEI2: Cybersécurité et protection des données personnelles</w:t>
      </w:r>
    </w:p>
    <w:p w14:paraId="64D92FCF" w14:textId="48FADAD0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CEI3: Créer un environnement juridique et réglementaire favorable pour accélérer la transformation numérique</w:t>
      </w:r>
    </w:p>
    <w:p w14:paraId="7B0C0B5C" w14:textId="5971D018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CEI4: Compétences numériques et accessibilité des 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 pour la population, en particulier pour les personnes handicapées</w:t>
      </w:r>
    </w:p>
    <w:p w14:paraId="181CCF98" w14:textId="7E490BB2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CIS5: Créer des villes et des communautés intelligentes</w:t>
      </w:r>
    </w:p>
    <w:p w14:paraId="2454C7C6" w14:textId="77777777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Région Europe</w:t>
      </w:r>
    </w:p>
    <w:p w14:paraId="6380AA54" w14:textId="4F1FC2C4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EUR1: Développement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infrastructure numérique</w:t>
      </w:r>
    </w:p>
    <w:p w14:paraId="5A134995" w14:textId="107FB465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EUR2: La transformation numérique au service de la résilience</w:t>
      </w:r>
    </w:p>
    <w:p w14:paraId="30FAB6A4" w14:textId="0E383C58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EUR3: Inclusion numérique et renforcement des capacités</w:t>
      </w:r>
    </w:p>
    <w:p w14:paraId="1D3D7F6E" w14:textId="1E6FB18B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EUR4: Confiance dans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utilisation des télécommunications/technologies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</w:t>
      </w:r>
    </w:p>
    <w:p w14:paraId="5B4E6E3C" w14:textId="3DFAF677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lang w:val="fr-FR"/>
        </w:rPr>
        <w:t>–</w:t>
      </w:r>
      <w:r w:rsidRPr="00D57E65">
        <w:rPr>
          <w:lang w:val="fr-FR"/>
        </w:rPr>
        <w:tab/>
      </w:r>
      <w:r w:rsidR="00B60838" w:rsidRPr="00D57E65">
        <w:rPr>
          <w:lang w:val="fr-FR"/>
        </w:rPr>
        <w:t>EUR5: Écosystèmes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numérique</w:t>
      </w:r>
    </w:p>
    <w:p w14:paraId="6AE7D461" w14:textId="5352A9D8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Les initiatives régionales ont une portée plus précise que les priorités de haut niveau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UIT-D, dans le cadre des priorités stratégiques globales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UIT. Des descriptions détaillées des résultats attendus au titre de chaque initiative régionale ont été définies par les régions et approuvées par la CMDT-22, afin de cibler davantage les travaux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dans la région concernée.</w:t>
      </w:r>
    </w:p>
    <w:p w14:paraId="5ACB6C3F" w14:textId="3049FE1D" w:rsidR="00B60838" w:rsidRPr="00675C68" w:rsidRDefault="00675C68" w:rsidP="001B693B">
      <w:pPr>
        <w:pStyle w:val="Heading1"/>
        <w:rPr>
          <w:sz w:val="24"/>
          <w:szCs w:val="24"/>
          <w:lang w:val="fr-FR"/>
        </w:rPr>
      </w:pPr>
      <w:r w:rsidRPr="00675C68">
        <w:rPr>
          <w:sz w:val="24"/>
          <w:szCs w:val="24"/>
          <w:lang w:val="fr-FR"/>
        </w:rPr>
        <w:t>4</w:t>
      </w:r>
      <w:r w:rsidR="00B60838" w:rsidRPr="00675C68">
        <w:rPr>
          <w:sz w:val="24"/>
          <w:szCs w:val="24"/>
          <w:lang w:val="fr-FR"/>
        </w:rPr>
        <w:tab/>
        <w:t>Questions confiées aux commissions d</w:t>
      </w:r>
      <w:r w:rsidR="001B693B" w:rsidRPr="00675C68">
        <w:rPr>
          <w:sz w:val="24"/>
          <w:szCs w:val="24"/>
          <w:lang w:val="fr-FR"/>
        </w:rPr>
        <w:t>'</w:t>
      </w:r>
      <w:r w:rsidR="00B60838" w:rsidRPr="00675C68">
        <w:rPr>
          <w:sz w:val="24"/>
          <w:szCs w:val="24"/>
          <w:lang w:val="fr-FR"/>
        </w:rPr>
        <w:t>études de l</w:t>
      </w:r>
      <w:r w:rsidR="001B693B" w:rsidRPr="00675C68">
        <w:rPr>
          <w:sz w:val="24"/>
          <w:szCs w:val="24"/>
          <w:lang w:val="fr-FR"/>
        </w:rPr>
        <w:t>'</w:t>
      </w:r>
      <w:r w:rsidR="00B60838" w:rsidRPr="00675C68">
        <w:rPr>
          <w:sz w:val="24"/>
          <w:szCs w:val="24"/>
          <w:lang w:val="fr-FR"/>
        </w:rPr>
        <w:t>UIT-D</w:t>
      </w:r>
    </w:p>
    <w:p w14:paraId="49049304" w14:textId="26234F4E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La CMDT-22 a révisé les Questions actuellement à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 au sein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et</w:t>
      </w:r>
      <w:r w:rsidR="00533D53" w:rsidRPr="00D57E65">
        <w:rPr>
          <w:lang w:val="fr-FR"/>
        </w:rPr>
        <w:t xml:space="preserve"> </w:t>
      </w:r>
      <w:r w:rsidRPr="00B60838">
        <w:rPr>
          <w:lang w:val="fr-FR"/>
        </w:rPr>
        <w:t>formulé</w:t>
      </w:r>
      <w:r w:rsidR="00533D53" w:rsidRPr="00D57E65">
        <w:rPr>
          <w:lang w:val="fr-FR"/>
        </w:rPr>
        <w:t xml:space="preserve"> </w:t>
      </w:r>
      <w:r w:rsidRPr="00B60838">
        <w:rPr>
          <w:lang w:val="fr-FR"/>
        </w:rPr>
        <w:t>une nouvelle</w:t>
      </w:r>
      <w:r w:rsidR="00533D53" w:rsidRPr="00D57E65">
        <w:rPr>
          <w:lang w:val="fr-FR"/>
        </w:rPr>
        <w:t xml:space="preserve"> </w:t>
      </w:r>
      <w:r w:rsidRPr="00B60838">
        <w:rPr>
          <w:lang w:val="fr-FR"/>
        </w:rPr>
        <w:t>Question, ce qui porte</w:t>
      </w:r>
      <w:r w:rsidR="00533D53" w:rsidRPr="00D57E65">
        <w:rPr>
          <w:lang w:val="fr-FR"/>
        </w:rPr>
        <w:t xml:space="preserve"> </w:t>
      </w:r>
      <w:r w:rsidRPr="00B60838">
        <w:rPr>
          <w:lang w:val="fr-FR"/>
        </w:rPr>
        <w:t>à quatorze (14) le nombre total de Questions à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 pour la période 2022-2025. Les Questions confiées à la Commission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1 ont pour thème "Mise en place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un environnement propice à une connectivité efficace" tandis que les Questions confiées à la Commission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2 portent sur la "Transformation numérique", comme indiqué dans le tableau ci-dessous.</w:t>
      </w:r>
    </w:p>
    <w:p w14:paraId="4F88CA08" w14:textId="0657A4DB" w:rsidR="00B60838" w:rsidRPr="00D57E65" w:rsidRDefault="00B60838" w:rsidP="00675C68">
      <w:pPr>
        <w:pStyle w:val="Tabletitle"/>
        <w:spacing w:after="240"/>
        <w:rPr>
          <w:lang w:val="fr-FR"/>
        </w:rPr>
      </w:pPr>
      <w:r w:rsidRPr="00D57E65">
        <w:rPr>
          <w:lang w:val="fr-FR"/>
        </w:rPr>
        <w:lastRenderedPageBreak/>
        <w:t>Commission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études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B60838" w:rsidRPr="00D57E65" w14:paraId="776C23DA" w14:textId="77777777" w:rsidTr="00675C68">
        <w:trPr>
          <w:trHeight w:val="117"/>
          <w:tblHeader/>
          <w:jc w:val="center"/>
        </w:trPr>
        <w:tc>
          <w:tcPr>
            <w:tcW w:w="2208" w:type="dxa"/>
          </w:tcPr>
          <w:p w14:paraId="4DBB7CFB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Nouveau numéro</w:t>
            </w:r>
          </w:p>
        </w:tc>
        <w:tc>
          <w:tcPr>
            <w:tcW w:w="3402" w:type="dxa"/>
          </w:tcPr>
          <w:p w14:paraId="2CB68E7D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Titre</w:t>
            </w:r>
          </w:p>
        </w:tc>
        <w:tc>
          <w:tcPr>
            <w:tcW w:w="3402" w:type="dxa"/>
          </w:tcPr>
          <w:p w14:paraId="72851B10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Source</w:t>
            </w:r>
          </w:p>
        </w:tc>
      </w:tr>
      <w:tr w:rsidR="00B60838" w:rsidRPr="003A13A9" w14:paraId="327E95E9" w14:textId="77777777" w:rsidTr="00675C68">
        <w:trPr>
          <w:trHeight w:val="213"/>
          <w:jc w:val="center"/>
        </w:trPr>
        <w:tc>
          <w:tcPr>
            <w:tcW w:w="2208" w:type="dxa"/>
          </w:tcPr>
          <w:p w14:paraId="0AA869E5" w14:textId="5002AECF" w:rsidR="00B60838" w:rsidRPr="00D57E65" w:rsidRDefault="00B60838" w:rsidP="00675C68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</w:t>
            </w:r>
            <w:r w:rsidR="00675C68">
              <w:rPr>
                <w:b/>
                <w:bCs/>
                <w:lang w:val="fr-FR"/>
              </w:rPr>
              <w:t>uestion</w:t>
            </w:r>
            <w:r w:rsidRPr="00D57E65">
              <w:rPr>
                <w:b/>
                <w:bCs/>
                <w:lang w:val="fr-FR"/>
              </w:rPr>
              <w:t xml:space="preserve"> 1/1</w:t>
            </w:r>
          </w:p>
        </w:tc>
        <w:tc>
          <w:tcPr>
            <w:tcW w:w="3402" w:type="dxa"/>
          </w:tcPr>
          <w:p w14:paraId="79F327DE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Stratégies et politiques pour le déploiement du large bande dans les pays en développement</w:t>
            </w:r>
          </w:p>
        </w:tc>
        <w:tc>
          <w:tcPr>
            <w:tcW w:w="3402" w:type="dxa"/>
          </w:tcPr>
          <w:p w14:paraId="004D59E7" w14:textId="2757BC56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1/1 et nouveaux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</w:t>
            </w:r>
          </w:p>
        </w:tc>
      </w:tr>
      <w:tr w:rsidR="00B60838" w:rsidRPr="003A13A9" w14:paraId="48631FFC" w14:textId="77777777" w:rsidTr="00675C68">
        <w:trPr>
          <w:trHeight w:val="417"/>
          <w:jc w:val="center"/>
        </w:trPr>
        <w:tc>
          <w:tcPr>
            <w:tcW w:w="2208" w:type="dxa"/>
          </w:tcPr>
          <w:p w14:paraId="3D49DED1" w14:textId="47BD67BA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</w:t>
            </w:r>
            <w:r w:rsidR="00675C68" w:rsidRPr="00D57E65">
              <w:rPr>
                <w:b/>
                <w:bCs/>
                <w:lang w:val="fr-FR"/>
              </w:rPr>
              <w:t>uestion</w:t>
            </w:r>
            <w:r w:rsidRPr="00D57E65">
              <w:rPr>
                <w:b/>
                <w:bCs/>
                <w:lang w:val="fr-FR"/>
              </w:rPr>
              <w:t xml:space="preserve"> 2/1</w:t>
            </w:r>
          </w:p>
        </w:tc>
        <w:tc>
          <w:tcPr>
            <w:tcW w:w="3402" w:type="dxa"/>
          </w:tcPr>
          <w:p w14:paraId="55F5D19D" w14:textId="258B6E2A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Stratégies, politiques, réglementations et méthodes relatives au passage aux technologies numériques pour la radiodiffusion et à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adoption de ces technologies, notamment pour fournir de nouveaux services dans divers environnements</w:t>
            </w:r>
          </w:p>
        </w:tc>
        <w:tc>
          <w:tcPr>
            <w:tcW w:w="3402" w:type="dxa"/>
          </w:tcPr>
          <w:p w14:paraId="52775E22" w14:textId="333D3B44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2/1 avec un titre modifié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7FEE4413" w14:textId="77777777" w:rsidTr="00675C68">
        <w:trPr>
          <w:trHeight w:val="315"/>
          <w:jc w:val="center"/>
        </w:trPr>
        <w:tc>
          <w:tcPr>
            <w:tcW w:w="2208" w:type="dxa"/>
          </w:tcPr>
          <w:p w14:paraId="1DCED406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3/1*</w:t>
            </w:r>
          </w:p>
        </w:tc>
        <w:tc>
          <w:tcPr>
            <w:tcW w:w="3402" w:type="dxa"/>
          </w:tcPr>
          <w:p w14:paraId="22A8BCFA" w14:textId="315CABCA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Utilisation des télécommunications/TIC pour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atténuation et la gestion des risques de catastrophes</w:t>
            </w:r>
          </w:p>
        </w:tc>
        <w:tc>
          <w:tcPr>
            <w:tcW w:w="3402" w:type="dxa"/>
          </w:tcPr>
          <w:p w14:paraId="3E6691A5" w14:textId="6168DC5D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Anciennement Question 5/2 de la Commission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études 2, dont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se poursuit</w:t>
            </w:r>
            <w:r w:rsidR="00533D53" w:rsidRPr="00D57E65">
              <w:rPr>
                <w:lang w:val="fr-FR"/>
              </w:rPr>
              <w:t xml:space="preserve"> </w:t>
            </w:r>
            <w:r w:rsidRPr="00D57E65">
              <w:rPr>
                <w:lang w:val="fr-FR"/>
              </w:rPr>
              <w:t>avec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2B1C61DE" w14:textId="77777777" w:rsidTr="00675C68">
        <w:trPr>
          <w:trHeight w:val="315"/>
          <w:jc w:val="center"/>
        </w:trPr>
        <w:tc>
          <w:tcPr>
            <w:tcW w:w="2208" w:type="dxa"/>
          </w:tcPr>
          <w:p w14:paraId="72B684A3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4/1</w:t>
            </w:r>
          </w:p>
        </w:tc>
        <w:tc>
          <w:tcPr>
            <w:tcW w:w="3402" w:type="dxa"/>
          </w:tcPr>
          <w:p w14:paraId="5F0B453E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Aspects économiques des télécommunications/TIC nationales</w:t>
            </w:r>
          </w:p>
        </w:tc>
        <w:tc>
          <w:tcPr>
            <w:tcW w:w="3402" w:type="dxa"/>
          </w:tcPr>
          <w:p w14:paraId="4E6C483E" w14:textId="5362125F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4/1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1599849A" w14:textId="77777777" w:rsidTr="00675C68">
        <w:trPr>
          <w:trHeight w:val="315"/>
          <w:jc w:val="center"/>
        </w:trPr>
        <w:tc>
          <w:tcPr>
            <w:tcW w:w="2208" w:type="dxa"/>
          </w:tcPr>
          <w:p w14:paraId="7AE35856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5/1</w:t>
            </w:r>
          </w:p>
        </w:tc>
        <w:tc>
          <w:tcPr>
            <w:tcW w:w="3402" w:type="dxa"/>
          </w:tcPr>
          <w:p w14:paraId="7EC0E183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Télécommunications/TIC pour les zones rurales et isolées</w:t>
            </w:r>
          </w:p>
        </w:tc>
        <w:tc>
          <w:tcPr>
            <w:tcW w:w="3402" w:type="dxa"/>
          </w:tcPr>
          <w:p w14:paraId="48984B9C" w14:textId="4A6D811A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5/1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1160BA43" w14:textId="77777777" w:rsidTr="00675C68">
        <w:trPr>
          <w:trHeight w:val="315"/>
          <w:jc w:val="center"/>
        </w:trPr>
        <w:tc>
          <w:tcPr>
            <w:tcW w:w="2208" w:type="dxa"/>
          </w:tcPr>
          <w:p w14:paraId="3D80D51F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6/1</w:t>
            </w:r>
          </w:p>
        </w:tc>
        <w:tc>
          <w:tcPr>
            <w:tcW w:w="3402" w:type="dxa"/>
          </w:tcPr>
          <w:p w14:paraId="127CE38D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Information, protection et droits des consommateurs</w:t>
            </w:r>
          </w:p>
        </w:tc>
        <w:tc>
          <w:tcPr>
            <w:tcW w:w="3402" w:type="dxa"/>
          </w:tcPr>
          <w:p w14:paraId="5C32512B" w14:textId="75FD5453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6/1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335691E4" w14:textId="77777777" w:rsidTr="00675C68">
        <w:trPr>
          <w:trHeight w:val="315"/>
          <w:jc w:val="center"/>
        </w:trPr>
        <w:tc>
          <w:tcPr>
            <w:tcW w:w="2208" w:type="dxa"/>
          </w:tcPr>
          <w:p w14:paraId="46D6556F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7/1</w:t>
            </w:r>
          </w:p>
        </w:tc>
        <w:tc>
          <w:tcPr>
            <w:tcW w:w="3402" w:type="dxa"/>
          </w:tcPr>
          <w:p w14:paraId="27986CE6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Accessibilité des télécommunications/TIC pour permettre une communication inclusive, en particulier pour les personnes handicapées</w:t>
            </w:r>
          </w:p>
        </w:tc>
        <w:tc>
          <w:tcPr>
            <w:tcW w:w="3402" w:type="dxa"/>
          </w:tcPr>
          <w:p w14:paraId="1D968AC6" w14:textId="0E08F9A8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7/1 avec un titre modifié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</w:tbl>
    <w:p w14:paraId="2BBC27D3" w14:textId="77777777" w:rsidR="00675C68" w:rsidRDefault="00675C68" w:rsidP="00EA7CB3">
      <w:pPr>
        <w:pStyle w:val="Tabletitle"/>
        <w:spacing w:before="360"/>
        <w:rPr>
          <w:lang w:val="fr-FR"/>
        </w:rPr>
      </w:pPr>
      <w:r>
        <w:rPr>
          <w:lang w:val="fr-FR"/>
        </w:rPr>
        <w:br w:type="page"/>
      </w:r>
    </w:p>
    <w:p w14:paraId="1B27A801" w14:textId="59DDC42F" w:rsidR="00B60838" w:rsidRPr="00D57E65" w:rsidRDefault="00B60838" w:rsidP="0066172E">
      <w:pPr>
        <w:pStyle w:val="Tabletitle"/>
        <w:spacing w:before="360" w:after="240"/>
        <w:rPr>
          <w:lang w:val="fr-FR"/>
        </w:rPr>
      </w:pPr>
      <w:r w:rsidRPr="00D57E65">
        <w:rPr>
          <w:lang w:val="fr-FR"/>
        </w:rPr>
        <w:lastRenderedPageBreak/>
        <w:t>Commission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études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B60838" w:rsidRPr="00D57E65" w14:paraId="000BA1B5" w14:textId="77777777" w:rsidTr="0066172E">
        <w:trPr>
          <w:trHeight w:val="117"/>
          <w:tblHeader/>
          <w:jc w:val="center"/>
        </w:trPr>
        <w:tc>
          <w:tcPr>
            <w:tcW w:w="2208" w:type="dxa"/>
          </w:tcPr>
          <w:p w14:paraId="5B64EF7A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Nouveau numéro</w:t>
            </w:r>
          </w:p>
        </w:tc>
        <w:tc>
          <w:tcPr>
            <w:tcW w:w="3402" w:type="dxa"/>
          </w:tcPr>
          <w:p w14:paraId="4A43EF3D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Titre</w:t>
            </w:r>
          </w:p>
        </w:tc>
        <w:tc>
          <w:tcPr>
            <w:tcW w:w="3402" w:type="dxa"/>
          </w:tcPr>
          <w:p w14:paraId="2B3DE1C9" w14:textId="77777777" w:rsidR="00B60838" w:rsidRPr="00D57E65" w:rsidRDefault="00B60838" w:rsidP="001B693B">
            <w:pPr>
              <w:pStyle w:val="Tablehead"/>
              <w:rPr>
                <w:lang w:val="fr-FR"/>
              </w:rPr>
            </w:pPr>
            <w:r w:rsidRPr="00D57E65">
              <w:rPr>
                <w:lang w:val="fr-FR"/>
              </w:rPr>
              <w:t>Source</w:t>
            </w:r>
          </w:p>
        </w:tc>
      </w:tr>
      <w:tr w:rsidR="00B60838" w:rsidRPr="003A13A9" w14:paraId="34982583" w14:textId="77777777" w:rsidTr="0066172E">
        <w:trPr>
          <w:trHeight w:val="315"/>
          <w:jc w:val="center"/>
        </w:trPr>
        <w:tc>
          <w:tcPr>
            <w:tcW w:w="2208" w:type="dxa"/>
          </w:tcPr>
          <w:p w14:paraId="59474D62" w14:textId="52B8F741" w:rsidR="00B60838" w:rsidRPr="00D57E65" w:rsidRDefault="00B60838" w:rsidP="0066172E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</w:t>
            </w:r>
            <w:r w:rsidR="0066172E">
              <w:rPr>
                <w:b/>
                <w:bCs/>
                <w:lang w:val="fr-FR"/>
              </w:rPr>
              <w:t>uestion</w:t>
            </w:r>
            <w:r w:rsidRPr="00D57E65">
              <w:rPr>
                <w:b/>
                <w:bCs/>
                <w:lang w:val="fr-FR"/>
              </w:rPr>
              <w:t xml:space="preserve"> 1/2</w:t>
            </w:r>
          </w:p>
        </w:tc>
        <w:tc>
          <w:tcPr>
            <w:tcW w:w="3402" w:type="dxa"/>
          </w:tcPr>
          <w:p w14:paraId="1F707E06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Villes et communautés intelligentes et durables</w:t>
            </w:r>
          </w:p>
        </w:tc>
        <w:tc>
          <w:tcPr>
            <w:tcW w:w="3402" w:type="dxa"/>
          </w:tcPr>
          <w:p w14:paraId="399F6FFE" w14:textId="05A0EFC5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1/2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136BDD38" w14:textId="77777777" w:rsidTr="0066172E">
        <w:trPr>
          <w:trHeight w:val="315"/>
          <w:jc w:val="center"/>
        </w:trPr>
        <w:tc>
          <w:tcPr>
            <w:tcW w:w="2208" w:type="dxa"/>
          </w:tcPr>
          <w:p w14:paraId="4BE3DBF2" w14:textId="5B945DEB" w:rsidR="00B60838" w:rsidRPr="00D57E65" w:rsidRDefault="00B60838" w:rsidP="0066172E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</w:t>
            </w:r>
            <w:r w:rsidR="0066172E">
              <w:rPr>
                <w:b/>
                <w:bCs/>
                <w:lang w:val="fr-FR"/>
              </w:rPr>
              <w:t>uestion</w:t>
            </w:r>
            <w:r w:rsidRPr="00D57E65">
              <w:rPr>
                <w:b/>
                <w:bCs/>
                <w:lang w:val="fr-FR"/>
              </w:rPr>
              <w:t xml:space="preserve"> 2/2</w:t>
            </w:r>
          </w:p>
        </w:tc>
        <w:tc>
          <w:tcPr>
            <w:tcW w:w="3402" w:type="dxa"/>
          </w:tcPr>
          <w:p w14:paraId="7F79A615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Technologies de base pour les cyberservices et les cyberapplications, y compris la cybersanté et le cyberenseignement</w:t>
            </w:r>
          </w:p>
        </w:tc>
        <w:tc>
          <w:tcPr>
            <w:tcW w:w="3402" w:type="dxa"/>
          </w:tcPr>
          <w:p w14:paraId="78E5654B" w14:textId="41C88AAC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la Question 2/2, dont la portée a été élargie afin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englober davantage de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</w:t>
            </w:r>
          </w:p>
        </w:tc>
      </w:tr>
      <w:tr w:rsidR="00B60838" w:rsidRPr="003A13A9" w14:paraId="470D10EB" w14:textId="77777777" w:rsidTr="0066172E">
        <w:trPr>
          <w:trHeight w:val="315"/>
          <w:jc w:val="center"/>
        </w:trPr>
        <w:tc>
          <w:tcPr>
            <w:tcW w:w="2208" w:type="dxa"/>
          </w:tcPr>
          <w:p w14:paraId="2C126145" w14:textId="77777777" w:rsidR="00B60838" w:rsidRPr="00D57E65" w:rsidRDefault="00B60838" w:rsidP="00EA7CB3">
            <w:pPr>
              <w:pStyle w:val="Tabletext"/>
              <w:keepLines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3/2</w:t>
            </w:r>
          </w:p>
        </w:tc>
        <w:tc>
          <w:tcPr>
            <w:tcW w:w="3402" w:type="dxa"/>
          </w:tcPr>
          <w:p w14:paraId="582A692F" w14:textId="6059E340" w:rsidR="00B60838" w:rsidRPr="00D57E65" w:rsidRDefault="00B60838" w:rsidP="00EA7CB3">
            <w:pPr>
              <w:pStyle w:val="Tabletext"/>
              <w:keepLines/>
              <w:rPr>
                <w:lang w:val="fr-FR"/>
              </w:rPr>
            </w:pPr>
            <w:r w:rsidRPr="00D57E65">
              <w:rPr>
                <w:lang w:val="fr-FR"/>
              </w:rPr>
              <w:t>Sécurisation des réseaux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information et de communication: bonnes pratiques pour créer une culture de la cybersécurité</w:t>
            </w:r>
          </w:p>
        </w:tc>
        <w:tc>
          <w:tcPr>
            <w:tcW w:w="3402" w:type="dxa"/>
          </w:tcPr>
          <w:p w14:paraId="6E121719" w14:textId="55EB7B8E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3/2 avec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77499AA6" w14:textId="77777777" w:rsidTr="0066172E">
        <w:trPr>
          <w:trHeight w:val="315"/>
          <w:jc w:val="center"/>
        </w:trPr>
        <w:tc>
          <w:tcPr>
            <w:tcW w:w="2208" w:type="dxa"/>
          </w:tcPr>
          <w:p w14:paraId="5B4EE481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4/2</w:t>
            </w:r>
          </w:p>
        </w:tc>
        <w:tc>
          <w:tcPr>
            <w:tcW w:w="3402" w:type="dxa"/>
          </w:tcPr>
          <w:p w14:paraId="7CA12098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Conformité et interopérabilité des équipements de télécommunication/TIC, et lutte contre la contrefaçon et le vol de dispositifs mobiles</w:t>
            </w:r>
          </w:p>
        </w:tc>
        <w:tc>
          <w:tcPr>
            <w:tcW w:w="3402" w:type="dxa"/>
          </w:tcPr>
          <w:p w14:paraId="4C6C7176" w14:textId="6A00C64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4/2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D57E65" w14:paraId="5D3AE0F8" w14:textId="77777777" w:rsidTr="0066172E">
        <w:trPr>
          <w:trHeight w:val="213"/>
          <w:jc w:val="center"/>
        </w:trPr>
        <w:tc>
          <w:tcPr>
            <w:tcW w:w="2208" w:type="dxa"/>
          </w:tcPr>
          <w:p w14:paraId="5DBEC9E4" w14:textId="3E0E4D95" w:rsidR="00B60838" w:rsidRPr="00D57E65" w:rsidRDefault="00C64FCE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</w:t>
            </w:r>
            <w:r w:rsidR="00B60838" w:rsidRPr="00D57E65">
              <w:rPr>
                <w:b/>
                <w:bCs/>
                <w:lang w:val="fr-FR"/>
              </w:rPr>
              <w:t xml:space="preserve"> 5/2*</w:t>
            </w:r>
          </w:p>
        </w:tc>
        <w:tc>
          <w:tcPr>
            <w:tcW w:w="3402" w:type="dxa"/>
          </w:tcPr>
          <w:p w14:paraId="7B5405C5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Adoption des télécommunications/TIC et amélioration des compétences numériques</w:t>
            </w:r>
          </w:p>
        </w:tc>
        <w:tc>
          <w:tcPr>
            <w:tcW w:w="3402" w:type="dxa"/>
          </w:tcPr>
          <w:p w14:paraId="616E3D84" w14:textId="77777777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Nouvelle Question</w:t>
            </w:r>
          </w:p>
        </w:tc>
      </w:tr>
      <w:tr w:rsidR="00B60838" w:rsidRPr="003A13A9" w14:paraId="55C490A6" w14:textId="77777777" w:rsidTr="0066172E">
        <w:trPr>
          <w:trHeight w:val="315"/>
          <w:jc w:val="center"/>
        </w:trPr>
        <w:tc>
          <w:tcPr>
            <w:tcW w:w="2208" w:type="dxa"/>
          </w:tcPr>
          <w:p w14:paraId="36D57923" w14:textId="4C5F05AB" w:rsidR="00B60838" w:rsidRPr="00D57E65" w:rsidRDefault="00C64FCE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</w:t>
            </w:r>
            <w:bookmarkStart w:id="69" w:name="_GoBack"/>
            <w:bookmarkEnd w:id="69"/>
            <w:r w:rsidR="00B60838" w:rsidRPr="00D57E65">
              <w:rPr>
                <w:b/>
                <w:bCs/>
                <w:lang w:val="fr-FR"/>
              </w:rPr>
              <w:t xml:space="preserve"> 6/2</w:t>
            </w:r>
          </w:p>
        </w:tc>
        <w:tc>
          <w:tcPr>
            <w:tcW w:w="3402" w:type="dxa"/>
          </w:tcPr>
          <w:p w14:paraId="369514E6" w14:textId="3311168D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Les TIC au service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environnement</w:t>
            </w:r>
          </w:p>
        </w:tc>
        <w:tc>
          <w:tcPr>
            <w:tcW w:w="3402" w:type="dxa"/>
          </w:tcPr>
          <w:p w14:paraId="104F8596" w14:textId="76D3EE35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de la Question</w:t>
            </w:r>
            <w:r w:rsidR="00EA7CB3" w:rsidRPr="00D57E65">
              <w:rPr>
                <w:lang w:val="fr-FR"/>
              </w:rPr>
              <w:t> </w:t>
            </w:r>
            <w:r w:rsidRPr="00D57E65">
              <w:rPr>
                <w:lang w:val="fr-FR"/>
              </w:rPr>
              <w:t>6/2 avec un titre abrégé et des sujets d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étude mis à jour</w:t>
            </w:r>
          </w:p>
        </w:tc>
      </w:tr>
      <w:tr w:rsidR="00B60838" w:rsidRPr="003A13A9" w14:paraId="6C1F2A31" w14:textId="77777777" w:rsidTr="0066172E">
        <w:trPr>
          <w:trHeight w:val="213"/>
          <w:jc w:val="center"/>
        </w:trPr>
        <w:tc>
          <w:tcPr>
            <w:tcW w:w="2208" w:type="dxa"/>
          </w:tcPr>
          <w:p w14:paraId="70EE233E" w14:textId="77777777" w:rsidR="00B60838" w:rsidRPr="00D57E65" w:rsidRDefault="00B60838" w:rsidP="001B693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D57E65">
              <w:rPr>
                <w:b/>
                <w:bCs/>
                <w:lang w:val="fr-FR"/>
              </w:rPr>
              <w:t>Question 7/2</w:t>
            </w:r>
          </w:p>
        </w:tc>
        <w:tc>
          <w:tcPr>
            <w:tcW w:w="3402" w:type="dxa"/>
          </w:tcPr>
          <w:p w14:paraId="7ACAF3C9" w14:textId="16F49ACD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Stratégies et politiques concernant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>exposition des personnes aux champs électromagnétiques</w:t>
            </w:r>
          </w:p>
        </w:tc>
        <w:tc>
          <w:tcPr>
            <w:tcW w:w="3402" w:type="dxa"/>
          </w:tcPr>
          <w:p w14:paraId="56F7665F" w14:textId="6DAF03EA" w:rsidR="00B60838" w:rsidRPr="00D57E65" w:rsidRDefault="00B60838" w:rsidP="001B693B">
            <w:pPr>
              <w:pStyle w:val="Tabletext"/>
              <w:rPr>
                <w:lang w:val="fr-FR"/>
              </w:rPr>
            </w:pPr>
            <w:r w:rsidRPr="00D57E65">
              <w:rPr>
                <w:lang w:val="fr-FR"/>
              </w:rPr>
              <w:t>Poursuite de l</w:t>
            </w:r>
            <w:r w:rsidR="001B693B" w:rsidRPr="00D57E65">
              <w:rPr>
                <w:lang w:val="fr-FR"/>
              </w:rPr>
              <w:t>'</w:t>
            </w:r>
            <w:r w:rsidRPr="00D57E65">
              <w:rPr>
                <w:lang w:val="fr-FR"/>
              </w:rPr>
              <w:t xml:space="preserve">étude de la Question </w:t>
            </w:r>
          </w:p>
        </w:tc>
      </w:tr>
    </w:tbl>
    <w:p w14:paraId="02A29849" w14:textId="5FC2C5C9" w:rsidR="00B60838" w:rsidRPr="0066172E" w:rsidRDefault="00B60838" w:rsidP="001B693B">
      <w:pPr>
        <w:pStyle w:val="Heading1"/>
        <w:rPr>
          <w:sz w:val="24"/>
          <w:szCs w:val="24"/>
          <w:lang w:val="fr-FR"/>
        </w:rPr>
      </w:pPr>
      <w:r w:rsidRPr="0066172E">
        <w:rPr>
          <w:sz w:val="24"/>
          <w:szCs w:val="24"/>
          <w:lang w:val="fr-FR"/>
        </w:rPr>
        <w:t>5</w:t>
      </w:r>
      <w:r w:rsidRPr="0066172E">
        <w:rPr>
          <w:sz w:val="24"/>
          <w:szCs w:val="24"/>
          <w:lang w:val="fr-FR"/>
        </w:rPr>
        <w:tab/>
        <w:t>Résolutions de la CMDT-22</w:t>
      </w:r>
    </w:p>
    <w:p w14:paraId="32B8CD03" w14:textId="77962B5F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La CMDT-22 a révisé 40 Résolutions existantes de la CMDT, afin de faire en sorte que les activités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 demeurent en</w:t>
      </w:r>
      <w:r w:rsidR="00533D53" w:rsidRPr="00D57E65">
        <w:rPr>
          <w:lang w:val="fr-FR"/>
        </w:rPr>
        <w:t xml:space="preserve"> </w:t>
      </w:r>
      <w:r w:rsidRPr="00B60838">
        <w:rPr>
          <w:lang w:val="fr-FR"/>
        </w:rPr>
        <w:t>phase avec les besoins des membres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UIT. La Conférence a également élaboré quatre (4) nouvelles Résolutions sur les sujets suivants:</w:t>
      </w:r>
    </w:p>
    <w:p w14:paraId="769DB12C" w14:textId="0A69BFFA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bCs/>
          <w:lang w:val="fr-FR"/>
        </w:rPr>
        <w:t>–</w:t>
      </w:r>
      <w:r w:rsidRPr="00D57E65">
        <w:rPr>
          <w:bCs/>
          <w:lang w:val="fr-FR"/>
        </w:rPr>
        <w:tab/>
      </w:r>
      <w:r w:rsidR="00B60838" w:rsidRPr="00D57E65">
        <w:rPr>
          <w:b/>
          <w:lang w:val="fr-FR"/>
        </w:rPr>
        <w:t>Résolution 87 (Kigali, 2022)</w:t>
      </w:r>
      <w:r w:rsidR="00B60838" w:rsidRPr="00D57E65">
        <w:rPr>
          <w:bCs/>
          <w:lang w:val="fr-FR"/>
        </w:rPr>
        <w:t xml:space="preserve">: </w:t>
      </w:r>
      <w:r w:rsidR="00B60838" w:rsidRPr="00D57E65">
        <w:rPr>
          <w:lang w:val="fr-FR"/>
        </w:rPr>
        <w:t>Connecter toutes les écoles à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Internet et tous les jeunes aux services issus des technologies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information et de la communication. Cette Résolution vise à garantir que chaque école soit connectée à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Internet dans le cadre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initiative Giga, lancée conjointement par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UIT et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UNICEF.</w:t>
      </w:r>
    </w:p>
    <w:p w14:paraId="1AA2E7F6" w14:textId="0493B7D4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bCs/>
          <w:lang w:val="fr-FR"/>
        </w:rPr>
        <w:t>–</w:t>
      </w:r>
      <w:r w:rsidRPr="00D57E65">
        <w:rPr>
          <w:bCs/>
          <w:lang w:val="fr-FR"/>
        </w:rPr>
        <w:tab/>
      </w:r>
      <w:r w:rsidR="00B60838" w:rsidRPr="00D57E65">
        <w:rPr>
          <w:b/>
          <w:lang w:val="fr-FR"/>
        </w:rPr>
        <w:t>Résolution 88 (Kigali, 2022)</w:t>
      </w:r>
      <w:r w:rsidR="00B60838" w:rsidRPr="00D57E65">
        <w:rPr>
          <w:bCs/>
          <w:lang w:val="fr-FR"/>
        </w:rPr>
        <w:t xml:space="preserve">: </w:t>
      </w:r>
      <w:r w:rsidR="00B60838" w:rsidRPr="00D57E65">
        <w:rPr>
          <w:lang w:val="fr-FR"/>
        </w:rPr>
        <w:t>Coalition pour le numérique Partner2Connect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UIT. Cette Résolution vise à faire de la Coalition pour le numérique Partner2Connect le principal mécanisme destiné à encourager la conclusion de nouveaux partenariats pour promouvoir une connectivité efficace et la transformation numérique à travers le monde, notamment, mais non exclusivement, dans les communautés les plus difficiles à connecter.</w:t>
      </w:r>
    </w:p>
    <w:p w14:paraId="76A98F52" w14:textId="6A5C7A19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bCs/>
          <w:lang w:val="fr-FR"/>
        </w:rPr>
        <w:lastRenderedPageBreak/>
        <w:t>–</w:t>
      </w:r>
      <w:r w:rsidRPr="00D57E65">
        <w:rPr>
          <w:bCs/>
          <w:lang w:val="fr-FR"/>
        </w:rPr>
        <w:tab/>
      </w:r>
      <w:r w:rsidR="00B60838" w:rsidRPr="00D57E65">
        <w:rPr>
          <w:b/>
          <w:lang w:val="fr-FR"/>
        </w:rPr>
        <w:t>Résolution 89 (Kigali, 2022)</w:t>
      </w:r>
      <w:r w:rsidR="00B60838" w:rsidRPr="00D57E65">
        <w:rPr>
          <w:bCs/>
          <w:lang w:val="fr-FR"/>
        </w:rPr>
        <w:t xml:space="preserve">: </w:t>
      </w:r>
      <w:r w:rsidR="00B60838" w:rsidRPr="00D57E65">
        <w:rPr>
          <w:lang w:val="fr-FR"/>
        </w:rPr>
        <w:t>La transformation numérique au service du développement durable. Cette Résolution vise à encourager les efforts visant à promouvoir la transformation numérique au service du développement durable, compte tenu de</w:t>
      </w:r>
      <w:r w:rsidR="00533D53" w:rsidRPr="00D57E65">
        <w:rPr>
          <w:lang w:val="fr-FR"/>
        </w:rPr>
        <w:t xml:space="preserve"> </w:t>
      </w:r>
      <w:r w:rsidR="00B60838" w:rsidRPr="00D57E65">
        <w:rPr>
          <w:lang w:val="fr-FR"/>
        </w:rPr>
        <w:t>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énorme potentiel qu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offrent les TIC comme vecteurs de changement positif, efficace et durable. À cet égard, le Directeur du Bureau des radiocommunications, le Directeur du Bureau de la normalisation des télécommunications et le Directeur du Bureau de développement des télécommunications sont invités à collaborer activement,</w:t>
      </w:r>
      <w:r w:rsidR="00533D53" w:rsidRPr="00D57E65">
        <w:rPr>
          <w:lang w:val="fr-FR"/>
        </w:rPr>
        <w:t xml:space="preserve"> </w:t>
      </w:r>
      <w:r w:rsidR="00B60838" w:rsidRPr="00D57E65">
        <w:rPr>
          <w:lang w:val="fr-FR"/>
        </w:rPr>
        <w:t>afin de répondre aux besoins énoncés dans cette Résolution, dans les domaines d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intérêt mutuel ayant trait aux technologies de transformation numérique, dans le cadre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approche "Une UIT unie dans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action", et en renforçant la coordination entre les trois Secteurs.</w:t>
      </w:r>
    </w:p>
    <w:p w14:paraId="61EC3D84" w14:textId="41E8290F" w:rsidR="00B60838" w:rsidRPr="00D57E65" w:rsidRDefault="001B693B" w:rsidP="001B693B">
      <w:pPr>
        <w:pStyle w:val="enumlev1"/>
        <w:rPr>
          <w:lang w:val="fr-FR"/>
        </w:rPr>
      </w:pPr>
      <w:r w:rsidRPr="00D57E65">
        <w:rPr>
          <w:bCs/>
          <w:lang w:val="fr-FR"/>
        </w:rPr>
        <w:t>–</w:t>
      </w:r>
      <w:r w:rsidRPr="00D57E65">
        <w:rPr>
          <w:bCs/>
          <w:lang w:val="fr-FR"/>
        </w:rPr>
        <w:tab/>
      </w:r>
      <w:r w:rsidR="00B60838" w:rsidRPr="00D57E65">
        <w:rPr>
          <w:b/>
          <w:lang w:val="fr-FR"/>
        </w:rPr>
        <w:t>Résolution 90 (Kigali, 2022)</w:t>
      </w:r>
      <w:r w:rsidR="00B60838" w:rsidRPr="00D57E65">
        <w:rPr>
          <w:bCs/>
          <w:lang w:val="fr-FR"/>
        </w:rPr>
        <w:t xml:space="preserve">: </w:t>
      </w:r>
      <w:r w:rsidR="00B60838" w:rsidRPr="00D57E65">
        <w:rPr>
          <w:lang w:val="fr-FR"/>
        </w:rPr>
        <w:t>Promouvoir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entrepreneuriat centré sur les télécommunications/TIC et les écosystèmes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numérique pour le développement durable du numérique. Cette Résolution vise à créer un environnement propice à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entrepreneuriat et aux écosystèmes de l</w:t>
      </w:r>
      <w:r w:rsidRPr="00D57E65">
        <w:rPr>
          <w:lang w:val="fr-FR"/>
        </w:rPr>
        <w:t>'</w:t>
      </w:r>
      <w:r w:rsidR="00B60838" w:rsidRPr="00D57E65">
        <w:rPr>
          <w:lang w:val="fr-FR"/>
        </w:rPr>
        <w:t>innovation numérique, pour contribuer à accélérer la réalisation des Objectifs de développement durable fixés par les Nations Unies.</w:t>
      </w:r>
    </w:p>
    <w:p w14:paraId="3F00CD31" w14:textId="2275EF8E" w:rsidR="00B60838" w:rsidRPr="0066172E" w:rsidRDefault="00B60838" w:rsidP="001B693B">
      <w:pPr>
        <w:pStyle w:val="Heading1"/>
        <w:rPr>
          <w:sz w:val="24"/>
          <w:szCs w:val="24"/>
          <w:lang w:val="fr-FR"/>
        </w:rPr>
      </w:pPr>
      <w:r w:rsidRPr="0066172E">
        <w:rPr>
          <w:sz w:val="24"/>
          <w:szCs w:val="24"/>
          <w:lang w:val="fr-FR"/>
        </w:rPr>
        <w:t>6</w:t>
      </w:r>
      <w:r w:rsidRPr="0066172E">
        <w:rPr>
          <w:sz w:val="24"/>
          <w:szCs w:val="24"/>
          <w:lang w:val="fr-FR"/>
        </w:rPr>
        <w:tab/>
        <w:t>Groupe consultatif pour le développement des télécommunications (GCDT)</w:t>
      </w:r>
    </w:p>
    <w:p w14:paraId="1CCC9B48" w14:textId="733667A9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Le bureau du GCDT comprend le président et les vice-présidents du GCDT, ainsi que les présidents des commissions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UIT-D. La CMDT-22 a nommé la présidente et les vice-présidents du</w:t>
      </w:r>
      <w:r w:rsidR="001B693B" w:rsidRPr="00D57E65">
        <w:rPr>
          <w:lang w:val="fr-FR"/>
        </w:rPr>
        <w:t> </w:t>
      </w:r>
      <w:r w:rsidRPr="00B60838">
        <w:rPr>
          <w:lang w:val="fr-FR"/>
        </w:rPr>
        <w:t>GCDT, comme suit:</w:t>
      </w:r>
    </w:p>
    <w:p w14:paraId="6C9DEC64" w14:textId="77777777" w:rsidR="00DC7EDC" w:rsidRDefault="00B60838" w:rsidP="001B693B">
      <w:pPr>
        <w:ind w:firstLine="794"/>
        <w:rPr>
          <w:bCs/>
          <w:lang w:val="fr-FR"/>
        </w:rPr>
      </w:pPr>
      <w:r w:rsidRPr="00B60838">
        <w:rPr>
          <w:b/>
          <w:bCs/>
          <w:lang w:val="fr-FR"/>
        </w:rPr>
        <w:t>Présidente</w:t>
      </w:r>
      <w:r w:rsidRPr="00DC7EDC">
        <w:rPr>
          <w:b/>
          <w:bCs/>
          <w:lang w:val="fr-FR"/>
        </w:rPr>
        <w:t>:</w:t>
      </w:r>
      <w:r w:rsidRPr="00B60838">
        <w:rPr>
          <w:bCs/>
          <w:lang w:val="fr-FR"/>
        </w:rPr>
        <w:t xml:space="preserve"> </w:t>
      </w:r>
    </w:p>
    <w:p w14:paraId="706DE1C2" w14:textId="1662F000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bCs/>
          <w:lang w:val="fr-FR"/>
        </w:rPr>
        <w:t>Mme Roxanne McElvane Webber (États-Unis d</w:t>
      </w:r>
      <w:r w:rsidR="001B693B" w:rsidRPr="00D57E65">
        <w:rPr>
          <w:bCs/>
          <w:lang w:val="fr-FR"/>
        </w:rPr>
        <w:t>'</w:t>
      </w:r>
      <w:r w:rsidRPr="00B60838">
        <w:rPr>
          <w:bCs/>
          <w:lang w:val="fr-FR"/>
        </w:rPr>
        <w:t>Amérique)</w:t>
      </w:r>
    </w:p>
    <w:p w14:paraId="427AD00E" w14:textId="1DBFBF4E" w:rsidR="00B60838" w:rsidRPr="00B60838" w:rsidRDefault="00B60838" w:rsidP="001B693B">
      <w:pPr>
        <w:ind w:firstLine="794"/>
        <w:rPr>
          <w:b/>
          <w:bCs/>
          <w:lang w:val="fr-FR"/>
        </w:rPr>
      </w:pPr>
      <w:r w:rsidRPr="00B60838">
        <w:rPr>
          <w:b/>
          <w:bCs/>
          <w:lang w:val="fr-FR"/>
        </w:rPr>
        <w:t>Vice-</w:t>
      </w:r>
      <w:r w:rsidR="0057148A" w:rsidRPr="00D57E65">
        <w:rPr>
          <w:b/>
          <w:bCs/>
          <w:lang w:val="fr-FR"/>
        </w:rPr>
        <w:t>Présidents</w:t>
      </w:r>
      <w:r w:rsidRPr="00B60838">
        <w:rPr>
          <w:b/>
          <w:bCs/>
          <w:lang w:val="fr-FR"/>
        </w:rPr>
        <w:t>:</w:t>
      </w:r>
    </w:p>
    <w:p w14:paraId="7C8C773C" w14:textId="4239C301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Regina Fleur Assoumou Bessou (Présidente de la Commission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1)</w:t>
      </w:r>
    </w:p>
    <w:p w14:paraId="33C723F2" w14:textId="7B2AB992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Fadel Digham (Président de la Commission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2)</w:t>
      </w:r>
    </w:p>
    <w:p w14:paraId="79BACB29" w14:textId="4E954480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M. Christopher Kemei (Kenya)</w:t>
      </w:r>
    </w:p>
    <w:p w14:paraId="0E10D258" w14:textId="2E7160A4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M. Abdulkarim Oloyede (Nigéria)</w:t>
      </w:r>
    </w:p>
    <w:p w14:paraId="3662238E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Agustina Brizio (Argentine)</w:t>
      </w:r>
    </w:p>
    <w:p w14:paraId="6DFAD128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Andrea Mamprim Grippa (Brésil)</w:t>
      </w:r>
    </w:p>
    <w:p w14:paraId="4A36CBD0" w14:textId="737A0542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M. Ahmed Abdel Aziz Gad (</w:t>
      </w:r>
      <w:r w:rsidR="0057148A" w:rsidRPr="003A13A9">
        <w:rPr>
          <w:lang w:val="en-US"/>
        </w:rPr>
        <w:t>Égypte</w:t>
      </w:r>
      <w:r w:rsidRPr="003A13A9">
        <w:rPr>
          <w:lang w:val="en-US"/>
        </w:rPr>
        <w:t>)</w:t>
      </w:r>
    </w:p>
    <w:p w14:paraId="3335D423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Shahad Albalawi (Arabie saoudite)</w:t>
      </w:r>
    </w:p>
    <w:p w14:paraId="331819EF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Ke Wang (Chine)</w:t>
      </w:r>
    </w:p>
    <w:p w14:paraId="3EA7A9C9" w14:textId="3DD1A345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Ahmad R. Sharafat (République islamique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Iran)</w:t>
      </w:r>
    </w:p>
    <w:p w14:paraId="41295431" w14:textId="01DE077B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Orozobek Zhazybaevich Kayikov (Kirghizistan)</w:t>
      </w:r>
    </w:p>
    <w:p w14:paraId="698FC346" w14:textId="57B741D5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Inga Rimkevičien</w:t>
      </w:r>
      <w:r w:rsidR="00D57E65" w:rsidRPr="000C79A5">
        <w:rPr>
          <w:rFonts w:cstheme="minorHAnsi"/>
          <w:color w:val="000000"/>
          <w:szCs w:val="24"/>
          <w:lang w:val="es-ES" w:eastAsia="zh-CN"/>
        </w:rPr>
        <w:t>ė</w:t>
      </w:r>
      <w:r w:rsidRPr="00B60838">
        <w:rPr>
          <w:lang w:val="fr-FR"/>
        </w:rPr>
        <w:t xml:space="preserve"> (Lituanie)</w:t>
      </w:r>
    </w:p>
    <w:p w14:paraId="4B434EB6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Blanca González (Espagne)</w:t>
      </w:r>
    </w:p>
    <w:p w14:paraId="40BE63D2" w14:textId="77777777" w:rsidR="0066172E" w:rsidRDefault="0066172E" w:rsidP="001B693B">
      <w:pPr>
        <w:pStyle w:val="Heading1"/>
        <w:rPr>
          <w:lang w:val="fr-FR"/>
        </w:rPr>
      </w:pPr>
      <w:r>
        <w:rPr>
          <w:lang w:val="fr-FR"/>
        </w:rPr>
        <w:br w:type="page"/>
      </w:r>
    </w:p>
    <w:p w14:paraId="702F86BD" w14:textId="0E5A7EC7" w:rsidR="00B60838" w:rsidRPr="0066172E" w:rsidRDefault="00B60838" w:rsidP="001B693B">
      <w:pPr>
        <w:pStyle w:val="Heading1"/>
        <w:rPr>
          <w:sz w:val="24"/>
          <w:szCs w:val="24"/>
          <w:lang w:val="fr-FR"/>
        </w:rPr>
      </w:pPr>
      <w:r w:rsidRPr="0066172E">
        <w:rPr>
          <w:sz w:val="24"/>
          <w:szCs w:val="24"/>
          <w:lang w:val="fr-FR"/>
        </w:rPr>
        <w:lastRenderedPageBreak/>
        <w:t>7</w:t>
      </w:r>
      <w:r w:rsidRPr="0066172E">
        <w:rPr>
          <w:sz w:val="24"/>
          <w:szCs w:val="24"/>
          <w:lang w:val="fr-FR"/>
        </w:rPr>
        <w:tab/>
        <w:t>Commissions d</w:t>
      </w:r>
      <w:r w:rsidR="001B693B" w:rsidRPr="0066172E">
        <w:rPr>
          <w:sz w:val="24"/>
          <w:szCs w:val="24"/>
          <w:lang w:val="fr-FR"/>
        </w:rPr>
        <w:t>'</w:t>
      </w:r>
      <w:r w:rsidRPr="0066172E">
        <w:rPr>
          <w:sz w:val="24"/>
          <w:szCs w:val="24"/>
          <w:lang w:val="fr-FR"/>
        </w:rPr>
        <w:t>études de l</w:t>
      </w:r>
      <w:r w:rsidR="001B693B" w:rsidRPr="0066172E">
        <w:rPr>
          <w:sz w:val="24"/>
          <w:szCs w:val="24"/>
          <w:lang w:val="fr-FR"/>
        </w:rPr>
        <w:t>'</w:t>
      </w:r>
      <w:r w:rsidRPr="0066172E">
        <w:rPr>
          <w:sz w:val="24"/>
          <w:szCs w:val="24"/>
          <w:lang w:val="fr-FR"/>
        </w:rPr>
        <w:t>UIT-D</w:t>
      </w:r>
    </w:p>
    <w:p w14:paraId="6A50ECB4" w14:textId="445865C1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>La CMDT-22 a nommé les présidents et vice-présidents des équipes de direction des Commissions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 1 et 2 de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UIT-D. Les équipes de direction seront appuyées par les rapporteurs et vice</w:t>
      </w:r>
      <w:r w:rsidR="0057148A" w:rsidRPr="00D57E65">
        <w:rPr>
          <w:lang w:val="fr-FR"/>
        </w:rPr>
        <w:noBreakHyphen/>
      </w:r>
      <w:r w:rsidRPr="00B60838">
        <w:rPr>
          <w:lang w:val="fr-FR"/>
        </w:rPr>
        <w:t>rapporteurs pour chaque Question à l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étude, afin de s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assurer que les travaux soient dirigés de façon efficace et qu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il en soit rendu compte durant la période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études.</w:t>
      </w:r>
    </w:p>
    <w:p w14:paraId="3D95B2E5" w14:textId="7701DB15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Commission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études 1</w:t>
      </w:r>
    </w:p>
    <w:p w14:paraId="32FCDE8C" w14:textId="08005BE5" w:rsidR="00B60838" w:rsidRPr="00B60838" w:rsidRDefault="00B60838" w:rsidP="001B693B">
      <w:pPr>
        <w:ind w:firstLine="794"/>
        <w:rPr>
          <w:lang w:val="fr-FR"/>
        </w:rPr>
      </w:pPr>
      <w:r w:rsidRPr="00B60838">
        <w:rPr>
          <w:b/>
          <w:bCs/>
          <w:lang w:val="fr-FR"/>
        </w:rPr>
        <w:t>Présidente:</w:t>
      </w:r>
    </w:p>
    <w:p w14:paraId="29F27528" w14:textId="0A783806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Regina Fleur Assoumou Bessou (Côte d</w:t>
      </w:r>
      <w:r w:rsidR="001B693B" w:rsidRPr="00D57E65">
        <w:rPr>
          <w:lang w:val="fr-FR"/>
        </w:rPr>
        <w:t>'</w:t>
      </w:r>
      <w:r w:rsidRPr="00B60838">
        <w:rPr>
          <w:lang w:val="fr-FR"/>
        </w:rPr>
        <w:t>Ivoire)</w:t>
      </w:r>
    </w:p>
    <w:p w14:paraId="55854045" w14:textId="2B28AFDC" w:rsidR="00B60838" w:rsidRPr="00B60838" w:rsidRDefault="00B60838" w:rsidP="001B693B">
      <w:pPr>
        <w:ind w:firstLine="794"/>
        <w:rPr>
          <w:lang w:val="fr-FR"/>
        </w:rPr>
      </w:pPr>
      <w:r w:rsidRPr="00B60838">
        <w:rPr>
          <w:b/>
          <w:bCs/>
          <w:lang w:val="fr-FR"/>
        </w:rPr>
        <w:t>Vice-Présidents:</w:t>
      </w:r>
    </w:p>
    <w:p w14:paraId="73FF6E81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Sangwon Ko (République de Corée)</w:t>
      </w:r>
    </w:p>
    <w:p w14:paraId="293F4A18" w14:textId="6816A069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Memiko Otsuki (Japon)</w:t>
      </w:r>
    </w:p>
    <w:p w14:paraId="7C0A3EAD" w14:textId="28A1F3E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Sunil Singhal (Inde)</w:t>
      </w:r>
    </w:p>
    <w:p w14:paraId="30136963" w14:textId="26C32CFF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Mme Caecilia Nyamutswa (Zimbabwe)</w:t>
      </w:r>
    </w:p>
    <w:p w14:paraId="73BEBC39" w14:textId="148E00D8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M. Amah Vinyo Capo (Togo)</w:t>
      </w:r>
    </w:p>
    <w:p w14:paraId="7747DEEC" w14:textId="77777777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>M. Roberto Mitsuake Hirayama (Brésil)</w:t>
      </w:r>
    </w:p>
    <w:p w14:paraId="1B400CA2" w14:textId="0D6FC069" w:rsidR="00B60838" w:rsidRPr="003A13A9" w:rsidRDefault="00B60838" w:rsidP="00DC7EDC">
      <w:pPr>
        <w:spacing w:before="80"/>
        <w:ind w:firstLine="794"/>
        <w:rPr>
          <w:lang w:val="en-US"/>
        </w:rPr>
      </w:pPr>
      <w:r w:rsidRPr="003A13A9">
        <w:rPr>
          <w:lang w:val="en-US"/>
        </w:rPr>
        <w:t xml:space="preserve">M. Mehmet Alper </w:t>
      </w:r>
      <w:r w:rsidR="00D57E65" w:rsidRPr="003A13A9">
        <w:rPr>
          <w:lang w:val="en-US"/>
        </w:rPr>
        <w:t xml:space="preserve">Tekin </w:t>
      </w:r>
      <w:r w:rsidRPr="003A13A9">
        <w:rPr>
          <w:lang w:val="en-US"/>
        </w:rPr>
        <w:t>(Türkiye)</w:t>
      </w:r>
    </w:p>
    <w:p w14:paraId="033150F0" w14:textId="0D4EA612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Anthony Giannoumis (Norvège)</w:t>
      </w:r>
    </w:p>
    <w:p w14:paraId="15FAAF80" w14:textId="1AAA2B5F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Umida Musaeva (Ouzbékistan)</w:t>
      </w:r>
    </w:p>
    <w:p w14:paraId="4D2B90B3" w14:textId="24E9067A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Khayala Pashazade (Azerbaïdjan)</w:t>
      </w:r>
    </w:p>
    <w:p w14:paraId="1B5B13A6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Sameera Belal Momen Mohammad (Koweït)</w:t>
      </w:r>
    </w:p>
    <w:p w14:paraId="100D7B02" w14:textId="33F33DF0" w:rsidR="00B60838" w:rsidRPr="00D57E65" w:rsidRDefault="00B60838" w:rsidP="001B693B">
      <w:pPr>
        <w:pStyle w:val="Headingb"/>
        <w:rPr>
          <w:lang w:val="fr-FR"/>
        </w:rPr>
      </w:pPr>
      <w:r w:rsidRPr="00D57E65">
        <w:rPr>
          <w:lang w:val="fr-FR"/>
        </w:rPr>
        <w:t>Commission d</w:t>
      </w:r>
      <w:r w:rsidR="001B693B" w:rsidRPr="00D57E65">
        <w:rPr>
          <w:lang w:val="fr-FR"/>
        </w:rPr>
        <w:t>'</w:t>
      </w:r>
      <w:r w:rsidRPr="00D57E65">
        <w:rPr>
          <w:lang w:val="fr-FR"/>
        </w:rPr>
        <w:t>études 2</w:t>
      </w:r>
    </w:p>
    <w:p w14:paraId="7034BBF0" w14:textId="3FFD2FE6" w:rsidR="00B60838" w:rsidRPr="00B60838" w:rsidRDefault="00B60838" w:rsidP="00533D53">
      <w:pPr>
        <w:ind w:firstLine="794"/>
        <w:rPr>
          <w:lang w:val="fr-FR"/>
        </w:rPr>
      </w:pPr>
      <w:r w:rsidRPr="00B60838">
        <w:rPr>
          <w:b/>
          <w:bCs/>
          <w:lang w:val="fr-FR"/>
        </w:rPr>
        <w:t>Président:</w:t>
      </w:r>
    </w:p>
    <w:p w14:paraId="321AD994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Fadel Digham (Égypte)</w:t>
      </w:r>
    </w:p>
    <w:p w14:paraId="4B19D21D" w14:textId="53A6CAC0" w:rsidR="00B60838" w:rsidRPr="00B60838" w:rsidRDefault="00B60838" w:rsidP="00533D53">
      <w:pPr>
        <w:ind w:firstLine="794"/>
        <w:rPr>
          <w:lang w:val="fr-FR"/>
        </w:rPr>
      </w:pPr>
      <w:r w:rsidRPr="00B60838">
        <w:rPr>
          <w:b/>
          <w:bCs/>
          <w:lang w:val="fr-FR"/>
        </w:rPr>
        <w:t>Vice-Présidents:</w:t>
      </w:r>
    </w:p>
    <w:p w14:paraId="389E8A16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Hideo Imanaka (Japon)</w:t>
      </w:r>
    </w:p>
    <w:p w14:paraId="352448E2" w14:textId="4DC1C69A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Mina Seonmin Jun (République de Corée)</w:t>
      </w:r>
    </w:p>
    <w:p w14:paraId="4C0CC63D" w14:textId="1DECEA66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Tongning Wu (Chine)</w:t>
      </w:r>
    </w:p>
    <w:p w14:paraId="211DFE95" w14:textId="64237FBB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Zainab Ardo (Nigéria)</w:t>
      </w:r>
    </w:p>
    <w:p w14:paraId="16BC6D9A" w14:textId="2B572891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Mohamed Lamine Minthe (Guinée)</w:t>
      </w:r>
    </w:p>
    <w:p w14:paraId="55C56DC2" w14:textId="2EA281B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Víctor Antonio Martínez Sánchez (Paraguay)</w:t>
      </w:r>
    </w:p>
    <w:p w14:paraId="121089E4" w14:textId="32598079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Dominique Würges (France)</w:t>
      </w:r>
    </w:p>
    <w:p w14:paraId="1F869E36" w14:textId="4564428A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Mme Alina Modan (Roumanie)</w:t>
      </w:r>
    </w:p>
    <w:p w14:paraId="0A7041CE" w14:textId="42F17D64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Diyor Rajabov (Ouzbékistan)</w:t>
      </w:r>
    </w:p>
    <w:p w14:paraId="0F993A8E" w14:textId="2C292EB4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Mushfig Guluyev (Azerbaïdjan)</w:t>
      </w:r>
    </w:p>
    <w:p w14:paraId="04680E57" w14:textId="77777777" w:rsidR="00B60838" w:rsidRPr="00B60838" w:rsidRDefault="00B60838" w:rsidP="00DC7EDC">
      <w:pPr>
        <w:spacing w:before="80"/>
        <w:ind w:firstLine="794"/>
        <w:rPr>
          <w:lang w:val="fr-FR"/>
        </w:rPr>
      </w:pPr>
      <w:r w:rsidRPr="00B60838">
        <w:rPr>
          <w:lang w:val="fr-FR"/>
        </w:rPr>
        <w:t>M. Abdelaziz Alzarooni (Émirats arabes unis)</w:t>
      </w:r>
    </w:p>
    <w:p w14:paraId="26FACE4A" w14:textId="120C59C0" w:rsidR="00B60838" w:rsidRPr="00B60838" w:rsidRDefault="00B60838" w:rsidP="00B60838">
      <w:pPr>
        <w:rPr>
          <w:lang w:val="fr-FR"/>
        </w:rPr>
      </w:pPr>
      <w:r w:rsidRPr="00B60838">
        <w:rPr>
          <w:lang w:val="fr-FR"/>
        </w:rPr>
        <w:t xml:space="preserve">Tous les produits susmentionnés sont disponibles dans le </w:t>
      </w:r>
      <w:hyperlink r:id="rId11" w:history="1">
        <w:r w:rsidRPr="00B60838">
          <w:rPr>
            <w:rStyle w:val="Hyperlink"/>
            <w:lang w:val="fr-FR"/>
          </w:rPr>
          <w:t>Rapport final de la CMDT-22</w:t>
        </w:r>
      </w:hyperlink>
      <w:r w:rsidRPr="00B60838">
        <w:rPr>
          <w:lang w:val="fr-FR"/>
        </w:rPr>
        <w:t>.</w:t>
      </w:r>
    </w:p>
    <w:p w14:paraId="69B70EE0" w14:textId="12C1EAC1" w:rsidR="00EC6FED" w:rsidRPr="00D57E65" w:rsidRDefault="00533D53" w:rsidP="00533D53">
      <w:pPr>
        <w:jc w:val="center"/>
        <w:rPr>
          <w:lang w:val="fr-FR"/>
        </w:rPr>
      </w:pPr>
      <w:r w:rsidRPr="00D57E65">
        <w:rPr>
          <w:lang w:val="fr-FR"/>
        </w:rPr>
        <w:t>______________</w:t>
      </w:r>
    </w:p>
    <w:sectPr w:rsidR="00EC6FED" w:rsidRPr="00D57E65" w:rsidSect="0047379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6699" w14:textId="249CDE01" w:rsidR="006D476A" w:rsidRDefault="00D57E65" w:rsidP="006D476A">
    <w:pPr>
      <w:pStyle w:val="Footer"/>
    </w:pPr>
    <w:fldSimple w:instr=" FILENAME \p  \* MERGEFORMAT ">
      <w:r w:rsidR="00C64FCE">
        <w:t>P:\FRA\ITU-D\CONF-D\TDAG23\TDAG23-30\000\015F.docx</w:t>
      </w:r>
    </w:fldSimple>
    <w:r w:rsidR="006D476A">
      <w:t xml:space="preserve"> (</w:t>
    </w:r>
    <w:r w:rsidR="006D476A" w:rsidRPr="006D476A">
      <w:t>520127</w:t>
    </w:r>
    <w:r w:rsidR="006D476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3A13A9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59420B" w:rsidRPr="001011EB" w:rsidRDefault="001011EB" w:rsidP="001011E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</w:t>
          </w:r>
          <w:r w:rsidR="0059420B" w:rsidRPr="001011EB">
            <w:rPr>
              <w:sz w:val="18"/>
              <w:szCs w:val="18"/>
              <w:lang w:val="fr-CH"/>
            </w:rPr>
            <w:t>/Organi</w:t>
          </w:r>
          <w:r w:rsidRPr="001011EB">
            <w:rPr>
              <w:sz w:val="18"/>
              <w:szCs w:val="18"/>
              <w:lang w:val="fr-CH"/>
            </w:rPr>
            <w:t>s</w:t>
          </w:r>
          <w:r w:rsidR="0059420B" w:rsidRPr="001011EB">
            <w:rPr>
              <w:sz w:val="18"/>
              <w:szCs w:val="18"/>
              <w:lang w:val="fr-CH"/>
            </w:rPr>
            <w:t>ation/Entit</w:t>
          </w:r>
          <w:r w:rsidRPr="001011EB">
            <w:rPr>
              <w:sz w:val="18"/>
              <w:szCs w:val="18"/>
              <w:lang w:val="fr-CH"/>
            </w:rPr>
            <w:t>é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34136929" w:rsidR="0059420B" w:rsidRPr="001011EB" w:rsidRDefault="0049214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bookmarkStart w:id="70" w:name="lt_pId004"/>
          <w:r w:rsidRPr="00492148">
            <w:rPr>
              <w:sz w:val="18"/>
              <w:szCs w:val="18"/>
              <w:lang w:val="fr-CH"/>
            </w:rPr>
            <w:t xml:space="preserve">M. Stephen Bereaux, </w:t>
          </w:r>
          <w:bookmarkEnd w:id="70"/>
          <w:r w:rsidRPr="00492148">
            <w:rPr>
              <w:sz w:val="18"/>
              <w:szCs w:val="18"/>
              <w:lang w:val="fr-CH"/>
            </w:rPr>
            <w:t>Adjoint au Directeur du Bureau de développement des télécommunications</w:t>
          </w:r>
        </w:p>
      </w:tc>
      <w:bookmarkStart w:id="71" w:name="OrgName"/>
      <w:bookmarkEnd w:id="71"/>
    </w:tr>
    <w:tr w:rsidR="0059420B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59420B" w:rsidRPr="001011EB" w:rsidRDefault="001011E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5A7C4FA7" w:rsidR="0059420B" w:rsidRPr="001011EB" w:rsidRDefault="0049214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492148">
            <w:rPr>
              <w:sz w:val="18"/>
              <w:szCs w:val="18"/>
              <w:lang w:val="en-GB"/>
            </w:rPr>
            <w:t>+41 22 730 5131</w:t>
          </w:r>
        </w:p>
      </w:tc>
      <w:bookmarkStart w:id="72" w:name="PhoneNo"/>
      <w:bookmarkEnd w:id="72"/>
    </w:tr>
    <w:tr w:rsidR="0059420B" w:rsidRPr="001011EB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1011EB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59420B" w:rsidRPr="001011EB" w:rsidRDefault="001011E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="0059420B"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09C107C9" w:rsidR="0059420B" w:rsidRPr="001011EB" w:rsidRDefault="00C64FCE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bookmarkStart w:id="73" w:name="lt_pId008"/>
            <w:r w:rsidR="00492148" w:rsidRPr="00492148">
              <w:rPr>
                <w:rStyle w:val="Hyperlink"/>
                <w:sz w:val="18"/>
                <w:szCs w:val="18"/>
                <w:lang w:val="en-GB"/>
              </w:rPr>
              <w:t>stephen.bereaux@itu.int</w:t>
            </w:r>
            <w:bookmarkEnd w:id="73"/>
          </w:hyperlink>
        </w:p>
      </w:tc>
      <w:bookmarkStart w:id="74" w:name="Email"/>
      <w:bookmarkEnd w:id="74"/>
    </w:tr>
  </w:tbl>
  <w:p w14:paraId="40A321D0" w14:textId="50FEB05F" w:rsidR="00721657" w:rsidRPr="001011EB" w:rsidRDefault="00C64FCE" w:rsidP="003A13A9">
    <w:pPr>
      <w:pStyle w:val="Footer"/>
      <w:spacing w:before="120"/>
      <w:jc w:val="center"/>
      <w:rPr>
        <w:lang w:val="fr-CH"/>
      </w:rPr>
    </w:pPr>
    <w:hyperlink r:id="rId2" w:history="1">
      <w:r w:rsidR="008B47C7" w:rsidRPr="001011EB">
        <w:rPr>
          <w:rStyle w:val="Hyperlink"/>
          <w:caps w:val="0"/>
          <w:noProof w:val="0"/>
          <w:sz w:val="18"/>
          <w:szCs w:val="18"/>
          <w:lang w:val="fr-CH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E77" w14:textId="5FD0A09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492148">
      <w:rPr>
        <w:sz w:val="22"/>
        <w:szCs w:val="22"/>
        <w:lang w:val="de-CH"/>
      </w:rPr>
      <w:t>15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C64FCE">
      <w:rPr>
        <w:noProof/>
        <w:sz w:val="22"/>
        <w:szCs w:val="22"/>
        <w:lang w:val="de-CH"/>
      </w:rPr>
      <w:t>10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57C5B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693B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13A9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2148"/>
    <w:rsid w:val="00493B49"/>
    <w:rsid w:val="00495501"/>
    <w:rsid w:val="004A070A"/>
    <w:rsid w:val="004A1679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3D53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148A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172E"/>
    <w:rsid w:val="00671EF6"/>
    <w:rsid w:val="0067205B"/>
    <w:rsid w:val="006748F8"/>
    <w:rsid w:val="00675C6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D476A"/>
    <w:rsid w:val="006F009A"/>
    <w:rsid w:val="006F3D93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0838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4FCE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1EAC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7E65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7EDC"/>
    <w:rsid w:val="00DD66B4"/>
    <w:rsid w:val="00DE1972"/>
    <w:rsid w:val="00DE27AB"/>
    <w:rsid w:val="00DE6F99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CB3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1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21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21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2148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157C5B"/>
    <w:rPr>
      <w:rFonts w:asciiTheme="minorHAnsi" w:hAnsiTheme="minorHAnsi"/>
      <w:sz w:val="24"/>
      <w:lang w:val="en-GB" w:eastAsia="en-US"/>
    </w:rPr>
  </w:style>
  <w:style w:type="paragraph" w:customStyle="1" w:styleId="Figure">
    <w:name w:val="Figure"/>
    <w:basedOn w:val="Normal"/>
    <w:rsid w:val="00157C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publications/ITU-D/Pages/publications.aspx?parent=D-TDC-WTDC-2022&amp;media=electron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fr/publications/ITU-D/Pages/publications.aspx?parent=D-TDC-WTDC-2022&amp;media=electroni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848B-6D7C-4E9E-881F-A9B93204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3171</Words>
  <Characters>19346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Royer, Veronique</cp:lastModifiedBy>
  <cp:revision>8</cp:revision>
  <cp:lastPrinted>2014-11-04T09:22:00Z</cp:lastPrinted>
  <dcterms:created xsi:type="dcterms:W3CDTF">2023-05-24T13:57:00Z</dcterms:created>
  <dcterms:modified xsi:type="dcterms:W3CDTF">2023-05-25T07:21:00Z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