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3BDDD52B"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AC4678">
              <w:rPr>
                <w:b/>
                <w:bCs/>
                <w:lang w:val="en-US"/>
              </w:rPr>
              <w:t>15</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5318E9EB" w:rsidR="00683C32" w:rsidRPr="007F1CC7" w:rsidRDefault="00BF6C21" w:rsidP="00B648C7">
            <w:pPr>
              <w:spacing w:before="0"/>
              <w:rPr>
                <w:b/>
                <w:szCs w:val="24"/>
              </w:rPr>
            </w:pPr>
            <w:bookmarkStart w:id="2" w:name="CreationDate"/>
            <w:bookmarkEnd w:id="2"/>
            <w:r>
              <w:rPr>
                <w:b/>
                <w:bCs/>
                <w:szCs w:val="28"/>
              </w:rPr>
              <w:t>9 May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0AC64E28" w:rsidR="00A13162" w:rsidRPr="0030353C" w:rsidRDefault="00AA58DC" w:rsidP="0030353C">
            <w:pPr>
              <w:pStyle w:val="Source"/>
            </w:pPr>
            <w:bookmarkStart w:id="4" w:name="Source"/>
            <w:bookmarkEnd w:id="4"/>
            <w:r>
              <w:t>Director, Telecommunication Development Bureau</w:t>
            </w:r>
          </w:p>
        </w:tc>
      </w:tr>
      <w:tr w:rsidR="00D3552C" w:rsidRPr="00282B46" w14:paraId="5D9DB09D" w14:textId="77777777" w:rsidTr="000131A0">
        <w:trPr>
          <w:cantSplit/>
        </w:trPr>
        <w:tc>
          <w:tcPr>
            <w:tcW w:w="9888" w:type="dxa"/>
            <w:gridSpan w:val="2"/>
          </w:tcPr>
          <w:p w14:paraId="17A9869B" w14:textId="7E0DD74B" w:rsidR="00D3552C" w:rsidRPr="00282B46" w:rsidRDefault="00AC4678" w:rsidP="00BF6C21">
            <w:pPr>
              <w:pStyle w:val="Title1"/>
              <w:rPr>
                <w:b/>
                <w:bCs/>
                <w:szCs w:val="22"/>
              </w:rPr>
            </w:pPr>
            <w:bookmarkStart w:id="5" w:name="Title"/>
            <w:bookmarkEnd w:id="5"/>
            <w:r>
              <w:t xml:space="preserve">Outcomes of the World Telecommunication Development </w:t>
            </w:r>
            <w:r w:rsidR="00BF6C21">
              <w:br/>
            </w:r>
            <w:r>
              <w:t>Conference 2022 (WTDC-22)</w:t>
            </w:r>
          </w:p>
        </w:tc>
      </w:tr>
      <w:tr w:rsidR="00D3552C" w:rsidRPr="00282B46" w14:paraId="1B05404C" w14:textId="77777777" w:rsidTr="000131A0">
        <w:trPr>
          <w:cantSplit/>
        </w:trPr>
        <w:tc>
          <w:tcPr>
            <w:tcW w:w="9888" w:type="dxa"/>
            <w:gridSpan w:val="2"/>
            <w:tcBorders>
              <w:bottom w:val="single" w:sz="4" w:space="0" w:color="auto"/>
            </w:tcBorders>
          </w:tcPr>
          <w:p w14:paraId="058D5BBE" w14:textId="77777777" w:rsidR="00D3552C" w:rsidRPr="00282B46" w:rsidRDefault="00D3552C" w:rsidP="00D3552C"/>
        </w:tc>
      </w:tr>
      <w:tr w:rsidR="00D3552C" w:rsidRPr="00282B46" w14:paraId="1D42A2FD" w14:textId="77777777" w:rsidTr="000131A0">
        <w:trPr>
          <w:cantSplit/>
        </w:trPr>
        <w:tc>
          <w:tcPr>
            <w:tcW w:w="9888" w:type="dxa"/>
            <w:gridSpan w:val="2"/>
            <w:tcBorders>
              <w:top w:val="single" w:sz="4" w:space="0" w:color="auto"/>
              <w:left w:val="single" w:sz="4" w:space="0" w:color="auto"/>
              <w:bottom w:val="single" w:sz="4" w:space="0" w:color="auto"/>
              <w:right w:val="single" w:sz="4" w:space="0" w:color="auto"/>
            </w:tcBorders>
          </w:tcPr>
          <w:p w14:paraId="338066E5" w14:textId="77777777" w:rsidR="00D3552C" w:rsidRPr="00282B46" w:rsidRDefault="00D3552C" w:rsidP="00BF6C21">
            <w:pPr>
              <w:spacing w:after="120"/>
              <w:rPr>
                <w:b/>
                <w:bCs/>
              </w:rPr>
            </w:pPr>
            <w:r w:rsidRPr="00282B46">
              <w:rPr>
                <w:b/>
                <w:bCs/>
              </w:rPr>
              <w:t>Summary:</w:t>
            </w:r>
          </w:p>
          <w:p w14:paraId="16D5123D" w14:textId="2E7478A1" w:rsidR="00AC4678" w:rsidRPr="006C0B84" w:rsidRDefault="00AC4678" w:rsidP="00895CBB">
            <w:pPr>
              <w:spacing w:after="120"/>
              <w:rPr>
                <w:rFonts w:cstheme="minorHAnsi"/>
                <w:szCs w:val="24"/>
              </w:rPr>
            </w:pPr>
            <w:r w:rsidRPr="006C0B84">
              <w:rPr>
                <w:rFonts w:cstheme="minorHAnsi"/>
                <w:szCs w:val="24"/>
              </w:rPr>
              <w:t>The 2022 ITU World Telecommunication Development Conference (WTDC-</w:t>
            </w:r>
            <w:r>
              <w:rPr>
                <w:rFonts w:cstheme="minorHAnsi"/>
                <w:szCs w:val="24"/>
              </w:rPr>
              <w:t>22</w:t>
            </w:r>
            <w:r w:rsidRPr="006C0B84">
              <w:rPr>
                <w:rFonts w:cstheme="minorHAnsi"/>
                <w:szCs w:val="24"/>
              </w:rPr>
              <w:t xml:space="preserve">) convened in Kigali, Rwanda from 6 </w:t>
            </w:r>
            <w:r w:rsidR="00724A65">
              <w:rPr>
                <w:rFonts w:cstheme="minorHAnsi"/>
                <w:szCs w:val="24"/>
              </w:rPr>
              <w:t>to</w:t>
            </w:r>
            <w:r w:rsidR="00724A65" w:rsidRPr="006C0B84">
              <w:rPr>
                <w:rFonts w:cstheme="minorHAnsi"/>
                <w:szCs w:val="24"/>
              </w:rPr>
              <w:t xml:space="preserve"> </w:t>
            </w:r>
            <w:r w:rsidRPr="006C0B84">
              <w:rPr>
                <w:rFonts w:cstheme="minorHAnsi"/>
                <w:szCs w:val="24"/>
              </w:rPr>
              <w:t xml:space="preserve">16 June 2022 and adopted </w:t>
            </w:r>
            <w:r>
              <w:rPr>
                <w:rFonts w:cstheme="minorHAnsi"/>
                <w:szCs w:val="24"/>
              </w:rPr>
              <w:t xml:space="preserve">an action plan for the </w:t>
            </w:r>
            <w:r w:rsidR="00724A65">
              <w:rPr>
                <w:rFonts w:cstheme="minorHAnsi"/>
                <w:szCs w:val="24"/>
              </w:rPr>
              <w:t>ITU-</w:t>
            </w:r>
            <w:r>
              <w:rPr>
                <w:rFonts w:cstheme="minorHAnsi"/>
                <w:szCs w:val="24"/>
              </w:rPr>
              <w:t xml:space="preserve">D Sector, </w:t>
            </w:r>
            <w:r w:rsidRPr="006C0B84">
              <w:rPr>
                <w:rFonts w:cstheme="minorHAnsi"/>
                <w:szCs w:val="24"/>
              </w:rPr>
              <w:t xml:space="preserve">the </w:t>
            </w:r>
            <w:hyperlink r:id="rId12">
              <w:r w:rsidRPr="006C0B84">
                <w:rPr>
                  <w:rStyle w:val="Hyperlink"/>
                  <w:rFonts w:cstheme="minorHAnsi"/>
                  <w:color w:val="auto"/>
                  <w:szCs w:val="24"/>
                  <w:u w:val="none"/>
                </w:rPr>
                <w:t>Kigali Action Plan</w:t>
              </w:r>
            </w:hyperlink>
            <w:r>
              <w:rPr>
                <w:rStyle w:val="Hyperlink"/>
                <w:rFonts w:cstheme="minorHAnsi"/>
                <w:color w:val="auto"/>
                <w:szCs w:val="24"/>
                <w:u w:val="none"/>
              </w:rPr>
              <w:t xml:space="preserve"> (KAP)</w:t>
            </w:r>
            <w:r w:rsidRPr="006C0B84">
              <w:rPr>
                <w:rFonts w:cstheme="minorHAnsi"/>
                <w:szCs w:val="24"/>
              </w:rPr>
              <w:t xml:space="preserve">. </w:t>
            </w:r>
          </w:p>
          <w:p w14:paraId="2DA4DFEC" w14:textId="1D4AE2F2" w:rsidR="0051454C" w:rsidRPr="00F86854" w:rsidRDefault="0051454C" w:rsidP="00BF6C21">
            <w:pPr>
              <w:spacing w:after="120"/>
              <w:jc w:val="both"/>
              <w:rPr>
                <w:rFonts w:cstheme="minorHAnsi"/>
                <w:szCs w:val="24"/>
                <w:lang w:val="en-US"/>
              </w:rPr>
            </w:pPr>
            <w:r>
              <w:rPr>
                <w:rFonts w:cstheme="minorHAnsi"/>
                <w:szCs w:val="24"/>
                <w:lang w:val="en-US"/>
              </w:rPr>
              <w:t xml:space="preserve">The purpose of this report is to update TDAG on the </w:t>
            </w:r>
            <w:r w:rsidR="001B3503">
              <w:rPr>
                <w:rFonts w:cstheme="minorHAnsi"/>
                <w:szCs w:val="24"/>
                <w:lang w:val="en-US"/>
              </w:rPr>
              <w:t>outcomes of the WTDC-22</w:t>
            </w:r>
            <w:r w:rsidR="001D45BF">
              <w:rPr>
                <w:rFonts w:cstheme="minorHAnsi"/>
                <w:szCs w:val="24"/>
                <w:lang w:val="en-US"/>
              </w:rPr>
              <w:t>.</w:t>
            </w:r>
          </w:p>
          <w:p w14:paraId="22C039D1" w14:textId="77777777" w:rsidR="00D3552C" w:rsidRPr="00282B46" w:rsidRDefault="00D3552C" w:rsidP="00BF6C21">
            <w:pPr>
              <w:spacing w:after="120"/>
              <w:rPr>
                <w:b/>
                <w:bCs/>
              </w:rPr>
            </w:pPr>
            <w:r w:rsidRPr="00282B46">
              <w:rPr>
                <w:b/>
                <w:bCs/>
              </w:rPr>
              <w:t>Action required:</w:t>
            </w:r>
          </w:p>
          <w:p w14:paraId="1A096490" w14:textId="4C7DBCB5" w:rsidR="006F57D2" w:rsidRPr="00282B46" w:rsidRDefault="00D3552C" w:rsidP="00BF6C21">
            <w:pPr>
              <w:spacing w:after="120"/>
            </w:pPr>
            <w:r w:rsidRPr="00282B46">
              <w:t>TDAG is invited to</w:t>
            </w:r>
            <w:r w:rsidR="0051454C">
              <w:t xml:space="preserve"> note this report.</w:t>
            </w:r>
          </w:p>
          <w:p w14:paraId="3E5DE1A2" w14:textId="77777777" w:rsidR="00D3552C" w:rsidRPr="00282B46" w:rsidRDefault="00D3552C" w:rsidP="00BF6C21">
            <w:pPr>
              <w:pStyle w:val="Title1"/>
              <w:jc w:val="left"/>
              <w:rPr>
                <w:rFonts w:cstheme="minorHAnsi"/>
                <w:b/>
                <w:bCs/>
                <w:caps/>
                <w:sz w:val="24"/>
              </w:rPr>
            </w:pPr>
            <w:r w:rsidRPr="00282B46">
              <w:rPr>
                <w:rFonts w:cstheme="minorHAnsi"/>
                <w:b/>
                <w:bCs/>
                <w:sz w:val="24"/>
              </w:rPr>
              <w:t>References:</w:t>
            </w:r>
          </w:p>
          <w:p w14:paraId="32A5C9FC" w14:textId="2E0BFE9E" w:rsidR="006F57D2" w:rsidRPr="00282B46" w:rsidRDefault="00895CBB" w:rsidP="00BF6C21">
            <w:pPr>
              <w:spacing w:after="120"/>
            </w:pPr>
            <w:hyperlink r:id="rId13" w:history="1">
              <w:r w:rsidR="001B3503" w:rsidRPr="00A32685">
                <w:rPr>
                  <w:rStyle w:val="Hyperlink"/>
                </w:rPr>
                <w:t>WTDC-22 Final Report</w:t>
              </w:r>
            </w:hyperlink>
          </w:p>
        </w:tc>
      </w:tr>
    </w:tbl>
    <w:p w14:paraId="309FD8D2" w14:textId="0E1F8144" w:rsidR="00B51BA3" w:rsidRDefault="00B51BA3" w:rsidP="007C1CF2">
      <w:pPr>
        <w:spacing w:before="240" w:after="120"/>
        <w:jc w:val="both"/>
        <w:rPr>
          <w:rFonts w:cstheme="minorHAnsi"/>
          <w:szCs w:val="24"/>
        </w:rPr>
      </w:pPr>
    </w:p>
    <w:p w14:paraId="548D1DB4" w14:textId="77777777" w:rsidR="00AC4678" w:rsidRPr="001B3503" w:rsidRDefault="00775C2A" w:rsidP="00BF6C21">
      <w:pPr>
        <w:pStyle w:val="Heading1"/>
        <w:keepLines w:val="0"/>
        <w:pageBreakBefore/>
        <w:tabs>
          <w:tab w:val="clear" w:pos="794"/>
          <w:tab w:val="clear" w:pos="1191"/>
          <w:tab w:val="clear" w:pos="1588"/>
          <w:tab w:val="clear" w:pos="1985"/>
        </w:tabs>
        <w:spacing w:before="120" w:after="120"/>
        <w:ind w:left="567" w:hanging="567"/>
        <w:rPr>
          <w:rFonts w:cstheme="minorHAnsi"/>
          <w:bCs/>
          <w:sz w:val="24"/>
          <w:szCs w:val="24"/>
        </w:rPr>
      </w:pPr>
      <w:r w:rsidRPr="001B3503">
        <w:rPr>
          <w:rStyle w:val="Hyperlink"/>
          <w:bCs/>
          <w:color w:val="auto"/>
          <w:sz w:val="24"/>
          <w:szCs w:val="24"/>
          <w:u w:val="none"/>
          <w:lang w:val="en-US"/>
        </w:rPr>
        <w:lastRenderedPageBreak/>
        <w:t>1.</w:t>
      </w:r>
      <w:r w:rsidRPr="001B3503">
        <w:rPr>
          <w:rStyle w:val="Hyperlink"/>
          <w:bCs/>
          <w:color w:val="auto"/>
          <w:sz w:val="24"/>
          <w:szCs w:val="24"/>
          <w:u w:val="none"/>
          <w:lang w:val="en-US"/>
        </w:rPr>
        <w:tab/>
      </w:r>
      <w:r w:rsidR="00AC4678" w:rsidRPr="001B3503">
        <w:rPr>
          <w:rFonts w:cstheme="minorHAnsi"/>
          <w:bCs/>
          <w:sz w:val="24"/>
          <w:szCs w:val="24"/>
        </w:rPr>
        <w:t xml:space="preserve">Introduction </w:t>
      </w:r>
    </w:p>
    <w:p w14:paraId="5ABFD9C1" w14:textId="77777777" w:rsidR="00502CA9" w:rsidRPr="004C43AC" w:rsidRDefault="00AC4678" w:rsidP="00BF6C21">
      <w:pPr>
        <w:pStyle w:val="Pa10"/>
        <w:spacing w:before="120" w:after="120" w:line="240" w:lineRule="auto"/>
        <w:rPr>
          <w:rFonts w:asciiTheme="minorHAnsi" w:hAnsiTheme="minorHAnsi" w:cstheme="minorHAnsi"/>
          <w:bCs/>
          <w:color w:val="000000"/>
        </w:rPr>
      </w:pPr>
      <w:r w:rsidRPr="004C43AC">
        <w:rPr>
          <w:rFonts w:asciiTheme="minorHAnsi" w:hAnsiTheme="minorHAnsi" w:cstheme="minorHAnsi"/>
          <w:bCs/>
        </w:rPr>
        <w:t>1.1</w:t>
      </w:r>
      <w:r w:rsidRPr="004C43AC">
        <w:rPr>
          <w:rFonts w:asciiTheme="minorHAnsi" w:hAnsiTheme="minorHAnsi" w:cstheme="minorHAnsi"/>
          <w:bCs/>
        </w:rPr>
        <w:tab/>
      </w:r>
      <w:r w:rsidR="0088541B" w:rsidRPr="004C43AC">
        <w:rPr>
          <w:rFonts w:asciiTheme="minorHAnsi" w:hAnsiTheme="minorHAnsi" w:cstheme="minorHAnsi"/>
          <w:bCs/>
          <w:color w:val="000000"/>
        </w:rPr>
        <w:t>The eighth World Telecommunication Development Conference (WTDC-22) of the International Telecommunication Union (ITU), held from 6 to 16 June 2022 in Kigali, Rwanda, was a landmark event aimed at bringing affordable, meaningful connectivity to the estimated 2.9 billion people around the world who still lack an Internet connection.</w:t>
      </w:r>
    </w:p>
    <w:p w14:paraId="2B9DC8D2" w14:textId="45447661" w:rsidR="009436E2" w:rsidRPr="004C43AC" w:rsidRDefault="00502CA9" w:rsidP="00BF6C21">
      <w:pPr>
        <w:pStyle w:val="Pa10"/>
        <w:spacing w:before="120" w:after="120" w:line="240" w:lineRule="auto"/>
        <w:rPr>
          <w:rFonts w:asciiTheme="minorHAnsi" w:hAnsiTheme="minorHAnsi" w:cstheme="minorHAnsi"/>
          <w:bCs/>
          <w:color w:val="000000"/>
        </w:rPr>
      </w:pPr>
      <w:r w:rsidRPr="004C43AC">
        <w:rPr>
          <w:rFonts w:asciiTheme="minorHAnsi" w:hAnsiTheme="minorHAnsi" w:cstheme="minorHAnsi"/>
          <w:bCs/>
          <w:color w:val="000000"/>
        </w:rPr>
        <w:t>1.2</w:t>
      </w:r>
      <w:r w:rsidRPr="004C43AC">
        <w:rPr>
          <w:rFonts w:asciiTheme="minorHAnsi" w:hAnsiTheme="minorHAnsi" w:cstheme="minorHAnsi"/>
          <w:bCs/>
          <w:color w:val="000000"/>
        </w:rPr>
        <w:tab/>
      </w:r>
      <w:r w:rsidR="0088541B" w:rsidRPr="004C43AC">
        <w:rPr>
          <w:rFonts w:asciiTheme="minorHAnsi" w:hAnsiTheme="minorHAnsi" w:cstheme="minorHAnsi"/>
          <w:bCs/>
          <w:color w:val="000000"/>
        </w:rPr>
        <w:t xml:space="preserve">Convened under the theme: </w:t>
      </w:r>
      <w:r w:rsidR="0088541B" w:rsidRPr="00291C53">
        <w:rPr>
          <w:rFonts w:asciiTheme="minorHAnsi" w:hAnsiTheme="minorHAnsi" w:cstheme="minorHAnsi"/>
          <w:b/>
          <w:i/>
          <w:iCs/>
          <w:color w:val="000000"/>
        </w:rPr>
        <w:t>Connecting the unconnected to achieve sustainable development</w:t>
      </w:r>
      <w:r w:rsidR="0088541B" w:rsidRPr="004C43AC">
        <w:rPr>
          <w:rFonts w:asciiTheme="minorHAnsi" w:hAnsiTheme="minorHAnsi" w:cstheme="minorHAnsi"/>
          <w:bCs/>
          <w:color w:val="000000"/>
        </w:rPr>
        <w:t>, WTDC-22 was attended by 2 152 participants (1 304 in-person and 848 joining online). Participants were from 150 Member States (with 1</w:t>
      </w:r>
      <w:bookmarkStart w:id="6" w:name="_GoBack"/>
      <w:bookmarkEnd w:id="6"/>
      <w:r w:rsidR="0088541B" w:rsidRPr="004C43AC">
        <w:rPr>
          <w:rFonts w:asciiTheme="minorHAnsi" w:hAnsiTheme="minorHAnsi" w:cstheme="minorHAnsi"/>
          <w:bCs/>
          <w:color w:val="000000"/>
        </w:rPr>
        <w:t>27 countries on site and 23 joining remotely), 96 Sector Members of the ITU Telecommunication Development Sector (ITU-D), 37</w:t>
      </w:r>
      <w:r w:rsidR="00AD5503">
        <w:rPr>
          <w:rFonts w:asciiTheme="minorHAnsi" w:hAnsiTheme="minorHAnsi" w:cstheme="minorHAnsi"/>
          <w:bCs/>
          <w:color w:val="000000"/>
        </w:rPr>
        <w:t> </w:t>
      </w:r>
      <w:r w:rsidR="0088541B" w:rsidRPr="004C43AC">
        <w:rPr>
          <w:rFonts w:asciiTheme="minorHAnsi" w:hAnsiTheme="minorHAnsi" w:cstheme="minorHAnsi"/>
          <w:bCs/>
          <w:color w:val="000000"/>
        </w:rPr>
        <w:t xml:space="preserve">Academia, </w:t>
      </w:r>
      <w:r w:rsidR="00291C53">
        <w:rPr>
          <w:rFonts w:asciiTheme="minorHAnsi" w:hAnsiTheme="minorHAnsi" w:cstheme="minorHAnsi"/>
          <w:bCs/>
          <w:color w:val="000000"/>
        </w:rPr>
        <w:t xml:space="preserve">and </w:t>
      </w:r>
      <w:r w:rsidR="0088541B" w:rsidRPr="004C43AC">
        <w:rPr>
          <w:rFonts w:asciiTheme="minorHAnsi" w:hAnsiTheme="minorHAnsi" w:cstheme="minorHAnsi"/>
          <w:bCs/>
          <w:color w:val="000000"/>
        </w:rPr>
        <w:t>observers under Resolution 99 of the Plenipotentiary Conference and the United Nations and its specialized agencies.</w:t>
      </w:r>
    </w:p>
    <w:p w14:paraId="2101D8E3" w14:textId="77777777" w:rsidR="009436E2" w:rsidRPr="004C43AC" w:rsidRDefault="009436E2" w:rsidP="00BF6C21">
      <w:pPr>
        <w:pStyle w:val="Pa10"/>
        <w:spacing w:before="120" w:after="120" w:line="240" w:lineRule="auto"/>
        <w:rPr>
          <w:rFonts w:asciiTheme="minorHAnsi" w:hAnsiTheme="minorHAnsi" w:cstheme="minorHAnsi"/>
          <w:bCs/>
          <w:color w:val="000000"/>
        </w:rPr>
      </w:pPr>
      <w:r w:rsidRPr="004C43AC">
        <w:rPr>
          <w:rFonts w:asciiTheme="minorHAnsi" w:hAnsiTheme="minorHAnsi" w:cstheme="minorHAnsi"/>
          <w:bCs/>
          <w:color w:val="000000"/>
        </w:rPr>
        <w:t>1.3</w:t>
      </w:r>
      <w:r w:rsidRPr="004C43AC">
        <w:rPr>
          <w:rFonts w:asciiTheme="minorHAnsi" w:hAnsiTheme="minorHAnsi" w:cstheme="minorHAnsi"/>
          <w:bCs/>
          <w:color w:val="000000"/>
        </w:rPr>
        <w:tab/>
        <w:t>WTDC-22 produced the following key outputs:</w:t>
      </w:r>
    </w:p>
    <w:p w14:paraId="254D8D61" w14:textId="5AD611E6" w:rsidR="009436E2" w:rsidRPr="004C43AC" w:rsidRDefault="006E00DC" w:rsidP="003C4227">
      <w:pPr>
        <w:pStyle w:val="Pa10"/>
        <w:numPr>
          <w:ilvl w:val="0"/>
          <w:numId w:val="21"/>
        </w:numPr>
        <w:spacing w:before="60" w:after="60" w:line="240" w:lineRule="auto"/>
        <w:ind w:left="714" w:hanging="357"/>
        <w:rPr>
          <w:rFonts w:asciiTheme="minorHAnsi" w:hAnsiTheme="minorHAnsi" w:cstheme="minorHAnsi"/>
          <w:bCs/>
          <w:color w:val="000000"/>
        </w:rPr>
      </w:pPr>
      <w:r w:rsidRPr="006E00DC">
        <w:rPr>
          <w:rFonts w:asciiTheme="minorHAnsi" w:hAnsiTheme="minorHAnsi" w:cstheme="minorHAnsi"/>
          <w:bCs/>
          <w:color w:val="000000"/>
        </w:rPr>
        <w:t xml:space="preserve">The </w:t>
      </w:r>
      <w:r w:rsidRPr="006E00DC">
        <w:rPr>
          <w:rFonts w:asciiTheme="minorHAnsi" w:hAnsiTheme="minorHAnsi" w:cstheme="minorHAnsi"/>
          <w:b/>
          <w:color w:val="000000"/>
        </w:rPr>
        <w:t>Kigali Declaration</w:t>
      </w:r>
      <w:r w:rsidR="00B14BBC" w:rsidRPr="004C43AC">
        <w:rPr>
          <w:rFonts w:asciiTheme="minorHAnsi" w:hAnsiTheme="minorHAnsi" w:cstheme="minorHAnsi"/>
          <w:bCs/>
          <w:color w:val="000000"/>
        </w:rPr>
        <w:t>, which</w:t>
      </w:r>
      <w:r w:rsidRPr="006E00DC">
        <w:rPr>
          <w:rFonts w:asciiTheme="minorHAnsi" w:hAnsiTheme="minorHAnsi" w:cstheme="minorHAnsi"/>
          <w:bCs/>
          <w:color w:val="000000"/>
        </w:rPr>
        <w:t xml:space="preserve"> highlights the main conclusions and priorities established by the conference and reinforces the political support for the ITU development mission and strategic goals. </w:t>
      </w:r>
    </w:p>
    <w:p w14:paraId="7CC744BC" w14:textId="77777777" w:rsidR="00291C53" w:rsidRDefault="006E00DC" w:rsidP="003C4227">
      <w:pPr>
        <w:pStyle w:val="Pa10"/>
        <w:numPr>
          <w:ilvl w:val="0"/>
          <w:numId w:val="21"/>
        </w:numPr>
        <w:spacing w:before="60" w:after="60" w:line="240" w:lineRule="auto"/>
        <w:ind w:left="714" w:hanging="357"/>
        <w:rPr>
          <w:rFonts w:asciiTheme="minorHAnsi" w:hAnsiTheme="minorHAnsi" w:cstheme="minorHAnsi"/>
          <w:bCs/>
          <w:color w:val="000000"/>
        </w:rPr>
      </w:pPr>
      <w:r w:rsidRPr="004C43AC">
        <w:rPr>
          <w:rFonts w:asciiTheme="minorHAnsi" w:hAnsiTheme="minorHAnsi" w:cstheme="minorHAnsi"/>
          <w:bCs/>
          <w:color w:val="000000"/>
        </w:rPr>
        <w:t xml:space="preserve">The </w:t>
      </w:r>
      <w:r w:rsidRPr="00291C53">
        <w:rPr>
          <w:rFonts w:asciiTheme="minorHAnsi" w:hAnsiTheme="minorHAnsi" w:cstheme="minorHAnsi"/>
          <w:b/>
          <w:color w:val="000000"/>
        </w:rPr>
        <w:t>Kigali Action Plan</w:t>
      </w:r>
      <w:r w:rsidR="00B14BBC" w:rsidRPr="004C43AC">
        <w:rPr>
          <w:rFonts w:asciiTheme="minorHAnsi" w:hAnsiTheme="minorHAnsi" w:cstheme="minorHAnsi"/>
          <w:bCs/>
          <w:color w:val="000000"/>
        </w:rPr>
        <w:t xml:space="preserve">, </w:t>
      </w:r>
      <w:r w:rsidRPr="004C43AC">
        <w:rPr>
          <w:rFonts w:asciiTheme="minorHAnsi" w:hAnsiTheme="minorHAnsi" w:cstheme="minorHAnsi"/>
          <w:bCs/>
          <w:color w:val="000000"/>
        </w:rPr>
        <w:t xml:space="preserve">a comprehensive package that will promote the equitable and sustainable development of telecommunication/ICT networks and services. </w:t>
      </w:r>
    </w:p>
    <w:p w14:paraId="1815F9D7" w14:textId="3306F0C8" w:rsidR="00B14BBC" w:rsidRPr="004C43AC" w:rsidRDefault="00291C53" w:rsidP="003C4227">
      <w:pPr>
        <w:pStyle w:val="Pa10"/>
        <w:numPr>
          <w:ilvl w:val="0"/>
          <w:numId w:val="21"/>
        </w:numPr>
        <w:spacing w:before="60" w:after="60" w:line="240" w:lineRule="auto"/>
        <w:ind w:left="714" w:hanging="357"/>
        <w:rPr>
          <w:rFonts w:asciiTheme="minorHAnsi" w:hAnsiTheme="minorHAnsi" w:cstheme="minorHAnsi"/>
          <w:bCs/>
          <w:color w:val="000000"/>
        </w:rPr>
      </w:pPr>
      <w:r w:rsidRPr="00291C53">
        <w:rPr>
          <w:rFonts w:asciiTheme="minorHAnsi" w:hAnsiTheme="minorHAnsi" w:cstheme="minorHAnsi"/>
          <w:b/>
          <w:color w:val="000000"/>
        </w:rPr>
        <w:t>R</w:t>
      </w:r>
      <w:r w:rsidR="006E00DC" w:rsidRPr="00291C53">
        <w:rPr>
          <w:rFonts w:asciiTheme="minorHAnsi" w:hAnsiTheme="minorHAnsi" w:cstheme="minorHAnsi"/>
          <w:b/>
          <w:color w:val="000000"/>
        </w:rPr>
        <w:t xml:space="preserve">egional </w:t>
      </w:r>
      <w:r w:rsidRPr="00291C53">
        <w:rPr>
          <w:rFonts w:asciiTheme="minorHAnsi" w:hAnsiTheme="minorHAnsi" w:cstheme="minorHAnsi"/>
          <w:b/>
          <w:color w:val="000000"/>
        </w:rPr>
        <w:t>I</w:t>
      </w:r>
      <w:r w:rsidR="006E00DC" w:rsidRPr="00291C53">
        <w:rPr>
          <w:rFonts w:asciiTheme="minorHAnsi" w:hAnsiTheme="minorHAnsi" w:cstheme="minorHAnsi"/>
          <w:b/>
          <w:color w:val="000000"/>
        </w:rPr>
        <w:t>nitiatives</w:t>
      </w:r>
      <w:r w:rsidR="006E00DC" w:rsidRPr="004C43AC">
        <w:rPr>
          <w:rFonts w:asciiTheme="minorHAnsi" w:hAnsiTheme="minorHAnsi" w:cstheme="minorHAnsi"/>
          <w:bCs/>
          <w:color w:val="000000"/>
        </w:rPr>
        <w:t xml:space="preserve"> for Africa, the Americas, the Arab States, Asia and the Pacific, the Commonwealth of Independent States (CIS) and Europe. Regional initiatives are intended to identify principal telecommunication/ICT priority areas of concern to a region, which are then addressed through partnerships and resource mobilization to implement projects that are part of the ITU-D action plan</w:t>
      </w:r>
      <w:r w:rsidR="00B14BBC" w:rsidRPr="004C43AC">
        <w:rPr>
          <w:rFonts w:asciiTheme="minorHAnsi" w:hAnsiTheme="minorHAnsi" w:cstheme="minorHAnsi"/>
          <w:bCs/>
          <w:color w:val="000000"/>
        </w:rPr>
        <w:t>.</w:t>
      </w:r>
    </w:p>
    <w:p w14:paraId="12E76AD2" w14:textId="00B899F7" w:rsidR="00B14BBC" w:rsidRPr="004C43AC" w:rsidRDefault="00B14BBC" w:rsidP="003C4227">
      <w:pPr>
        <w:pStyle w:val="Pa10"/>
        <w:numPr>
          <w:ilvl w:val="0"/>
          <w:numId w:val="21"/>
        </w:numPr>
        <w:spacing w:before="60" w:after="60" w:line="240" w:lineRule="auto"/>
        <w:ind w:left="714" w:hanging="357"/>
        <w:rPr>
          <w:rFonts w:asciiTheme="minorHAnsi" w:hAnsiTheme="minorHAnsi" w:cstheme="minorHAnsi"/>
          <w:bCs/>
          <w:color w:val="000000"/>
        </w:rPr>
      </w:pPr>
      <w:r w:rsidRPr="00291C53">
        <w:rPr>
          <w:rFonts w:asciiTheme="minorHAnsi" w:hAnsiTheme="minorHAnsi" w:cstheme="minorHAnsi"/>
          <w:b/>
          <w:color w:val="000000"/>
        </w:rPr>
        <w:t xml:space="preserve">4 </w:t>
      </w:r>
      <w:r w:rsidR="006E00DC" w:rsidRPr="00291C53">
        <w:rPr>
          <w:rFonts w:asciiTheme="minorHAnsi" w:hAnsiTheme="minorHAnsi" w:cstheme="minorHAnsi"/>
          <w:b/>
          <w:color w:val="000000"/>
        </w:rPr>
        <w:t>new resolutions</w:t>
      </w:r>
      <w:r w:rsidRPr="004C43AC">
        <w:rPr>
          <w:rFonts w:asciiTheme="minorHAnsi" w:hAnsiTheme="minorHAnsi" w:cstheme="minorHAnsi"/>
          <w:bCs/>
          <w:color w:val="000000"/>
        </w:rPr>
        <w:t xml:space="preserve">, and </w:t>
      </w:r>
      <w:r w:rsidRPr="00291C53">
        <w:rPr>
          <w:rFonts w:asciiTheme="minorHAnsi" w:hAnsiTheme="minorHAnsi" w:cstheme="minorHAnsi"/>
          <w:b/>
          <w:color w:val="000000"/>
        </w:rPr>
        <w:t>40 revis</w:t>
      </w:r>
      <w:r w:rsidR="00291C53">
        <w:rPr>
          <w:rFonts w:asciiTheme="minorHAnsi" w:hAnsiTheme="minorHAnsi" w:cstheme="minorHAnsi"/>
          <w:b/>
          <w:color w:val="000000"/>
        </w:rPr>
        <w:t>ed</w:t>
      </w:r>
      <w:r w:rsidRPr="00291C53">
        <w:rPr>
          <w:rFonts w:asciiTheme="minorHAnsi" w:hAnsiTheme="minorHAnsi" w:cstheme="minorHAnsi"/>
          <w:b/>
          <w:color w:val="000000"/>
        </w:rPr>
        <w:t xml:space="preserve"> resolutions</w:t>
      </w:r>
      <w:r w:rsidRPr="004C43AC">
        <w:rPr>
          <w:rFonts w:asciiTheme="minorHAnsi" w:hAnsiTheme="minorHAnsi" w:cstheme="minorHAnsi"/>
          <w:bCs/>
          <w:color w:val="000000"/>
        </w:rPr>
        <w:t>.</w:t>
      </w:r>
      <w:r w:rsidR="006E00DC" w:rsidRPr="004C43AC">
        <w:rPr>
          <w:rFonts w:asciiTheme="minorHAnsi" w:hAnsiTheme="minorHAnsi" w:cstheme="minorHAnsi"/>
          <w:bCs/>
          <w:color w:val="000000"/>
        </w:rPr>
        <w:t xml:space="preserve"> </w:t>
      </w:r>
    </w:p>
    <w:p w14:paraId="04C9E365" w14:textId="6788B836" w:rsidR="003F55CA" w:rsidRPr="004C43AC" w:rsidRDefault="00B14BBC" w:rsidP="003C4227">
      <w:pPr>
        <w:pStyle w:val="Pa10"/>
        <w:numPr>
          <w:ilvl w:val="0"/>
          <w:numId w:val="21"/>
        </w:numPr>
        <w:spacing w:before="60" w:after="60" w:line="240" w:lineRule="auto"/>
        <w:ind w:left="714" w:hanging="357"/>
        <w:rPr>
          <w:rFonts w:asciiTheme="minorHAnsi" w:hAnsiTheme="minorHAnsi" w:cstheme="minorHAnsi"/>
          <w:bCs/>
          <w:color w:val="000000"/>
        </w:rPr>
      </w:pPr>
      <w:r w:rsidRPr="004C43AC">
        <w:rPr>
          <w:rFonts w:asciiTheme="minorHAnsi" w:hAnsiTheme="minorHAnsi" w:cstheme="minorHAnsi"/>
          <w:bCs/>
          <w:color w:val="000000"/>
        </w:rPr>
        <w:t>N</w:t>
      </w:r>
      <w:r w:rsidR="006E00DC" w:rsidRPr="004C43AC">
        <w:rPr>
          <w:rFonts w:asciiTheme="minorHAnsi" w:hAnsiTheme="minorHAnsi" w:cstheme="minorHAnsi"/>
          <w:bCs/>
          <w:color w:val="000000"/>
        </w:rPr>
        <w:t xml:space="preserve">ew and revised </w:t>
      </w:r>
      <w:r w:rsidR="006E00DC" w:rsidRPr="00291C53">
        <w:rPr>
          <w:rFonts w:asciiTheme="minorHAnsi" w:hAnsiTheme="minorHAnsi" w:cstheme="minorHAnsi"/>
          <w:b/>
          <w:color w:val="000000"/>
        </w:rPr>
        <w:t>ITU-D study Questions</w:t>
      </w:r>
      <w:r w:rsidR="006E00DC" w:rsidRPr="004C43AC">
        <w:rPr>
          <w:rFonts w:asciiTheme="minorHAnsi" w:hAnsiTheme="minorHAnsi" w:cstheme="minorHAnsi"/>
          <w:bCs/>
          <w:color w:val="000000"/>
        </w:rPr>
        <w:t xml:space="preserve"> to be studied during the period 2022-2025</w:t>
      </w:r>
      <w:r w:rsidR="003F55CA" w:rsidRPr="004C43AC">
        <w:rPr>
          <w:rFonts w:asciiTheme="minorHAnsi" w:hAnsiTheme="minorHAnsi" w:cstheme="minorHAnsi"/>
          <w:bCs/>
          <w:color w:val="000000"/>
        </w:rPr>
        <w:t>.</w:t>
      </w:r>
    </w:p>
    <w:p w14:paraId="030FDA78" w14:textId="47103801" w:rsidR="003F55CA" w:rsidRDefault="003F55CA" w:rsidP="003C4227">
      <w:pPr>
        <w:pStyle w:val="ListParagraph"/>
        <w:numPr>
          <w:ilvl w:val="0"/>
          <w:numId w:val="21"/>
        </w:numPr>
        <w:spacing w:before="60" w:after="60"/>
        <w:ind w:left="714" w:hanging="357"/>
        <w:contextualSpacing w:val="0"/>
        <w:rPr>
          <w:rFonts w:cstheme="minorHAnsi"/>
          <w:bCs/>
          <w:szCs w:val="24"/>
          <w:lang w:eastAsia="zh-CN"/>
        </w:rPr>
      </w:pPr>
      <w:r w:rsidRPr="004C43AC">
        <w:rPr>
          <w:rFonts w:cstheme="minorHAnsi"/>
          <w:bCs/>
          <w:szCs w:val="24"/>
          <w:lang w:eastAsia="zh-CN"/>
        </w:rPr>
        <w:t>WTDC</w:t>
      </w:r>
      <w:r w:rsidR="003A2B2E">
        <w:rPr>
          <w:rFonts w:cstheme="minorHAnsi"/>
          <w:bCs/>
          <w:szCs w:val="24"/>
          <w:lang w:eastAsia="zh-CN"/>
        </w:rPr>
        <w:t>-22</w:t>
      </w:r>
      <w:r w:rsidRPr="004C43AC">
        <w:rPr>
          <w:rFonts w:cstheme="minorHAnsi"/>
          <w:bCs/>
          <w:szCs w:val="24"/>
          <w:lang w:eastAsia="zh-CN"/>
        </w:rPr>
        <w:t xml:space="preserve"> appointed the </w:t>
      </w:r>
      <w:r w:rsidR="006812D5" w:rsidRPr="00291C53">
        <w:rPr>
          <w:rFonts w:cstheme="minorHAnsi"/>
          <w:b/>
          <w:szCs w:val="24"/>
          <w:lang w:eastAsia="zh-CN"/>
        </w:rPr>
        <w:t>Bureau of the Telecommunication Development Advisory Group (TDAG)</w:t>
      </w:r>
      <w:r w:rsidR="006812D5">
        <w:rPr>
          <w:rFonts w:cstheme="minorHAnsi"/>
          <w:bCs/>
          <w:szCs w:val="24"/>
          <w:lang w:eastAsia="zh-CN"/>
        </w:rPr>
        <w:t xml:space="preserve">, comprising </w:t>
      </w:r>
      <w:r w:rsidR="003A2B2E">
        <w:rPr>
          <w:rFonts w:cstheme="minorHAnsi"/>
          <w:bCs/>
          <w:szCs w:val="24"/>
          <w:lang w:eastAsia="zh-CN"/>
        </w:rPr>
        <w:t>the</w:t>
      </w:r>
      <w:r w:rsidR="006812D5">
        <w:rPr>
          <w:rFonts w:cstheme="minorHAnsi"/>
          <w:bCs/>
          <w:szCs w:val="24"/>
          <w:lang w:eastAsia="zh-CN"/>
        </w:rPr>
        <w:t xml:space="preserve"> </w:t>
      </w:r>
      <w:r w:rsidRPr="004C43AC">
        <w:rPr>
          <w:rFonts w:cstheme="minorHAnsi"/>
          <w:bCs/>
          <w:szCs w:val="24"/>
          <w:lang w:eastAsia="zh-CN"/>
        </w:rPr>
        <w:t xml:space="preserve">Chairman and Vice-Chairmen of </w:t>
      </w:r>
      <w:r w:rsidR="003A2B2E">
        <w:rPr>
          <w:rFonts w:cstheme="minorHAnsi"/>
          <w:bCs/>
          <w:szCs w:val="24"/>
          <w:lang w:eastAsia="zh-CN"/>
        </w:rPr>
        <w:t xml:space="preserve">TDAG and </w:t>
      </w:r>
      <w:r w:rsidRPr="004C43AC">
        <w:rPr>
          <w:rFonts w:cstheme="minorHAnsi"/>
          <w:bCs/>
          <w:szCs w:val="24"/>
          <w:lang w:eastAsia="zh-CN"/>
        </w:rPr>
        <w:t>the</w:t>
      </w:r>
      <w:r w:rsidR="003A2B2E">
        <w:rPr>
          <w:rFonts w:cstheme="minorHAnsi"/>
          <w:bCs/>
          <w:szCs w:val="24"/>
          <w:lang w:eastAsia="zh-CN"/>
        </w:rPr>
        <w:t xml:space="preserve"> Chairmen of</w:t>
      </w:r>
      <w:r w:rsidRPr="004C43AC">
        <w:rPr>
          <w:rFonts w:cstheme="minorHAnsi"/>
          <w:bCs/>
          <w:szCs w:val="24"/>
          <w:lang w:eastAsia="zh-CN"/>
        </w:rPr>
        <w:t xml:space="preserve"> ITU-D Study Group</w:t>
      </w:r>
      <w:r w:rsidR="003A2B2E">
        <w:rPr>
          <w:rFonts w:cstheme="minorHAnsi"/>
          <w:bCs/>
          <w:szCs w:val="24"/>
          <w:lang w:eastAsia="zh-CN"/>
        </w:rPr>
        <w:t>s</w:t>
      </w:r>
      <w:r w:rsidRPr="004C43AC">
        <w:rPr>
          <w:rFonts w:cstheme="minorHAnsi"/>
          <w:bCs/>
          <w:szCs w:val="24"/>
          <w:lang w:eastAsia="zh-CN"/>
        </w:rPr>
        <w:t xml:space="preserve">. </w:t>
      </w:r>
    </w:p>
    <w:p w14:paraId="389B018E" w14:textId="1CFDC23B" w:rsidR="003A2B2E" w:rsidRPr="004C43AC" w:rsidRDefault="003A2B2E" w:rsidP="003C4227">
      <w:pPr>
        <w:pStyle w:val="ListParagraph"/>
        <w:numPr>
          <w:ilvl w:val="0"/>
          <w:numId w:val="21"/>
        </w:numPr>
        <w:spacing w:before="60" w:after="60"/>
        <w:ind w:left="714" w:hanging="357"/>
        <w:contextualSpacing w:val="0"/>
        <w:rPr>
          <w:rFonts w:cstheme="minorHAnsi"/>
          <w:bCs/>
          <w:szCs w:val="24"/>
          <w:lang w:eastAsia="zh-CN"/>
        </w:rPr>
      </w:pPr>
      <w:r>
        <w:rPr>
          <w:rFonts w:cstheme="minorHAnsi"/>
          <w:bCs/>
          <w:szCs w:val="24"/>
          <w:lang w:eastAsia="zh-CN"/>
        </w:rPr>
        <w:t xml:space="preserve">WTDC-22 appointed management teams of </w:t>
      </w:r>
      <w:r w:rsidRPr="00291C53">
        <w:rPr>
          <w:rFonts w:cstheme="minorHAnsi"/>
          <w:b/>
          <w:szCs w:val="24"/>
          <w:lang w:eastAsia="zh-CN"/>
        </w:rPr>
        <w:t>ITU-D Study Groups</w:t>
      </w:r>
      <w:r>
        <w:rPr>
          <w:rFonts w:cstheme="minorHAnsi"/>
          <w:bCs/>
          <w:szCs w:val="24"/>
          <w:lang w:eastAsia="zh-CN"/>
        </w:rPr>
        <w:t xml:space="preserve">, comprising the Chairman and Vice-Chairmen of each Study Group. </w:t>
      </w:r>
    </w:p>
    <w:p w14:paraId="48C3019C" w14:textId="7F542F38" w:rsidR="00AC4678" w:rsidRPr="000016A9" w:rsidRDefault="00AC4678" w:rsidP="00BF6C21">
      <w:pPr>
        <w:keepNext/>
        <w:tabs>
          <w:tab w:val="clear" w:pos="794"/>
          <w:tab w:val="clear" w:pos="1191"/>
          <w:tab w:val="clear" w:pos="1588"/>
          <w:tab w:val="clear" w:pos="1985"/>
        </w:tabs>
        <w:spacing w:after="120"/>
        <w:ind w:left="567" w:hanging="567"/>
        <w:outlineLvl w:val="0"/>
        <w:rPr>
          <w:rFonts w:cstheme="minorHAnsi"/>
          <w:b/>
          <w:bCs/>
          <w:szCs w:val="24"/>
        </w:rPr>
      </w:pPr>
      <w:r w:rsidRPr="000016A9">
        <w:rPr>
          <w:rFonts w:cstheme="minorHAnsi"/>
          <w:b/>
          <w:bCs/>
          <w:szCs w:val="24"/>
        </w:rPr>
        <w:lastRenderedPageBreak/>
        <w:t>2.</w:t>
      </w:r>
      <w:r w:rsidRPr="000016A9">
        <w:rPr>
          <w:rFonts w:cstheme="minorHAnsi"/>
          <w:b/>
          <w:bCs/>
          <w:szCs w:val="24"/>
        </w:rPr>
        <w:tab/>
        <w:t>The Kigali Action Plan (KAP)</w:t>
      </w:r>
    </w:p>
    <w:p w14:paraId="7C21A25F" w14:textId="0E583DC4" w:rsidR="00AC4678" w:rsidRPr="000016A9" w:rsidRDefault="00AC4678" w:rsidP="00BF6C21">
      <w:pPr>
        <w:keepNext/>
        <w:tabs>
          <w:tab w:val="clear" w:pos="794"/>
          <w:tab w:val="clear" w:pos="1191"/>
          <w:tab w:val="clear" w:pos="1588"/>
          <w:tab w:val="clear" w:pos="1985"/>
        </w:tabs>
        <w:spacing w:after="120"/>
        <w:rPr>
          <w:rFonts w:cstheme="minorHAnsi"/>
          <w:color w:val="000000"/>
          <w:szCs w:val="24"/>
        </w:rPr>
      </w:pPr>
      <w:r w:rsidRPr="000016A9">
        <w:rPr>
          <w:rFonts w:cstheme="minorHAnsi"/>
          <w:color w:val="000000"/>
          <w:szCs w:val="24"/>
        </w:rPr>
        <w:t>2.1</w:t>
      </w:r>
      <w:r w:rsidRPr="000016A9">
        <w:rPr>
          <w:rFonts w:cstheme="minorHAnsi"/>
          <w:color w:val="000000"/>
          <w:szCs w:val="24"/>
        </w:rPr>
        <w:tab/>
        <w:t>The KAP follows an RBM framework based on the ITU-D priorities identi</w:t>
      </w:r>
      <w:r w:rsidRPr="000016A9">
        <w:rPr>
          <w:rFonts w:cstheme="minorHAnsi"/>
          <w:color w:val="000000"/>
          <w:szCs w:val="24"/>
        </w:rPr>
        <w:softHyphen/>
        <w:t>fied as key work areas that will support the achievement of the ITU strategic plan for 2024-2027. Figure 1 shows the structure of the KAP and its contribution to the ITU strategic plan.</w:t>
      </w:r>
    </w:p>
    <w:p w14:paraId="1B7C994D" w14:textId="77777777" w:rsidR="00AC4678" w:rsidRDefault="00AC4678" w:rsidP="003C4227">
      <w:pPr>
        <w:tabs>
          <w:tab w:val="clear" w:pos="794"/>
          <w:tab w:val="clear" w:pos="1191"/>
          <w:tab w:val="clear" w:pos="1588"/>
          <w:tab w:val="clear" w:pos="1985"/>
        </w:tabs>
        <w:jc w:val="center"/>
        <w:rPr>
          <w:rFonts w:cstheme="minorHAnsi"/>
          <w:color w:val="000000"/>
          <w:szCs w:val="24"/>
        </w:rPr>
      </w:pPr>
      <w:r w:rsidRPr="00DE6B73">
        <w:rPr>
          <w:rFonts w:cstheme="minorHAnsi"/>
          <w:noProof/>
          <w:color w:val="000000"/>
          <w:szCs w:val="24"/>
        </w:rPr>
        <w:drawing>
          <wp:inline distT="0" distB="0" distL="0" distR="0" wp14:anchorId="1FC4D8DF" wp14:editId="3AA18BE0">
            <wp:extent cx="5084309" cy="3816264"/>
            <wp:effectExtent l="0" t="0" r="254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4"/>
                    <a:stretch>
                      <a:fillRect/>
                    </a:stretch>
                  </pic:blipFill>
                  <pic:spPr>
                    <a:xfrm>
                      <a:off x="0" y="0"/>
                      <a:ext cx="5101107" cy="3828873"/>
                    </a:xfrm>
                    <a:prstGeom prst="rect">
                      <a:avLst/>
                    </a:prstGeom>
                  </pic:spPr>
                </pic:pic>
              </a:graphicData>
            </a:graphic>
          </wp:inline>
        </w:drawing>
      </w:r>
    </w:p>
    <w:p w14:paraId="315F1B83" w14:textId="66B22D6E" w:rsidR="00AC4678" w:rsidRPr="006C0B84" w:rsidRDefault="00AC4678" w:rsidP="00BF6C21">
      <w:pPr>
        <w:tabs>
          <w:tab w:val="clear" w:pos="794"/>
          <w:tab w:val="clear" w:pos="1191"/>
          <w:tab w:val="clear" w:pos="1588"/>
          <w:tab w:val="clear" w:pos="1985"/>
        </w:tabs>
        <w:spacing w:after="120"/>
        <w:rPr>
          <w:rFonts w:cstheme="minorHAnsi"/>
          <w:color w:val="000000"/>
          <w:szCs w:val="24"/>
        </w:rPr>
      </w:pPr>
      <w:r>
        <w:rPr>
          <w:rFonts w:cstheme="minorHAnsi"/>
          <w:color w:val="000000"/>
          <w:szCs w:val="24"/>
        </w:rPr>
        <w:t>2.2</w:t>
      </w:r>
      <w:r>
        <w:rPr>
          <w:rFonts w:cstheme="minorHAnsi"/>
          <w:color w:val="000000"/>
          <w:szCs w:val="24"/>
        </w:rPr>
        <w:tab/>
      </w:r>
      <w:r w:rsidRPr="006C0B84">
        <w:rPr>
          <w:rFonts w:cstheme="minorHAnsi"/>
          <w:color w:val="000000"/>
          <w:szCs w:val="24"/>
        </w:rPr>
        <w:t>The KAP is made up of ITU-D Priorities, delivered through a range of key offerings (products and services) and enablers. In order to ensure coherence with ITU’s mandate and other key processes and initiatives, these are clearly linked to specific ITU resolutions, WSIS action lines and SDGs.</w:t>
      </w:r>
    </w:p>
    <w:p w14:paraId="28AF33F4" w14:textId="4EAFF425" w:rsidR="00AC4678" w:rsidRPr="006C0B84" w:rsidRDefault="000016A9" w:rsidP="00BF6C21">
      <w:pPr>
        <w:keepNext/>
        <w:tabs>
          <w:tab w:val="clear" w:pos="794"/>
          <w:tab w:val="clear" w:pos="1191"/>
          <w:tab w:val="clear" w:pos="1588"/>
          <w:tab w:val="clear" w:pos="1985"/>
        </w:tabs>
        <w:spacing w:after="120"/>
        <w:ind w:left="567" w:hanging="567"/>
        <w:rPr>
          <w:rFonts w:cstheme="minorHAnsi"/>
          <w:b/>
          <w:bCs/>
          <w:color w:val="000000"/>
          <w:szCs w:val="24"/>
        </w:rPr>
      </w:pPr>
      <w:r w:rsidRPr="000C79A5">
        <w:rPr>
          <w:rFonts w:cstheme="minorHAnsi"/>
          <w:b/>
          <w:bCs/>
          <w:color w:val="000000"/>
          <w:szCs w:val="24"/>
        </w:rPr>
        <w:t>2.3</w:t>
      </w:r>
      <w:r w:rsidRPr="000C79A5">
        <w:rPr>
          <w:rFonts w:cstheme="minorHAnsi"/>
          <w:b/>
          <w:bCs/>
          <w:color w:val="000000"/>
          <w:szCs w:val="24"/>
        </w:rPr>
        <w:tab/>
      </w:r>
      <w:r w:rsidR="00AC4678" w:rsidRPr="006C0B84">
        <w:rPr>
          <w:rFonts w:cstheme="minorHAnsi"/>
          <w:b/>
          <w:bCs/>
          <w:color w:val="000000"/>
          <w:szCs w:val="24"/>
        </w:rPr>
        <w:t>ITU-D Priorities</w:t>
      </w:r>
    </w:p>
    <w:p w14:paraId="6468D66E" w14:textId="1B2A55FC" w:rsidR="00AC4678" w:rsidRPr="006C0B84" w:rsidRDefault="00AC4678" w:rsidP="00BF6C21">
      <w:pPr>
        <w:tabs>
          <w:tab w:val="clear" w:pos="794"/>
          <w:tab w:val="clear" w:pos="1191"/>
          <w:tab w:val="clear" w:pos="1588"/>
          <w:tab w:val="clear" w:pos="1985"/>
        </w:tabs>
        <w:spacing w:after="120"/>
        <w:ind w:left="567" w:hanging="567"/>
        <w:rPr>
          <w:rFonts w:cstheme="minorHAnsi"/>
          <w:color w:val="000000"/>
          <w:szCs w:val="24"/>
        </w:rPr>
      </w:pPr>
      <w:r w:rsidRPr="006C0B84">
        <w:rPr>
          <w:rFonts w:cstheme="minorHAnsi"/>
          <w:color w:val="000000"/>
          <w:szCs w:val="24"/>
        </w:rPr>
        <w:t>The five priorities for the Development Sector are as follows:</w:t>
      </w:r>
    </w:p>
    <w:p w14:paraId="24F71C0B" w14:textId="77777777" w:rsidR="00AC4678" w:rsidRPr="00AA523D" w:rsidRDefault="00AC4678" w:rsidP="00BF6C21">
      <w:pPr>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i/>
          <w:iCs/>
          <w:color w:val="000000"/>
          <w:szCs w:val="24"/>
          <w:lang w:eastAsia="zh-CN"/>
        </w:rPr>
        <w:t>Affordable connectivity</w:t>
      </w:r>
    </w:p>
    <w:p w14:paraId="36FBA2EB" w14:textId="77777777" w:rsidR="00AC4678" w:rsidRPr="00AA523D" w:rsidRDefault="00AC4678" w:rsidP="00BF6C21">
      <w:pPr>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color w:val="000000"/>
          <w:szCs w:val="24"/>
          <w:lang w:eastAsia="zh-CN"/>
        </w:rPr>
        <w:t xml:space="preserve">The focus of this priority is on the use of modern, available, secure, accessible and affordable connectivity through deployment of telecommunication/ICT infrastructure and services for bridging the digital divides. </w:t>
      </w:r>
    </w:p>
    <w:p w14:paraId="6EA5F1CD" w14:textId="77777777" w:rsidR="00AC4678" w:rsidRPr="00AA523D" w:rsidRDefault="00AC4678" w:rsidP="00BF6C21">
      <w:pPr>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i/>
          <w:iCs/>
          <w:color w:val="000000"/>
          <w:szCs w:val="24"/>
          <w:lang w:eastAsia="zh-CN"/>
        </w:rPr>
        <w:t>Digital transformation</w:t>
      </w:r>
    </w:p>
    <w:p w14:paraId="6F3A3CE8" w14:textId="77777777" w:rsidR="00AC4678" w:rsidRPr="006C0B84" w:rsidRDefault="00AC4678" w:rsidP="00BF6C21">
      <w:pPr>
        <w:tabs>
          <w:tab w:val="clear" w:pos="794"/>
          <w:tab w:val="clear" w:pos="1191"/>
          <w:tab w:val="clear" w:pos="1588"/>
          <w:tab w:val="clear" w:pos="1985"/>
        </w:tabs>
        <w:spacing w:after="120"/>
        <w:rPr>
          <w:rFonts w:cstheme="minorHAnsi"/>
          <w:color w:val="000000"/>
          <w:szCs w:val="24"/>
        </w:rPr>
      </w:pPr>
      <w:r w:rsidRPr="006C0B84">
        <w:rPr>
          <w:rFonts w:cstheme="minorHAnsi"/>
          <w:color w:val="000000"/>
          <w:szCs w:val="24"/>
          <w:lang w:eastAsia="zh-CN"/>
        </w:rPr>
        <w:t>The focus of this priority is on (1) the development and use of telecommunications/ICTs, as well as applications and services, to close the digital divide and empower peo</w:t>
      </w:r>
      <w:r w:rsidRPr="006C0B84">
        <w:rPr>
          <w:rFonts w:cstheme="minorHAnsi"/>
          <w:color w:val="000000"/>
          <w:szCs w:val="24"/>
          <w:lang w:eastAsia="zh-CN"/>
        </w:rPr>
        <w:softHyphen/>
        <w:t xml:space="preserve">ple and societies for sustainable development; (2) support to the ITU-D membership in fostering digital transformation through ICT entrepreneurship and increased ICT innovation in the ICT ecosystem, while encouraging the empowerment of grassroots stakeholders and creating new opportunities for them in the telecommunication/ICT sector. </w:t>
      </w:r>
    </w:p>
    <w:p w14:paraId="283F7ECD" w14:textId="35FCA152" w:rsidR="00AC4678" w:rsidRPr="00AA523D" w:rsidRDefault="00AC4678" w:rsidP="003C4227">
      <w:pPr>
        <w:keepNext/>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i/>
          <w:iCs/>
          <w:color w:val="000000"/>
          <w:szCs w:val="24"/>
          <w:lang w:eastAsia="zh-CN"/>
        </w:rPr>
        <w:lastRenderedPageBreak/>
        <w:t>Enabling policy and regulatory environment</w:t>
      </w:r>
    </w:p>
    <w:p w14:paraId="26F05551" w14:textId="77777777" w:rsidR="00AC4678" w:rsidRPr="00AA523D" w:rsidRDefault="00AC4678" w:rsidP="00BF6C21">
      <w:pPr>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color w:val="000000"/>
          <w:szCs w:val="24"/>
          <w:lang w:eastAsia="zh-CN"/>
        </w:rPr>
        <w:t>The focus of this priority is on fostering an enabling policy and regulatory environ</w:t>
      </w:r>
      <w:r w:rsidRPr="00AA523D">
        <w:rPr>
          <w:rFonts w:cstheme="minorHAnsi"/>
          <w:color w:val="000000"/>
          <w:szCs w:val="24"/>
          <w:lang w:eastAsia="zh-CN"/>
        </w:rPr>
        <w:softHyphen/>
        <w:t xml:space="preserve">ment conducive to sustainable telecommunication/ICT development that encourages investment in infrastructure and ICTs and increased adoption of telecommunications/ICTs. </w:t>
      </w:r>
    </w:p>
    <w:p w14:paraId="6D05CBE8" w14:textId="77777777" w:rsidR="00AC4678" w:rsidRPr="00AA523D" w:rsidRDefault="00AC4678" w:rsidP="00BF6C21">
      <w:pPr>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i/>
          <w:iCs/>
          <w:color w:val="000000"/>
          <w:szCs w:val="24"/>
          <w:lang w:eastAsia="zh-CN"/>
        </w:rPr>
        <w:t>Resource mobilization and international cooperation</w:t>
      </w:r>
    </w:p>
    <w:p w14:paraId="126C6810" w14:textId="77777777" w:rsidR="00AC4678" w:rsidRPr="00AA523D" w:rsidRDefault="00AC4678" w:rsidP="00BF6C21">
      <w:pPr>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color w:val="000000"/>
          <w:szCs w:val="24"/>
          <w:lang w:eastAsia="zh-CN"/>
        </w:rPr>
        <w:t>The focus of this priority is on mobilizing and attracting resources and fostering interna</w:t>
      </w:r>
      <w:r w:rsidRPr="00AA523D">
        <w:rPr>
          <w:rFonts w:cstheme="minorHAnsi"/>
          <w:color w:val="000000"/>
          <w:szCs w:val="24"/>
          <w:lang w:eastAsia="zh-CN"/>
        </w:rPr>
        <w:softHyphen/>
        <w:t xml:space="preserve">tional cooperation on telecommunication/ICT development issues. This priority is also cross-cutting, providing resources and fostering international cooperation to deliver relevant global outcomes. </w:t>
      </w:r>
    </w:p>
    <w:p w14:paraId="63E0ED20" w14:textId="77777777" w:rsidR="00AC4678" w:rsidRPr="00AA523D" w:rsidRDefault="00AC4678" w:rsidP="00BF6C21">
      <w:pPr>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i/>
          <w:iCs/>
          <w:color w:val="000000"/>
          <w:szCs w:val="24"/>
          <w:lang w:eastAsia="zh-CN"/>
        </w:rPr>
        <w:t>Inclusive and secure telecommunications/ICTs for sustainable development</w:t>
      </w:r>
    </w:p>
    <w:p w14:paraId="46F5D11F" w14:textId="77777777" w:rsidR="00AC4678" w:rsidRPr="006C0B84" w:rsidRDefault="00AC4678" w:rsidP="00BF6C21">
      <w:pPr>
        <w:tabs>
          <w:tab w:val="clear" w:pos="794"/>
          <w:tab w:val="clear" w:pos="1191"/>
          <w:tab w:val="clear" w:pos="1588"/>
          <w:tab w:val="clear" w:pos="1985"/>
        </w:tabs>
        <w:spacing w:after="120"/>
        <w:rPr>
          <w:rFonts w:cstheme="minorHAnsi"/>
          <w:color w:val="000000"/>
          <w:szCs w:val="24"/>
          <w:lang w:eastAsia="zh-CN"/>
        </w:rPr>
      </w:pPr>
      <w:r w:rsidRPr="006C0B84">
        <w:rPr>
          <w:rFonts w:cstheme="minorHAnsi"/>
          <w:color w:val="000000"/>
          <w:szCs w:val="24"/>
          <w:lang w:eastAsia="zh-CN"/>
        </w:rPr>
        <w:t xml:space="preserve">The focus of this priority is on providing support for Member States to achieve secure telecommunications/ICTs for digital development for all. </w:t>
      </w:r>
    </w:p>
    <w:p w14:paraId="5F646CB3" w14:textId="77747700" w:rsidR="00AC4678" w:rsidRPr="006C0B84" w:rsidRDefault="000016A9" w:rsidP="00BF6C21">
      <w:pPr>
        <w:keepNext/>
        <w:tabs>
          <w:tab w:val="clear" w:pos="794"/>
          <w:tab w:val="clear" w:pos="1191"/>
          <w:tab w:val="clear" w:pos="1588"/>
          <w:tab w:val="clear" w:pos="1985"/>
        </w:tabs>
        <w:spacing w:after="120"/>
        <w:ind w:left="567" w:hanging="567"/>
        <w:rPr>
          <w:rFonts w:cstheme="minorHAnsi"/>
          <w:b/>
          <w:bCs/>
          <w:color w:val="000000"/>
          <w:szCs w:val="24"/>
        </w:rPr>
      </w:pPr>
      <w:r>
        <w:rPr>
          <w:rFonts w:cstheme="minorHAnsi"/>
          <w:b/>
          <w:bCs/>
          <w:color w:val="000000"/>
          <w:szCs w:val="24"/>
        </w:rPr>
        <w:t>2.4</w:t>
      </w:r>
      <w:r>
        <w:rPr>
          <w:rFonts w:cstheme="minorHAnsi"/>
          <w:b/>
          <w:bCs/>
          <w:color w:val="000000"/>
          <w:szCs w:val="24"/>
        </w:rPr>
        <w:tab/>
      </w:r>
      <w:r w:rsidR="00AC4678" w:rsidRPr="006C0B84">
        <w:rPr>
          <w:rFonts w:cstheme="minorHAnsi"/>
          <w:b/>
          <w:bCs/>
          <w:color w:val="000000"/>
          <w:szCs w:val="24"/>
        </w:rPr>
        <w:t>Products and Services</w:t>
      </w:r>
    </w:p>
    <w:p w14:paraId="2AAAF216" w14:textId="4A06283F" w:rsidR="00AC4678" w:rsidRPr="006C0B84" w:rsidRDefault="00AC4678" w:rsidP="00BF6C21">
      <w:pPr>
        <w:tabs>
          <w:tab w:val="clear" w:pos="794"/>
          <w:tab w:val="clear" w:pos="1191"/>
          <w:tab w:val="clear" w:pos="1588"/>
          <w:tab w:val="clear" w:pos="1985"/>
        </w:tabs>
        <w:overflowPunct/>
        <w:spacing w:after="120"/>
        <w:textAlignment w:val="auto"/>
        <w:rPr>
          <w:rFonts w:cstheme="minorHAnsi"/>
          <w:color w:val="000000"/>
          <w:szCs w:val="24"/>
          <w:lang w:eastAsia="zh-CN"/>
        </w:rPr>
      </w:pPr>
      <w:r w:rsidRPr="006C0B84">
        <w:rPr>
          <w:rFonts w:cstheme="minorHAnsi"/>
          <w:color w:val="000000"/>
          <w:szCs w:val="24"/>
          <w:lang w:eastAsia="zh-CN"/>
        </w:rPr>
        <w:t>To achieve the outcomes under the thematic priorities, ITU-D deploys a range of products and services for its members, United Nations agencies and other stakeholders. The KAP provides a list of these products and services but that list is not exhaustive, and additional products and ser</w:t>
      </w:r>
      <w:r w:rsidRPr="006C0B84">
        <w:rPr>
          <w:rFonts w:cstheme="minorHAnsi"/>
          <w:color w:val="000000"/>
          <w:szCs w:val="24"/>
          <w:lang w:eastAsia="zh-CN"/>
        </w:rPr>
        <w:softHyphen/>
        <w:t>vices may be developed for each outcome and KPI in order to ensure the priority has the corresponding action framework. The products and services fall within the following broad categories:</w:t>
      </w:r>
    </w:p>
    <w:p w14:paraId="7B15EE69" w14:textId="77777777" w:rsidR="00AC4678" w:rsidRPr="006C0B84" w:rsidRDefault="00AC4678" w:rsidP="003C4227">
      <w:pPr>
        <w:pStyle w:val="ListParagraph"/>
        <w:numPr>
          <w:ilvl w:val="0"/>
          <w:numId w:val="22"/>
        </w:numPr>
        <w:overflowPunct/>
        <w:spacing w:before="60" w:after="60"/>
        <w:ind w:left="714" w:hanging="357"/>
        <w:contextualSpacing w:val="0"/>
        <w:textAlignment w:val="auto"/>
        <w:rPr>
          <w:rFonts w:cstheme="minorHAnsi"/>
          <w:i/>
          <w:iCs/>
          <w:color w:val="000000"/>
          <w:szCs w:val="24"/>
        </w:rPr>
      </w:pPr>
      <w:r w:rsidRPr="006C0B84">
        <w:rPr>
          <w:rFonts w:cstheme="minorHAnsi"/>
          <w:i/>
          <w:iCs/>
          <w:color w:val="000000"/>
          <w:szCs w:val="24"/>
        </w:rPr>
        <w:t>Development of policy frameworks and knowledge products</w:t>
      </w:r>
    </w:p>
    <w:p w14:paraId="136829BC" w14:textId="77777777" w:rsidR="00AC4678" w:rsidRPr="006C0B84" w:rsidRDefault="00AC4678" w:rsidP="003C4227">
      <w:pPr>
        <w:pStyle w:val="ListParagraph"/>
        <w:numPr>
          <w:ilvl w:val="0"/>
          <w:numId w:val="22"/>
        </w:numPr>
        <w:overflowPunct/>
        <w:spacing w:before="60" w:after="60"/>
        <w:ind w:left="714" w:hanging="357"/>
        <w:contextualSpacing w:val="0"/>
        <w:textAlignment w:val="auto"/>
        <w:rPr>
          <w:rFonts w:cstheme="minorHAnsi"/>
          <w:color w:val="000000"/>
          <w:szCs w:val="24"/>
          <w:lang w:eastAsia="zh-CN"/>
        </w:rPr>
      </w:pPr>
      <w:r w:rsidRPr="006C0B84">
        <w:rPr>
          <w:rFonts w:cstheme="minorHAnsi"/>
          <w:i/>
          <w:iCs/>
          <w:color w:val="000000"/>
          <w:szCs w:val="24"/>
          <w:lang w:eastAsia="zh-CN"/>
        </w:rPr>
        <w:t>Provision of data and statistics</w:t>
      </w:r>
    </w:p>
    <w:p w14:paraId="1E15C0E1" w14:textId="77777777" w:rsidR="00AC4678" w:rsidRPr="006C0B84" w:rsidRDefault="00AC4678" w:rsidP="003C4227">
      <w:pPr>
        <w:pStyle w:val="ListParagraph"/>
        <w:numPr>
          <w:ilvl w:val="0"/>
          <w:numId w:val="22"/>
        </w:numPr>
        <w:overflowPunct/>
        <w:spacing w:before="60" w:after="60"/>
        <w:ind w:left="714" w:hanging="357"/>
        <w:contextualSpacing w:val="0"/>
        <w:textAlignment w:val="auto"/>
        <w:rPr>
          <w:rFonts w:cstheme="minorHAnsi"/>
          <w:i/>
          <w:iCs/>
          <w:color w:val="000000"/>
          <w:szCs w:val="24"/>
          <w:lang w:eastAsia="zh-CN"/>
        </w:rPr>
      </w:pPr>
      <w:r w:rsidRPr="006C0B84">
        <w:rPr>
          <w:rFonts w:cstheme="minorHAnsi"/>
          <w:i/>
          <w:iCs/>
          <w:color w:val="000000"/>
          <w:szCs w:val="24"/>
          <w:lang w:eastAsia="zh-CN"/>
        </w:rPr>
        <w:t>Capacity development</w:t>
      </w:r>
    </w:p>
    <w:p w14:paraId="43953854" w14:textId="77777777" w:rsidR="00AC4678" w:rsidRPr="006C0B84" w:rsidRDefault="00AC4678" w:rsidP="003C4227">
      <w:pPr>
        <w:pStyle w:val="ListParagraph"/>
        <w:numPr>
          <w:ilvl w:val="0"/>
          <w:numId w:val="22"/>
        </w:numPr>
        <w:overflowPunct/>
        <w:spacing w:before="60" w:after="60"/>
        <w:ind w:left="714" w:hanging="357"/>
        <w:contextualSpacing w:val="0"/>
        <w:textAlignment w:val="auto"/>
        <w:rPr>
          <w:rFonts w:cstheme="minorHAnsi"/>
          <w:i/>
          <w:iCs/>
          <w:color w:val="000000"/>
          <w:szCs w:val="24"/>
        </w:rPr>
      </w:pPr>
      <w:r w:rsidRPr="006C0B84">
        <w:rPr>
          <w:rFonts w:cstheme="minorHAnsi"/>
          <w:i/>
          <w:iCs/>
          <w:color w:val="000000"/>
          <w:szCs w:val="24"/>
        </w:rPr>
        <w:t>Provision of technical assistance</w:t>
      </w:r>
    </w:p>
    <w:p w14:paraId="4E9EB805" w14:textId="77777777" w:rsidR="00AC4678" w:rsidRPr="006C0B84" w:rsidRDefault="00AC4678" w:rsidP="003C4227">
      <w:pPr>
        <w:pStyle w:val="ListParagraph"/>
        <w:numPr>
          <w:ilvl w:val="0"/>
          <w:numId w:val="22"/>
        </w:numPr>
        <w:overflowPunct/>
        <w:spacing w:before="60" w:after="60"/>
        <w:ind w:left="714" w:hanging="357"/>
        <w:contextualSpacing w:val="0"/>
        <w:textAlignment w:val="auto"/>
        <w:rPr>
          <w:rFonts w:cstheme="minorHAnsi"/>
          <w:color w:val="000000"/>
          <w:szCs w:val="24"/>
        </w:rPr>
      </w:pPr>
      <w:r w:rsidRPr="006C0B84">
        <w:rPr>
          <w:rFonts w:cstheme="minorHAnsi"/>
          <w:i/>
          <w:iCs/>
          <w:color w:val="000000"/>
          <w:szCs w:val="24"/>
        </w:rPr>
        <w:t>Convening Platforms</w:t>
      </w:r>
    </w:p>
    <w:p w14:paraId="3A0678ED" w14:textId="742E15F9" w:rsidR="00AC4678" w:rsidRPr="006C0B84" w:rsidRDefault="000016A9" w:rsidP="00BF6C21">
      <w:pPr>
        <w:keepNext/>
        <w:tabs>
          <w:tab w:val="clear" w:pos="794"/>
          <w:tab w:val="clear" w:pos="1191"/>
          <w:tab w:val="clear" w:pos="1588"/>
          <w:tab w:val="clear" w:pos="1985"/>
        </w:tabs>
        <w:spacing w:after="120"/>
        <w:ind w:left="567" w:hanging="567"/>
        <w:rPr>
          <w:rFonts w:cstheme="minorHAnsi"/>
          <w:b/>
          <w:bCs/>
          <w:color w:val="000000"/>
          <w:szCs w:val="24"/>
        </w:rPr>
      </w:pPr>
      <w:r>
        <w:rPr>
          <w:rFonts w:cstheme="minorHAnsi"/>
          <w:b/>
          <w:bCs/>
          <w:color w:val="000000"/>
          <w:szCs w:val="24"/>
        </w:rPr>
        <w:t>2.5</w:t>
      </w:r>
      <w:r>
        <w:rPr>
          <w:rFonts w:cstheme="minorHAnsi"/>
          <w:b/>
          <w:bCs/>
          <w:color w:val="000000"/>
          <w:szCs w:val="24"/>
        </w:rPr>
        <w:tab/>
      </w:r>
      <w:r w:rsidR="00AC4678" w:rsidRPr="006C0B84">
        <w:rPr>
          <w:rFonts w:cstheme="minorHAnsi"/>
          <w:b/>
          <w:bCs/>
          <w:color w:val="000000"/>
          <w:szCs w:val="24"/>
        </w:rPr>
        <w:t>Enablers</w:t>
      </w:r>
    </w:p>
    <w:p w14:paraId="2559DF29" w14:textId="77777777" w:rsidR="00AC4678" w:rsidRPr="006C0B84" w:rsidRDefault="00AC4678" w:rsidP="00BF6C21">
      <w:pPr>
        <w:tabs>
          <w:tab w:val="clear" w:pos="794"/>
          <w:tab w:val="clear" w:pos="1191"/>
          <w:tab w:val="clear" w:pos="1588"/>
          <w:tab w:val="clear" w:pos="1985"/>
        </w:tabs>
        <w:overflowPunct/>
        <w:spacing w:after="120"/>
        <w:textAlignment w:val="auto"/>
        <w:rPr>
          <w:rFonts w:cstheme="minorHAnsi"/>
          <w:color w:val="000000"/>
          <w:szCs w:val="24"/>
          <w:lang w:eastAsia="zh-CN"/>
        </w:rPr>
      </w:pPr>
      <w:r w:rsidRPr="006C0B84">
        <w:rPr>
          <w:rFonts w:cstheme="minorHAnsi"/>
          <w:color w:val="000000"/>
          <w:szCs w:val="24"/>
          <w:lang w:eastAsia="zh-CN"/>
        </w:rPr>
        <w:t>ITU</w:t>
      </w:r>
      <w:r w:rsidRPr="006C0B84">
        <w:rPr>
          <w:rFonts w:cstheme="minorHAnsi"/>
          <w:color w:val="000000"/>
          <w:szCs w:val="24"/>
          <w:lang w:eastAsia="zh-CN"/>
        </w:rPr>
        <w:noBreakHyphen/>
        <w:t>D will deliver the action plan through several “enablers” defined in the KAP. Enablers are the ways of working that allow BDT to deliver on its goals and priorities more effectively and efficiently. They reflect ITU's values of efficiency, transparency and accountability, openness, universality and neutrality, and being people-centred, service-oriented and results-based, and leverage its key strengths and address its weaknesses so that it can support its membership. The enablers defined in the KAP are as follows:</w:t>
      </w:r>
    </w:p>
    <w:p w14:paraId="03D2F12E" w14:textId="77777777" w:rsidR="00AC4678" w:rsidRPr="006C0B84" w:rsidRDefault="00AC4678" w:rsidP="003C4227">
      <w:pPr>
        <w:pStyle w:val="ListParagraph"/>
        <w:numPr>
          <w:ilvl w:val="0"/>
          <w:numId w:val="23"/>
        </w:numPr>
        <w:overflowPunct/>
        <w:spacing w:before="60" w:after="60"/>
        <w:contextualSpacing w:val="0"/>
        <w:textAlignment w:val="auto"/>
        <w:rPr>
          <w:rFonts w:cstheme="minorHAnsi"/>
          <w:color w:val="000000"/>
          <w:szCs w:val="24"/>
          <w:lang w:eastAsia="zh-CN"/>
        </w:rPr>
      </w:pPr>
      <w:r w:rsidRPr="006C0B84">
        <w:rPr>
          <w:rFonts w:cstheme="minorHAnsi"/>
          <w:i/>
          <w:iCs/>
          <w:color w:val="000000"/>
          <w:szCs w:val="24"/>
          <w:lang w:eastAsia="zh-CN"/>
        </w:rPr>
        <w:t>Membership-driven</w:t>
      </w:r>
    </w:p>
    <w:p w14:paraId="4E7B178D" w14:textId="77777777" w:rsidR="00AC4678" w:rsidRPr="006C0B84" w:rsidRDefault="00AC4678" w:rsidP="003C4227">
      <w:pPr>
        <w:pStyle w:val="ListParagraph"/>
        <w:numPr>
          <w:ilvl w:val="0"/>
          <w:numId w:val="23"/>
        </w:numPr>
        <w:overflowPunct/>
        <w:spacing w:before="60" w:after="60"/>
        <w:contextualSpacing w:val="0"/>
        <w:textAlignment w:val="auto"/>
        <w:rPr>
          <w:rFonts w:cstheme="minorHAnsi"/>
          <w:color w:val="000000"/>
          <w:szCs w:val="24"/>
          <w:lang w:eastAsia="zh-CN"/>
        </w:rPr>
      </w:pPr>
      <w:r w:rsidRPr="006C0B84">
        <w:rPr>
          <w:rFonts w:cstheme="minorHAnsi"/>
          <w:i/>
          <w:iCs/>
          <w:color w:val="000000"/>
          <w:szCs w:val="24"/>
          <w:lang w:eastAsia="zh-CN"/>
        </w:rPr>
        <w:t>Regional presence</w:t>
      </w:r>
    </w:p>
    <w:p w14:paraId="63434BA5" w14:textId="77777777" w:rsidR="00AC4678" w:rsidRPr="006C0B84" w:rsidRDefault="00AC4678" w:rsidP="003C4227">
      <w:pPr>
        <w:pStyle w:val="ListParagraph"/>
        <w:numPr>
          <w:ilvl w:val="0"/>
          <w:numId w:val="23"/>
        </w:numPr>
        <w:overflowPunct/>
        <w:spacing w:before="60" w:after="60"/>
        <w:contextualSpacing w:val="0"/>
        <w:textAlignment w:val="auto"/>
        <w:rPr>
          <w:rFonts w:cstheme="minorHAnsi"/>
          <w:color w:val="000000"/>
          <w:szCs w:val="24"/>
          <w:lang w:eastAsia="zh-CN"/>
        </w:rPr>
      </w:pPr>
      <w:r w:rsidRPr="006C0B84">
        <w:rPr>
          <w:rFonts w:cstheme="minorHAnsi"/>
          <w:i/>
          <w:iCs/>
          <w:color w:val="000000"/>
          <w:szCs w:val="24"/>
          <w:lang w:eastAsia="zh-CN"/>
        </w:rPr>
        <w:t>Diversity and inclusion</w:t>
      </w:r>
    </w:p>
    <w:p w14:paraId="27B9E776" w14:textId="77777777" w:rsidR="00AC4678" w:rsidRPr="006C0B84" w:rsidRDefault="00AC4678" w:rsidP="003C4227">
      <w:pPr>
        <w:pStyle w:val="ListParagraph"/>
        <w:numPr>
          <w:ilvl w:val="0"/>
          <w:numId w:val="23"/>
        </w:numPr>
        <w:overflowPunct/>
        <w:spacing w:before="60" w:after="60"/>
        <w:contextualSpacing w:val="0"/>
        <w:textAlignment w:val="auto"/>
        <w:rPr>
          <w:rFonts w:cstheme="minorHAnsi"/>
          <w:color w:val="000000"/>
          <w:szCs w:val="24"/>
          <w:lang w:eastAsia="zh-CN"/>
        </w:rPr>
      </w:pPr>
      <w:r w:rsidRPr="006C0B84">
        <w:rPr>
          <w:rFonts w:cstheme="minorHAnsi"/>
          <w:i/>
          <w:iCs/>
          <w:color w:val="000000"/>
          <w:szCs w:val="24"/>
          <w:lang w:eastAsia="zh-CN"/>
        </w:rPr>
        <w:t>Commitment to environmental sustainability</w:t>
      </w:r>
    </w:p>
    <w:p w14:paraId="21F170A3" w14:textId="77777777" w:rsidR="00AC4678" w:rsidRPr="006C0B84" w:rsidRDefault="00AC4678" w:rsidP="003C4227">
      <w:pPr>
        <w:pStyle w:val="ListParagraph"/>
        <w:numPr>
          <w:ilvl w:val="0"/>
          <w:numId w:val="23"/>
        </w:numPr>
        <w:overflowPunct/>
        <w:spacing w:before="60" w:after="60"/>
        <w:contextualSpacing w:val="0"/>
        <w:textAlignment w:val="auto"/>
        <w:rPr>
          <w:rFonts w:cstheme="minorHAnsi"/>
          <w:color w:val="000000"/>
          <w:szCs w:val="24"/>
          <w:lang w:eastAsia="zh-CN"/>
        </w:rPr>
      </w:pPr>
      <w:r w:rsidRPr="006C0B84">
        <w:rPr>
          <w:rFonts w:cstheme="minorHAnsi"/>
          <w:i/>
          <w:iCs/>
          <w:color w:val="000000"/>
          <w:szCs w:val="24"/>
          <w:lang w:eastAsia="zh-CN"/>
        </w:rPr>
        <w:t>Partnerships and international cooperation</w:t>
      </w:r>
    </w:p>
    <w:p w14:paraId="467ADDBA" w14:textId="77777777" w:rsidR="00AC4678" w:rsidRPr="006C0B84" w:rsidRDefault="00AC4678" w:rsidP="003C4227">
      <w:pPr>
        <w:pStyle w:val="ListParagraph"/>
        <w:numPr>
          <w:ilvl w:val="0"/>
          <w:numId w:val="23"/>
        </w:numPr>
        <w:overflowPunct/>
        <w:spacing w:before="60" w:after="60"/>
        <w:contextualSpacing w:val="0"/>
        <w:textAlignment w:val="auto"/>
        <w:rPr>
          <w:rFonts w:cstheme="minorHAnsi"/>
          <w:color w:val="000000"/>
          <w:szCs w:val="24"/>
          <w:lang w:eastAsia="zh-CN"/>
        </w:rPr>
      </w:pPr>
      <w:r w:rsidRPr="006C0B84">
        <w:rPr>
          <w:rFonts w:cstheme="minorHAnsi"/>
          <w:i/>
          <w:iCs/>
          <w:color w:val="000000"/>
          <w:szCs w:val="24"/>
          <w:lang w:eastAsia="zh-CN"/>
        </w:rPr>
        <w:t>Resource mobilization</w:t>
      </w:r>
    </w:p>
    <w:p w14:paraId="72991178" w14:textId="77777777" w:rsidR="00AC4678" w:rsidRPr="006C0B84" w:rsidRDefault="00AC4678" w:rsidP="003C4227">
      <w:pPr>
        <w:pStyle w:val="Pa15"/>
        <w:numPr>
          <w:ilvl w:val="0"/>
          <w:numId w:val="23"/>
        </w:numPr>
        <w:spacing w:before="60" w:after="60" w:line="240" w:lineRule="auto"/>
        <w:rPr>
          <w:rFonts w:asciiTheme="minorHAnsi" w:hAnsiTheme="minorHAnsi" w:cstheme="minorHAnsi"/>
          <w:color w:val="000000"/>
        </w:rPr>
      </w:pPr>
      <w:r w:rsidRPr="006C0B84">
        <w:rPr>
          <w:rFonts w:asciiTheme="minorHAnsi" w:hAnsiTheme="minorHAnsi" w:cstheme="minorHAnsi"/>
          <w:i/>
          <w:iCs/>
          <w:color w:val="000000"/>
        </w:rPr>
        <w:t>Excellence in human resources and organizational innovation</w:t>
      </w:r>
    </w:p>
    <w:p w14:paraId="75400DD2" w14:textId="7C550286" w:rsidR="00AC4678" w:rsidRPr="006C0B84" w:rsidRDefault="000016A9" w:rsidP="00BF6C21">
      <w:pPr>
        <w:keepNext/>
        <w:tabs>
          <w:tab w:val="clear" w:pos="794"/>
          <w:tab w:val="clear" w:pos="1191"/>
          <w:tab w:val="clear" w:pos="1588"/>
          <w:tab w:val="clear" w:pos="1985"/>
        </w:tabs>
        <w:spacing w:after="120"/>
        <w:ind w:left="567" w:hanging="567"/>
        <w:rPr>
          <w:rFonts w:cstheme="minorHAnsi"/>
          <w:b/>
          <w:bCs/>
          <w:color w:val="000000"/>
          <w:szCs w:val="24"/>
          <w:lang w:eastAsia="zh-CN"/>
        </w:rPr>
      </w:pPr>
      <w:r>
        <w:rPr>
          <w:rFonts w:cstheme="minorHAnsi"/>
          <w:b/>
          <w:bCs/>
          <w:color w:val="000000"/>
          <w:szCs w:val="24"/>
          <w:lang w:eastAsia="zh-CN"/>
        </w:rPr>
        <w:t>2.6</w:t>
      </w:r>
      <w:r>
        <w:rPr>
          <w:rFonts w:cstheme="minorHAnsi"/>
          <w:b/>
          <w:bCs/>
          <w:color w:val="000000"/>
          <w:szCs w:val="24"/>
          <w:lang w:eastAsia="zh-CN"/>
        </w:rPr>
        <w:tab/>
      </w:r>
      <w:r w:rsidR="00AC4678" w:rsidRPr="006C0B84">
        <w:rPr>
          <w:rFonts w:cstheme="minorHAnsi"/>
          <w:b/>
          <w:bCs/>
          <w:color w:val="000000"/>
          <w:szCs w:val="24"/>
          <w:lang w:eastAsia="zh-CN"/>
        </w:rPr>
        <w:t>Linkages</w:t>
      </w:r>
    </w:p>
    <w:p w14:paraId="0C3A50E3" w14:textId="2CC035DA" w:rsidR="00AC4678" w:rsidRPr="005D16B2" w:rsidRDefault="00AC4678" w:rsidP="00BF6C21">
      <w:pPr>
        <w:tabs>
          <w:tab w:val="clear" w:pos="794"/>
          <w:tab w:val="clear" w:pos="1191"/>
          <w:tab w:val="clear" w:pos="1588"/>
          <w:tab w:val="clear" w:pos="1985"/>
        </w:tabs>
        <w:overflowPunct/>
        <w:spacing w:after="120"/>
        <w:textAlignment w:val="auto"/>
        <w:rPr>
          <w:rFonts w:cstheme="minorHAnsi"/>
          <w:color w:val="000000"/>
          <w:szCs w:val="24"/>
          <w:lang w:eastAsia="zh-CN"/>
        </w:rPr>
      </w:pPr>
      <w:r>
        <w:rPr>
          <w:rFonts w:cstheme="minorHAnsi"/>
          <w:color w:val="000000"/>
          <w:szCs w:val="24"/>
          <w:lang w:eastAsia="zh-CN"/>
        </w:rPr>
        <w:t xml:space="preserve">An important objective of the KAP is to ensure that the ITU-D continues to deliver on its contribution to the ITU Strategic Plan, the UN Sustainable Development Goals, WSIS action lines, </w:t>
      </w:r>
      <w:r>
        <w:rPr>
          <w:rFonts w:cstheme="minorHAnsi"/>
          <w:color w:val="000000"/>
          <w:szCs w:val="24"/>
          <w:lang w:eastAsia="zh-CN"/>
        </w:rPr>
        <w:lastRenderedPageBreak/>
        <w:t>as well as the applicable ITU resolutions, Regional Initiatives and ITU-D Study Questions. Accordingly, the</w:t>
      </w:r>
      <w:r w:rsidRPr="006C0B84">
        <w:rPr>
          <w:rFonts w:cstheme="minorHAnsi"/>
          <w:color w:val="000000"/>
          <w:szCs w:val="24"/>
          <w:lang w:eastAsia="zh-CN"/>
        </w:rPr>
        <w:t xml:space="preserve"> action plan </w:t>
      </w:r>
      <w:r>
        <w:rPr>
          <w:rFonts w:cstheme="minorHAnsi"/>
          <w:color w:val="000000"/>
          <w:szCs w:val="24"/>
          <w:lang w:eastAsia="zh-CN"/>
        </w:rPr>
        <w:t xml:space="preserve">while being </w:t>
      </w:r>
      <w:r w:rsidRPr="006C0B84">
        <w:rPr>
          <w:rFonts w:cstheme="minorHAnsi"/>
          <w:color w:val="000000"/>
          <w:szCs w:val="24"/>
          <w:lang w:eastAsia="zh-CN"/>
        </w:rPr>
        <w:t>organized along the ITU-D priorities</w:t>
      </w:r>
      <w:r>
        <w:rPr>
          <w:rFonts w:cstheme="minorHAnsi"/>
          <w:color w:val="000000"/>
          <w:szCs w:val="24"/>
          <w:lang w:eastAsia="zh-CN"/>
        </w:rPr>
        <w:t>,</w:t>
      </w:r>
      <w:r w:rsidRPr="006C0B84">
        <w:rPr>
          <w:rFonts w:cstheme="minorHAnsi"/>
          <w:color w:val="000000"/>
          <w:szCs w:val="24"/>
          <w:lang w:eastAsia="zh-CN"/>
        </w:rPr>
        <w:t xml:space="preserve"> provides information on, and </w:t>
      </w:r>
      <w:r>
        <w:rPr>
          <w:rFonts w:cstheme="minorHAnsi"/>
          <w:color w:val="000000"/>
          <w:szCs w:val="24"/>
          <w:lang w:eastAsia="zh-CN"/>
        </w:rPr>
        <w:t xml:space="preserve">ensures </w:t>
      </w:r>
      <w:r w:rsidRPr="006C0B84">
        <w:rPr>
          <w:rFonts w:cstheme="minorHAnsi"/>
          <w:color w:val="000000"/>
          <w:szCs w:val="24"/>
          <w:lang w:eastAsia="zh-CN"/>
        </w:rPr>
        <w:t>linkages between, the corresponding product and service offerings, enablers, key outputs, expected results and KPIs.</w:t>
      </w:r>
      <w:r>
        <w:rPr>
          <w:rFonts w:cstheme="minorHAnsi"/>
          <w:color w:val="000000"/>
          <w:szCs w:val="24"/>
          <w:lang w:eastAsia="zh-CN"/>
        </w:rPr>
        <w:t xml:space="preserve"> </w:t>
      </w:r>
    </w:p>
    <w:p w14:paraId="343DD295" w14:textId="77777777" w:rsidR="00AC4678" w:rsidRPr="005D16B2" w:rsidRDefault="00AC4678" w:rsidP="00BF6C21">
      <w:pPr>
        <w:keepNext/>
        <w:tabs>
          <w:tab w:val="clear" w:pos="794"/>
          <w:tab w:val="clear" w:pos="1191"/>
          <w:tab w:val="clear" w:pos="1588"/>
          <w:tab w:val="clear" w:pos="1985"/>
        </w:tabs>
        <w:overflowPunct/>
        <w:spacing w:after="120"/>
        <w:textAlignment w:val="auto"/>
        <w:rPr>
          <w:rFonts w:cstheme="minorHAnsi"/>
          <w:color w:val="000000"/>
          <w:szCs w:val="24"/>
          <w:lang w:eastAsia="zh-CN"/>
        </w:rPr>
      </w:pPr>
      <w:r w:rsidRPr="005D16B2">
        <w:rPr>
          <w:rFonts w:cstheme="minorHAnsi"/>
          <w:color w:val="000000"/>
          <w:szCs w:val="24"/>
          <w:lang w:eastAsia="zh-CN"/>
        </w:rPr>
        <w:t>The linkages between these elements are displayed in Figure 2 below.</w:t>
      </w:r>
    </w:p>
    <w:p w14:paraId="42C467DC" w14:textId="77777777" w:rsidR="00AC4678" w:rsidRDefault="00AC4678" w:rsidP="000C79A5">
      <w:pPr>
        <w:ind w:left="567"/>
        <w:jc w:val="both"/>
        <w:rPr>
          <w:rFonts w:cstheme="minorHAnsi"/>
          <w:b/>
          <w:bCs/>
          <w:szCs w:val="24"/>
        </w:rPr>
      </w:pPr>
      <w:r w:rsidRPr="00413CBC">
        <w:rPr>
          <w:rFonts w:cstheme="minorHAnsi"/>
          <w:b/>
          <w:bCs/>
          <w:noProof/>
          <w:szCs w:val="24"/>
        </w:rPr>
        <w:drawing>
          <wp:inline distT="0" distB="0" distL="0" distR="0" wp14:anchorId="423175DF" wp14:editId="74D1301B">
            <wp:extent cx="5731716" cy="4217173"/>
            <wp:effectExtent l="0" t="0" r="2540" b="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15"/>
                    <a:stretch>
                      <a:fillRect/>
                    </a:stretch>
                  </pic:blipFill>
                  <pic:spPr>
                    <a:xfrm>
                      <a:off x="0" y="0"/>
                      <a:ext cx="5741481" cy="4224358"/>
                    </a:xfrm>
                    <a:prstGeom prst="rect">
                      <a:avLst/>
                    </a:prstGeom>
                  </pic:spPr>
                </pic:pic>
              </a:graphicData>
            </a:graphic>
          </wp:inline>
        </w:drawing>
      </w:r>
    </w:p>
    <w:p w14:paraId="03D13293" w14:textId="56C625EE" w:rsidR="00AC4678" w:rsidRPr="007C1CF2" w:rsidRDefault="00C8010C" w:rsidP="00943E65">
      <w:pPr>
        <w:keepNext/>
        <w:tabs>
          <w:tab w:val="clear" w:pos="794"/>
          <w:tab w:val="clear" w:pos="1191"/>
          <w:tab w:val="clear" w:pos="1588"/>
          <w:tab w:val="clear" w:pos="1985"/>
        </w:tabs>
        <w:spacing w:after="120"/>
        <w:ind w:left="567" w:hanging="567"/>
        <w:outlineLvl w:val="0"/>
        <w:rPr>
          <w:rFonts w:cstheme="minorHAnsi"/>
          <w:b/>
          <w:bCs/>
          <w:szCs w:val="24"/>
        </w:rPr>
      </w:pPr>
      <w:r>
        <w:rPr>
          <w:rFonts w:cstheme="minorHAnsi"/>
          <w:b/>
          <w:bCs/>
          <w:szCs w:val="24"/>
        </w:rPr>
        <w:t>3.</w:t>
      </w:r>
      <w:r>
        <w:rPr>
          <w:rFonts w:cstheme="minorHAnsi"/>
          <w:b/>
          <w:bCs/>
          <w:szCs w:val="24"/>
        </w:rPr>
        <w:tab/>
      </w:r>
      <w:r w:rsidR="00AC4678" w:rsidRPr="007C1CF2">
        <w:rPr>
          <w:rFonts w:cstheme="minorHAnsi"/>
          <w:b/>
          <w:bCs/>
          <w:szCs w:val="24"/>
        </w:rPr>
        <w:t>Regional Initiatives</w:t>
      </w:r>
    </w:p>
    <w:p w14:paraId="0B8DE81B" w14:textId="77777777" w:rsidR="00AC4678" w:rsidRPr="005D16B2" w:rsidRDefault="00AC4678" w:rsidP="00943E65">
      <w:pPr>
        <w:tabs>
          <w:tab w:val="clear" w:pos="794"/>
          <w:tab w:val="clear" w:pos="1191"/>
          <w:tab w:val="clear" w:pos="1588"/>
          <w:tab w:val="clear" w:pos="1985"/>
        </w:tabs>
        <w:overflowPunct/>
        <w:spacing w:after="120"/>
        <w:textAlignment w:val="auto"/>
        <w:rPr>
          <w:rFonts w:cstheme="minorHAnsi"/>
          <w:color w:val="000000"/>
          <w:szCs w:val="24"/>
          <w:lang w:eastAsia="zh-CN"/>
        </w:rPr>
      </w:pPr>
      <w:r w:rsidRPr="005D16B2">
        <w:rPr>
          <w:rFonts w:cstheme="minorHAnsi"/>
          <w:color w:val="000000"/>
          <w:szCs w:val="24"/>
          <w:lang w:eastAsia="zh-CN"/>
        </w:rPr>
        <w:t xml:space="preserve">The work of ITU-D is coordinated across six regions which organise ITU-D’s membership in Africa, the Americas, the Arab States, Asia and the Pacific, CIS and Europe. During the preparatory process for WTDC-22, each region develops specific initiatives for ITU-D within the region, and WTDC-22 endorses those priorities as Regional Initiatives which are a key deliverable for the ITU-D sector during the coming period. </w:t>
      </w:r>
    </w:p>
    <w:p w14:paraId="5E0DF7D9" w14:textId="77777777" w:rsidR="00AC4678" w:rsidRPr="005D16B2" w:rsidRDefault="00AC4678" w:rsidP="00943E65">
      <w:pPr>
        <w:tabs>
          <w:tab w:val="clear" w:pos="794"/>
          <w:tab w:val="clear" w:pos="1191"/>
          <w:tab w:val="clear" w:pos="1588"/>
          <w:tab w:val="clear" w:pos="1985"/>
        </w:tabs>
        <w:overflowPunct/>
        <w:spacing w:after="120"/>
        <w:textAlignment w:val="auto"/>
        <w:rPr>
          <w:rFonts w:cstheme="minorHAnsi"/>
          <w:color w:val="000000"/>
          <w:szCs w:val="24"/>
          <w:lang w:eastAsia="zh-CN"/>
        </w:rPr>
      </w:pPr>
      <w:r w:rsidRPr="005D16B2">
        <w:rPr>
          <w:rFonts w:cstheme="minorHAnsi"/>
          <w:color w:val="000000"/>
          <w:szCs w:val="24"/>
          <w:lang w:eastAsia="zh-CN"/>
        </w:rPr>
        <w:t>WTDC-22 endorsed a total of 28 Regional Initiatives, across the six regions, as follows:</w:t>
      </w:r>
    </w:p>
    <w:p w14:paraId="58EA27D5" w14:textId="77777777" w:rsidR="00AC4678" w:rsidRPr="007C1CF2" w:rsidRDefault="00AC4678" w:rsidP="00943E65">
      <w:pPr>
        <w:keepNext/>
        <w:tabs>
          <w:tab w:val="clear" w:pos="794"/>
          <w:tab w:val="clear" w:pos="1191"/>
          <w:tab w:val="clear" w:pos="1588"/>
          <w:tab w:val="clear" w:pos="1985"/>
          <w:tab w:val="left" w:pos="567"/>
          <w:tab w:val="left" w:pos="1134"/>
        </w:tabs>
        <w:spacing w:after="120"/>
        <w:ind w:left="714" w:hanging="357"/>
        <w:rPr>
          <w:b/>
          <w:bCs/>
          <w:color w:val="000000"/>
          <w:szCs w:val="24"/>
        </w:rPr>
      </w:pPr>
      <w:r w:rsidRPr="007C1CF2">
        <w:rPr>
          <w:b/>
          <w:bCs/>
          <w:color w:val="000000"/>
          <w:szCs w:val="24"/>
        </w:rPr>
        <w:t>Africa Region</w:t>
      </w:r>
    </w:p>
    <w:p w14:paraId="2A06F4B7" w14:textId="5496E027" w:rsidR="00AC4678" w:rsidRPr="007C1CF2" w:rsidRDefault="003C4227"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Pr>
          <w:color w:val="000000"/>
          <w:szCs w:val="24"/>
        </w:rPr>
        <w:tab/>
      </w:r>
      <w:r w:rsidR="00AC4678" w:rsidRPr="007C1CF2">
        <w:rPr>
          <w:color w:val="000000"/>
          <w:szCs w:val="24"/>
        </w:rPr>
        <w:t>AFR1: Supporting digital transformation to usher in a rapid transition to a digital economy while accelerating innovation in Africa</w:t>
      </w:r>
    </w:p>
    <w:p w14:paraId="67E6DE41" w14:textId="3B2208F1" w:rsidR="00AC4678" w:rsidRPr="007C1CF2" w:rsidRDefault="003C4227" w:rsidP="00943E65">
      <w:pPr>
        <w:pStyle w:val="ListParagraph"/>
        <w:numPr>
          <w:ilvl w:val="0"/>
          <w:numId w:val="24"/>
        </w:numPr>
        <w:tabs>
          <w:tab w:val="clear" w:pos="1871"/>
          <w:tab w:val="clear" w:pos="2268"/>
          <w:tab w:val="left" w:pos="567"/>
        </w:tabs>
        <w:spacing w:before="60" w:after="60"/>
        <w:ind w:left="714" w:hanging="357"/>
        <w:contextualSpacing w:val="0"/>
        <w:rPr>
          <w:color w:val="000000"/>
          <w:szCs w:val="24"/>
        </w:rPr>
      </w:pPr>
      <w:r>
        <w:rPr>
          <w:color w:val="000000"/>
          <w:szCs w:val="24"/>
        </w:rPr>
        <w:tab/>
      </w:r>
      <w:r w:rsidR="00AC4678" w:rsidRPr="007C1CF2">
        <w:rPr>
          <w:color w:val="000000"/>
          <w:szCs w:val="24"/>
        </w:rPr>
        <w:t>AFR2: Implementation and expansion of broadband infrastructures, connectivity and emerging technologies</w:t>
      </w:r>
    </w:p>
    <w:p w14:paraId="1EE95249" w14:textId="23BDD80D" w:rsidR="00AC4678" w:rsidRPr="007C1CF2" w:rsidRDefault="003C4227" w:rsidP="00943E65">
      <w:pPr>
        <w:pStyle w:val="ListParagraph"/>
        <w:numPr>
          <w:ilvl w:val="0"/>
          <w:numId w:val="24"/>
        </w:numPr>
        <w:tabs>
          <w:tab w:val="clear" w:pos="1871"/>
          <w:tab w:val="clear" w:pos="2268"/>
          <w:tab w:val="left" w:pos="567"/>
        </w:tabs>
        <w:spacing w:before="60" w:after="60"/>
        <w:ind w:left="714" w:hanging="357"/>
        <w:contextualSpacing w:val="0"/>
        <w:rPr>
          <w:color w:val="000000"/>
          <w:szCs w:val="24"/>
        </w:rPr>
      </w:pPr>
      <w:r>
        <w:rPr>
          <w:color w:val="000000"/>
          <w:szCs w:val="24"/>
        </w:rPr>
        <w:tab/>
      </w:r>
      <w:r w:rsidR="00AC4678" w:rsidRPr="007C1CF2">
        <w:rPr>
          <w:color w:val="000000"/>
          <w:szCs w:val="24"/>
        </w:rPr>
        <w:t>AFR3: Building trust, safety and security in the use of telecommunications/information and communication technologies and protection of personal data</w:t>
      </w:r>
    </w:p>
    <w:p w14:paraId="780678DB" w14:textId="45161DAD" w:rsidR="00AC4678" w:rsidRPr="007C1CF2" w:rsidRDefault="003C4227" w:rsidP="00943E65">
      <w:pPr>
        <w:pStyle w:val="ListParagraph"/>
        <w:numPr>
          <w:ilvl w:val="0"/>
          <w:numId w:val="24"/>
        </w:numPr>
        <w:tabs>
          <w:tab w:val="clear" w:pos="1871"/>
          <w:tab w:val="clear" w:pos="2268"/>
          <w:tab w:val="left" w:pos="567"/>
        </w:tabs>
        <w:spacing w:before="60" w:after="60"/>
        <w:ind w:left="714" w:hanging="357"/>
        <w:contextualSpacing w:val="0"/>
        <w:rPr>
          <w:color w:val="000000"/>
          <w:szCs w:val="24"/>
        </w:rPr>
      </w:pPr>
      <w:r>
        <w:rPr>
          <w:color w:val="000000"/>
          <w:szCs w:val="24"/>
        </w:rPr>
        <w:tab/>
      </w:r>
      <w:r w:rsidR="00AC4678" w:rsidRPr="007C1CF2">
        <w:rPr>
          <w:color w:val="000000"/>
          <w:szCs w:val="24"/>
        </w:rPr>
        <w:t>AFR4: Fostering emerging technologies and innovation ecosystems</w:t>
      </w:r>
    </w:p>
    <w:p w14:paraId="2B576E8F" w14:textId="77777777" w:rsidR="00AC4678" w:rsidRPr="007C1CF2" w:rsidRDefault="00AC4678" w:rsidP="00943E65">
      <w:pPr>
        <w:keepNext/>
        <w:tabs>
          <w:tab w:val="clear" w:pos="794"/>
          <w:tab w:val="clear" w:pos="1191"/>
          <w:tab w:val="clear" w:pos="1588"/>
          <w:tab w:val="clear" w:pos="1985"/>
          <w:tab w:val="left" w:pos="567"/>
          <w:tab w:val="left" w:pos="1134"/>
        </w:tabs>
        <w:spacing w:after="120"/>
        <w:ind w:left="714" w:hanging="357"/>
        <w:rPr>
          <w:b/>
          <w:bCs/>
          <w:color w:val="000000"/>
          <w:szCs w:val="24"/>
        </w:rPr>
      </w:pPr>
      <w:r w:rsidRPr="007C1CF2">
        <w:rPr>
          <w:b/>
          <w:bCs/>
          <w:color w:val="000000"/>
          <w:szCs w:val="24"/>
        </w:rPr>
        <w:lastRenderedPageBreak/>
        <w:t>Americas Region</w:t>
      </w:r>
    </w:p>
    <w:p w14:paraId="5439274F"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AMS1: Deployment of modern, resilient, secure and sustainable telecommunication/information and communication technology infrastructure</w:t>
      </w:r>
    </w:p>
    <w:p w14:paraId="2FA5E6DB"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AMS2: Enhancement and expansion of digital-literacy, digital-skills and digital-inclusion programmes, especially among vulnerable populations</w:t>
      </w:r>
    </w:p>
    <w:p w14:paraId="0A961B48"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AMS3: Effective support for digital transformation and innovation ecosystems through scalable, funded and sustainable connectivity projects</w:t>
      </w:r>
    </w:p>
    <w:p w14:paraId="3BA143B7"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34AFA3EA" w14:textId="77777777" w:rsidR="00AC4678" w:rsidRPr="007C1CF2" w:rsidRDefault="00AC4678" w:rsidP="00943E65">
      <w:pPr>
        <w:keepNext/>
        <w:tabs>
          <w:tab w:val="clear" w:pos="794"/>
          <w:tab w:val="clear" w:pos="1191"/>
          <w:tab w:val="clear" w:pos="1588"/>
          <w:tab w:val="clear" w:pos="1985"/>
          <w:tab w:val="left" w:pos="567"/>
          <w:tab w:val="left" w:pos="1134"/>
        </w:tabs>
        <w:spacing w:after="120"/>
        <w:ind w:left="714" w:hanging="357"/>
        <w:rPr>
          <w:b/>
          <w:bCs/>
          <w:color w:val="000000"/>
          <w:szCs w:val="24"/>
        </w:rPr>
      </w:pPr>
      <w:r w:rsidRPr="007C1CF2">
        <w:rPr>
          <w:b/>
          <w:bCs/>
          <w:color w:val="000000"/>
          <w:szCs w:val="24"/>
        </w:rPr>
        <w:t>Arab States Region</w:t>
      </w:r>
    </w:p>
    <w:p w14:paraId="51301914"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ARB1: Sustainable digital economy through digital transformation</w:t>
      </w:r>
    </w:p>
    <w:p w14:paraId="3D3F02A3"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ARB2: Enhancing confidence, security and privacy in the use of telecommunications/information and communication technologies in the era of new and emerging digital technologies</w:t>
      </w:r>
    </w:p>
    <w:p w14:paraId="3554F00C"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ARB3: Developing digital infrastructure for smart sustainable cities and communities</w:t>
      </w:r>
    </w:p>
    <w:p w14:paraId="1689C51E"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ARB4: Building capacities and encouraging digital innovation, entrepreneurship and future foresight</w:t>
      </w:r>
    </w:p>
    <w:p w14:paraId="3E5BD1B0"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ARB5: Developing means of digital regulation</w:t>
      </w:r>
    </w:p>
    <w:p w14:paraId="638812D8" w14:textId="77777777" w:rsidR="00AC4678" w:rsidRPr="007C1CF2" w:rsidRDefault="00AC4678" w:rsidP="00943E65">
      <w:pPr>
        <w:keepNext/>
        <w:tabs>
          <w:tab w:val="clear" w:pos="794"/>
          <w:tab w:val="clear" w:pos="1191"/>
          <w:tab w:val="clear" w:pos="1588"/>
          <w:tab w:val="clear" w:pos="1985"/>
          <w:tab w:val="left" w:pos="567"/>
          <w:tab w:val="left" w:pos="1134"/>
        </w:tabs>
        <w:spacing w:after="120"/>
        <w:ind w:left="714" w:hanging="357"/>
        <w:rPr>
          <w:b/>
          <w:bCs/>
          <w:color w:val="000000"/>
          <w:szCs w:val="24"/>
        </w:rPr>
      </w:pPr>
      <w:r w:rsidRPr="007C1CF2">
        <w:rPr>
          <w:b/>
          <w:bCs/>
          <w:color w:val="000000"/>
          <w:szCs w:val="24"/>
        </w:rPr>
        <w:t>Asia and the Pacific Region</w:t>
      </w:r>
    </w:p>
    <w:p w14:paraId="7647D45D"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ASP1: Addressing special needs of least developed countries, small island developing states, including Pacific island countries, and landlocked developing countries</w:t>
      </w:r>
    </w:p>
    <w:p w14:paraId="3CAAE334"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ASP2: Harnessing information and communication technologies to support the digital economy and inclusive digital societies</w:t>
      </w:r>
    </w:p>
    <w:p w14:paraId="02DB1FA1"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ASP3: Fostering development of infrastructure to enhance digital connectivity and connecting the unconnected</w:t>
      </w:r>
    </w:p>
    <w:p w14:paraId="2B591FE2"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ASP4: Enabling policy and regulatory environments to accelerate digital transformation</w:t>
      </w:r>
    </w:p>
    <w:p w14:paraId="1528E405"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ASP5: Contributing to a secure and resilient information and communication technology environment</w:t>
      </w:r>
    </w:p>
    <w:p w14:paraId="5CC03FCC" w14:textId="77777777" w:rsidR="00AC4678" w:rsidRPr="007C1CF2" w:rsidRDefault="00AC4678" w:rsidP="00943E65">
      <w:pPr>
        <w:keepNext/>
        <w:tabs>
          <w:tab w:val="clear" w:pos="794"/>
          <w:tab w:val="clear" w:pos="1191"/>
          <w:tab w:val="clear" w:pos="1588"/>
          <w:tab w:val="clear" w:pos="1985"/>
          <w:tab w:val="left" w:pos="567"/>
          <w:tab w:val="left" w:pos="1134"/>
        </w:tabs>
        <w:spacing w:after="120"/>
        <w:ind w:left="714" w:hanging="357"/>
        <w:rPr>
          <w:b/>
          <w:bCs/>
          <w:color w:val="000000"/>
          <w:szCs w:val="24"/>
        </w:rPr>
      </w:pPr>
      <w:r w:rsidRPr="007C1CF2">
        <w:rPr>
          <w:b/>
          <w:bCs/>
          <w:color w:val="000000"/>
          <w:szCs w:val="24"/>
        </w:rPr>
        <w:t>CIS Region</w:t>
      </w:r>
    </w:p>
    <w:p w14:paraId="565C66D9"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CIS1: 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p>
    <w:p w14:paraId="31E288B2"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CIS2: Cybersecurity and personal data protection</w:t>
      </w:r>
    </w:p>
    <w:p w14:paraId="5AA2E3C9"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CIS3: Creating an enabling legal and regulatory environment to accelerate digital transformation</w:t>
      </w:r>
    </w:p>
    <w:p w14:paraId="36098F08"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 xml:space="preserve">СIS4: Digital skills and information and communication technology accessibility for the public, </w:t>
      </w:r>
      <w:proofErr w:type="gramStart"/>
      <w:r w:rsidRPr="007C1CF2">
        <w:rPr>
          <w:color w:val="000000"/>
          <w:szCs w:val="24"/>
        </w:rPr>
        <w:t>in particular for</w:t>
      </w:r>
      <w:proofErr w:type="gramEnd"/>
      <w:r w:rsidRPr="007C1CF2">
        <w:rPr>
          <w:color w:val="000000"/>
          <w:szCs w:val="24"/>
        </w:rPr>
        <w:t xml:space="preserve"> persons with disabilities</w:t>
      </w:r>
    </w:p>
    <w:p w14:paraId="27C0E6CC" w14:textId="77777777" w:rsidR="00AC4678" w:rsidRPr="007C1CF2" w:rsidRDefault="00AC4678" w:rsidP="003C4227">
      <w:pPr>
        <w:pStyle w:val="ListParagraph"/>
        <w:numPr>
          <w:ilvl w:val="0"/>
          <w:numId w:val="24"/>
        </w:numPr>
        <w:tabs>
          <w:tab w:val="clear" w:pos="1134"/>
          <w:tab w:val="clear" w:pos="1871"/>
          <w:tab w:val="clear" w:pos="2268"/>
        </w:tabs>
        <w:spacing w:before="60" w:after="60"/>
        <w:ind w:left="714" w:hanging="357"/>
        <w:contextualSpacing w:val="0"/>
        <w:jc w:val="both"/>
        <w:rPr>
          <w:color w:val="000000"/>
          <w:szCs w:val="24"/>
        </w:rPr>
      </w:pPr>
      <w:r w:rsidRPr="007C1CF2">
        <w:rPr>
          <w:color w:val="000000"/>
          <w:szCs w:val="24"/>
        </w:rPr>
        <w:lastRenderedPageBreak/>
        <w:t>CIS5: Development of smart cities and communities</w:t>
      </w:r>
    </w:p>
    <w:p w14:paraId="2E62DF20" w14:textId="77777777" w:rsidR="00AC4678" w:rsidRPr="007C1CF2" w:rsidRDefault="00AC4678" w:rsidP="003C4227">
      <w:pPr>
        <w:keepNext/>
        <w:tabs>
          <w:tab w:val="clear" w:pos="794"/>
          <w:tab w:val="clear" w:pos="1191"/>
          <w:tab w:val="clear" w:pos="1588"/>
          <w:tab w:val="clear" w:pos="1985"/>
          <w:tab w:val="left" w:pos="567"/>
          <w:tab w:val="left" w:pos="1134"/>
        </w:tabs>
        <w:spacing w:after="120"/>
        <w:ind w:left="714" w:hanging="357"/>
        <w:jc w:val="both"/>
        <w:rPr>
          <w:b/>
          <w:bCs/>
          <w:color w:val="000000"/>
          <w:szCs w:val="24"/>
        </w:rPr>
      </w:pPr>
      <w:r w:rsidRPr="007C1CF2">
        <w:rPr>
          <w:b/>
          <w:bCs/>
          <w:color w:val="000000"/>
          <w:szCs w:val="24"/>
        </w:rPr>
        <w:t>Europe Region</w:t>
      </w:r>
    </w:p>
    <w:p w14:paraId="22169F40"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EUR1: Digital infrastructure development</w:t>
      </w:r>
    </w:p>
    <w:p w14:paraId="58E81ECF"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EUR2: Digital transformation for resilience</w:t>
      </w:r>
    </w:p>
    <w:p w14:paraId="5BF2CCC1"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EUR3: Digital inclusion and skills development</w:t>
      </w:r>
    </w:p>
    <w:p w14:paraId="0CA5F4FD" w14:textId="77777777" w:rsidR="00AC4678" w:rsidRPr="007C1CF2"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EUR4: Trust and confidence in the use of telecommunications/information and communication technologies</w:t>
      </w:r>
    </w:p>
    <w:p w14:paraId="55B43E76" w14:textId="77777777" w:rsidR="00AC4678" w:rsidRPr="003C4227" w:rsidRDefault="00AC4678" w:rsidP="00943E65">
      <w:pPr>
        <w:pStyle w:val="ListParagraph"/>
        <w:numPr>
          <w:ilvl w:val="0"/>
          <w:numId w:val="24"/>
        </w:numPr>
        <w:tabs>
          <w:tab w:val="clear" w:pos="1134"/>
          <w:tab w:val="clear" w:pos="1871"/>
          <w:tab w:val="clear" w:pos="2268"/>
        </w:tabs>
        <w:spacing w:before="60" w:after="60"/>
        <w:ind w:left="714" w:hanging="357"/>
        <w:contextualSpacing w:val="0"/>
        <w:rPr>
          <w:color w:val="000000"/>
          <w:szCs w:val="24"/>
        </w:rPr>
      </w:pPr>
      <w:r w:rsidRPr="007C1CF2">
        <w:rPr>
          <w:color w:val="000000"/>
          <w:szCs w:val="24"/>
        </w:rPr>
        <w:t>EUR5: Digital innovation ecosystems</w:t>
      </w:r>
    </w:p>
    <w:p w14:paraId="7ECD29AD" w14:textId="019245A0" w:rsidR="00AC4678" w:rsidRPr="005D16B2" w:rsidRDefault="00AC4678" w:rsidP="00943E65">
      <w:pPr>
        <w:tabs>
          <w:tab w:val="clear" w:pos="794"/>
          <w:tab w:val="clear" w:pos="1191"/>
          <w:tab w:val="clear" w:pos="1588"/>
          <w:tab w:val="clear" w:pos="1985"/>
        </w:tabs>
        <w:overflowPunct/>
        <w:spacing w:after="120"/>
        <w:textAlignment w:val="auto"/>
        <w:rPr>
          <w:rFonts w:cstheme="minorHAnsi"/>
          <w:color w:val="000000"/>
          <w:szCs w:val="24"/>
          <w:lang w:eastAsia="zh-CN"/>
        </w:rPr>
      </w:pPr>
      <w:r w:rsidRPr="005D16B2">
        <w:rPr>
          <w:rFonts w:cstheme="minorHAnsi"/>
          <w:color w:val="000000"/>
          <w:szCs w:val="24"/>
          <w:lang w:eastAsia="zh-CN"/>
        </w:rPr>
        <w:t>The RI’s provide further specificity for the high-level priorities of ITU-D, within the context of ITU’s overall Strategic Priorities. Detailed descriptions of the expected outcomes to be achieved under each RI were defined by the regions and endorsed by WTDC-22, and these provide a further layer of focus for ITU-D’s work in the applicable region.</w:t>
      </w:r>
    </w:p>
    <w:p w14:paraId="6385BC34" w14:textId="5525C930" w:rsidR="00C8010C" w:rsidRPr="005B2846" w:rsidRDefault="005B2846" w:rsidP="00BF6C21">
      <w:pPr>
        <w:keepNext/>
        <w:tabs>
          <w:tab w:val="clear" w:pos="794"/>
          <w:tab w:val="clear" w:pos="1191"/>
          <w:tab w:val="clear" w:pos="1588"/>
          <w:tab w:val="clear" w:pos="1985"/>
        </w:tabs>
        <w:spacing w:after="120"/>
        <w:ind w:left="567" w:hanging="567"/>
        <w:jc w:val="both"/>
        <w:outlineLvl w:val="0"/>
        <w:rPr>
          <w:rFonts w:cstheme="minorHAnsi"/>
          <w:b/>
          <w:bCs/>
          <w:szCs w:val="24"/>
        </w:rPr>
      </w:pPr>
      <w:r w:rsidRPr="005B2846">
        <w:rPr>
          <w:rFonts w:cstheme="minorHAnsi"/>
          <w:b/>
          <w:bCs/>
          <w:szCs w:val="24"/>
        </w:rPr>
        <w:t>4.</w:t>
      </w:r>
      <w:r w:rsidRPr="005B2846">
        <w:rPr>
          <w:rFonts w:cstheme="minorHAnsi"/>
          <w:b/>
          <w:bCs/>
          <w:szCs w:val="24"/>
        </w:rPr>
        <w:tab/>
        <w:t>ITU-D Study Group Questions</w:t>
      </w:r>
    </w:p>
    <w:p w14:paraId="2BEDE2DF" w14:textId="6C5BB0B1" w:rsidR="00D56F26" w:rsidRPr="005D16B2" w:rsidRDefault="004C43AC" w:rsidP="00943E65">
      <w:pPr>
        <w:tabs>
          <w:tab w:val="clear" w:pos="794"/>
          <w:tab w:val="clear" w:pos="1191"/>
          <w:tab w:val="clear" w:pos="1588"/>
          <w:tab w:val="clear" w:pos="1985"/>
        </w:tabs>
        <w:overflowPunct/>
        <w:spacing w:after="120"/>
        <w:textAlignment w:val="auto"/>
        <w:rPr>
          <w:rFonts w:cstheme="minorHAnsi"/>
          <w:color w:val="000000"/>
          <w:szCs w:val="24"/>
          <w:lang w:eastAsia="zh-CN"/>
        </w:rPr>
      </w:pPr>
      <w:r w:rsidRPr="005D16B2">
        <w:rPr>
          <w:rFonts w:cstheme="minorHAnsi"/>
          <w:color w:val="000000"/>
          <w:szCs w:val="24"/>
          <w:lang w:eastAsia="zh-CN"/>
        </w:rPr>
        <w:t xml:space="preserve">WTDC-22 </w:t>
      </w:r>
      <w:r w:rsidR="00446EFD" w:rsidRPr="005D16B2">
        <w:rPr>
          <w:rFonts w:cstheme="minorHAnsi"/>
          <w:color w:val="000000"/>
          <w:szCs w:val="24"/>
          <w:lang w:eastAsia="zh-CN"/>
        </w:rPr>
        <w:t xml:space="preserve">revised existing ITU-D Study Questions, and developed new question, resulting in a total of fourteen (14) Study Questions for the period 2022-2025. </w:t>
      </w:r>
      <w:r w:rsidR="00203CC5" w:rsidRPr="005D16B2">
        <w:rPr>
          <w:rFonts w:cstheme="minorHAnsi"/>
          <w:color w:val="000000"/>
          <w:szCs w:val="24"/>
          <w:lang w:eastAsia="zh-CN"/>
        </w:rPr>
        <w:t>Study Group 1 Questions fall under the scope of ''enabling environment for meaningful connectivity'', while those of Study Group 2 fall under digital transfor</w:t>
      </w:r>
      <w:r w:rsidR="00203CC5" w:rsidRPr="005D16B2">
        <w:rPr>
          <w:rFonts w:cstheme="minorHAnsi"/>
          <w:color w:val="000000"/>
          <w:szCs w:val="24"/>
          <w:lang w:eastAsia="zh-CN"/>
        </w:rPr>
        <w:softHyphen/>
        <w:t>mation</w:t>
      </w:r>
      <w:r w:rsidR="00446EFD" w:rsidRPr="005D16B2">
        <w:rPr>
          <w:rFonts w:cstheme="minorHAnsi"/>
          <w:color w:val="000000"/>
          <w:szCs w:val="24"/>
          <w:lang w:eastAsia="zh-CN"/>
        </w:rPr>
        <w:t>, as set out in the tables below</w:t>
      </w:r>
      <w:r w:rsidR="00203CC5" w:rsidRPr="005D16B2">
        <w:rPr>
          <w:rFonts w:cstheme="minorHAnsi"/>
          <w:color w:val="000000"/>
          <w:szCs w:val="24"/>
          <w:lang w:eastAsia="zh-CN"/>
        </w:rPr>
        <w:t>.</w:t>
      </w:r>
    </w:p>
    <w:p w14:paraId="62E58A7B" w14:textId="77777777" w:rsidR="00D64CC4" w:rsidRPr="00291C53" w:rsidRDefault="00D64CC4" w:rsidP="00D64CC4">
      <w:pPr>
        <w:pStyle w:val="Pa39"/>
        <w:spacing w:before="160" w:after="100"/>
        <w:jc w:val="center"/>
        <w:rPr>
          <w:color w:val="000000"/>
        </w:rPr>
      </w:pPr>
      <w:r w:rsidRPr="00291C53">
        <w:rPr>
          <w:b/>
          <w:bCs/>
          <w:color w:val="000000"/>
        </w:rPr>
        <w:t>Study Group 1</w:t>
      </w:r>
    </w:p>
    <w:tbl>
      <w:tblPr>
        <w:tblW w:w="0" w:type="auto"/>
        <w:tblLayout w:type="fixed"/>
        <w:tblLook w:val="0000" w:firstRow="0" w:lastRow="0" w:firstColumn="0" w:lastColumn="0" w:noHBand="0" w:noVBand="0"/>
      </w:tblPr>
      <w:tblGrid>
        <w:gridCol w:w="2208"/>
        <w:gridCol w:w="3402"/>
        <w:gridCol w:w="3402"/>
      </w:tblGrid>
      <w:tr w:rsidR="00D64CC4" w:rsidRPr="00446EFD" w14:paraId="689E5A3A" w14:textId="77777777" w:rsidTr="00FE0777">
        <w:trPr>
          <w:trHeight w:val="117"/>
          <w:tblHeader/>
        </w:trPr>
        <w:tc>
          <w:tcPr>
            <w:tcW w:w="2208" w:type="dxa"/>
          </w:tcPr>
          <w:p w14:paraId="1AFE85E0"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New number</w:t>
            </w:r>
          </w:p>
        </w:tc>
        <w:tc>
          <w:tcPr>
            <w:tcW w:w="3402" w:type="dxa"/>
          </w:tcPr>
          <w:p w14:paraId="31629926"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Title</w:t>
            </w:r>
          </w:p>
        </w:tc>
        <w:tc>
          <w:tcPr>
            <w:tcW w:w="3402" w:type="dxa"/>
          </w:tcPr>
          <w:p w14:paraId="2E9A182E"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Origin</w:t>
            </w:r>
          </w:p>
        </w:tc>
      </w:tr>
      <w:tr w:rsidR="00D64CC4" w:rsidRPr="00446EFD" w14:paraId="5207D154" w14:textId="77777777" w:rsidTr="00FE0777">
        <w:trPr>
          <w:trHeight w:val="213"/>
        </w:trPr>
        <w:tc>
          <w:tcPr>
            <w:tcW w:w="2208" w:type="dxa"/>
          </w:tcPr>
          <w:p w14:paraId="1DF841C8"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Q1/1</w:t>
            </w:r>
          </w:p>
        </w:tc>
        <w:tc>
          <w:tcPr>
            <w:tcW w:w="3402" w:type="dxa"/>
          </w:tcPr>
          <w:p w14:paraId="58005FE9"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Strategies and policies for the deployment of broadband in developing countries</w:t>
            </w:r>
          </w:p>
        </w:tc>
        <w:tc>
          <w:tcPr>
            <w:tcW w:w="3402" w:type="dxa"/>
          </w:tcPr>
          <w:p w14:paraId="216C47B6"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1/1 with additional new topics</w:t>
            </w:r>
          </w:p>
        </w:tc>
      </w:tr>
      <w:tr w:rsidR="00D64CC4" w:rsidRPr="00446EFD" w14:paraId="3E93FB85" w14:textId="77777777" w:rsidTr="00FE0777">
        <w:trPr>
          <w:trHeight w:val="417"/>
        </w:trPr>
        <w:tc>
          <w:tcPr>
            <w:tcW w:w="2208" w:type="dxa"/>
          </w:tcPr>
          <w:p w14:paraId="10F676E9"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Q2/1</w:t>
            </w:r>
          </w:p>
        </w:tc>
        <w:tc>
          <w:tcPr>
            <w:tcW w:w="3402" w:type="dxa"/>
          </w:tcPr>
          <w:p w14:paraId="5A3C71A1"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Strategies, policies, regulations and methods of migration to and adoption of digital technolo</w:t>
            </w:r>
            <w:r w:rsidRPr="00446EFD">
              <w:rPr>
                <w:rFonts w:asciiTheme="minorHAnsi" w:hAnsiTheme="minorHAnsi" w:cstheme="minorHAnsi"/>
                <w:color w:val="000000"/>
                <w:sz w:val="22"/>
                <w:szCs w:val="22"/>
              </w:rPr>
              <w:softHyphen/>
              <w:t>gies for broadcasting, including to provide new services for various environments</w:t>
            </w:r>
          </w:p>
        </w:tc>
        <w:tc>
          <w:tcPr>
            <w:tcW w:w="3402" w:type="dxa"/>
          </w:tcPr>
          <w:p w14:paraId="5BE0150A"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2/1 under a revised title and updated topics</w:t>
            </w:r>
          </w:p>
        </w:tc>
      </w:tr>
      <w:tr w:rsidR="00D64CC4" w:rsidRPr="00446EFD" w14:paraId="015641CE" w14:textId="77777777" w:rsidTr="00FE0777">
        <w:trPr>
          <w:trHeight w:val="315"/>
        </w:trPr>
        <w:tc>
          <w:tcPr>
            <w:tcW w:w="2208" w:type="dxa"/>
          </w:tcPr>
          <w:p w14:paraId="4E2503D1"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Q3/1*</w:t>
            </w:r>
          </w:p>
        </w:tc>
        <w:tc>
          <w:tcPr>
            <w:tcW w:w="3402" w:type="dxa"/>
          </w:tcPr>
          <w:p w14:paraId="7D105558"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The use of telecommunications/ICTs for disas</w:t>
            </w:r>
            <w:r w:rsidRPr="00446EFD">
              <w:rPr>
                <w:rFonts w:asciiTheme="minorHAnsi" w:hAnsiTheme="minorHAnsi" w:cstheme="minorHAnsi"/>
                <w:color w:val="000000"/>
                <w:sz w:val="22"/>
                <w:szCs w:val="22"/>
              </w:rPr>
              <w:softHyphen/>
              <w:t>ter risk reduction and management</w:t>
            </w:r>
          </w:p>
        </w:tc>
        <w:tc>
          <w:tcPr>
            <w:tcW w:w="3402" w:type="dxa"/>
          </w:tcPr>
          <w:p w14:paraId="76A70ACD"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Formerly Question 5/2 of Study Group 2 continued with updated topics</w:t>
            </w:r>
          </w:p>
        </w:tc>
      </w:tr>
      <w:tr w:rsidR="00D64CC4" w:rsidRPr="00446EFD" w14:paraId="46DCBED8" w14:textId="77777777" w:rsidTr="00FE0777">
        <w:trPr>
          <w:trHeight w:val="315"/>
        </w:trPr>
        <w:tc>
          <w:tcPr>
            <w:tcW w:w="2208" w:type="dxa"/>
          </w:tcPr>
          <w:p w14:paraId="65271B87"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Q4/1</w:t>
            </w:r>
          </w:p>
        </w:tc>
        <w:tc>
          <w:tcPr>
            <w:tcW w:w="3402" w:type="dxa"/>
          </w:tcPr>
          <w:p w14:paraId="285803E1"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Economic aspects of national telecommunica</w:t>
            </w:r>
            <w:r w:rsidRPr="00446EFD">
              <w:rPr>
                <w:rFonts w:asciiTheme="minorHAnsi" w:hAnsiTheme="minorHAnsi" w:cstheme="minorHAnsi"/>
                <w:color w:val="000000"/>
                <w:sz w:val="22"/>
                <w:szCs w:val="22"/>
              </w:rPr>
              <w:softHyphen/>
              <w:t>tions/ICTs</w:t>
            </w:r>
          </w:p>
        </w:tc>
        <w:tc>
          <w:tcPr>
            <w:tcW w:w="3402" w:type="dxa"/>
          </w:tcPr>
          <w:p w14:paraId="53999B04"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4/1 under a shortened title with updated topics</w:t>
            </w:r>
          </w:p>
        </w:tc>
      </w:tr>
      <w:tr w:rsidR="00D64CC4" w:rsidRPr="00446EFD" w14:paraId="12B467F5" w14:textId="77777777" w:rsidTr="00FE0777">
        <w:trPr>
          <w:trHeight w:val="315"/>
        </w:trPr>
        <w:tc>
          <w:tcPr>
            <w:tcW w:w="2208" w:type="dxa"/>
          </w:tcPr>
          <w:p w14:paraId="1D924EDF"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Q5/1</w:t>
            </w:r>
          </w:p>
        </w:tc>
        <w:tc>
          <w:tcPr>
            <w:tcW w:w="3402" w:type="dxa"/>
          </w:tcPr>
          <w:p w14:paraId="10E871CB"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Telecommunications/ICTs for rural and remote areas</w:t>
            </w:r>
          </w:p>
        </w:tc>
        <w:tc>
          <w:tcPr>
            <w:tcW w:w="3402" w:type="dxa"/>
          </w:tcPr>
          <w:p w14:paraId="406235BD"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5/1 under a shortened title with updated topics</w:t>
            </w:r>
          </w:p>
        </w:tc>
      </w:tr>
      <w:tr w:rsidR="00D64CC4" w:rsidRPr="00446EFD" w14:paraId="0331F2E5" w14:textId="77777777" w:rsidTr="00FE0777">
        <w:trPr>
          <w:trHeight w:val="315"/>
        </w:trPr>
        <w:tc>
          <w:tcPr>
            <w:tcW w:w="2208" w:type="dxa"/>
          </w:tcPr>
          <w:p w14:paraId="2E04E2BE"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Q6/1</w:t>
            </w:r>
          </w:p>
        </w:tc>
        <w:tc>
          <w:tcPr>
            <w:tcW w:w="3402" w:type="dxa"/>
          </w:tcPr>
          <w:p w14:paraId="0C7B6A78"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Consumer information, protection and rights</w:t>
            </w:r>
          </w:p>
        </w:tc>
        <w:tc>
          <w:tcPr>
            <w:tcW w:w="3402" w:type="dxa"/>
          </w:tcPr>
          <w:p w14:paraId="75B03018"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6/1 under a shortened title with updated topics</w:t>
            </w:r>
          </w:p>
        </w:tc>
      </w:tr>
      <w:tr w:rsidR="00D64CC4" w:rsidRPr="00446EFD" w14:paraId="7B4BFD62" w14:textId="77777777" w:rsidTr="00FE0777">
        <w:trPr>
          <w:trHeight w:val="315"/>
        </w:trPr>
        <w:tc>
          <w:tcPr>
            <w:tcW w:w="2208" w:type="dxa"/>
          </w:tcPr>
          <w:p w14:paraId="2E3FFD81" w14:textId="77777777" w:rsidR="00D64CC4" w:rsidRPr="00446EFD" w:rsidRDefault="00D64CC4">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Q7/1</w:t>
            </w:r>
          </w:p>
        </w:tc>
        <w:tc>
          <w:tcPr>
            <w:tcW w:w="3402" w:type="dxa"/>
          </w:tcPr>
          <w:p w14:paraId="67ED0E30"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Telecommunication/ICT accessibility to enable inclusive communication, especially for persons with disabilities</w:t>
            </w:r>
          </w:p>
        </w:tc>
        <w:tc>
          <w:tcPr>
            <w:tcW w:w="3402" w:type="dxa"/>
          </w:tcPr>
          <w:p w14:paraId="0C462D7E" w14:textId="77777777" w:rsidR="00D64CC4" w:rsidRPr="00446EFD" w:rsidRDefault="00D64CC4">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7/1 under a revised title with updated topics</w:t>
            </w:r>
          </w:p>
        </w:tc>
      </w:tr>
    </w:tbl>
    <w:p w14:paraId="0B7358CB" w14:textId="77777777" w:rsidR="00F83820" w:rsidRPr="00291C53" w:rsidRDefault="00F83820" w:rsidP="00F83820">
      <w:pPr>
        <w:pStyle w:val="Pa39"/>
        <w:spacing w:before="160" w:after="100"/>
        <w:jc w:val="center"/>
        <w:rPr>
          <w:color w:val="000000"/>
        </w:rPr>
      </w:pPr>
      <w:r w:rsidRPr="00291C53">
        <w:rPr>
          <w:b/>
          <w:bCs/>
          <w:color w:val="000000"/>
        </w:rPr>
        <w:lastRenderedPageBreak/>
        <w:t>Study Group 2</w:t>
      </w:r>
    </w:p>
    <w:tbl>
      <w:tblPr>
        <w:tblW w:w="0" w:type="auto"/>
        <w:tblInd w:w="552" w:type="dxa"/>
        <w:tblLayout w:type="fixed"/>
        <w:tblLook w:val="0000" w:firstRow="0" w:lastRow="0" w:firstColumn="0" w:lastColumn="0" w:noHBand="0" w:noVBand="0"/>
      </w:tblPr>
      <w:tblGrid>
        <w:gridCol w:w="1656"/>
        <w:gridCol w:w="3402"/>
        <w:gridCol w:w="3402"/>
      </w:tblGrid>
      <w:tr w:rsidR="00F83820" w:rsidRPr="00446EFD" w14:paraId="049DDCF4" w14:textId="77777777" w:rsidTr="00FE0777">
        <w:trPr>
          <w:trHeight w:val="117"/>
        </w:trPr>
        <w:tc>
          <w:tcPr>
            <w:tcW w:w="1656" w:type="dxa"/>
          </w:tcPr>
          <w:p w14:paraId="63220D54"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New number</w:t>
            </w:r>
          </w:p>
        </w:tc>
        <w:tc>
          <w:tcPr>
            <w:tcW w:w="3402" w:type="dxa"/>
          </w:tcPr>
          <w:p w14:paraId="2C664874"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Title</w:t>
            </w:r>
          </w:p>
        </w:tc>
        <w:tc>
          <w:tcPr>
            <w:tcW w:w="3402" w:type="dxa"/>
          </w:tcPr>
          <w:p w14:paraId="6AF6440F"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Origin</w:t>
            </w:r>
          </w:p>
        </w:tc>
      </w:tr>
      <w:tr w:rsidR="00F83820" w:rsidRPr="00446EFD" w14:paraId="0A51823C" w14:textId="77777777" w:rsidTr="00FE0777">
        <w:trPr>
          <w:trHeight w:val="315"/>
        </w:trPr>
        <w:tc>
          <w:tcPr>
            <w:tcW w:w="1656" w:type="dxa"/>
          </w:tcPr>
          <w:p w14:paraId="37322687"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Q1/2</w:t>
            </w:r>
          </w:p>
        </w:tc>
        <w:tc>
          <w:tcPr>
            <w:tcW w:w="3402" w:type="dxa"/>
          </w:tcPr>
          <w:p w14:paraId="19FCD120"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Smart sustainable cities and communities</w:t>
            </w:r>
          </w:p>
        </w:tc>
        <w:tc>
          <w:tcPr>
            <w:tcW w:w="3402" w:type="dxa"/>
          </w:tcPr>
          <w:p w14:paraId="12EF886D"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1/2 under a shortened title with updated topics</w:t>
            </w:r>
          </w:p>
        </w:tc>
      </w:tr>
      <w:tr w:rsidR="00F83820" w:rsidRPr="00446EFD" w14:paraId="3316AB87" w14:textId="77777777" w:rsidTr="00FE0777">
        <w:trPr>
          <w:trHeight w:val="315"/>
        </w:trPr>
        <w:tc>
          <w:tcPr>
            <w:tcW w:w="1656" w:type="dxa"/>
          </w:tcPr>
          <w:p w14:paraId="73FDF9F5"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Q2/2</w:t>
            </w:r>
          </w:p>
        </w:tc>
        <w:tc>
          <w:tcPr>
            <w:tcW w:w="3402" w:type="dxa"/>
          </w:tcPr>
          <w:p w14:paraId="716B14C0"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Enabling technologies for e-services and appli</w:t>
            </w:r>
            <w:r w:rsidRPr="00446EFD">
              <w:rPr>
                <w:rFonts w:asciiTheme="minorHAnsi" w:hAnsiTheme="minorHAnsi" w:cstheme="minorHAnsi"/>
                <w:color w:val="000000"/>
                <w:sz w:val="22"/>
                <w:szCs w:val="22"/>
              </w:rPr>
              <w:softHyphen/>
              <w:t>cations, including e-health and e-education</w:t>
            </w:r>
          </w:p>
        </w:tc>
        <w:tc>
          <w:tcPr>
            <w:tcW w:w="3402" w:type="dxa"/>
          </w:tcPr>
          <w:p w14:paraId="3408078E"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2/2 expanded to cover more topics</w:t>
            </w:r>
          </w:p>
        </w:tc>
      </w:tr>
      <w:tr w:rsidR="00F83820" w:rsidRPr="00446EFD" w14:paraId="21CCD643" w14:textId="77777777" w:rsidTr="00FE0777">
        <w:trPr>
          <w:trHeight w:val="315"/>
        </w:trPr>
        <w:tc>
          <w:tcPr>
            <w:tcW w:w="1656" w:type="dxa"/>
          </w:tcPr>
          <w:p w14:paraId="07BF24D3"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Q3/2</w:t>
            </w:r>
          </w:p>
        </w:tc>
        <w:tc>
          <w:tcPr>
            <w:tcW w:w="3402" w:type="dxa"/>
          </w:tcPr>
          <w:p w14:paraId="4AF470C4"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Securing information and communication net</w:t>
            </w:r>
            <w:r w:rsidRPr="00446EFD">
              <w:rPr>
                <w:rFonts w:asciiTheme="minorHAnsi" w:hAnsiTheme="minorHAnsi" w:cstheme="minorHAnsi"/>
                <w:color w:val="000000"/>
                <w:sz w:val="22"/>
                <w:szCs w:val="22"/>
              </w:rPr>
              <w:softHyphen/>
              <w:t>works: Best practices for developing a culture of cybersecurity</w:t>
            </w:r>
          </w:p>
        </w:tc>
        <w:tc>
          <w:tcPr>
            <w:tcW w:w="3402" w:type="dxa"/>
          </w:tcPr>
          <w:p w14:paraId="1E96FF4C"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3/2with updated topics</w:t>
            </w:r>
          </w:p>
        </w:tc>
      </w:tr>
      <w:tr w:rsidR="00F83820" w:rsidRPr="00446EFD" w14:paraId="31536767" w14:textId="77777777" w:rsidTr="00FE0777">
        <w:trPr>
          <w:trHeight w:val="315"/>
        </w:trPr>
        <w:tc>
          <w:tcPr>
            <w:tcW w:w="1656" w:type="dxa"/>
          </w:tcPr>
          <w:p w14:paraId="4A447F0A"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Q4/2</w:t>
            </w:r>
          </w:p>
        </w:tc>
        <w:tc>
          <w:tcPr>
            <w:tcW w:w="3402" w:type="dxa"/>
          </w:tcPr>
          <w:p w14:paraId="40CA6D09"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Telecommunication/ICT equipment: Con</w:t>
            </w:r>
            <w:r w:rsidRPr="00446EFD">
              <w:rPr>
                <w:rFonts w:asciiTheme="minorHAnsi" w:hAnsiTheme="minorHAnsi" w:cstheme="minorHAnsi"/>
                <w:color w:val="000000"/>
                <w:sz w:val="22"/>
                <w:szCs w:val="22"/>
              </w:rPr>
              <w:softHyphen/>
              <w:t>formance and interoperability, combating counterfeiting and theft of mobile devices</w:t>
            </w:r>
          </w:p>
        </w:tc>
        <w:tc>
          <w:tcPr>
            <w:tcW w:w="3402" w:type="dxa"/>
          </w:tcPr>
          <w:p w14:paraId="30C5DA45"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4/2 under a shortened title with updated topics</w:t>
            </w:r>
          </w:p>
        </w:tc>
      </w:tr>
      <w:tr w:rsidR="00F83820" w:rsidRPr="00446EFD" w14:paraId="10E5E03F" w14:textId="77777777" w:rsidTr="00FE0777">
        <w:trPr>
          <w:trHeight w:val="213"/>
        </w:trPr>
        <w:tc>
          <w:tcPr>
            <w:tcW w:w="1656" w:type="dxa"/>
          </w:tcPr>
          <w:p w14:paraId="67B2A831"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Q5/2*</w:t>
            </w:r>
          </w:p>
        </w:tc>
        <w:tc>
          <w:tcPr>
            <w:tcW w:w="3402" w:type="dxa"/>
          </w:tcPr>
          <w:p w14:paraId="4BEB4E78"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Adoption of telecommunications/ICTs and improving digital skills</w:t>
            </w:r>
          </w:p>
        </w:tc>
        <w:tc>
          <w:tcPr>
            <w:tcW w:w="3402" w:type="dxa"/>
          </w:tcPr>
          <w:p w14:paraId="1D2E364D"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New Question</w:t>
            </w:r>
          </w:p>
        </w:tc>
      </w:tr>
      <w:tr w:rsidR="00F83820" w:rsidRPr="00446EFD" w14:paraId="7F5D9432" w14:textId="77777777" w:rsidTr="00FE0777">
        <w:trPr>
          <w:trHeight w:val="315"/>
        </w:trPr>
        <w:tc>
          <w:tcPr>
            <w:tcW w:w="1656" w:type="dxa"/>
          </w:tcPr>
          <w:p w14:paraId="5DD8942C"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Q6/2</w:t>
            </w:r>
          </w:p>
        </w:tc>
        <w:tc>
          <w:tcPr>
            <w:tcW w:w="3402" w:type="dxa"/>
          </w:tcPr>
          <w:p w14:paraId="58B93A2B"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ICTs for the environment</w:t>
            </w:r>
          </w:p>
        </w:tc>
        <w:tc>
          <w:tcPr>
            <w:tcW w:w="3402" w:type="dxa"/>
          </w:tcPr>
          <w:p w14:paraId="54F969D3"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6/2 under a shortened title with updated topics</w:t>
            </w:r>
          </w:p>
        </w:tc>
      </w:tr>
      <w:tr w:rsidR="00F83820" w:rsidRPr="00446EFD" w14:paraId="2B841698" w14:textId="77777777" w:rsidTr="00FE0777">
        <w:trPr>
          <w:trHeight w:val="213"/>
        </w:trPr>
        <w:tc>
          <w:tcPr>
            <w:tcW w:w="1656" w:type="dxa"/>
          </w:tcPr>
          <w:p w14:paraId="440B4C7B" w14:textId="77777777" w:rsidR="00F83820" w:rsidRPr="00446EFD" w:rsidRDefault="00F83820">
            <w:pPr>
              <w:pStyle w:val="Pa32"/>
              <w:spacing w:before="20" w:after="20"/>
              <w:jc w:val="center"/>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Q7/2</w:t>
            </w:r>
          </w:p>
        </w:tc>
        <w:tc>
          <w:tcPr>
            <w:tcW w:w="3402" w:type="dxa"/>
          </w:tcPr>
          <w:p w14:paraId="0081F084"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Strategies and policies concerning human exposure to electromagnetic fields</w:t>
            </w:r>
          </w:p>
        </w:tc>
        <w:tc>
          <w:tcPr>
            <w:tcW w:w="3402" w:type="dxa"/>
          </w:tcPr>
          <w:p w14:paraId="13F4A5AA" w14:textId="77777777" w:rsidR="00F83820" w:rsidRPr="00446EFD" w:rsidRDefault="00F8382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 xml:space="preserve">Continuation of Question </w:t>
            </w:r>
          </w:p>
        </w:tc>
      </w:tr>
    </w:tbl>
    <w:p w14:paraId="61E025B8" w14:textId="1C48F030" w:rsidR="005B2846" w:rsidRDefault="005B2846" w:rsidP="00943E65">
      <w:pPr>
        <w:keepNext/>
        <w:tabs>
          <w:tab w:val="clear" w:pos="794"/>
          <w:tab w:val="clear" w:pos="1191"/>
          <w:tab w:val="clear" w:pos="1588"/>
          <w:tab w:val="clear" w:pos="1985"/>
        </w:tabs>
        <w:spacing w:after="120"/>
        <w:ind w:left="567" w:hanging="567"/>
        <w:outlineLvl w:val="0"/>
        <w:rPr>
          <w:rFonts w:eastAsia="Calibri" w:cs="Calibri"/>
          <w:b/>
          <w:bCs/>
          <w:szCs w:val="24"/>
        </w:rPr>
      </w:pPr>
      <w:r w:rsidRPr="005B2846">
        <w:rPr>
          <w:rFonts w:eastAsia="Calibri" w:cs="Calibri"/>
          <w:b/>
          <w:bCs/>
          <w:szCs w:val="24"/>
        </w:rPr>
        <w:t xml:space="preserve">5. </w:t>
      </w:r>
      <w:r w:rsidRPr="005B2846">
        <w:rPr>
          <w:rFonts w:eastAsia="Calibri" w:cs="Calibri"/>
          <w:b/>
          <w:bCs/>
          <w:szCs w:val="24"/>
        </w:rPr>
        <w:tab/>
        <w:t>WTDC-22 Resolutions</w:t>
      </w:r>
    </w:p>
    <w:p w14:paraId="353321F4" w14:textId="39F64611" w:rsidR="00227555" w:rsidRPr="005D16B2" w:rsidRDefault="00446EFD" w:rsidP="00943E65">
      <w:pPr>
        <w:tabs>
          <w:tab w:val="clear" w:pos="794"/>
          <w:tab w:val="clear" w:pos="1191"/>
          <w:tab w:val="clear" w:pos="1588"/>
          <w:tab w:val="clear" w:pos="1985"/>
        </w:tabs>
        <w:overflowPunct/>
        <w:spacing w:after="120"/>
        <w:textAlignment w:val="auto"/>
        <w:rPr>
          <w:rFonts w:cstheme="minorHAnsi"/>
          <w:color w:val="000000"/>
          <w:szCs w:val="24"/>
          <w:lang w:eastAsia="zh-CN"/>
        </w:rPr>
      </w:pPr>
      <w:r w:rsidRPr="005D16B2">
        <w:rPr>
          <w:rFonts w:cstheme="minorHAnsi"/>
          <w:color w:val="000000"/>
          <w:szCs w:val="24"/>
          <w:lang w:eastAsia="zh-CN"/>
        </w:rPr>
        <w:t>WTDC-22 revised 40 existing</w:t>
      </w:r>
      <w:r w:rsidR="00EA18A8" w:rsidRPr="005D16B2">
        <w:rPr>
          <w:rFonts w:cstheme="minorHAnsi"/>
          <w:color w:val="000000"/>
          <w:szCs w:val="24"/>
          <w:lang w:eastAsia="zh-CN"/>
        </w:rPr>
        <w:t xml:space="preserve"> WTDC</w:t>
      </w:r>
      <w:r w:rsidRPr="005D16B2">
        <w:rPr>
          <w:rFonts w:cstheme="minorHAnsi"/>
          <w:color w:val="000000"/>
          <w:szCs w:val="24"/>
          <w:lang w:eastAsia="zh-CN"/>
        </w:rPr>
        <w:t xml:space="preserve"> resolutions</w:t>
      </w:r>
      <w:r w:rsidR="00073AF5" w:rsidRPr="005D16B2">
        <w:rPr>
          <w:rFonts w:cstheme="minorHAnsi"/>
          <w:color w:val="000000"/>
          <w:szCs w:val="24"/>
          <w:lang w:eastAsia="zh-CN"/>
        </w:rPr>
        <w:t xml:space="preserve"> ensuring that the focus of ITU-D continued to reflect the needs of ITU membership</w:t>
      </w:r>
      <w:r w:rsidR="00EA18A8" w:rsidRPr="005D16B2">
        <w:rPr>
          <w:rFonts w:cstheme="minorHAnsi"/>
          <w:color w:val="000000"/>
          <w:szCs w:val="24"/>
          <w:lang w:eastAsia="zh-CN"/>
        </w:rPr>
        <w:t xml:space="preserve">. The Conference also </w:t>
      </w:r>
      <w:r w:rsidRPr="005D16B2">
        <w:rPr>
          <w:rFonts w:cstheme="minorHAnsi"/>
          <w:color w:val="000000"/>
          <w:szCs w:val="24"/>
          <w:lang w:eastAsia="zh-CN"/>
        </w:rPr>
        <w:t xml:space="preserve">produced four (4) new resolutions, on the following </w:t>
      </w:r>
      <w:r w:rsidR="006812D5" w:rsidRPr="005D16B2">
        <w:rPr>
          <w:rFonts w:cstheme="minorHAnsi"/>
          <w:color w:val="000000"/>
          <w:szCs w:val="24"/>
          <w:lang w:eastAsia="zh-CN"/>
        </w:rPr>
        <w:t>topics</w:t>
      </w:r>
      <w:r w:rsidR="00BD4430" w:rsidRPr="005D16B2">
        <w:rPr>
          <w:rFonts w:cstheme="minorHAnsi"/>
          <w:color w:val="000000"/>
          <w:szCs w:val="24"/>
          <w:lang w:eastAsia="zh-CN"/>
        </w:rPr>
        <w:t>:</w:t>
      </w:r>
    </w:p>
    <w:p w14:paraId="0FB5AEED" w14:textId="242571A4" w:rsidR="00674B6D" w:rsidRPr="00FE0777" w:rsidRDefault="00674B6D" w:rsidP="00943E65">
      <w:pPr>
        <w:pStyle w:val="ListParagraph"/>
        <w:numPr>
          <w:ilvl w:val="0"/>
          <w:numId w:val="25"/>
        </w:numPr>
        <w:overflowPunct/>
        <w:spacing w:before="60" w:after="60"/>
        <w:ind w:left="714" w:hanging="357"/>
        <w:contextualSpacing w:val="0"/>
        <w:textAlignment w:val="auto"/>
        <w:rPr>
          <w:rFonts w:cstheme="minorHAnsi"/>
          <w:color w:val="000000"/>
          <w:szCs w:val="24"/>
          <w:lang w:eastAsia="zh-CN"/>
        </w:rPr>
      </w:pPr>
      <w:r w:rsidRPr="00FE0777">
        <w:rPr>
          <w:rFonts w:cstheme="minorHAnsi"/>
          <w:b/>
          <w:bCs/>
          <w:color w:val="000000"/>
          <w:szCs w:val="24"/>
          <w:lang w:eastAsia="zh-CN"/>
        </w:rPr>
        <w:t>Resolution 87 (Kigali, 2022):</w:t>
      </w:r>
      <w:r w:rsidRPr="00FE0777">
        <w:rPr>
          <w:rFonts w:cstheme="minorHAnsi"/>
          <w:color w:val="000000"/>
          <w:szCs w:val="24"/>
          <w:lang w:eastAsia="zh-CN"/>
        </w:rPr>
        <w:t xml:space="preserve"> Connecting every school to the Internet and every young person to information and communication technology services aims to ensure that every school is connected to the Internet through the joint ITU-UNICEF Giga initiative.</w:t>
      </w:r>
    </w:p>
    <w:p w14:paraId="48047EE2" w14:textId="63B97E62" w:rsidR="00674B6D" w:rsidRPr="00FE0777" w:rsidRDefault="00674B6D" w:rsidP="00943E65">
      <w:pPr>
        <w:pStyle w:val="ListParagraph"/>
        <w:numPr>
          <w:ilvl w:val="0"/>
          <w:numId w:val="25"/>
        </w:numPr>
        <w:overflowPunct/>
        <w:spacing w:before="60" w:after="60"/>
        <w:ind w:left="714" w:hanging="357"/>
        <w:contextualSpacing w:val="0"/>
        <w:textAlignment w:val="auto"/>
        <w:rPr>
          <w:rFonts w:cstheme="minorHAnsi"/>
          <w:color w:val="000000"/>
          <w:szCs w:val="24"/>
          <w:lang w:eastAsia="zh-CN"/>
        </w:rPr>
      </w:pPr>
      <w:r w:rsidRPr="00FE0777">
        <w:rPr>
          <w:rFonts w:cstheme="minorHAnsi"/>
          <w:b/>
          <w:bCs/>
          <w:color w:val="000000"/>
          <w:szCs w:val="24"/>
          <w:lang w:eastAsia="zh-CN"/>
        </w:rPr>
        <w:t>Resolution 88 (Kigali, 2022):</w:t>
      </w:r>
      <w:r w:rsidRPr="00FE0777">
        <w:rPr>
          <w:rFonts w:cstheme="minorHAnsi"/>
          <w:color w:val="000000"/>
          <w:szCs w:val="24"/>
          <w:lang w:eastAsia="zh-CN"/>
        </w:rPr>
        <w:t xml:space="preserve"> The ITU Partner2Connect Digital Coalition formalizes the Partner2Connect Digital Coalition as the primary platform to foster new partnerships around meaningful connectivity and digital transformation globally, focusing on, but not limited to, the hardest-to-connect communities.</w:t>
      </w:r>
    </w:p>
    <w:p w14:paraId="3DACEFD7" w14:textId="4EA8DBB0" w:rsidR="00657226" w:rsidRPr="00FE0777" w:rsidRDefault="00674B6D" w:rsidP="00943E65">
      <w:pPr>
        <w:pStyle w:val="ListParagraph"/>
        <w:numPr>
          <w:ilvl w:val="0"/>
          <w:numId w:val="25"/>
        </w:numPr>
        <w:spacing w:before="60" w:after="60"/>
        <w:ind w:left="714" w:hanging="357"/>
        <w:contextualSpacing w:val="0"/>
        <w:rPr>
          <w:rFonts w:eastAsia="Calibri" w:cstheme="minorHAnsi"/>
          <w:szCs w:val="24"/>
        </w:rPr>
      </w:pPr>
      <w:r w:rsidRPr="00FE0777">
        <w:rPr>
          <w:rFonts w:cstheme="minorHAnsi"/>
          <w:b/>
          <w:bCs/>
          <w:color w:val="000000"/>
          <w:szCs w:val="24"/>
          <w:lang w:eastAsia="zh-CN"/>
        </w:rPr>
        <w:t>Resolution 89 (Kigali, 2022):</w:t>
      </w:r>
      <w:r w:rsidRPr="00FE0777">
        <w:rPr>
          <w:rFonts w:cstheme="minorHAnsi"/>
          <w:color w:val="000000"/>
          <w:szCs w:val="24"/>
          <w:lang w:eastAsia="zh-CN"/>
        </w:rPr>
        <w:t xml:space="preserve"> Digital transformation for sustainable development aims to drive efforts to advance digital transformation for sustainable development, recognizing the enormous potential that ICTs </w:t>
      </w:r>
      <w:proofErr w:type="gramStart"/>
      <w:r w:rsidRPr="00FE0777">
        <w:rPr>
          <w:rFonts w:cstheme="minorHAnsi"/>
          <w:color w:val="000000"/>
          <w:szCs w:val="24"/>
          <w:lang w:eastAsia="zh-CN"/>
        </w:rPr>
        <w:t>have to</w:t>
      </w:r>
      <w:proofErr w:type="gramEnd"/>
      <w:r w:rsidRPr="00FE0777">
        <w:rPr>
          <w:rFonts w:cstheme="minorHAnsi"/>
          <w:color w:val="000000"/>
          <w:szCs w:val="24"/>
          <w:lang w:eastAsia="zh-CN"/>
        </w:rPr>
        <w:t xml:space="preserve"> create positive, meaningful and lasting change. The Directors of the Radiocommunication Bureau, the Telecommunication Standardization Bureau and the Telecommunication Development Bureau are invited to collaborate actively to fulfil the needs addressed by this resolution in areas of mutual interest related to digital-transformation technologies, within the framework of the ''One ITU'' approach and enhancing coordination among the three Sectors.</w:t>
      </w:r>
    </w:p>
    <w:p w14:paraId="15B864EF" w14:textId="10AC2A20" w:rsidR="00657226" w:rsidRPr="00FE0777" w:rsidRDefault="00203CC5" w:rsidP="00943E65">
      <w:pPr>
        <w:pStyle w:val="ListParagraph"/>
        <w:numPr>
          <w:ilvl w:val="0"/>
          <w:numId w:val="25"/>
        </w:numPr>
        <w:spacing w:before="60" w:after="60"/>
        <w:ind w:left="714" w:hanging="357"/>
        <w:contextualSpacing w:val="0"/>
        <w:rPr>
          <w:rFonts w:eastAsia="Calibri" w:cstheme="minorHAnsi"/>
          <w:szCs w:val="24"/>
        </w:rPr>
      </w:pPr>
      <w:r w:rsidRPr="00FE0777">
        <w:rPr>
          <w:rFonts w:cstheme="minorHAnsi"/>
          <w:b/>
          <w:bCs/>
          <w:color w:val="000000"/>
          <w:szCs w:val="24"/>
        </w:rPr>
        <w:lastRenderedPageBreak/>
        <w:t>Resolution 90 (Kigali, 2022):</w:t>
      </w:r>
      <w:r w:rsidRPr="00FE0777">
        <w:rPr>
          <w:rFonts w:cstheme="minorHAnsi"/>
          <w:color w:val="000000"/>
          <w:szCs w:val="24"/>
        </w:rPr>
        <w:t xml:space="preserve"> Fostering telecommunication/ICT-centric entrepreneurship and digital innovation ecosystems for sustainable digital development seeks to create a thriving environment for entrepreneurship and digital innovation ecosystems to help accelerate the achievement of the United Nations Sustainable Development Goals.</w:t>
      </w:r>
    </w:p>
    <w:p w14:paraId="70E19126" w14:textId="77777777" w:rsidR="003A2B2E" w:rsidRDefault="003A2B2E" w:rsidP="00943E65">
      <w:pPr>
        <w:keepNext/>
        <w:tabs>
          <w:tab w:val="clear" w:pos="794"/>
          <w:tab w:val="clear" w:pos="1191"/>
          <w:tab w:val="clear" w:pos="1588"/>
          <w:tab w:val="clear" w:pos="1985"/>
        </w:tabs>
        <w:spacing w:after="120"/>
        <w:ind w:left="567" w:hanging="567"/>
        <w:outlineLvl w:val="0"/>
        <w:rPr>
          <w:rFonts w:ascii="Calibri" w:hAnsi="Calibri" w:cs="Calibri"/>
          <w:b/>
          <w:bCs/>
          <w:color w:val="000000"/>
          <w:sz w:val="25"/>
          <w:szCs w:val="25"/>
          <w:lang w:eastAsia="zh-CN"/>
        </w:rPr>
      </w:pPr>
      <w:r w:rsidRPr="003A2B2E">
        <w:rPr>
          <w:rFonts w:ascii="Calibri" w:hAnsi="Calibri" w:cs="Calibri"/>
          <w:b/>
          <w:bCs/>
          <w:color w:val="000000"/>
          <w:sz w:val="25"/>
          <w:szCs w:val="25"/>
          <w:lang w:eastAsia="zh-CN"/>
        </w:rPr>
        <w:t>6.</w:t>
      </w:r>
      <w:r w:rsidRPr="003A2B2E">
        <w:rPr>
          <w:rFonts w:ascii="Calibri" w:hAnsi="Calibri" w:cs="Calibri"/>
          <w:b/>
          <w:bCs/>
          <w:color w:val="000000"/>
          <w:sz w:val="25"/>
          <w:szCs w:val="25"/>
          <w:lang w:eastAsia="zh-CN"/>
        </w:rPr>
        <w:tab/>
      </w:r>
      <w:r w:rsidR="00657226" w:rsidRPr="00657226">
        <w:rPr>
          <w:rFonts w:ascii="Calibri" w:hAnsi="Calibri" w:cs="Calibri"/>
          <w:b/>
          <w:bCs/>
          <w:color w:val="000000"/>
          <w:sz w:val="25"/>
          <w:szCs w:val="25"/>
          <w:lang w:eastAsia="zh-CN"/>
        </w:rPr>
        <w:t xml:space="preserve">Telecommunication Development Advisory Group </w:t>
      </w:r>
      <w:r w:rsidRPr="003A2B2E">
        <w:rPr>
          <w:rFonts w:ascii="Calibri" w:hAnsi="Calibri" w:cs="Calibri"/>
          <w:b/>
          <w:bCs/>
          <w:color w:val="000000"/>
          <w:sz w:val="25"/>
          <w:szCs w:val="25"/>
          <w:lang w:eastAsia="zh-CN"/>
        </w:rPr>
        <w:t>(TDAG)</w:t>
      </w:r>
    </w:p>
    <w:p w14:paraId="2F0BE121" w14:textId="5A8CDD91" w:rsidR="00657226" w:rsidRPr="00BD4430" w:rsidRDefault="00657226" w:rsidP="00943E65">
      <w:pPr>
        <w:tabs>
          <w:tab w:val="clear" w:pos="794"/>
          <w:tab w:val="clear" w:pos="1191"/>
          <w:tab w:val="clear" w:pos="1588"/>
          <w:tab w:val="clear" w:pos="1985"/>
        </w:tabs>
        <w:overflowPunct/>
        <w:spacing w:after="120"/>
        <w:textAlignment w:val="auto"/>
        <w:rPr>
          <w:rFonts w:cstheme="minorHAnsi"/>
          <w:color w:val="000000"/>
          <w:szCs w:val="24"/>
          <w:lang w:eastAsia="zh-CN"/>
        </w:rPr>
      </w:pPr>
      <w:r w:rsidRPr="00657226">
        <w:rPr>
          <w:rFonts w:cstheme="minorHAnsi"/>
          <w:color w:val="000000"/>
          <w:szCs w:val="24"/>
          <w:lang w:eastAsia="zh-CN"/>
        </w:rPr>
        <w:t>The TDAG bureau comprises the chairman and the vice-chairmen of TDAG, as well as the chairmen of ITU-D study groups.</w:t>
      </w:r>
      <w:r w:rsidR="00BD4430" w:rsidRPr="00BD4430">
        <w:rPr>
          <w:rFonts w:cstheme="minorHAnsi"/>
          <w:color w:val="000000"/>
          <w:szCs w:val="24"/>
          <w:lang w:eastAsia="zh-CN"/>
        </w:rPr>
        <w:t xml:space="preserve"> </w:t>
      </w:r>
      <w:r w:rsidRPr="00657226">
        <w:rPr>
          <w:rFonts w:cstheme="minorHAnsi"/>
          <w:color w:val="000000"/>
          <w:szCs w:val="24"/>
          <w:lang w:eastAsia="zh-CN"/>
        </w:rPr>
        <w:t>WTDC-22 appointed the TDAG chairman and vice</w:t>
      </w:r>
      <w:r w:rsidRPr="00657226">
        <w:rPr>
          <w:rFonts w:cstheme="minorHAnsi"/>
          <w:color w:val="000000"/>
          <w:szCs w:val="24"/>
          <w:lang w:eastAsia="zh-CN"/>
        </w:rPr>
        <w:noBreakHyphen/>
        <w:t>chair</w:t>
      </w:r>
      <w:r w:rsidRPr="00657226">
        <w:rPr>
          <w:rFonts w:cstheme="minorHAnsi"/>
          <w:color w:val="000000"/>
          <w:szCs w:val="24"/>
          <w:lang w:eastAsia="zh-CN"/>
        </w:rPr>
        <w:softHyphen/>
        <w:t>men, as follows:</w:t>
      </w:r>
    </w:p>
    <w:p w14:paraId="2D9218E4" w14:textId="6FDF2359" w:rsidR="00BD4430" w:rsidRPr="00BD4430" w:rsidRDefault="00BD4430" w:rsidP="00943E65">
      <w:pPr>
        <w:tabs>
          <w:tab w:val="clear" w:pos="794"/>
          <w:tab w:val="clear" w:pos="1191"/>
          <w:tab w:val="clear" w:pos="1588"/>
          <w:tab w:val="clear" w:pos="1985"/>
        </w:tabs>
        <w:overflowPunct/>
        <w:spacing w:after="120"/>
        <w:ind w:left="1134" w:hanging="567"/>
        <w:textAlignment w:val="auto"/>
        <w:rPr>
          <w:rFonts w:cstheme="minorHAnsi"/>
          <w:color w:val="000000"/>
          <w:szCs w:val="24"/>
          <w:lang w:eastAsia="zh-CN"/>
        </w:rPr>
      </w:pPr>
      <w:r w:rsidRPr="00657226">
        <w:rPr>
          <w:rFonts w:cstheme="minorHAnsi"/>
          <w:b/>
          <w:bCs/>
          <w:color w:val="000000"/>
          <w:szCs w:val="24"/>
          <w:lang w:eastAsia="zh-CN"/>
        </w:rPr>
        <w:t>Chairman:</w:t>
      </w:r>
      <w:r w:rsidRPr="00BD4430">
        <w:rPr>
          <w:rFonts w:cstheme="minorHAnsi"/>
          <w:color w:val="000000"/>
          <w:szCs w:val="24"/>
          <w:lang w:eastAsia="zh-CN"/>
        </w:rPr>
        <w:t xml:space="preserve"> </w:t>
      </w:r>
      <w:r w:rsidRPr="00657226">
        <w:rPr>
          <w:rFonts w:cstheme="minorHAnsi"/>
          <w:color w:val="000000"/>
          <w:szCs w:val="24"/>
          <w:lang w:eastAsia="zh-CN"/>
        </w:rPr>
        <w:t>Ms Roxanne McElvane Webber (United States)</w:t>
      </w:r>
    </w:p>
    <w:p w14:paraId="5E5C0E0F" w14:textId="6192D378" w:rsidR="00BD4430" w:rsidRPr="00BD4430" w:rsidRDefault="00BD4430" w:rsidP="00943E65">
      <w:pPr>
        <w:keepNext/>
        <w:tabs>
          <w:tab w:val="clear" w:pos="794"/>
          <w:tab w:val="clear" w:pos="1191"/>
          <w:tab w:val="clear" w:pos="1588"/>
          <w:tab w:val="clear" w:pos="1985"/>
        </w:tabs>
        <w:overflowPunct/>
        <w:spacing w:before="60" w:after="60"/>
        <w:ind w:left="1134" w:hanging="567"/>
        <w:textAlignment w:val="auto"/>
        <w:rPr>
          <w:rFonts w:cstheme="minorHAnsi"/>
          <w:b/>
          <w:bCs/>
          <w:color w:val="000000"/>
          <w:szCs w:val="24"/>
          <w:lang w:eastAsia="zh-CN"/>
        </w:rPr>
      </w:pPr>
      <w:r w:rsidRPr="00657226">
        <w:rPr>
          <w:rFonts w:cstheme="minorHAnsi"/>
          <w:b/>
          <w:bCs/>
          <w:color w:val="000000"/>
          <w:szCs w:val="24"/>
          <w:lang w:eastAsia="zh-CN"/>
        </w:rPr>
        <w:t>Vice-chairmen:</w:t>
      </w:r>
    </w:p>
    <w:p w14:paraId="7A966A41" w14:textId="77777777" w:rsidR="00BD4430" w:rsidRPr="00657226" w:rsidRDefault="00BD4430"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Ms Regina Fleur </w:t>
      </w:r>
      <w:proofErr w:type="spellStart"/>
      <w:r w:rsidRPr="00657226">
        <w:rPr>
          <w:rFonts w:cstheme="minorHAnsi"/>
          <w:color w:val="000000"/>
          <w:szCs w:val="24"/>
          <w:lang w:eastAsia="zh-CN"/>
        </w:rPr>
        <w:t>Assoumou</w:t>
      </w:r>
      <w:proofErr w:type="spellEnd"/>
      <w:r w:rsidRPr="00657226">
        <w:rPr>
          <w:rFonts w:cstheme="minorHAnsi"/>
          <w:color w:val="000000"/>
          <w:szCs w:val="24"/>
          <w:lang w:eastAsia="zh-CN"/>
        </w:rPr>
        <w:t xml:space="preserve"> </w:t>
      </w:r>
      <w:proofErr w:type="spellStart"/>
      <w:r w:rsidRPr="00657226">
        <w:rPr>
          <w:rFonts w:cstheme="minorHAnsi"/>
          <w:color w:val="000000"/>
          <w:szCs w:val="24"/>
          <w:lang w:eastAsia="zh-CN"/>
        </w:rPr>
        <w:t>Bessou</w:t>
      </w:r>
      <w:proofErr w:type="spellEnd"/>
      <w:r w:rsidRPr="00657226">
        <w:rPr>
          <w:rFonts w:cstheme="minorHAnsi"/>
          <w:color w:val="000000"/>
          <w:szCs w:val="24"/>
          <w:lang w:eastAsia="zh-CN"/>
        </w:rPr>
        <w:t xml:space="preserve"> (Chairman, Study Group 1)</w:t>
      </w:r>
    </w:p>
    <w:p w14:paraId="77774761" w14:textId="77777777" w:rsidR="00BD4430" w:rsidRPr="00657226" w:rsidRDefault="00BD4430"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Mr Fadel Digham (Chairman, Study Group 2)</w:t>
      </w:r>
    </w:p>
    <w:p w14:paraId="35FA5989" w14:textId="77777777" w:rsidR="00BD4430" w:rsidRPr="00657226" w:rsidRDefault="00BD4430"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Mr Christopher Kemei (Kenya) </w:t>
      </w:r>
    </w:p>
    <w:p w14:paraId="6049BC00" w14:textId="77777777" w:rsidR="00BD4430" w:rsidRPr="00657226" w:rsidRDefault="00BD4430"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Mr </w:t>
      </w:r>
      <w:proofErr w:type="spellStart"/>
      <w:r w:rsidRPr="00657226">
        <w:rPr>
          <w:rFonts w:cstheme="minorHAnsi"/>
          <w:color w:val="000000"/>
          <w:szCs w:val="24"/>
          <w:lang w:eastAsia="zh-CN"/>
        </w:rPr>
        <w:t>Abdulkarim</w:t>
      </w:r>
      <w:proofErr w:type="spellEnd"/>
      <w:r w:rsidRPr="00657226">
        <w:rPr>
          <w:rFonts w:cstheme="minorHAnsi"/>
          <w:color w:val="000000"/>
          <w:szCs w:val="24"/>
          <w:lang w:eastAsia="zh-CN"/>
        </w:rPr>
        <w:t xml:space="preserve"> </w:t>
      </w:r>
      <w:proofErr w:type="spellStart"/>
      <w:r w:rsidRPr="00657226">
        <w:rPr>
          <w:rFonts w:cstheme="minorHAnsi"/>
          <w:color w:val="000000"/>
          <w:szCs w:val="24"/>
          <w:lang w:eastAsia="zh-CN"/>
        </w:rPr>
        <w:t>Oloyede</w:t>
      </w:r>
      <w:proofErr w:type="spellEnd"/>
      <w:r w:rsidRPr="00657226">
        <w:rPr>
          <w:rFonts w:cstheme="minorHAnsi"/>
          <w:color w:val="000000"/>
          <w:szCs w:val="24"/>
          <w:lang w:eastAsia="zh-CN"/>
        </w:rPr>
        <w:t xml:space="preserve"> (Nigeria) </w:t>
      </w:r>
    </w:p>
    <w:p w14:paraId="07BE4709" w14:textId="77777777" w:rsidR="00BD4430" w:rsidRPr="00657226" w:rsidRDefault="00BD4430"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Ms Agustina Brizio (Argentina)</w:t>
      </w:r>
    </w:p>
    <w:p w14:paraId="29B7E17D" w14:textId="77777777" w:rsidR="00BD4430" w:rsidRPr="00657226" w:rsidRDefault="00BD4430"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Ms Andrea Mamprim Grippa (Brazil)</w:t>
      </w:r>
    </w:p>
    <w:p w14:paraId="0E523B40" w14:textId="77777777" w:rsidR="00BD4430" w:rsidRPr="00657226" w:rsidRDefault="00BD4430"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Mr Ahmed Abdel Aziz Gad (Egypt)</w:t>
      </w:r>
    </w:p>
    <w:p w14:paraId="03B7BAA1" w14:textId="77777777" w:rsidR="00BD4430" w:rsidRPr="00657226" w:rsidRDefault="00BD4430"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Ms Shahad </w:t>
      </w:r>
      <w:proofErr w:type="spellStart"/>
      <w:r w:rsidRPr="00657226">
        <w:rPr>
          <w:rFonts w:cstheme="minorHAnsi"/>
          <w:color w:val="000000"/>
          <w:szCs w:val="24"/>
          <w:lang w:eastAsia="zh-CN"/>
        </w:rPr>
        <w:t>Albalawi</w:t>
      </w:r>
      <w:proofErr w:type="spellEnd"/>
      <w:r w:rsidRPr="00657226">
        <w:rPr>
          <w:rFonts w:cstheme="minorHAnsi"/>
          <w:color w:val="000000"/>
          <w:szCs w:val="24"/>
          <w:lang w:eastAsia="zh-CN"/>
        </w:rPr>
        <w:t xml:space="preserve"> (Saudi Arabia)</w:t>
      </w:r>
    </w:p>
    <w:p w14:paraId="3A7F64B1" w14:textId="77777777" w:rsidR="00BD4430" w:rsidRPr="00657226" w:rsidRDefault="00BD4430"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Ms </w:t>
      </w:r>
      <w:proofErr w:type="spellStart"/>
      <w:r w:rsidRPr="00657226">
        <w:rPr>
          <w:rFonts w:cstheme="minorHAnsi"/>
          <w:color w:val="000000"/>
          <w:szCs w:val="24"/>
          <w:lang w:eastAsia="zh-CN"/>
        </w:rPr>
        <w:t>Ke</w:t>
      </w:r>
      <w:proofErr w:type="spellEnd"/>
      <w:r w:rsidRPr="00657226">
        <w:rPr>
          <w:rFonts w:cstheme="minorHAnsi"/>
          <w:color w:val="000000"/>
          <w:szCs w:val="24"/>
          <w:lang w:eastAsia="zh-CN"/>
        </w:rPr>
        <w:t xml:space="preserve"> Wang (China)</w:t>
      </w:r>
    </w:p>
    <w:p w14:paraId="4446A89A" w14:textId="77777777" w:rsidR="00BD4430" w:rsidRPr="00657226" w:rsidRDefault="00BD4430"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Mr Ahmad R. Sharafat (Islamic Republic of Iran) </w:t>
      </w:r>
    </w:p>
    <w:p w14:paraId="65BEEEAA" w14:textId="77777777" w:rsidR="00BD4430" w:rsidRPr="00657226" w:rsidRDefault="00BD4430"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Mr </w:t>
      </w:r>
      <w:proofErr w:type="spellStart"/>
      <w:r w:rsidRPr="00657226">
        <w:rPr>
          <w:rFonts w:cstheme="minorHAnsi"/>
          <w:color w:val="000000"/>
          <w:szCs w:val="24"/>
          <w:lang w:eastAsia="zh-CN"/>
        </w:rPr>
        <w:t>Orozobek</w:t>
      </w:r>
      <w:proofErr w:type="spellEnd"/>
      <w:r w:rsidRPr="00657226">
        <w:rPr>
          <w:rFonts w:cstheme="minorHAnsi"/>
          <w:color w:val="000000"/>
          <w:szCs w:val="24"/>
          <w:lang w:eastAsia="zh-CN"/>
        </w:rPr>
        <w:t xml:space="preserve"> </w:t>
      </w:r>
      <w:proofErr w:type="spellStart"/>
      <w:r w:rsidRPr="00657226">
        <w:rPr>
          <w:rFonts w:cstheme="minorHAnsi"/>
          <w:color w:val="000000"/>
          <w:szCs w:val="24"/>
          <w:lang w:eastAsia="zh-CN"/>
        </w:rPr>
        <w:t>Zhazybaevich</w:t>
      </w:r>
      <w:proofErr w:type="spellEnd"/>
      <w:r w:rsidRPr="00657226">
        <w:rPr>
          <w:rFonts w:cstheme="minorHAnsi"/>
          <w:color w:val="000000"/>
          <w:szCs w:val="24"/>
          <w:lang w:eastAsia="zh-CN"/>
        </w:rPr>
        <w:t xml:space="preserve"> </w:t>
      </w:r>
      <w:proofErr w:type="spellStart"/>
      <w:r w:rsidRPr="00657226">
        <w:rPr>
          <w:rFonts w:cstheme="minorHAnsi"/>
          <w:color w:val="000000"/>
          <w:szCs w:val="24"/>
          <w:lang w:eastAsia="zh-CN"/>
        </w:rPr>
        <w:t>Kayikov</w:t>
      </w:r>
      <w:proofErr w:type="spellEnd"/>
      <w:r w:rsidRPr="00657226">
        <w:rPr>
          <w:rFonts w:cstheme="minorHAnsi"/>
          <w:color w:val="000000"/>
          <w:szCs w:val="24"/>
          <w:lang w:eastAsia="zh-CN"/>
        </w:rPr>
        <w:t xml:space="preserve"> (Kyrgyzstan) </w:t>
      </w:r>
    </w:p>
    <w:p w14:paraId="68D6DDFA" w14:textId="77777777" w:rsidR="00BD4430" w:rsidRPr="000C79A5" w:rsidRDefault="00BD4430"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 w:eastAsia="zh-CN"/>
        </w:rPr>
      </w:pPr>
      <w:r w:rsidRPr="000C79A5">
        <w:rPr>
          <w:rFonts w:cstheme="minorHAnsi"/>
          <w:color w:val="000000"/>
          <w:szCs w:val="24"/>
          <w:lang w:val="es-ES" w:eastAsia="zh-CN"/>
        </w:rPr>
        <w:t>Ms Inga Rimkevičienė (</w:t>
      </w:r>
      <w:proofErr w:type="spellStart"/>
      <w:r w:rsidRPr="000C79A5">
        <w:rPr>
          <w:rFonts w:cstheme="minorHAnsi"/>
          <w:color w:val="000000"/>
          <w:szCs w:val="24"/>
          <w:lang w:val="es-ES" w:eastAsia="zh-CN"/>
        </w:rPr>
        <w:t>Lithuania</w:t>
      </w:r>
      <w:proofErr w:type="spellEnd"/>
      <w:r w:rsidRPr="000C79A5">
        <w:rPr>
          <w:rFonts w:cstheme="minorHAnsi"/>
          <w:color w:val="000000"/>
          <w:szCs w:val="24"/>
          <w:lang w:val="es-ES" w:eastAsia="zh-CN"/>
        </w:rPr>
        <w:t xml:space="preserve">) </w:t>
      </w:r>
    </w:p>
    <w:p w14:paraId="58C79994" w14:textId="160EA115" w:rsidR="00BD4430" w:rsidRPr="000C79A5" w:rsidRDefault="00BD4430"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 w:eastAsia="zh-CN"/>
        </w:rPr>
      </w:pPr>
      <w:r w:rsidRPr="000C79A5">
        <w:rPr>
          <w:rFonts w:cstheme="minorHAnsi"/>
          <w:color w:val="000000"/>
          <w:szCs w:val="24"/>
          <w:lang w:val="es-ES" w:eastAsia="zh-CN"/>
        </w:rPr>
        <w:t>Ms Blanca González (Spain)</w:t>
      </w:r>
    </w:p>
    <w:p w14:paraId="462E5714" w14:textId="2C7A8AFB" w:rsidR="000F37C4" w:rsidRDefault="00BD4430" w:rsidP="00943E65">
      <w:pPr>
        <w:pStyle w:val="Pa12"/>
        <w:keepNext/>
        <w:overflowPunct w:val="0"/>
        <w:spacing w:before="120" w:after="120" w:line="240" w:lineRule="auto"/>
        <w:ind w:left="567" w:hanging="567"/>
        <w:textAlignment w:val="baseline"/>
        <w:outlineLvl w:val="0"/>
        <w:rPr>
          <w:b/>
          <w:bCs/>
          <w:color w:val="000000"/>
          <w:sz w:val="25"/>
          <w:szCs w:val="25"/>
        </w:rPr>
      </w:pPr>
      <w:r w:rsidRPr="00BD4430">
        <w:rPr>
          <w:b/>
          <w:bCs/>
          <w:color w:val="000000"/>
          <w:sz w:val="25"/>
          <w:szCs w:val="25"/>
        </w:rPr>
        <w:t>7</w:t>
      </w:r>
      <w:r w:rsidR="000F37C4" w:rsidRPr="00BD4430">
        <w:rPr>
          <w:b/>
          <w:bCs/>
          <w:color w:val="000000"/>
          <w:sz w:val="25"/>
          <w:szCs w:val="25"/>
        </w:rPr>
        <w:t xml:space="preserve">. </w:t>
      </w:r>
      <w:r w:rsidRPr="00BD4430">
        <w:rPr>
          <w:b/>
          <w:bCs/>
          <w:color w:val="000000"/>
          <w:sz w:val="25"/>
          <w:szCs w:val="25"/>
        </w:rPr>
        <w:tab/>
        <w:t>ITU-D Study Groups</w:t>
      </w:r>
    </w:p>
    <w:p w14:paraId="74328BC2" w14:textId="3D21114F" w:rsidR="00F7731F" w:rsidRPr="00F7731F" w:rsidRDefault="00F7731F" w:rsidP="00943E65">
      <w:pPr>
        <w:tabs>
          <w:tab w:val="clear" w:pos="794"/>
          <w:tab w:val="clear" w:pos="1191"/>
          <w:tab w:val="clear" w:pos="1588"/>
          <w:tab w:val="clear" w:pos="1985"/>
        </w:tabs>
        <w:spacing w:after="120"/>
        <w:rPr>
          <w:lang w:eastAsia="zh-CN"/>
        </w:rPr>
      </w:pPr>
      <w:r>
        <w:rPr>
          <w:lang w:eastAsia="zh-CN"/>
        </w:rPr>
        <w:t xml:space="preserve">WTDC-22 appointed Chairmen and Vice-Chairman to the management teams </w:t>
      </w:r>
      <w:proofErr w:type="spellStart"/>
      <w:r>
        <w:rPr>
          <w:lang w:eastAsia="zh-CN"/>
        </w:rPr>
        <w:t>fo</w:t>
      </w:r>
      <w:proofErr w:type="spellEnd"/>
      <w:r>
        <w:rPr>
          <w:lang w:eastAsia="zh-CN"/>
        </w:rPr>
        <w:t xml:space="preserve"> ITU-D Study Group 1 and Study Group 2</w:t>
      </w:r>
      <w:r w:rsidR="007C5A4F">
        <w:rPr>
          <w:lang w:eastAsia="zh-CN"/>
        </w:rPr>
        <w:t xml:space="preserve">. The management teams will be joined by Rapporteurs and </w:t>
      </w:r>
      <w:proofErr w:type="spellStart"/>
      <w:r w:rsidR="007C5A4F">
        <w:rPr>
          <w:lang w:eastAsia="zh-CN"/>
        </w:rPr>
        <w:t>Cice</w:t>
      </w:r>
      <w:proofErr w:type="spellEnd"/>
      <w:r w:rsidR="007C5A4F">
        <w:rPr>
          <w:lang w:eastAsia="zh-CN"/>
        </w:rPr>
        <w:t xml:space="preserve">-Rapporteurs for each study question, to ensure that the work is effectively directed and </w:t>
      </w:r>
      <w:r w:rsidR="00B73A88">
        <w:rPr>
          <w:lang w:eastAsia="zh-CN"/>
        </w:rPr>
        <w:t>reported during the study period.</w:t>
      </w:r>
    </w:p>
    <w:p w14:paraId="11F152FE" w14:textId="718F65E7" w:rsidR="00F7731F" w:rsidRPr="00D06112" w:rsidRDefault="00B73A88" w:rsidP="00D06112">
      <w:pPr>
        <w:keepNext/>
        <w:tabs>
          <w:tab w:val="clear" w:pos="794"/>
          <w:tab w:val="clear" w:pos="1191"/>
          <w:tab w:val="clear" w:pos="1588"/>
          <w:tab w:val="clear" w:pos="1985"/>
        </w:tabs>
        <w:spacing w:after="120"/>
        <w:rPr>
          <w:b/>
          <w:bCs/>
          <w:lang w:eastAsia="zh-CN"/>
        </w:rPr>
      </w:pPr>
      <w:r w:rsidRPr="00D06112">
        <w:rPr>
          <w:b/>
          <w:bCs/>
          <w:lang w:eastAsia="zh-CN"/>
        </w:rPr>
        <w:t>Study Group 1</w:t>
      </w:r>
    </w:p>
    <w:p w14:paraId="4A0BF764" w14:textId="77777777" w:rsidR="00B73A88" w:rsidRPr="000C79A5" w:rsidRDefault="00B73A88" w:rsidP="00943E65">
      <w:pPr>
        <w:keepNext/>
        <w:tabs>
          <w:tab w:val="clear" w:pos="794"/>
          <w:tab w:val="clear" w:pos="1191"/>
          <w:tab w:val="clear" w:pos="1588"/>
          <w:tab w:val="clear" w:pos="1985"/>
        </w:tabs>
        <w:overflowPunct/>
        <w:spacing w:before="60" w:after="60"/>
        <w:ind w:left="1134" w:hanging="567"/>
        <w:textAlignment w:val="auto"/>
        <w:rPr>
          <w:rFonts w:cstheme="minorHAnsi"/>
          <w:color w:val="000000"/>
          <w:szCs w:val="24"/>
        </w:rPr>
      </w:pPr>
      <w:r w:rsidRPr="000C79A5">
        <w:rPr>
          <w:rFonts w:cstheme="minorHAnsi"/>
          <w:b/>
          <w:bCs/>
          <w:color w:val="000000"/>
          <w:szCs w:val="24"/>
        </w:rPr>
        <w:t>Chairman:</w:t>
      </w:r>
      <w:r w:rsidRPr="000C79A5">
        <w:rPr>
          <w:rFonts w:cstheme="minorHAnsi"/>
          <w:color w:val="000000"/>
          <w:szCs w:val="24"/>
        </w:rPr>
        <w:t xml:space="preserve"> </w:t>
      </w:r>
    </w:p>
    <w:p w14:paraId="25453E1D" w14:textId="4D477979" w:rsidR="00B73A88" w:rsidRPr="000C79A5" w:rsidRDefault="00B73A88"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rPr>
      </w:pPr>
      <w:r w:rsidRPr="000C79A5">
        <w:rPr>
          <w:rFonts w:cstheme="minorHAnsi"/>
          <w:color w:val="000000"/>
          <w:szCs w:val="24"/>
        </w:rPr>
        <w:t xml:space="preserve">Ms Regina Fleur </w:t>
      </w:r>
      <w:proofErr w:type="spellStart"/>
      <w:r w:rsidRPr="000C79A5">
        <w:rPr>
          <w:rFonts w:cstheme="minorHAnsi"/>
          <w:color w:val="000000"/>
          <w:szCs w:val="24"/>
        </w:rPr>
        <w:t>Assoumou</w:t>
      </w:r>
      <w:proofErr w:type="spellEnd"/>
      <w:r w:rsidRPr="000C79A5">
        <w:rPr>
          <w:rFonts w:cstheme="minorHAnsi"/>
          <w:color w:val="000000"/>
          <w:szCs w:val="24"/>
        </w:rPr>
        <w:t xml:space="preserve"> </w:t>
      </w:r>
      <w:proofErr w:type="spellStart"/>
      <w:r w:rsidRPr="000C79A5">
        <w:rPr>
          <w:rFonts w:cstheme="minorHAnsi"/>
          <w:color w:val="000000"/>
          <w:szCs w:val="24"/>
        </w:rPr>
        <w:t>Bessou</w:t>
      </w:r>
      <w:proofErr w:type="spellEnd"/>
      <w:r w:rsidRPr="000C79A5">
        <w:rPr>
          <w:rFonts w:cstheme="minorHAnsi"/>
          <w:color w:val="000000"/>
          <w:szCs w:val="24"/>
        </w:rPr>
        <w:t xml:space="preserve"> (Côte d'Ivoire)</w:t>
      </w:r>
    </w:p>
    <w:p w14:paraId="25DB225D" w14:textId="77777777" w:rsidR="00B73A88" w:rsidRDefault="00B73A88" w:rsidP="00943E65">
      <w:pPr>
        <w:pStyle w:val="Pa17"/>
        <w:keepNext/>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b/>
          <w:bCs/>
          <w:color w:val="000000"/>
        </w:rPr>
        <w:t>Vice-Chairmen:</w:t>
      </w:r>
      <w:r w:rsidRPr="00B73A88">
        <w:rPr>
          <w:rFonts w:asciiTheme="minorHAnsi" w:hAnsiTheme="minorHAnsi" w:cstheme="minorHAnsi"/>
          <w:color w:val="000000"/>
        </w:rPr>
        <w:t xml:space="preserve"> </w:t>
      </w:r>
    </w:p>
    <w:p w14:paraId="077E68DC" w14:textId="48BA159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Mr </w:t>
      </w:r>
      <w:proofErr w:type="spellStart"/>
      <w:r w:rsidRPr="00B73A88">
        <w:rPr>
          <w:rFonts w:asciiTheme="minorHAnsi" w:hAnsiTheme="minorHAnsi" w:cstheme="minorHAnsi"/>
          <w:color w:val="000000"/>
        </w:rPr>
        <w:t>Sangwon</w:t>
      </w:r>
      <w:proofErr w:type="spellEnd"/>
      <w:r w:rsidRPr="00B73A88">
        <w:rPr>
          <w:rFonts w:asciiTheme="minorHAnsi" w:hAnsiTheme="minorHAnsi" w:cstheme="minorHAnsi"/>
          <w:color w:val="000000"/>
        </w:rPr>
        <w:t xml:space="preserve"> Ko (Republic of Korea)</w:t>
      </w:r>
    </w:p>
    <w:p w14:paraId="17897A12"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Ms </w:t>
      </w:r>
      <w:proofErr w:type="spellStart"/>
      <w:r w:rsidRPr="00B73A88">
        <w:rPr>
          <w:rFonts w:asciiTheme="minorHAnsi" w:hAnsiTheme="minorHAnsi" w:cstheme="minorHAnsi"/>
          <w:color w:val="000000"/>
        </w:rPr>
        <w:t>Memiko</w:t>
      </w:r>
      <w:proofErr w:type="spellEnd"/>
      <w:r w:rsidRPr="00B73A88">
        <w:rPr>
          <w:rFonts w:asciiTheme="minorHAnsi" w:hAnsiTheme="minorHAnsi" w:cstheme="minorHAnsi"/>
          <w:color w:val="000000"/>
        </w:rPr>
        <w:t xml:space="preserve"> </w:t>
      </w:r>
      <w:proofErr w:type="spellStart"/>
      <w:r w:rsidRPr="00B73A88">
        <w:rPr>
          <w:rFonts w:asciiTheme="minorHAnsi" w:hAnsiTheme="minorHAnsi" w:cstheme="minorHAnsi"/>
          <w:color w:val="000000"/>
        </w:rPr>
        <w:t>Otsuki</w:t>
      </w:r>
      <w:proofErr w:type="spellEnd"/>
      <w:r w:rsidRPr="00B73A88">
        <w:rPr>
          <w:rFonts w:asciiTheme="minorHAnsi" w:hAnsiTheme="minorHAnsi" w:cstheme="minorHAnsi"/>
          <w:color w:val="000000"/>
        </w:rPr>
        <w:t xml:space="preserve"> (Japan) </w:t>
      </w:r>
    </w:p>
    <w:p w14:paraId="101CCD37"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Mr Sunil Singhal (India) </w:t>
      </w:r>
    </w:p>
    <w:p w14:paraId="3BF9628D"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Ms Caecilia Nyamutswa (Zimbabwe) </w:t>
      </w:r>
    </w:p>
    <w:p w14:paraId="694699D1"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Mr Amah Vinyo Capo (Togo) </w:t>
      </w:r>
    </w:p>
    <w:p w14:paraId="5487E04F"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Mr Roberto Mitsuake Hirayama (Brazil)</w:t>
      </w:r>
    </w:p>
    <w:p w14:paraId="7BB51A6D"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Mr Mehmet </w:t>
      </w:r>
      <w:proofErr w:type="spellStart"/>
      <w:r w:rsidRPr="00B73A88">
        <w:rPr>
          <w:rFonts w:asciiTheme="minorHAnsi" w:hAnsiTheme="minorHAnsi" w:cstheme="minorHAnsi"/>
          <w:color w:val="000000"/>
        </w:rPr>
        <w:t>Alper</w:t>
      </w:r>
      <w:proofErr w:type="spellEnd"/>
      <w:r w:rsidRPr="00B73A88">
        <w:rPr>
          <w:rFonts w:asciiTheme="minorHAnsi" w:hAnsiTheme="minorHAnsi" w:cstheme="minorHAnsi"/>
          <w:color w:val="000000"/>
        </w:rPr>
        <w:t xml:space="preserve"> </w:t>
      </w:r>
      <w:proofErr w:type="spellStart"/>
      <w:r w:rsidRPr="00B73A88">
        <w:rPr>
          <w:rFonts w:asciiTheme="minorHAnsi" w:hAnsiTheme="minorHAnsi" w:cstheme="minorHAnsi"/>
          <w:color w:val="000000"/>
        </w:rPr>
        <w:t>Tekin</w:t>
      </w:r>
      <w:proofErr w:type="spellEnd"/>
      <w:r w:rsidRPr="00B73A88">
        <w:rPr>
          <w:rFonts w:asciiTheme="minorHAnsi" w:hAnsiTheme="minorHAnsi" w:cstheme="minorHAnsi"/>
          <w:color w:val="000000"/>
        </w:rPr>
        <w:t xml:space="preserve"> (</w:t>
      </w:r>
      <w:proofErr w:type="spellStart"/>
      <w:r w:rsidRPr="00B73A88">
        <w:rPr>
          <w:rFonts w:asciiTheme="minorHAnsi" w:hAnsiTheme="minorHAnsi" w:cstheme="minorHAnsi"/>
          <w:color w:val="000000"/>
        </w:rPr>
        <w:t>Türkiye</w:t>
      </w:r>
      <w:proofErr w:type="spellEnd"/>
      <w:r w:rsidRPr="00B73A88">
        <w:rPr>
          <w:rFonts w:asciiTheme="minorHAnsi" w:hAnsiTheme="minorHAnsi" w:cstheme="minorHAnsi"/>
          <w:color w:val="000000"/>
        </w:rPr>
        <w:t xml:space="preserve">) </w:t>
      </w:r>
    </w:p>
    <w:p w14:paraId="6DC3BEBB"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Mr Anthony </w:t>
      </w:r>
      <w:proofErr w:type="spellStart"/>
      <w:r w:rsidRPr="00B73A88">
        <w:rPr>
          <w:rFonts w:asciiTheme="minorHAnsi" w:hAnsiTheme="minorHAnsi" w:cstheme="minorHAnsi"/>
          <w:color w:val="000000"/>
        </w:rPr>
        <w:t>Giannoumis</w:t>
      </w:r>
      <w:proofErr w:type="spellEnd"/>
      <w:r w:rsidRPr="00B73A88">
        <w:rPr>
          <w:rFonts w:asciiTheme="minorHAnsi" w:hAnsiTheme="minorHAnsi" w:cstheme="minorHAnsi"/>
          <w:color w:val="000000"/>
        </w:rPr>
        <w:t xml:space="preserve"> (Norway) </w:t>
      </w:r>
    </w:p>
    <w:p w14:paraId="097904F2"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lastRenderedPageBreak/>
        <w:t xml:space="preserve">Ms Umida </w:t>
      </w:r>
      <w:proofErr w:type="spellStart"/>
      <w:r w:rsidRPr="00B73A88">
        <w:rPr>
          <w:rFonts w:asciiTheme="minorHAnsi" w:hAnsiTheme="minorHAnsi" w:cstheme="minorHAnsi"/>
          <w:color w:val="000000"/>
        </w:rPr>
        <w:t>Musaeva</w:t>
      </w:r>
      <w:proofErr w:type="spellEnd"/>
      <w:r w:rsidRPr="00B73A88">
        <w:rPr>
          <w:rFonts w:asciiTheme="minorHAnsi" w:hAnsiTheme="minorHAnsi" w:cstheme="minorHAnsi"/>
          <w:color w:val="000000"/>
        </w:rPr>
        <w:t xml:space="preserve"> (Uzbekistan) </w:t>
      </w:r>
    </w:p>
    <w:p w14:paraId="02BF78E2"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Mr </w:t>
      </w:r>
      <w:proofErr w:type="spellStart"/>
      <w:r w:rsidRPr="00B73A88">
        <w:rPr>
          <w:rFonts w:asciiTheme="minorHAnsi" w:hAnsiTheme="minorHAnsi" w:cstheme="minorHAnsi"/>
          <w:color w:val="000000"/>
        </w:rPr>
        <w:t>Khayala</w:t>
      </w:r>
      <w:proofErr w:type="spellEnd"/>
      <w:r w:rsidRPr="00B73A88">
        <w:rPr>
          <w:rFonts w:asciiTheme="minorHAnsi" w:hAnsiTheme="minorHAnsi" w:cstheme="minorHAnsi"/>
          <w:color w:val="000000"/>
        </w:rPr>
        <w:t xml:space="preserve"> </w:t>
      </w:r>
      <w:proofErr w:type="spellStart"/>
      <w:r w:rsidRPr="00B73A88">
        <w:rPr>
          <w:rFonts w:asciiTheme="minorHAnsi" w:hAnsiTheme="minorHAnsi" w:cstheme="minorHAnsi"/>
          <w:color w:val="000000"/>
        </w:rPr>
        <w:t>Pashazade</w:t>
      </w:r>
      <w:proofErr w:type="spellEnd"/>
      <w:r w:rsidRPr="00B73A88">
        <w:rPr>
          <w:rFonts w:asciiTheme="minorHAnsi" w:hAnsiTheme="minorHAnsi" w:cstheme="minorHAnsi"/>
          <w:color w:val="000000"/>
        </w:rPr>
        <w:t xml:space="preserve"> (Azerbaijan) </w:t>
      </w:r>
    </w:p>
    <w:p w14:paraId="25A4F903" w14:textId="068D15BA" w:rsidR="00B73A88" w:rsidRPr="000C79A5" w:rsidRDefault="00B73A88" w:rsidP="00943E65">
      <w:pPr>
        <w:tabs>
          <w:tab w:val="clear" w:pos="794"/>
          <w:tab w:val="clear" w:pos="1191"/>
          <w:tab w:val="clear" w:pos="1588"/>
          <w:tab w:val="clear" w:pos="1985"/>
        </w:tabs>
        <w:overflowPunct/>
        <w:spacing w:before="60" w:after="60"/>
        <w:ind w:left="1134" w:hanging="567"/>
        <w:textAlignment w:val="auto"/>
        <w:rPr>
          <w:rFonts w:cstheme="minorHAnsi"/>
          <w:szCs w:val="24"/>
          <w:lang w:eastAsia="zh-CN"/>
        </w:rPr>
      </w:pPr>
      <w:r w:rsidRPr="00B73A88">
        <w:rPr>
          <w:rFonts w:cstheme="minorHAnsi"/>
          <w:color w:val="000000"/>
          <w:szCs w:val="24"/>
        </w:rPr>
        <w:t xml:space="preserve">Ms Sameera </w:t>
      </w:r>
      <w:proofErr w:type="spellStart"/>
      <w:r w:rsidRPr="00B73A88">
        <w:rPr>
          <w:rFonts w:cstheme="minorHAnsi"/>
          <w:color w:val="000000"/>
          <w:szCs w:val="24"/>
        </w:rPr>
        <w:t>Belal</w:t>
      </w:r>
      <w:proofErr w:type="spellEnd"/>
      <w:r w:rsidRPr="00B73A88">
        <w:rPr>
          <w:rFonts w:cstheme="minorHAnsi"/>
          <w:color w:val="000000"/>
          <w:szCs w:val="24"/>
        </w:rPr>
        <w:t xml:space="preserve"> </w:t>
      </w:r>
      <w:proofErr w:type="spellStart"/>
      <w:r w:rsidRPr="00B73A88">
        <w:rPr>
          <w:rFonts w:cstheme="minorHAnsi"/>
          <w:color w:val="000000"/>
          <w:szCs w:val="24"/>
        </w:rPr>
        <w:t>Momen</w:t>
      </w:r>
      <w:proofErr w:type="spellEnd"/>
      <w:r w:rsidRPr="00B73A88">
        <w:rPr>
          <w:rFonts w:cstheme="minorHAnsi"/>
          <w:color w:val="000000"/>
          <w:szCs w:val="24"/>
        </w:rPr>
        <w:t xml:space="preserve"> Mohammad (Kuwait)</w:t>
      </w:r>
    </w:p>
    <w:p w14:paraId="493E37B6" w14:textId="15D75C01" w:rsidR="00BD4430" w:rsidRPr="00D06112" w:rsidRDefault="00B73A88" w:rsidP="00D06112">
      <w:pPr>
        <w:keepNext/>
        <w:spacing w:after="60"/>
        <w:rPr>
          <w:rFonts w:cstheme="minorHAnsi"/>
          <w:szCs w:val="24"/>
          <w:lang w:eastAsia="zh-CN"/>
        </w:rPr>
      </w:pPr>
      <w:r w:rsidRPr="00D06112">
        <w:rPr>
          <w:rFonts w:cstheme="minorHAnsi"/>
          <w:b/>
          <w:bCs/>
          <w:color w:val="000000"/>
          <w:szCs w:val="24"/>
        </w:rPr>
        <w:t>Study Group 2</w:t>
      </w:r>
    </w:p>
    <w:p w14:paraId="56639F6C" w14:textId="77777777" w:rsidR="00B73A88" w:rsidRDefault="00B73A88" w:rsidP="00943E65">
      <w:pPr>
        <w:keepNext/>
        <w:tabs>
          <w:tab w:val="clear" w:pos="794"/>
          <w:tab w:val="clear" w:pos="1191"/>
          <w:tab w:val="clear" w:pos="1588"/>
          <w:tab w:val="clear" w:pos="1985"/>
        </w:tabs>
        <w:overflowPunct/>
        <w:spacing w:before="60" w:after="60"/>
        <w:ind w:left="1134" w:hanging="567"/>
        <w:textAlignment w:val="auto"/>
        <w:rPr>
          <w:rFonts w:cstheme="minorHAnsi"/>
          <w:color w:val="000000"/>
          <w:szCs w:val="24"/>
        </w:rPr>
      </w:pPr>
      <w:r w:rsidRPr="00B73A88">
        <w:rPr>
          <w:rFonts w:cstheme="minorHAnsi"/>
          <w:b/>
          <w:bCs/>
          <w:color w:val="000000"/>
          <w:szCs w:val="24"/>
        </w:rPr>
        <w:t>Chairman:</w:t>
      </w:r>
      <w:r w:rsidRPr="00B73A88">
        <w:rPr>
          <w:rFonts w:cstheme="minorHAnsi"/>
          <w:color w:val="000000"/>
          <w:szCs w:val="24"/>
        </w:rPr>
        <w:t xml:space="preserve"> </w:t>
      </w:r>
    </w:p>
    <w:p w14:paraId="0D4AADB0" w14:textId="481E8866" w:rsidR="000F37C4" w:rsidRPr="00B73A88" w:rsidRDefault="00B73A88" w:rsidP="00943E65">
      <w:pPr>
        <w:tabs>
          <w:tab w:val="clear" w:pos="794"/>
          <w:tab w:val="clear" w:pos="1191"/>
          <w:tab w:val="clear" w:pos="1588"/>
          <w:tab w:val="clear" w:pos="1985"/>
        </w:tabs>
        <w:overflowPunct/>
        <w:spacing w:before="60" w:after="60"/>
        <w:ind w:left="1134" w:hanging="567"/>
        <w:textAlignment w:val="auto"/>
        <w:rPr>
          <w:rFonts w:cstheme="minorHAnsi"/>
          <w:color w:val="000000"/>
          <w:szCs w:val="24"/>
        </w:rPr>
      </w:pPr>
      <w:r w:rsidRPr="00B73A88">
        <w:rPr>
          <w:rFonts w:cstheme="minorHAnsi"/>
          <w:color w:val="000000"/>
          <w:szCs w:val="24"/>
        </w:rPr>
        <w:t>Mr Fadel Digham (Egypt)</w:t>
      </w:r>
    </w:p>
    <w:p w14:paraId="5C873A94" w14:textId="77777777" w:rsidR="00B73A88" w:rsidRDefault="00B73A88" w:rsidP="00943E65">
      <w:pPr>
        <w:pStyle w:val="Pa17"/>
        <w:keepNext/>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b/>
          <w:bCs/>
          <w:color w:val="000000"/>
        </w:rPr>
        <w:t>Vice-Chairmen:</w:t>
      </w:r>
      <w:r w:rsidRPr="00B73A88">
        <w:rPr>
          <w:rFonts w:asciiTheme="minorHAnsi" w:hAnsiTheme="minorHAnsi" w:cstheme="minorHAnsi"/>
          <w:color w:val="000000"/>
        </w:rPr>
        <w:t xml:space="preserve"> </w:t>
      </w:r>
    </w:p>
    <w:p w14:paraId="49F5B55B" w14:textId="0D3244D4"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Mr Hideo </w:t>
      </w:r>
      <w:proofErr w:type="spellStart"/>
      <w:r w:rsidRPr="00B73A88">
        <w:rPr>
          <w:rFonts w:asciiTheme="minorHAnsi" w:hAnsiTheme="minorHAnsi" w:cstheme="minorHAnsi"/>
          <w:color w:val="000000"/>
        </w:rPr>
        <w:t>Imanaka</w:t>
      </w:r>
      <w:proofErr w:type="spellEnd"/>
      <w:r w:rsidRPr="00B73A88">
        <w:rPr>
          <w:rFonts w:asciiTheme="minorHAnsi" w:hAnsiTheme="minorHAnsi" w:cstheme="minorHAnsi"/>
          <w:color w:val="000000"/>
        </w:rPr>
        <w:t xml:space="preserve"> (Japan)</w:t>
      </w:r>
    </w:p>
    <w:p w14:paraId="723B4011"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Ms Mina </w:t>
      </w:r>
      <w:proofErr w:type="spellStart"/>
      <w:r w:rsidRPr="00B73A88">
        <w:rPr>
          <w:rFonts w:asciiTheme="minorHAnsi" w:hAnsiTheme="minorHAnsi" w:cstheme="minorHAnsi"/>
          <w:color w:val="000000"/>
        </w:rPr>
        <w:t>Seonmin</w:t>
      </w:r>
      <w:proofErr w:type="spellEnd"/>
      <w:r w:rsidRPr="00B73A88">
        <w:rPr>
          <w:rFonts w:asciiTheme="minorHAnsi" w:hAnsiTheme="minorHAnsi" w:cstheme="minorHAnsi"/>
          <w:color w:val="000000"/>
        </w:rPr>
        <w:t xml:space="preserve"> Jun (Republic of Korea) </w:t>
      </w:r>
    </w:p>
    <w:p w14:paraId="6615CE79"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Mr </w:t>
      </w:r>
      <w:proofErr w:type="spellStart"/>
      <w:r w:rsidRPr="00B73A88">
        <w:rPr>
          <w:rFonts w:asciiTheme="minorHAnsi" w:hAnsiTheme="minorHAnsi" w:cstheme="minorHAnsi"/>
          <w:color w:val="000000"/>
        </w:rPr>
        <w:t>Tongning</w:t>
      </w:r>
      <w:proofErr w:type="spellEnd"/>
      <w:r w:rsidRPr="00B73A88">
        <w:rPr>
          <w:rFonts w:asciiTheme="minorHAnsi" w:hAnsiTheme="minorHAnsi" w:cstheme="minorHAnsi"/>
          <w:color w:val="000000"/>
        </w:rPr>
        <w:t xml:space="preserve"> Wu (China) </w:t>
      </w:r>
    </w:p>
    <w:p w14:paraId="6D9EF35D" w14:textId="77777777" w:rsidR="00B73A88" w:rsidRPr="000C79A5" w:rsidRDefault="00B73A88" w:rsidP="00943E65">
      <w:pPr>
        <w:pStyle w:val="Pa17"/>
        <w:spacing w:before="60" w:after="60" w:line="240" w:lineRule="auto"/>
        <w:ind w:left="1134" w:hanging="567"/>
        <w:rPr>
          <w:rFonts w:asciiTheme="minorHAnsi" w:hAnsiTheme="minorHAnsi" w:cstheme="minorHAnsi"/>
          <w:color w:val="000000"/>
          <w:lang w:val="es-ES"/>
        </w:rPr>
      </w:pPr>
      <w:r w:rsidRPr="000C79A5">
        <w:rPr>
          <w:rFonts w:asciiTheme="minorHAnsi" w:hAnsiTheme="minorHAnsi" w:cstheme="minorHAnsi"/>
          <w:color w:val="000000"/>
          <w:lang w:val="es-ES"/>
        </w:rPr>
        <w:t xml:space="preserve">Ms </w:t>
      </w:r>
      <w:proofErr w:type="spellStart"/>
      <w:r w:rsidRPr="000C79A5">
        <w:rPr>
          <w:rFonts w:asciiTheme="minorHAnsi" w:hAnsiTheme="minorHAnsi" w:cstheme="minorHAnsi"/>
          <w:color w:val="000000"/>
          <w:lang w:val="es-ES"/>
        </w:rPr>
        <w:t>Zainab</w:t>
      </w:r>
      <w:proofErr w:type="spellEnd"/>
      <w:r w:rsidRPr="000C79A5">
        <w:rPr>
          <w:rFonts w:asciiTheme="minorHAnsi" w:hAnsiTheme="minorHAnsi" w:cstheme="minorHAnsi"/>
          <w:color w:val="000000"/>
          <w:lang w:val="es-ES"/>
        </w:rPr>
        <w:t xml:space="preserve"> Ardo (Nigeria) </w:t>
      </w:r>
    </w:p>
    <w:p w14:paraId="05EB16D9" w14:textId="77777777" w:rsidR="00B73A88" w:rsidRPr="000C79A5" w:rsidRDefault="00B73A88" w:rsidP="00943E65">
      <w:pPr>
        <w:pStyle w:val="Pa17"/>
        <w:spacing w:before="60" w:after="60" w:line="240" w:lineRule="auto"/>
        <w:ind w:left="1134" w:hanging="567"/>
        <w:rPr>
          <w:rFonts w:asciiTheme="minorHAnsi" w:hAnsiTheme="minorHAnsi" w:cstheme="minorHAnsi"/>
          <w:color w:val="000000"/>
          <w:lang w:val="es-ES"/>
        </w:rPr>
      </w:pPr>
      <w:proofErr w:type="spellStart"/>
      <w:r w:rsidRPr="000C79A5">
        <w:rPr>
          <w:rFonts w:asciiTheme="minorHAnsi" w:hAnsiTheme="minorHAnsi" w:cstheme="minorHAnsi"/>
          <w:color w:val="000000"/>
          <w:lang w:val="es-ES"/>
        </w:rPr>
        <w:t>Mr</w:t>
      </w:r>
      <w:proofErr w:type="spellEnd"/>
      <w:r w:rsidRPr="000C79A5">
        <w:rPr>
          <w:rFonts w:asciiTheme="minorHAnsi" w:hAnsiTheme="minorHAnsi" w:cstheme="minorHAnsi"/>
          <w:color w:val="000000"/>
          <w:lang w:val="es-ES"/>
        </w:rPr>
        <w:t xml:space="preserve"> Mohamed Lamine </w:t>
      </w:r>
      <w:proofErr w:type="spellStart"/>
      <w:r w:rsidRPr="000C79A5">
        <w:rPr>
          <w:rFonts w:asciiTheme="minorHAnsi" w:hAnsiTheme="minorHAnsi" w:cstheme="minorHAnsi"/>
          <w:color w:val="000000"/>
          <w:lang w:val="es-ES"/>
        </w:rPr>
        <w:t>Minthe</w:t>
      </w:r>
      <w:proofErr w:type="spellEnd"/>
      <w:r w:rsidRPr="000C79A5">
        <w:rPr>
          <w:rFonts w:asciiTheme="minorHAnsi" w:hAnsiTheme="minorHAnsi" w:cstheme="minorHAnsi"/>
          <w:color w:val="000000"/>
          <w:lang w:val="es-ES"/>
        </w:rPr>
        <w:t xml:space="preserve"> (Guinea) </w:t>
      </w:r>
    </w:p>
    <w:p w14:paraId="26D83137" w14:textId="77777777" w:rsidR="00B73A88" w:rsidRPr="000C79A5" w:rsidRDefault="00B73A88" w:rsidP="00943E65">
      <w:pPr>
        <w:pStyle w:val="Pa17"/>
        <w:spacing w:before="60" w:after="60" w:line="240" w:lineRule="auto"/>
        <w:ind w:left="1134" w:hanging="567"/>
        <w:rPr>
          <w:rFonts w:asciiTheme="minorHAnsi" w:hAnsiTheme="minorHAnsi" w:cstheme="minorHAnsi"/>
          <w:color w:val="000000"/>
          <w:lang w:val="es-ES"/>
        </w:rPr>
      </w:pPr>
      <w:proofErr w:type="spellStart"/>
      <w:r w:rsidRPr="000C79A5">
        <w:rPr>
          <w:rFonts w:asciiTheme="minorHAnsi" w:hAnsiTheme="minorHAnsi" w:cstheme="minorHAnsi"/>
          <w:color w:val="000000"/>
          <w:lang w:val="es-ES"/>
        </w:rPr>
        <w:t>Mr</w:t>
      </w:r>
      <w:proofErr w:type="spellEnd"/>
      <w:r w:rsidRPr="000C79A5">
        <w:rPr>
          <w:rFonts w:asciiTheme="minorHAnsi" w:hAnsiTheme="minorHAnsi" w:cstheme="minorHAnsi"/>
          <w:color w:val="000000"/>
          <w:lang w:val="es-ES"/>
        </w:rPr>
        <w:t xml:space="preserve"> Víctor Antonio Martínez Sánchez (Paraguay) </w:t>
      </w:r>
    </w:p>
    <w:p w14:paraId="4EE4CF2A"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Mr Dominique </w:t>
      </w:r>
      <w:proofErr w:type="spellStart"/>
      <w:r w:rsidRPr="00B73A88">
        <w:rPr>
          <w:rFonts w:asciiTheme="minorHAnsi" w:hAnsiTheme="minorHAnsi" w:cstheme="minorHAnsi"/>
          <w:color w:val="000000"/>
        </w:rPr>
        <w:t>Würges</w:t>
      </w:r>
      <w:proofErr w:type="spellEnd"/>
      <w:r w:rsidRPr="00B73A88">
        <w:rPr>
          <w:rFonts w:asciiTheme="minorHAnsi" w:hAnsiTheme="minorHAnsi" w:cstheme="minorHAnsi"/>
          <w:color w:val="000000"/>
        </w:rPr>
        <w:t xml:space="preserve"> (France) </w:t>
      </w:r>
    </w:p>
    <w:p w14:paraId="3AEC6356"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Ms Alina </w:t>
      </w:r>
      <w:proofErr w:type="spellStart"/>
      <w:r w:rsidRPr="00B73A88">
        <w:rPr>
          <w:rFonts w:asciiTheme="minorHAnsi" w:hAnsiTheme="minorHAnsi" w:cstheme="minorHAnsi"/>
          <w:color w:val="000000"/>
        </w:rPr>
        <w:t>Modan</w:t>
      </w:r>
      <w:proofErr w:type="spellEnd"/>
      <w:r w:rsidRPr="00B73A88">
        <w:rPr>
          <w:rFonts w:asciiTheme="minorHAnsi" w:hAnsiTheme="minorHAnsi" w:cstheme="minorHAnsi"/>
          <w:color w:val="000000"/>
        </w:rPr>
        <w:t xml:space="preserve"> (Romania) </w:t>
      </w:r>
    </w:p>
    <w:p w14:paraId="19ABB55C"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Mr </w:t>
      </w:r>
      <w:proofErr w:type="spellStart"/>
      <w:r w:rsidRPr="00B73A88">
        <w:rPr>
          <w:rFonts w:asciiTheme="minorHAnsi" w:hAnsiTheme="minorHAnsi" w:cstheme="minorHAnsi"/>
          <w:color w:val="000000"/>
        </w:rPr>
        <w:t>Diyor</w:t>
      </w:r>
      <w:proofErr w:type="spellEnd"/>
      <w:r w:rsidRPr="00B73A88">
        <w:rPr>
          <w:rFonts w:asciiTheme="minorHAnsi" w:hAnsiTheme="minorHAnsi" w:cstheme="minorHAnsi"/>
          <w:color w:val="000000"/>
        </w:rPr>
        <w:t xml:space="preserve"> </w:t>
      </w:r>
      <w:proofErr w:type="spellStart"/>
      <w:r w:rsidRPr="00B73A88">
        <w:rPr>
          <w:rFonts w:asciiTheme="minorHAnsi" w:hAnsiTheme="minorHAnsi" w:cstheme="minorHAnsi"/>
          <w:color w:val="000000"/>
        </w:rPr>
        <w:t>Rajabov</w:t>
      </w:r>
      <w:proofErr w:type="spellEnd"/>
      <w:r w:rsidRPr="00B73A88">
        <w:rPr>
          <w:rFonts w:asciiTheme="minorHAnsi" w:hAnsiTheme="minorHAnsi" w:cstheme="minorHAnsi"/>
          <w:color w:val="000000"/>
        </w:rPr>
        <w:t xml:space="preserve"> (Uzbekistan) </w:t>
      </w:r>
    </w:p>
    <w:p w14:paraId="6B59391A" w14:textId="77777777" w:rsidR="00B73A88" w:rsidRPr="00B73A88" w:rsidRDefault="00B73A88" w:rsidP="00943E65">
      <w:pPr>
        <w:pStyle w:val="Pa17"/>
        <w:spacing w:before="60" w:after="60" w:line="240" w:lineRule="auto"/>
        <w:ind w:left="1134" w:hanging="567"/>
        <w:rPr>
          <w:rFonts w:asciiTheme="minorHAnsi" w:hAnsiTheme="minorHAnsi" w:cstheme="minorHAnsi"/>
          <w:color w:val="000000"/>
        </w:rPr>
      </w:pPr>
      <w:r w:rsidRPr="00B73A88">
        <w:rPr>
          <w:rFonts w:asciiTheme="minorHAnsi" w:hAnsiTheme="minorHAnsi" w:cstheme="minorHAnsi"/>
          <w:color w:val="000000"/>
        </w:rPr>
        <w:t xml:space="preserve">Mr </w:t>
      </w:r>
      <w:proofErr w:type="spellStart"/>
      <w:r w:rsidRPr="00B73A88">
        <w:rPr>
          <w:rFonts w:asciiTheme="minorHAnsi" w:hAnsiTheme="minorHAnsi" w:cstheme="minorHAnsi"/>
          <w:color w:val="000000"/>
        </w:rPr>
        <w:t>Mushfig</w:t>
      </w:r>
      <w:proofErr w:type="spellEnd"/>
      <w:r w:rsidRPr="00B73A88">
        <w:rPr>
          <w:rFonts w:asciiTheme="minorHAnsi" w:hAnsiTheme="minorHAnsi" w:cstheme="minorHAnsi"/>
          <w:color w:val="000000"/>
        </w:rPr>
        <w:t xml:space="preserve"> </w:t>
      </w:r>
      <w:proofErr w:type="spellStart"/>
      <w:r w:rsidRPr="00B73A88">
        <w:rPr>
          <w:rFonts w:asciiTheme="minorHAnsi" w:hAnsiTheme="minorHAnsi" w:cstheme="minorHAnsi"/>
          <w:color w:val="000000"/>
        </w:rPr>
        <w:t>Guluyev</w:t>
      </w:r>
      <w:proofErr w:type="spellEnd"/>
      <w:r w:rsidRPr="00B73A88">
        <w:rPr>
          <w:rFonts w:asciiTheme="minorHAnsi" w:hAnsiTheme="minorHAnsi" w:cstheme="minorHAnsi"/>
          <w:color w:val="000000"/>
        </w:rPr>
        <w:t xml:space="preserve"> (Azerbaijan) </w:t>
      </w:r>
    </w:p>
    <w:p w14:paraId="20738421" w14:textId="58F07A81" w:rsidR="00B73A88" w:rsidRPr="00B73A88" w:rsidRDefault="00B73A88" w:rsidP="00943E65">
      <w:pPr>
        <w:tabs>
          <w:tab w:val="clear" w:pos="794"/>
          <w:tab w:val="clear" w:pos="1191"/>
          <w:tab w:val="clear" w:pos="1588"/>
          <w:tab w:val="clear" w:pos="1985"/>
        </w:tabs>
        <w:overflowPunct/>
        <w:spacing w:before="60" w:after="60"/>
        <w:ind w:left="1134" w:hanging="567"/>
        <w:textAlignment w:val="auto"/>
        <w:rPr>
          <w:rFonts w:eastAsia="Calibri" w:cstheme="minorHAnsi"/>
          <w:szCs w:val="24"/>
        </w:rPr>
      </w:pPr>
      <w:r w:rsidRPr="00B73A88">
        <w:rPr>
          <w:rFonts w:cstheme="minorHAnsi"/>
          <w:color w:val="000000"/>
          <w:szCs w:val="24"/>
        </w:rPr>
        <w:t>Mr Abdelaziz Alzarooni (United Arab Emirates)</w:t>
      </w:r>
    </w:p>
    <w:p w14:paraId="2B71F81A" w14:textId="50E4C4F8" w:rsidR="009F73B4" w:rsidRDefault="00F116C8" w:rsidP="00943E65">
      <w:pPr>
        <w:tabs>
          <w:tab w:val="clear" w:pos="794"/>
          <w:tab w:val="clear" w:pos="1191"/>
          <w:tab w:val="clear" w:pos="1588"/>
          <w:tab w:val="clear" w:pos="1985"/>
        </w:tabs>
        <w:spacing w:after="120"/>
        <w:ind w:left="567" w:hanging="567"/>
        <w:rPr>
          <w:rFonts w:eastAsia="Calibri" w:cs="Calibri"/>
          <w:szCs w:val="24"/>
        </w:rPr>
      </w:pPr>
      <w:r>
        <w:rPr>
          <w:rFonts w:eastAsia="Calibri" w:cs="Calibri"/>
          <w:szCs w:val="24"/>
        </w:rPr>
        <w:t xml:space="preserve">All the above outputs are available in the </w:t>
      </w:r>
      <w:hyperlink r:id="rId16" w:history="1">
        <w:r w:rsidR="006D2432" w:rsidRPr="00363FFD">
          <w:rPr>
            <w:rStyle w:val="Hyperlink"/>
            <w:rFonts w:eastAsia="Calibri" w:cs="Calibri"/>
            <w:szCs w:val="24"/>
          </w:rPr>
          <w:t>WTDC-22 Final Report</w:t>
        </w:r>
      </w:hyperlink>
      <w:r w:rsidR="006D2432">
        <w:rPr>
          <w:rFonts w:eastAsia="Calibri" w:cs="Calibri"/>
          <w:szCs w:val="24"/>
        </w:rPr>
        <w:t>.</w:t>
      </w:r>
    </w:p>
    <w:p w14:paraId="1547ED5E" w14:textId="6805DE24" w:rsidR="00840656" w:rsidRPr="00227555" w:rsidRDefault="00840656" w:rsidP="000C79A5">
      <w:pPr>
        <w:tabs>
          <w:tab w:val="clear" w:pos="794"/>
          <w:tab w:val="clear" w:pos="1191"/>
          <w:tab w:val="clear" w:pos="1588"/>
          <w:tab w:val="clear" w:pos="1985"/>
        </w:tabs>
        <w:ind w:left="567" w:hanging="567"/>
        <w:jc w:val="center"/>
        <w:rPr>
          <w:rFonts w:eastAsia="Calibri" w:cs="Calibri"/>
          <w:szCs w:val="24"/>
        </w:rPr>
      </w:pPr>
      <w:r>
        <w:rPr>
          <w:rFonts w:eastAsia="Calibri" w:cs="Calibri"/>
          <w:szCs w:val="24"/>
        </w:rPr>
        <w:t>_____________</w:t>
      </w:r>
    </w:p>
    <w:sectPr w:rsidR="00840656" w:rsidRPr="00227555" w:rsidSect="00473791">
      <w:head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59DE9" w14:textId="77777777" w:rsidR="00F96BF0" w:rsidRDefault="00F96BF0">
      <w:r>
        <w:separator/>
      </w:r>
    </w:p>
  </w:endnote>
  <w:endnote w:type="continuationSeparator" w:id="0">
    <w:p w14:paraId="1DB1497A" w14:textId="77777777" w:rsidR="00F96BF0" w:rsidRDefault="00F9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02057A" w:rsidRPr="004D495C" w14:paraId="14FDC80C" w14:textId="77777777" w:rsidTr="00EF7574">
      <w:tc>
        <w:tcPr>
          <w:tcW w:w="1432" w:type="dxa"/>
          <w:tcBorders>
            <w:top w:val="single" w:sz="4" w:space="0" w:color="000000"/>
          </w:tcBorders>
          <w:shd w:val="clear" w:color="auto" w:fill="auto"/>
        </w:tcPr>
        <w:p w14:paraId="6F046D65" w14:textId="77777777" w:rsidR="0002057A" w:rsidRPr="004D495C" w:rsidRDefault="0002057A" w:rsidP="0002057A">
          <w:pPr>
            <w:pStyle w:val="FirstFooter"/>
            <w:tabs>
              <w:tab w:val="left" w:pos="1559"/>
              <w:tab w:val="left" w:pos="3828"/>
            </w:tabs>
            <w:spacing w:before="0"/>
            <w:rPr>
              <w:sz w:val="18"/>
              <w:szCs w:val="18"/>
            </w:rPr>
          </w:pPr>
          <w:proofErr w:type="gramStart"/>
          <w:r w:rsidRPr="004D495C">
            <w:rPr>
              <w:sz w:val="18"/>
              <w:szCs w:val="18"/>
            </w:rPr>
            <w:t>Contact:</w:t>
          </w:r>
          <w:proofErr w:type="gramEnd"/>
        </w:p>
      </w:tc>
      <w:tc>
        <w:tcPr>
          <w:tcW w:w="2250" w:type="dxa"/>
          <w:tcBorders>
            <w:top w:val="single" w:sz="4" w:space="0" w:color="000000"/>
          </w:tcBorders>
          <w:shd w:val="clear" w:color="auto" w:fill="auto"/>
        </w:tcPr>
        <w:p w14:paraId="17E5B980" w14:textId="77777777" w:rsidR="0002057A" w:rsidRPr="004D495C" w:rsidRDefault="0002057A" w:rsidP="0002057A">
          <w:pPr>
            <w:pStyle w:val="FirstFooter"/>
            <w:tabs>
              <w:tab w:val="left" w:pos="2302"/>
            </w:tabs>
            <w:spacing w:before="0"/>
            <w:ind w:left="2302" w:hanging="2302"/>
            <w:rPr>
              <w:sz w:val="18"/>
              <w:szCs w:val="18"/>
            </w:rPr>
          </w:pPr>
          <w:r w:rsidRPr="004D495C">
            <w:rPr>
              <w:sz w:val="18"/>
              <w:szCs w:val="18"/>
            </w:rPr>
            <w:t>Name/</w:t>
          </w:r>
          <w:proofErr w:type="spellStart"/>
          <w:r w:rsidRPr="004D495C">
            <w:rPr>
              <w:sz w:val="18"/>
              <w:szCs w:val="18"/>
            </w:rPr>
            <w:t>Organization</w:t>
          </w:r>
          <w:proofErr w:type="spellEnd"/>
          <w:r w:rsidRPr="004D495C">
            <w:rPr>
              <w:sz w:val="18"/>
              <w:szCs w:val="18"/>
            </w:rPr>
            <w:t>/</w:t>
          </w:r>
          <w:proofErr w:type="spellStart"/>
          <w:proofErr w:type="gramStart"/>
          <w:r w:rsidRPr="004D495C">
            <w:rPr>
              <w:sz w:val="18"/>
              <w:szCs w:val="18"/>
            </w:rPr>
            <w:t>Entity</w:t>
          </w:r>
          <w:proofErr w:type="spellEnd"/>
          <w:r w:rsidRPr="004D495C">
            <w:rPr>
              <w:sz w:val="18"/>
              <w:szCs w:val="18"/>
            </w:rPr>
            <w:t>:</w:t>
          </w:r>
          <w:proofErr w:type="gramEnd"/>
        </w:p>
      </w:tc>
      <w:tc>
        <w:tcPr>
          <w:tcW w:w="5958" w:type="dxa"/>
          <w:tcBorders>
            <w:top w:val="single" w:sz="4" w:space="0" w:color="000000"/>
          </w:tcBorders>
        </w:tcPr>
        <w:p w14:paraId="630A1613" w14:textId="77777777" w:rsidR="0002057A" w:rsidRPr="003F4270" w:rsidRDefault="0002057A" w:rsidP="0002057A">
          <w:pPr>
            <w:pStyle w:val="FirstFooter"/>
            <w:tabs>
              <w:tab w:val="left" w:pos="2302"/>
            </w:tabs>
            <w:spacing w:before="0"/>
            <w:rPr>
              <w:sz w:val="18"/>
              <w:szCs w:val="18"/>
              <w:highlight w:val="yellow"/>
              <w:lang w:val="en-GB"/>
            </w:rPr>
          </w:pPr>
          <w:r w:rsidRPr="003F4270">
            <w:rPr>
              <w:sz w:val="18"/>
              <w:szCs w:val="18"/>
              <w:lang w:val="en-GB"/>
            </w:rPr>
            <w:t>Mr Stephen Bereaux, Deputy to the Director, Telecommunication Development Bureau</w:t>
          </w:r>
        </w:p>
      </w:tc>
      <w:bookmarkStart w:id="7" w:name="OrgName"/>
      <w:bookmarkEnd w:id="7"/>
    </w:tr>
    <w:tr w:rsidR="0002057A" w:rsidRPr="004D495C" w14:paraId="29B3AF93" w14:textId="77777777" w:rsidTr="00EF7574">
      <w:tc>
        <w:tcPr>
          <w:tcW w:w="1432" w:type="dxa"/>
          <w:shd w:val="clear" w:color="auto" w:fill="auto"/>
        </w:tcPr>
        <w:p w14:paraId="66F03279" w14:textId="77777777" w:rsidR="0002057A" w:rsidRPr="003F4270" w:rsidRDefault="0002057A" w:rsidP="0002057A">
          <w:pPr>
            <w:pStyle w:val="FirstFooter"/>
            <w:tabs>
              <w:tab w:val="left" w:pos="1559"/>
              <w:tab w:val="left" w:pos="3828"/>
            </w:tabs>
            <w:spacing w:before="0"/>
            <w:rPr>
              <w:sz w:val="20"/>
              <w:lang w:val="en-GB"/>
            </w:rPr>
          </w:pPr>
        </w:p>
      </w:tc>
      <w:tc>
        <w:tcPr>
          <w:tcW w:w="2250" w:type="dxa"/>
          <w:shd w:val="clear" w:color="auto" w:fill="auto"/>
        </w:tcPr>
        <w:p w14:paraId="27CD3C0D" w14:textId="77777777" w:rsidR="0002057A" w:rsidRPr="004D495C" w:rsidRDefault="0002057A" w:rsidP="0002057A">
          <w:pPr>
            <w:pStyle w:val="FirstFooter"/>
            <w:tabs>
              <w:tab w:val="left" w:pos="2302"/>
            </w:tabs>
            <w:spacing w:before="0"/>
            <w:rPr>
              <w:sz w:val="18"/>
              <w:szCs w:val="18"/>
            </w:rPr>
          </w:pPr>
          <w:r w:rsidRPr="004D495C">
            <w:rPr>
              <w:sz w:val="18"/>
              <w:szCs w:val="18"/>
            </w:rPr>
            <w:t xml:space="preserve">Phone </w:t>
          </w:r>
          <w:proofErr w:type="spellStart"/>
          <w:proofErr w:type="gramStart"/>
          <w:r w:rsidRPr="004D495C">
            <w:rPr>
              <w:sz w:val="18"/>
              <w:szCs w:val="18"/>
            </w:rPr>
            <w:t>number</w:t>
          </w:r>
          <w:proofErr w:type="spellEnd"/>
          <w:r w:rsidRPr="004D495C">
            <w:rPr>
              <w:sz w:val="18"/>
              <w:szCs w:val="18"/>
            </w:rPr>
            <w:t>:</w:t>
          </w:r>
          <w:proofErr w:type="gramEnd"/>
        </w:p>
      </w:tc>
      <w:tc>
        <w:tcPr>
          <w:tcW w:w="5958" w:type="dxa"/>
        </w:tcPr>
        <w:p w14:paraId="07858E60" w14:textId="77777777" w:rsidR="0002057A" w:rsidRPr="004D495C" w:rsidRDefault="0002057A" w:rsidP="0002057A">
          <w:pPr>
            <w:pStyle w:val="FirstFooter"/>
            <w:tabs>
              <w:tab w:val="left" w:pos="2302"/>
            </w:tabs>
            <w:spacing w:before="0"/>
            <w:rPr>
              <w:sz w:val="18"/>
              <w:szCs w:val="18"/>
              <w:highlight w:val="yellow"/>
            </w:rPr>
          </w:pPr>
          <w:r w:rsidRPr="00523FA7">
            <w:rPr>
              <w:sz w:val="18"/>
              <w:szCs w:val="18"/>
            </w:rPr>
            <w:t>+</w:t>
          </w:r>
          <w:r w:rsidRPr="00D934D7">
            <w:rPr>
              <w:sz w:val="18"/>
              <w:szCs w:val="18"/>
            </w:rPr>
            <w:t>41 22 730 5131</w:t>
          </w:r>
        </w:p>
      </w:tc>
      <w:bookmarkStart w:id="8" w:name="PhoneNo"/>
      <w:bookmarkEnd w:id="8"/>
    </w:tr>
    <w:tr w:rsidR="0002057A" w:rsidRPr="004D495C" w14:paraId="3BA0670B" w14:textId="77777777" w:rsidTr="00EF7574">
      <w:tc>
        <w:tcPr>
          <w:tcW w:w="1432" w:type="dxa"/>
          <w:shd w:val="clear" w:color="auto" w:fill="auto"/>
        </w:tcPr>
        <w:p w14:paraId="6D6364CE" w14:textId="77777777" w:rsidR="0002057A" w:rsidRPr="004D495C" w:rsidRDefault="0002057A" w:rsidP="0002057A">
          <w:pPr>
            <w:pStyle w:val="FirstFooter"/>
            <w:tabs>
              <w:tab w:val="left" w:pos="1559"/>
              <w:tab w:val="left" w:pos="3828"/>
            </w:tabs>
            <w:spacing w:before="0"/>
            <w:rPr>
              <w:sz w:val="20"/>
            </w:rPr>
          </w:pPr>
        </w:p>
      </w:tc>
      <w:tc>
        <w:tcPr>
          <w:tcW w:w="2250" w:type="dxa"/>
          <w:shd w:val="clear" w:color="auto" w:fill="auto"/>
        </w:tcPr>
        <w:p w14:paraId="191F1AD7" w14:textId="77777777" w:rsidR="0002057A" w:rsidRPr="004D495C" w:rsidRDefault="0002057A" w:rsidP="0002057A">
          <w:pPr>
            <w:pStyle w:val="FirstFooter"/>
            <w:tabs>
              <w:tab w:val="left" w:pos="2302"/>
            </w:tabs>
            <w:spacing w:before="0"/>
            <w:rPr>
              <w:sz w:val="18"/>
              <w:szCs w:val="18"/>
            </w:rPr>
          </w:pPr>
          <w:proofErr w:type="gramStart"/>
          <w:r w:rsidRPr="004D495C">
            <w:rPr>
              <w:sz w:val="18"/>
              <w:szCs w:val="18"/>
            </w:rPr>
            <w:t>E-mail:</w:t>
          </w:r>
          <w:proofErr w:type="gramEnd"/>
        </w:p>
      </w:tc>
      <w:tc>
        <w:tcPr>
          <w:tcW w:w="5958" w:type="dxa"/>
        </w:tcPr>
        <w:p w14:paraId="59556213" w14:textId="77777777" w:rsidR="0002057A" w:rsidRPr="004D495C" w:rsidRDefault="00895CBB" w:rsidP="0002057A">
          <w:pPr>
            <w:pStyle w:val="FirstFooter"/>
            <w:tabs>
              <w:tab w:val="left" w:pos="2302"/>
            </w:tabs>
            <w:spacing w:before="0"/>
            <w:rPr>
              <w:sz w:val="18"/>
              <w:szCs w:val="18"/>
              <w:highlight w:val="yellow"/>
            </w:rPr>
          </w:pPr>
          <w:hyperlink r:id="rId1" w:history="1">
            <w:r w:rsidR="0002057A" w:rsidRPr="00D934D7">
              <w:rPr>
                <w:rStyle w:val="Hyperlink"/>
                <w:sz w:val="18"/>
                <w:szCs w:val="22"/>
              </w:rPr>
              <w:t>stephen.bereaux@itu.int</w:t>
            </w:r>
          </w:hyperlink>
          <w:r w:rsidR="0002057A" w:rsidRPr="00D934D7">
            <w:rPr>
              <w:sz w:val="18"/>
              <w:szCs w:val="22"/>
            </w:rPr>
            <w:t xml:space="preserve"> </w:t>
          </w:r>
        </w:p>
      </w:tc>
      <w:bookmarkStart w:id="9" w:name="Email"/>
      <w:bookmarkEnd w:id="9"/>
    </w:tr>
  </w:tbl>
  <w:p w14:paraId="139DD94E" w14:textId="77777777" w:rsidR="0002057A" w:rsidRDefault="0002057A" w:rsidP="0002057A">
    <w:pPr>
      <w:pStyle w:val="Footer"/>
      <w:jc w:val="center"/>
      <w:rPr>
        <w:lang w:val="en-GB"/>
      </w:rPr>
    </w:pPr>
  </w:p>
  <w:p w14:paraId="40A321D0" w14:textId="22326BFE" w:rsidR="00721657" w:rsidRPr="00D3552C" w:rsidRDefault="00895CBB" w:rsidP="00AC4678">
    <w:pPr>
      <w:pStyle w:val="Footer"/>
      <w:jc w:val="center"/>
    </w:pPr>
    <w:hyperlink r:id="rId2" w:history="1">
      <w:r w:rsidR="0002057A">
        <w:rPr>
          <w:rStyle w:val="Hyperlink"/>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0F73" w14:textId="77777777" w:rsidR="00F96BF0" w:rsidRDefault="00F96BF0">
      <w:r>
        <w:t>____________________</w:t>
      </w:r>
    </w:p>
  </w:footnote>
  <w:footnote w:type="continuationSeparator" w:id="0">
    <w:p w14:paraId="14D90B49" w14:textId="77777777" w:rsidR="00F96BF0" w:rsidRDefault="00F96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7DD2AF63"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AC4678">
      <w:rPr>
        <w:sz w:val="22"/>
        <w:szCs w:val="22"/>
        <w:lang w:val="de-CH"/>
      </w:rPr>
      <w:t>15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023"/>
    <w:multiLevelType w:val="hybridMultilevel"/>
    <w:tmpl w:val="C32299C6"/>
    <w:lvl w:ilvl="0" w:tplc="38964BC2">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66297"/>
    <w:multiLevelType w:val="hybridMultilevel"/>
    <w:tmpl w:val="040A57E0"/>
    <w:lvl w:ilvl="0" w:tplc="2E12B988">
      <w:start w:val="1"/>
      <w:numFmt w:val="bullet"/>
      <w:pStyle w:val="ListBullet"/>
      <w:lvlText w:val=""/>
      <w:lvlJc w:val="left"/>
      <w:pPr>
        <w:ind w:left="198" w:hanging="198"/>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5D3AFC"/>
    <w:multiLevelType w:val="hybridMultilevel"/>
    <w:tmpl w:val="3164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066E0"/>
    <w:multiLevelType w:val="hybridMultilevel"/>
    <w:tmpl w:val="B664B4E0"/>
    <w:lvl w:ilvl="0" w:tplc="D8AA70EE">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0CCB750A"/>
    <w:multiLevelType w:val="hybridMultilevel"/>
    <w:tmpl w:val="B67887B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6" w15:restartNumberingAfterBreak="0">
    <w:nsid w:val="24A16C40"/>
    <w:multiLevelType w:val="hybridMultilevel"/>
    <w:tmpl w:val="547A1D52"/>
    <w:lvl w:ilvl="0" w:tplc="D8AA70EE">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265D0398"/>
    <w:multiLevelType w:val="hybridMultilevel"/>
    <w:tmpl w:val="0FD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F23C2"/>
    <w:multiLevelType w:val="hybridMultilevel"/>
    <w:tmpl w:val="22D6F2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05418F"/>
    <w:multiLevelType w:val="hybridMultilevel"/>
    <w:tmpl w:val="7D72FA48"/>
    <w:lvl w:ilvl="0" w:tplc="BC8496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402A0"/>
    <w:multiLevelType w:val="hybridMultilevel"/>
    <w:tmpl w:val="89D8B1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C276C7"/>
    <w:multiLevelType w:val="hybridMultilevel"/>
    <w:tmpl w:val="AECC673A"/>
    <w:lvl w:ilvl="0" w:tplc="899A84F2">
      <w:start w:val="1"/>
      <w:numFmt w:val="lowerLetter"/>
      <w:lvlText w:val="%1)"/>
      <w:lvlJc w:val="left"/>
      <w:pPr>
        <w:ind w:left="786" w:hanging="360"/>
      </w:pPr>
      <w:rPr>
        <w:rFonts w:ascii="Calibri" w:hAnsi="Calibri" w:cs="Arial"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4B845A36"/>
    <w:multiLevelType w:val="hybridMultilevel"/>
    <w:tmpl w:val="6AB6397C"/>
    <w:lvl w:ilvl="0" w:tplc="C79077F4">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675E3"/>
    <w:multiLevelType w:val="hybridMultilevel"/>
    <w:tmpl w:val="A546F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E555DB"/>
    <w:multiLevelType w:val="hybridMultilevel"/>
    <w:tmpl w:val="EFE2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402E1B"/>
    <w:multiLevelType w:val="hybridMultilevel"/>
    <w:tmpl w:val="014646D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81AE6"/>
    <w:multiLevelType w:val="hybridMultilevel"/>
    <w:tmpl w:val="2F1498DC"/>
    <w:lvl w:ilvl="0" w:tplc="BC8496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56307"/>
    <w:multiLevelType w:val="hybridMultilevel"/>
    <w:tmpl w:val="D26A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C51B5"/>
    <w:multiLevelType w:val="hybridMultilevel"/>
    <w:tmpl w:val="F0D60926"/>
    <w:lvl w:ilvl="0" w:tplc="FCB8C304">
      <w:numFmt w:val="bullet"/>
      <w:lvlText w:val="-"/>
      <w:lvlJc w:val="left"/>
      <w:pPr>
        <w:ind w:left="720" w:hanging="360"/>
      </w:pPr>
      <w:rPr>
        <w:rFonts w:ascii="Calibri" w:eastAsia="Times New Roman" w:hAnsi="Calibri" w:cs="Calibri" w:hint="default"/>
        <w:b/>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181B17"/>
    <w:multiLevelType w:val="hybridMultilevel"/>
    <w:tmpl w:val="FFAE6558"/>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5170AD"/>
    <w:multiLevelType w:val="hybridMultilevel"/>
    <w:tmpl w:val="E980516C"/>
    <w:lvl w:ilvl="0" w:tplc="1AA234E6">
      <w:start w:val="1"/>
      <w:numFmt w:val="lowerRoman"/>
      <w:lvlText w:val="%1."/>
      <w:lvlJc w:val="right"/>
      <w:pPr>
        <w:ind w:left="1440" w:hanging="360"/>
      </w:pPr>
    </w:lvl>
    <w:lvl w:ilvl="1" w:tplc="EC1233EE">
      <w:start w:val="1"/>
      <w:numFmt w:val="lowerLetter"/>
      <w:lvlText w:val="%2."/>
      <w:lvlJc w:val="left"/>
      <w:pPr>
        <w:ind w:left="2160" w:hanging="360"/>
      </w:pPr>
    </w:lvl>
    <w:lvl w:ilvl="2" w:tplc="9CEECA7C">
      <w:start w:val="1"/>
      <w:numFmt w:val="lowerRoman"/>
      <w:lvlText w:val="%3."/>
      <w:lvlJc w:val="right"/>
      <w:pPr>
        <w:ind w:left="2880" w:hanging="180"/>
      </w:pPr>
    </w:lvl>
    <w:lvl w:ilvl="3" w:tplc="75B41958">
      <w:start w:val="1"/>
      <w:numFmt w:val="decimal"/>
      <w:lvlText w:val="%4."/>
      <w:lvlJc w:val="left"/>
      <w:pPr>
        <w:ind w:left="3600" w:hanging="360"/>
      </w:pPr>
    </w:lvl>
    <w:lvl w:ilvl="4" w:tplc="AFAAA090">
      <w:start w:val="1"/>
      <w:numFmt w:val="lowerLetter"/>
      <w:lvlText w:val="%5."/>
      <w:lvlJc w:val="left"/>
      <w:pPr>
        <w:ind w:left="4320" w:hanging="360"/>
      </w:pPr>
    </w:lvl>
    <w:lvl w:ilvl="5" w:tplc="657E32D6">
      <w:start w:val="1"/>
      <w:numFmt w:val="lowerRoman"/>
      <w:lvlText w:val="%6."/>
      <w:lvlJc w:val="right"/>
      <w:pPr>
        <w:ind w:left="5040" w:hanging="180"/>
      </w:pPr>
    </w:lvl>
    <w:lvl w:ilvl="6" w:tplc="C9FC3E5E">
      <w:start w:val="1"/>
      <w:numFmt w:val="decimal"/>
      <w:lvlText w:val="%7."/>
      <w:lvlJc w:val="left"/>
      <w:pPr>
        <w:ind w:left="5760" w:hanging="360"/>
      </w:pPr>
    </w:lvl>
    <w:lvl w:ilvl="7" w:tplc="F8A0A0F6">
      <w:start w:val="1"/>
      <w:numFmt w:val="lowerLetter"/>
      <w:lvlText w:val="%8."/>
      <w:lvlJc w:val="left"/>
      <w:pPr>
        <w:ind w:left="6480" w:hanging="360"/>
      </w:pPr>
    </w:lvl>
    <w:lvl w:ilvl="8" w:tplc="957C3358">
      <w:start w:val="1"/>
      <w:numFmt w:val="lowerRoman"/>
      <w:lvlText w:val="%9."/>
      <w:lvlJc w:val="right"/>
      <w:pPr>
        <w:ind w:left="7200" w:hanging="180"/>
      </w:pPr>
    </w:lvl>
  </w:abstractNum>
  <w:abstractNum w:abstractNumId="24"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1C4F54"/>
    <w:multiLevelType w:val="hybridMultilevel"/>
    <w:tmpl w:val="2D3E1A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6"/>
  </w:num>
  <w:num w:numId="2">
    <w:abstractNumId w:val="5"/>
  </w:num>
  <w:num w:numId="3">
    <w:abstractNumId w:val="24"/>
  </w:num>
  <w:num w:numId="4">
    <w:abstractNumId w:val="9"/>
  </w:num>
  <w:num w:numId="5">
    <w:abstractNumId w:val="12"/>
  </w:num>
  <w:num w:numId="6">
    <w:abstractNumId w:val="0"/>
  </w:num>
  <w:num w:numId="7">
    <w:abstractNumId w:val="17"/>
  </w:num>
  <w:num w:numId="8">
    <w:abstractNumId w:val="14"/>
  </w:num>
  <w:num w:numId="9">
    <w:abstractNumId w:val="15"/>
  </w:num>
  <w:num w:numId="10">
    <w:abstractNumId w:val="4"/>
  </w:num>
  <w:num w:numId="11">
    <w:abstractNumId w:val="7"/>
  </w:num>
  <w:num w:numId="12">
    <w:abstractNumId w:val="2"/>
  </w:num>
  <w:num w:numId="13">
    <w:abstractNumId w:val="10"/>
  </w:num>
  <w:num w:numId="14">
    <w:abstractNumId w:val="19"/>
  </w:num>
  <w:num w:numId="15">
    <w:abstractNumId w:val="11"/>
  </w:num>
  <w:num w:numId="16">
    <w:abstractNumId w:val="25"/>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1"/>
  </w:num>
  <w:num w:numId="20">
    <w:abstractNumId w:val="20"/>
  </w:num>
  <w:num w:numId="21">
    <w:abstractNumId w:val="6"/>
  </w:num>
  <w:num w:numId="22">
    <w:abstractNumId w:val="3"/>
  </w:num>
  <w:num w:numId="23">
    <w:abstractNumId w:val="18"/>
  </w:num>
  <w:num w:numId="24">
    <w:abstractNumId w:val="22"/>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6A9"/>
    <w:rsid w:val="00002716"/>
    <w:rsid w:val="00003C43"/>
    <w:rsid w:val="00005791"/>
    <w:rsid w:val="00010827"/>
    <w:rsid w:val="00015089"/>
    <w:rsid w:val="0001616E"/>
    <w:rsid w:val="0001795B"/>
    <w:rsid w:val="0002057A"/>
    <w:rsid w:val="0002520B"/>
    <w:rsid w:val="00037A9E"/>
    <w:rsid w:val="00037F91"/>
    <w:rsid w:val="00045522"/>
    <w:rsid w:val="0005330E"/>
    <w:rsid w:val="000539F1"/>
    <w:rsid w:val="00054747"/>
    <w:rsid w:val="00055A2A"/>
    <w:rsid w:val="000615C1"/>
    <w:rsid w:val="00061675"/>
    <w:rsid w:val="00062BC4"/>
    <w:rsid w:val="00063A13"/>
    <w:rsid w:val="00073AF5"/>
    <w:rsid w:val="000743AA"/>
    <w:rsid w:val="0009076F"/>
    <w:rsid w:val="0009225C"/>
    <w:rsid w:val="000A17C4"/>
    <w:rsid w:val="000A36A4"/>
    <w:rsid w:val="000B2352"/>
    <w:rsid w:val="000C79A5"/>
    <w:rsid w:val="000C7B84"/>
    <w:rsid w:val="000D261B"/>
    <w:rsid w:val="000D58A3"/>
    <w:rsid w:val="000E3ED4"/>
    <w:rsid w:val="000E3F9C"/>
    <w:rsid w:val="000F1550"/>
    <w:rsid w:val="000F251B"/>
    <w:rsid w:val="000F37C4"/>
    <w:rsid w:val="000F5FE8"/>
    <w:rsid w:val="000F6644"/>
    <w:rsid w:val="00100833"/>
    <w:rsid w:val="00102F72"/>
    <w:rsid w:val="00107E85"/>
    <w:rsid w:val="00113EE8"/>
    <w:rsid w:val="0011455A"/>
    <w:rsid w:val="00114A65"/>
    <w:rsid w:val="00127422"/>
    <w:rsid w:val="00133061"/>
    <w:rsid w:val="0013376D"/>
    <w:rsid w:val="00141699"/>
    <w:rsid w:val="00147000"/>
    <w:rsid w:val="00156A14"/>
    <w:rsid w:val="00162B73"/>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7CA2"/>
    <w:rsid w:val="001A163D"/>
    <w:rsid w:val="001A441E"/>
    <w:rsid w:val="001A6733"/>
    <w:rsid w:val="001B3503"/>
    <w:rsid w:val="001B357F"/>
    <w:rsid w:val="001C3444"/>
    <w:rsid w:val="001C3702"/>
    <w:rsid w:val="001C4656"/>
    <w:rsid w:val="001C46BC"/>
    <w:rsid w:val="001D1E06"/>
    <w:rsid w:val="001D45BF"/>
    <w:rsid w:val="001F23E6"/>
    <w:rsid w:val="001F4238"/>
    <w:rsid w:val="001F7C90"/>
    <w:rsid w:val="00200A38"/>
    <w:rsid w:val="00200A46"/>
    <w:rsid w:val="00203CC5"/>
    <w:rsid w:val="002059A3"/>
    <w:rsid w:val="00211B6F"/>
    <w:rsid w:val="00217CC3"/>
    <w:rsid w:val="00220AB6"/>
    <w:rsid w:val="0022120F"/>
    <w:rsid w:val="0022754A"/>
    <w:rsid w:val="00227555"/>
    <w:rsid w:val="0023068B"/>
    <w:rsid w:val="00230C23"/>
    <w:rsid w:val="00236560"/>
    <w:rsid w:val="0023662E"/>
    <w:rsid w:val="00245D0F"/>
    <w:rsid w:val="00250C1A"/>
    <w:rsid w:val="002548C3"/>
    <w:rsid w:val="00257ACD"/>
    <w:rsid w:val="00262908"/>
    <w:rsid w:val="002650F4"/>
    <w:rsid w:val="002715FD"/>
    <w:rsid w:val="002770B1"/>
    <w:rsid w:val="00285B33"/>
    <w:rsid w:val="00287A3C"/>
    <w:rsid w:val="00291C53"/>
    <w:rsid w:val="002A054B"/>
    <w:rsid w:val="002A2FC6"/>
    <w:rsid w:val="002C1BA8"/>
    <w:rsid w:val="002C1EC7"/>
    <w:rsid w:val="002C3015"/>
    <w:rsid w:val="002C4342"/>
    <w:rsid w:val="002C7EA3"/>
    <w:rsid w:val="002D16B5"/>
    <w:rsid w:val="002D189F"/>
    <w:rsid w:val="002D20AE"/>
    <w:rsid w:val="002D44F3"/>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581E"/>
    <w:rsid w:val="00327247"/>
    <w:rsid w:val="00327A9D"/>
    <w:rsid w:val="0033130E"/>
    <w:rsid w:val="0033269C"/>
    <w:rsid w:val="003468FE"/>
    <w:rsid w:val="00351C79"/>
    <w:rsid w:val="0035516C"/>
    <w:rsid w:val="00355A4C"/>
    <w:rsid w:val="003604FB"/>
    <w:rsid w:val="00360B73"/>
    <w:rsid w:val="00363FFD"/>
    <w:rsid w:val="00380B71"/>
    <w:rsid w:val="0038365A"/>
    <w:rsid w:val="00386A89"/>
    <w:rsid w:val="0039648E"/>
    <w:rsid w:val="003A2B2E"/>
    <w:rsid w:val="003A5AFE"/>
    <w:rsid w:val="003A5D5F"/>
    <w:rsid w:val="003A7FFE"/>
    <w:rsid w:val="003B0A63"/>
    <w:rsid w:val="003B1F1A"/>
    <w:rsid w:val="003B50E1"/>
    <w:rsid w:val="003C1746"/>
    <w:rsid w:val="003C2AA9"/>
    <w:rsid w:val="003C4227"/>
    <w:rsid w:val="003C58BF"/>
    <w:rsid w:val="003D110A"/>
    <w:rsid w:val="003D451D"/>
    <w:rsid w:val="003E0CF5"/>
    <w:rsid w:val="003F2DD8"/>
    <w:rsid w:val="003F3F2D"/>
    <w:rsid w:val="003F50B2"/>
    <w:rsid w:val="003F558D"/>
    <w:rsid w:val="003F55CA"/>
    <w:rsid w:val="00400CCF"/>
    <w:rsid w:val="00401BFF"/>
    <w:rsid w:val="00404424"/>
    <w:rsid w:val="00406BC5"/>
    <w:rsid w:val="0041156B"/>
    <w:rsid w:val="004122C5"/>
    <w:rsid w:val="00413B78"/>
    <w:rsid w:val="00413CBC"/>
    <w:rsid w:val="00416DDE"/>
    <w:rsid w:val="00423602"/>
    <w:rsid w:val="0044411E"/>
    <w:rsid w:val="00444CF1"/>
    <w:rsid w:val="00446EFD"/>
    <w:rsid w:val="00453435"/>
    <w:rsid w:val="00460089"/>
    <w:rsid w:val="004635C7"/>
    <w:rsid w:val="00466398"/>
    <w:rsid w:val="0047306D"/>
    <w:rsid w:val="00473791"/>
    <w:rsid w:val="00476E48"/>
    <w:rsid w:val="00481DE9"/>
    <w:rsid w:val="0049128B"/>
    <w:rsid w:val="00493B49"/>
    <w:rsid w:val="00495501"/>
    <w:rsid w:val="004A070A"/>
    <w:rsid w:val="004A1F1E"/>
    <w:rsid w:val="004A320E"/>
    <w:rsid w:val="004A328D"/>
    <w:rsid w:val="004A4E9C"/>
    <w:rsid w:val="004B1A3C"/>
    <w:rsid w:val="004B76B5"/>
    <w:rsid w:val="004C43AC"/>
    <w:rsid w:val="004D2CC3"/>
    <w:rsid w:val="004D35CB"/>
    <w:rsid w:val="004D6518"/>
    <w:rsid w:val="004D7DAB"/>
    <w:rsid w:val="004E20E5"/>
    <w:rsid w:val="004E64EA"/>
    <w:rsid w:val="004E7828"/>
    <w:rsid w:val="004F46AA"/>
    <w:rsid w:val="004F6A70"/>
    <w:rsid w:val="00500AD7"/>
    <w:rsid w:val="00502ABF"/>
    <w:rsid w:val="00502CA9"/>
    <w:rsid w:val="00504DB0"/>
    <w:rsid w:val="00507C35"/>
    <w:rsid w:val="00510735"/>
    <w:rsid w:val="0051454C"/>
    <w:rsid w:val="00514D2F"/>
    <w:rsid w:val="005412E6"/>
    <w:rsid w:val="00541502"/>
    <w:rsid w:val="00542568"/>
    <w:rsid w:val="0054420E"/>
    <w:rsid w:val="00544627"/>
    <w:rsid w:val="00544CAA"/>
    <w:rsid w:val="00544D1B"/>
    <w:rsid w:val="00545DC0"/>
    <w:rsid w:val="00545F6C"/>
    <w:rsid w:val="005477D9"/>
    <w:rsid w:val="0055720C"/>
    <w:rsid w:val="00561796"/>
    <w:rsid w:val="005632DD"/>
    <w:rsid w:val="005638DE"/>
    <w:rsid w:val="0056423B"/>
    <w:rsid w:val="00573424"/>
    <w:rsid w:val="0057402F"/>
    <w:rsid w:val="00581653"/>
    <w:rsid w:val="005849D6"/>
    <w:rsid w:val="00585367"/>
    <w:rsid w:val="005871A1"/>
    <w:rsid w:val="0058737E"/>
    <w:rsid w:val="00592518"/>
    <w:rsid w:val="00592E87"/>
    <w:rsid w:val="0059420B"/>
    <w:rsid w:val="00594C4D"/>
    <w:rsid w:val="005A0CE9"/>
    <w:rsid w:val="005A33B0"/>
    <w:rsid w:val="005B2846"/>
    <w:rsid w:val="005C2DC2"/>
    <w:rsid w:val="005C304A"/>
    <w:rsid w:val="005C3D69"/>
    <w:rsid w:val="005C5A93"/>
    <w:rsid w:val="005C7C98"/>
    <w:rsid w:val="005D16B2"/>
    <w:rsid w:val="005D2C3A"/>
    <w:rsid w:val="005D55A4"/>
    <w:rsid w:val="005D57C8"/>
    <w:rsid w:val="005D7761"/>
    <w:rsid w:val="005E0278"/>
    <w:rsid w:val="005E090D"/>
    <w:rsid w:val="005E3B47"/>
    <w:rsid w:val="005E3CA0"/>
    <w:rsid w:val="005E44B1"/>
    <w:rsid w:val="005E67B0"/>
    <w:rsid w:val="005E7047"/>
    <w:rsid w:val="005E777F"/>
    <w:rsid w:val="005F18FC"/>
    <w:rsid w:val="005F1CA7"/>
    <w:rsid w:val="005F43DD"/>
    <w:rsid w:val="005F51A9"/>
    <w:rsid w:val="005F651A"/>
    <w:rsid w:val="005F6BE1"/>
    <w:rsid w:val="005F7416"/>
    <w:rsid w:val="00600C11"/>
    <w:rsid w:val="00606B89"/>
    <w:rsid w:val="00611EAF"/>
    <w:rsid w:val="00623F30"/>
    <w:rsid w:val="00625FB8"/>
    <w:rsid w:val="006261BD"/>
    <w:rsid w:val="00635EDB"/>
    <w:rsid w:val="0064734E"/>
    <w:rsid w:val="00650137"/>
    <w:rsid w:val="006509D7"/>
    <w:rsid w:val="00651CE8"/>
    <w:rsid w:val="0065441B"/>
    <w:rsid w:val="0065521B"/>
    <w:rsid w:val="00657226"/>
    <w:rsid w:val="006609C2"/>
    <w:rsid w:val="00671EF6"/>
    <w:rsid w:val="0067205B"/>
    <w:rsid w:val="00672398"/>
    <w:rsid w:val="006739DC"/>
    <w:rsid w:val="006748F8"/>
    <w:rsid w:val="00674B6D"/>
    <w:rsid w:val="00680489"/>
    <w:rsid w:val="006812D5"/>
    <w:rsid w:val="00683C32"/>
    <w:rsid w:val="00690BB2"/>
    <w:rsid w:val="00693D09"/>
    <w:rsid w:val="006A0A22"/>
    <w:rsid w:val="006A14CB"/>
    <w:rsid w:val="006A3AAD"/>
    <w:rsid w:val="006A6549"/>
    <w:rsid w:val="006A7710"/>
    <w:rsid w:val="006A7A61"/>
    <w:rsid w:val="006B108D"/>
    <w:rsid w:val="006B1E59"/>
    <w:rsid w:val="006B2FFB"/>
    <w:rsid w:val="006C0B84"/>
    <w:rsid w:val="006C10A2"/>
    <w:rsid w:val="006C1F18"/>
    <w:rsid w:val="006D0ACE"/>
    <w:rsid w:val="006D1B06"/>
    <w:rsid w:val="006D2432"/>
    <w:rsid w:val="006D40D5"/>
    <w:rsid w:val="006E00DC"/>
    <w:rsid w:val="006E4354"/>
    <w:rsid w:val="006F009A"/>
    <w:rsid w:val="006F39AC"/>
    <w:rsid w:val="006F3D93"/>
    <w:rsid w:val="006F57D2"/>
    <w:rsid w:val="007019B1"/>
    <w:rsid w:val="00721657"/>
    <w:rsid w:val="00724A65"/>
    <w:rsid w:val="007279A8"/>
    <w:rsid w:val="00727B1A"/>
    <w:rsid w:val="00741337"/>
    <w:rsid w:val="00752258"/>
    <w:rsid w:val="007529E1"/>
    <w:rsid w:val="00762880"/>
    <w:rsid w:val="00762AD6"/>
    <w:rsid w:val="00762E02"/>
    <w:rsid w:val="00772290"/>
    <w:rsid w:val="00772CDB"/>
    <w:rsid w:val="00774CB8"/>
    <w:rsid w:val="00775C2A"/>
    <w:rsid w:val="00777265"/>
    <w:rsid w:val="007805E7"/>
    <w:rsid w:val="0078222A"/>
    <w:rsid w:val="00787D48"/>
    <w:rsid w:val="00795294"/>
    <w:rsid w:val="007A4E50"/>
    <w:rsid w:val="007B18A7"/>
    <w:rsid w:val="007B250E"/>
    <w:rsid w:val="007C1CF2"/>
    <w:rsid w:val="007C27FC"/>
    <w:rsid w:val="007C2E50"/>
    <w:rsid w:val="007C51FF"/>
    <w:rsid w:val="007C5A4F"/>
    <w:rsid w:val="007D50E4"/>
    <w:rsid w:val="007D6E9D"/>
    <w:rsid w:val="007E28AC"/>
    <w:rsid w:val="007E2DC5"/>
    <w:rsid w:val="007E35D0"/>
    <w:rsid w:val="007E3D44"/>
    <w:rsid w:val="007F1CC7"/>
    <w:rsid w:val="007F632E"/>
    <w:rsid w:val="008027AC"/>
    <w:rsid w:val="008028CE"/>
    <w:rsid w:val="0080332E"/>
    <w:rsid w:val="008141E0"/>
    <w:rsid w:val="00816EE1"/>
    <w:rsid w:val="00816F88"/>
    <w:rsid w:val="00821996"/>
    <w:rsid w:val="00822323"/>
    <w:rsid w:val="00827BC6"/>
    <w:rsid w:val="008300AD"/>
    <w:rsid w:val="00833024"/>
    <w:rsid w:val="008376E3"/>
    <w:rsid w:val="00840656"/>
    <w:rsid w:val="008419B1"/>
    <w:rsid w:val="00844A56"/>
    <w:rsid w:val="00845B11"/>
    <w:rsid w:val="00852081"/>
    <w:rsid w:val="00852B9B"/>
    <w:rsid w:val="00854625"/>
    <w:rsid w:val="00872B6E"/>
    <w:rsid w:val="00872EF4"/>
    <w:rsid w:val="00874DFD"/>
    <w:rsid w:val="008802F9"/>
    <w:rsid w:val="00883086"/>
    <w:rsid w:val="0088541B"/>
    <w:rsid w:val="008879FD"/>
    <w:rsid w:val="00891436"/>
    <w:rsid w:val="00894C37"/>
    <w:rsid w:val="00894FD5"/>
    <w:rsid w:val="00895CBB"/>
    <w:rsid w:val="008A00EA"/>
    <w:rsid w:val="008A3F93"/>
    <w:rsid w:val="008A6236"/>
    <w:rsid w:val="008A6E1C"/>
    <w:rsid w:val="008A72FD"/>
    <w:rsid w:val="008B2EDF"/>
    <w:rsid w:val="008B47C7"/>
    <w:rsid w:val="008B54CB"/>
    <w:rsid w:val="008B5A3D"/>
    <w:rsid w:val="008C4010"/>
    <w:rsid w:val="008C4FDF"/>
    <w:rsid w:val="008C6B1F"/>
    <w:rsid w:val="008D5E4F"/>
    <w:rsid w:val="008D65E7"/>
    <w:rsid w:val="008E34F0"/>
    <w:rsid w:val="008F14F5"/>
    <w:rsid w:val="008F4DC8"/>
    <w:rsid w:val="008F71C1"/>
    <w:rsid w:val="00902D41"/>
    <w:rsid w:val="00902F49"/>
    <w:rsid w:val="00904230"/>
    <w:rsid w:val="009068BC"/>
    <w:rsid w:val="00914004"/>
    <w:rsid w:val="009154DB"/>
    <w:rsid w:val="00922EC1"/>
    <w:rsid w:val="00923CF1"/>
    <w:rsid w:val="009266FB"/>
    <w:rsid w:val="009301F1"/>
    <w:rsid w:val="009307DF"/>
    <w:rsid w:val="009359B8"/>
    <w:rsid w:val="00935FF0"/>
    <w:rsid w:val="009431F8"/>
    <w:rsid w:val="009436E2"/>
    <w:rsid w:val="00943E65"/>
    <w:rsid w:val="00946990"/>
    <w:rsid w:val="00947A35"/>
    <w:rsid w:val="00950F43"/>
    <w:rsid w:val="0096201B"/>
    <w:rsid w:val="00962081"/>
    <w:rsid w:val="00966CB5"/>
    <w:rsid w:val="0097003D"/>
    <w:rsid w:val="00975786"/>
    <w:rsid w:val="00981CB7"/>
    <w:rsid w:val="00983E1F"/>
    <w:rsid w:val="00987CFC"/>
    <w:rsid w:val="00993F46"/>
    <w:rsid w:val="00997358"/>
    <w:rsid w:val="009A452B"/>
    <w:rsid w:val="009B050C"/>
    <w:rsid w:val="009B087F"/>
    <w:rsid w:val="009B2AF4"/>
    <w:rsid w:val="009C110B"/>
    <w:rsid w:val="009C5441"/>
    <w:rsid w:val="009D0F1B"/>
    <w:rsid w:val="009D119F"/>
    <w:rsid w:val="009D49A2"/>
    <w:rsid w:val="009F3940"/>
    <w:rsid w:val="009F3EB2"/>
    <w:rsid w:val="009F6EB1"/>
    <w:rsid w:val="009F73B4"/>
    <w:rsid w:val="00A11D05"/>
    <w:rsid w:val="00A13162"/>
    <w:rsid w:val="00A20267"/>
    <w:rsid w:val="00A3158C"/>
    <w:rsid w:val="00A32685"/>
    <w:rsid w:val="00A32DF3"/>
    <w:rsid w:val="00A33E32"/>
    <w:rsid w:val="00A34B34"/>
    <w:rsid w:val="00A35E20"/>
    <w:rsid w:val="00A36F6D"/>
    <w:rsid w:val="00A433F4"/>
    <w:rsid w:val="00A50CA0"/>
    <w:rsid w:val="00A525CC"/>
    <w:rsid w:val="00A53E7C"/>
    <w:rsid w:val="00A60087"/>
    <w:rsid w:val="00A60EC6"/>
    <w:rsid w:val="00A65E43"/>
    <w:rsid w:val="00A705E8"/>
    <w:rsid w:val="00A721F4"/>
    <w:rsid w:val="00A9392C"/>
    <w:rsid w:val="00A9462B"/>
    <w:rsid w:val="00A97D59"/>
    <w:rsid w:val="00AA3E09"/>
    <w:rsid w:val="00AA4BEF"/>
    <w:rsid w:val="00AA523D"/>
    <w:rsid w:val="00AA58DC"/>
    <w:rsid w:val="00AA5ED1"/>
    <w:rsid w:val="00AB1659"/>
    <w:rsid w:val="00AB4962"/>
    <w:rsid w:val="00AB734E"/>
    <w:rsid w:val="00AB740F"/>
    <w:rsid w:val="00AC4678"/>
    <w:rsid w:val="00AC6F14"/>
    <w:rsid w:val="00AC7221"/>
    <w:rsid w:val="00AD4677"/>
    <w:rsid w:val="00AD5503"/>
    <w:rsid w:val="00AD6EB1"/>
    <w:rsid w:val="00AE5961"/>
    <w:rsid w:val="00AF0745"/>
    <w:rsid w:val="00AF2133"/>
    <w:rsid w:val="00AF4971"/>
    <w:rsid w:val="00AF5276"/>
    <w:rsid w:val="00AF7C86"/>
    <w:rsid w:val="00B01046"/>
    <w:rsid w:val="00B14BBC"/>
    <w:rsid w:val="00B164AA"/>
    <w:rsid w:val="00B310F9"/>
    <w:rsid w:val="00B37866"/>
    <w:rsid w:val="00B412FB"/>
    <w:rsid w:val="00B45588"/>
    <w:rsid w:val="00B4576B"/>
    <w:rsid w:val="00B46350"/>
    <w:rsid w:val="00B46DF3"/>
    <w:rsid w:val="00B51BA3"/>
    <w:rsid w:val="00B648C7"/>
    <w:rsid w:val="00B64C15"/>
    <w:rsid w:val="00B664A1"/>
    <w:rsid w:val="00B66E8F"/>
    <w:rsid w:val="00B73A88"/>
    <w:rsid w:val="00B76F1B"/>
    <w:rsid w:val="00B80157"/>
    <w:rsid w:val="00B83670"/>
    <w:rsid w:val="00B83D5E"/>
    <w:rsid w:val="00B8460A"/>
    <w:rsid w:val="00B8650D"/>
    <w:rsid w:val="00B879B4"/>
    <w:rsid w:val="00B90F07"/>
    <w:rsid w:val="00B97BB9"/>
    <w:rsid w:val="00BA0009"/>
    <w:rsid w:val="00BB02B5"/>
    <w:rsid w:val="00BB1863"/>
    <w:rsid w:val="00BB25EE"/>
    <w:rsid w:val="00BB363A"/>
    <w:rsid w:val="00BC10A0"/>
    <w:rsid w:val="00BC5FBA"/>
    <w:rsid w:val="00BC7BA2"/>
    <w:rsid w:val="00BD426B"/>
    <w:rsid w:val="00BD4430"/>
    <w:rsid w:val="00BD79F0"/>
    <w:rsid w:val="00BE2B4D"/>
    <w:rsid w:val="00BF6C21"/>
    <w:rsid w:val="00C015F8"/>
    <w:rsid w:val="00C02C2A"/>
    <w:rsid w:val="00C07B47"/>
    <w:rsid w:val="00C07E26"/>
    <w:rsid w:val="00C1011C"/>
    <w:rsid w:val="00C12F94"/>
    <w:rsid w:val="00C177C5"/>
    <w:rsid w:val="00C33676"/>
    <w:rsid w:val="00C34EC3"/>
    <w:rsid w:val="00C4038C"/>
    <w:rsid w:val="00C42BA2"/>
    <w:rsid w:val="00C43184"/>
    <w:rsid w:val="00C44066"/>
    <w:rsid w:val="00C44E13"/>
    <w:rsid w:val="00C60A41"/>
    <w:rsid w:val="00C6120D"/>
    <w:rsid w:val="00C62DE8"/>
    <w:rsid w:val="00C62DFB"/>
    <w:rsid w:val="00C630E6"/>
    <w:rsid w:val="00C63812"/>
    <w:rsid w:val="00C64AF3"/>
    <w:rsid w:val="00C66F4D"/>
    <w:rsid w:val="00C67BB5"/>
    <w:rsid w:val="00C72713"/>
    <w:rsid w:val="00C8010C"/>
    <w:rsid w:val="00C848EF"/>
    <w:rsid w:val="00C86600"/>
    <w:rsid w:val="00C87BCA"/>
    <w:rsid w:val="00C87EED"/>
    <w:rsid w:val="00C92FCF"/>
    <w:rsid w:val="00C94506"/>
    <w:rsid w:val="00C954BC"/>
    <w:rsid w:val="00CA1F0B"/>
    <w:rsid w:val="00CB110F"/>
    <w:rsid w:val="00CB2A2E"/>
    <w:rsid w:val="00CB338A"/>
    <w:rsid w:val="00CB79C5"/>
    <w:rsid w:val="00CC2A0C"/>
    <w:rsid w:val="00CC411F"/>
    <w:rsid w:val="00CC4B75"/>
    <w:rsid w:val="00CC732E"/>
    <w:rsid w:val="00CD2FCD"/>
    <w:rsid w:val="00CD443E"/>
    <w:rsid w:val="00CD7207"/>
    <w:rsid w:val="00CE0422"/>
    <w:rsid w:val="00CE0DBE"/>
    <w:rsid w:val="00CE1D70"/>
    <w:rsid w:val="00CE45E6"/>
    <w:rsid w:val="00CE5E4D"/>
    <w:rsid w:val="00CF02C4"/>
    <w:rsid w:val="00CF167F"/>
    <w:rsid w:val="00CF72E5"/>
    <w:rsid w:val="00CF7AB8"/>
    <w:rsid w:val="00D013EE"/>
    <w:rsid w:val="00D01800"/>
    <w:rsid w:val="00D01F54"/>
    <w:rsid w:val="00D040F7"/>
    <w:rsid w:val="00D04A76"/>
    <w:rsid w:val="00D06112"/>
    <w:rsid w:val="00D10FC7"/>
    <w:rsid w:val="00D1519F"/>
    <w:rsid w:val="00D20E99"/>
    <w:rsid w:val="00D21C83"/>
    <w:rsid w:val="00D32E9F"/>
    <w:rsid w:val="00D3317F"/>
    <w:rsid w:val="00D3552C"/>
    <w:rsid w:val="00D35BDD"/>
    <w:rsid w:val="00D51F9F"/>
    <w:rsid w:val="00D56F26"/>
    <w:rsid w:val="00D607DB"/>
    <w:rsid w:val="00D61B8A"/>
    <w:rsid w:val="00D63006"/>
    <w:rsid w:val="00D64CC4"/>
    <w:rsid w:val="00D72301"/>
    <w:rsid w:val="00D911DE"/>
    <w:rsid w:val="00D91B97"/>
    <w:rsid w:val="00D93ACC"/>
    <w:rsid w:val="00D93C08"/>
    <w:rsid w:val="00D95DAC"/>
    <w:rsid w:val="00DA0B53"/>
    <w:rsid w:val="00DA42DF"/>
    <w:rsid w:val="00DB1171"/>
    <w:rsid w:val="00DB1519"/>
    <w:rsid w:val="00DB2840"/>
    <w:rsid w:val="00DC1496"/>
    <w:rsid w:val="00DC1BD3"/>
    <w:rsid w:val="00DC2C1A"/>
    <w:rsid w:val="00DC6DA7"/>
    <w:rsid w:val="00DD66B4"/>
    <w:rsid w:val="00DE1972"/>
    <w:rsid w:val="00DE27AB"/>
    <w:rsid w:val="00DE6B73"/>
    <w:rsid w:val="00DF2AB3"/>
    <w:rsid w:val="00DF5C61"/>
    <w:rsid w:val="00DF7250"/>
    <w:rsid w:val="00E00CAA"/>
    <w:rsid w:val="00E026F9"/>
    <w:rsid w:val="00E03EBF"/>
    <w:rsid w:val="00E05209"/>
    <w:rsid w:val="00E05AC1"/>
    <w:rsid w:val="00E078B2"/>
    <w:rsid w:val="00E11BCF"/>
    <w:rsid w:val="00E2258E"/>
    <w:rsid w:val="00E260C2"/>
    <w:rsid w:val="00E32596"/>
    <w:rsid w:val="00E368F7"/>
    <w:rsid w:val="00E36EB8"/>
    <w:rsid w:val="00E37FB8"/>
    <w:rsid w:val="00E40B07"/>
    <w:rsid w:val="00E42326"/>
    <w:rsid w:val="00E43544"/>
    <w:rsid w:val="00E44D89"/>
    <w:rsid w:val="00E477EA"/>
    <w:rsid w:val="00E55807"/>
    <w:rsid w:val="00E57609"/>
    <w:rsid w:val="00E62278"/>
    <w:rsid w:val="00E63B14"/>
    <w:rsid w:val="00E65CA0"/>
    <w:rsid w:val="00E70D9F"/>
    <w:rsid w:val="00E83810"/>
    <w:rsid w:val="00E86933"/>
    <w:rsid w:val="00E9605B"/>
    <w:rsid w:val="00E97298"/>
    <w:rsid w:val="00E97753"/>
    <w:rsid w:val="00EA0C51"/>
    <w:rsid w:val="00EA18A8"/>
    <w:rsid w:val="00EA7DE7"/>
    <w:rsid w:val="00EB7A8A"/>
    <w:rsid w:val="00EC6FED"/>
    <w:rsid w:val="00EC7F3B"/>
    <w:rsid w:val="00ED5299"/>
    <w:rsid w:val="00EE2E03"/>
    <w:rsid w:val="00EE3A64"/>
    <w:rsid w:val="00EE50E5"/>
    <w:rsid w:val="00EE702C"/>
    <w:rsid w:val="00EF01CF"/>
    <w:rsid w:val="00EF2157"/>
    <w:rsid w:val="00F03590"/>
    <w:rsid w:val="00F03622"/>
    <w:rsid w:val="00F077FD"/>
    <w:rsid w:val="00F116C8"/>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05BB"/>
    <w:rsid w:val="00F626F7"/>
    <w:rsid w:val="00F736F9"/>
    <w:rsid w:val="00F73833"/>
    <w:rsid w:val="00F7731F"/>
    <w:rsid w:val="00F83820"/>
    <w:rsid w:val="00F9211C"/>
    <w:rsid w:val="00F92992"/>
    <w:rsid w:val="00F96BF0"/>
    <w:rsid w:val="00FA095D"/>
    <w:rsid w:val="00FA1680"/>
    <w:rsid w:val="00FA6C8B"/>
    <w:rsid w:val="00FA6CDA"/>
    <w:rsid w:val="00FA7C89"/>
    <w:rsid w:val="00FB4139"/>
    <w:rsid w:val="00FB476E"/>
    <w:rsid w:val="00FC0D90"/>
    <w:rsid w:val="00FC7D8C"/>
    <w:rsid w:val="00FD3980"/>
    <w:rsid w:val="00FD431E"/>
    <w:rsid w:val="00FD5A2C"/>
    <w:rsid w:val="00FE0777"/>
    <w:rsid w:val="00FE0D47"/>
    <w:rsid w:val="00FE1CD6"/>
    <w:rsid w:val="00FE1D5C"/>
    <w:rsid w:val="00FE2F8B"/>
    <w:rsid w:val="00FE3669"/>
    <w:rsid w:val="00FE5204"/>
    <w:rsid w:val="00FE778E"/>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F29E"/>
  <w15:docId w15:val="{2329A7EB-8C0E-4C0B-B41E-ACB51B9F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 w:type="character" w:customStyle="1" w:styleId="Title1Char">
    <w:name w:val="Title 1 Char"/>
    <w:link w:val="Title1"/>
    <w:qFormat/>
    <w:locked/>
    <w:rsid w:val="00D3552C"/>
    <w:rPr>
      <w:rFonts w:asciiTheme="minorHAnsi" w:hAnsiTheme="minorHAnsi" w:cs="Times New Roman Bold"/>
      <w:sz w:val="28"/>
      <w:lang w:val="en-GB" w:eastAsia="en-US"/>
    </w:rPr>
  </w:style>
  <w:style w:type="paragraph" w:customStyle="1" w:styleId="Pa10">
    <w:name w:val="Pa10"/>
    <w:basedOn w:val="Normal"/>
    <w:next w:val="Normal"/>
    <w:uiPriority w:val="99"/>
    <w:rsid w:val="00D3552C"/>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paragraph" w:customStyle="1" w:styleId="Pa15">
    <w:name w:val="Pa15"/>
    <w:basedOn w:val="Normal"/>
    <w:next w:val="Normal"/>
    <w:uiPriority w:val="99"/>
    <w:rsid w:val="00AA523D"/>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13">
    <w:name w:val="Pa13"/>
    <w:basedOn w:val="Normal"/>
    <w:next w:val="Normal"/>
    <w:uiPriority w:val="99"/>
    <w:rsid w:val="006C0B8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customStyle="1" w:styleId="normaltextrun">
    <w:name w:val="normaltextrun"/>
    <w:basedOn w:val="DefaultParagraphFont"/>
    <w:rsid w:val="00672398"/>
  </w:style>
  <w:style w:type="character" w:customStyle="1" w:styleId="eop">
    <w:name w:val="eop"/>
    <w:basedOn w:val="DefaultParagraphFont"/>
    <w:rsid w:val="00672398"/>
  </w:style>
  <w:style w:type="paragraph" w:styleId="NormalWeb">
    <w:name w:val="Normal (Web)"/>
    <w:basedOn w:val="Normal"/>
    <w:uiPriority w:val="99"/>
    <w:semiHidden/>
    <w:unhideWhenUsed/>
    <w:rsid w:val="00B51BA3"/>
    <w:pPr>
      <w:tabs>
        <w:tab w:val="clear" w:pos="794"/>
        <w:tab w:val="clear" w:pos="1191"/>
        <w:tab w:val="clear" w:pos="1588"/>
        <w:tab w:val="clear" w:pos="1985"/>
        <w:tab w:val="left" w:pos="567"/>
        <w:tab w:val="left" w:pos="1134"/>
        <w:tab w:val="left" w:pos="1701"/>
        <w:tab w:val="left" w:pos="2268"/>
        <w:tab w:val="left" w:pos="2835"/>
      </w:tabs>
      <w:textAlignment w:val="auto"/>
    </w:pPr>
    <w:rPr>
      <w:rFonts w:ascii="Times New Roman" w:hAnsi="Times New Roman"/>
      <w:szCs w:val="24"/>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B51BA3"/>
    <w:rPr>
      <w:rFonts w:asciiTheme="minorHAnsi" w:hAnsiTheme="minorHAnsi"/>
      <w:sz w:val="24"/>
      <w:lang w:val="en-GB" w:eastAsia="en-US"/>
    </w:rPr>
  </w:style>
  <w:style w:type="paragraph" w:styleId="ListBullet">
    <w:name w:val="List Bullet"/>
    <w:basedOn w:val="Normal"/>
    <w:uiPriority w:val="99"/>
    <w:unhideWhenUsed/>
    <w:rsid w:val="004A328D"/>
    <w:pPr>
      <w:numPr>
        <w:numId w:val="18"/>
      </w:numPr>
      <w:tabs>
        <w:tab w:val="clear" w:pos="794"/>
        <w:tab w:val="clear" w:pos="1191"/>
        <w:tab w:val="clear" w:pos="1588"/>
        <w:tab w:val="clear" w:pos="1985"/>
      </w:tabs>
      <w:overflowPunct/>
      <w:autoSpaceDE/>
      <w:autoSpaceDN/>
      <w:adjustRightInd/>
      <w:spacing w:before="0" w:after="60" w:line="281" w:lineRule="auto"/>
      <w:textAlignment w:val="auto"/>
    </w:pPr>
    <w:rPr>
      <w:rFonts w:eastAsiaTheme="minorHAnsi" w:cstheme="minorBidi"/>
      <w:sz w:val="17"/>
      <w:szCs w:val="17"/>
    </w:rPr>
  </w:style>
  <w:style w:type="paragraph" w:customStyle="1" w:styleId="paragraph">
    <w:name w:val="paragraph"/>
    <w:basedOn w:val="Normal"/>
    <w:rsid w:val="007F63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Pa12">
    <w:name w:val="Pa12"/>
    <w:basedOn w:val="Normal"/>
    <w:next w:val="Normal"/>
    <w:uiPriority w:val="99"/>
    <w:rsid w:val="00657226"/>
    <w:pPr>
      <w:tabs>
        <w:tab w:val="clear" w:pos="794"/>
        <w:tab w:val="clear" w:pos="1191"/>
        <w:tab w:val="clear" w:pos="1588"/>
        <w:tab w:val="clear" w:pos="1985"/>
      </w:tabs>
      <w:overflowPunct/>
      <w:spacing w:before="0" w:line="251" w:lineRule="atLeast"/>
      <w:textAlignment w:val="auto"/>
    </w:pPr>
    <w:rPr>
      <w:rFonts w:ascii="Calibri" w:hAnsi="Calibri" w:cs="Calibri"/>
      <w:szCs w:val="24"/>
      <w:lang w:eastAsia="zh-CN"/>
    </w:rPr>
  </w:style>
  <w:style w:type="paragraph" w:customStyle="1" w:styleId="Pa18">
    <w:name w:val="Pa18"/>
    <w:basedOn w:val="Normal"/>
    <w:next w:val="Normal"/>
    <w:uiPriority w:val="99"/>
    <w:rsid w:val="00657226"/>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17">
    <w:name w:val="Pa17"/>
    <w:basedOn w:val="Normal"/>
    <w:next w:val="Normal"/>
    <w:uiPriority w:val="99"/>
    <w:rsid w:val="00657226"/>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19">
    <w:name w:val="Pa19"/>
    <w:basedOn w:val="Normal"/>
    <w:next w:val="Normal"/>
    <w:uiPriority w:val="99"/>
    <w:rsid w:val="000F37C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39">
    <w:name w:val="Pa39"/>
    <w:basedOn w:val="Normal"/>
    <w:next w:val="Normal"/>
    <w:uiPriority w:val="99"/>
    <w:rsid w:val="00F83820"/>
    <w:pPr>
      <w:tabs>
        <w:tab w:val="clear" w:pos="794"/>
        <w:tab w:val="clear" w:pos="1191"/>
        <w:tab w:val="clear" w:pos="1588"/>
        <w:tab w:val="clear" w:pos="1985"/>
      </w:tabs>
      <w:overflowPunct/>
      <w:spacing w:before="0" w:line="221" w:lineRule="atLeast"/>
      <w:textAlignment w:val="auto"/>
    </w:pPr>
    <w:rPr>
      <w:rFonts w:ascii="Calibri" w:hAnsi="Calibri" w:cs="Calibri"/>
      <w:szCs w:val="24"/>
      <w:lang w:eastAsia="zh-CN"/>
    </w:rPr>
  </w:style>
  <w:style w:type="paragraph" w:customStyle="1" w:styleId="Pa32">
    <w:name w:val="Pa32"/>
    <w:basedOn w:val="Normal"/>
    <w:next w:val="Normal"/>
    <w:uiPriority w:val="99"/>
    <w:rsid w:val="00F83820"/>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1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publications/ITU-D/pages/publications.aspx?parent=D-TDC-WTDC-2022&amp;media=electroni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Conferences/WTDC/WTDC17/Documents/WTDC17_final_report_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publications/ITU-D/pages/publications.aspx?parent=D-TDC-WTDC-2022&amp;media=electron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03D16-6133-4E08-B2C2-B958ADC68E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059490-42C5-4B86-974B-A9A740F3584B}">
  <ds:schemaRefs>
    <ds:schemaRef ds:uri="http://schemas.microsoft.com/sharepoint/v3/contenttype/forms"/>
  </ds:schemaRefs>
</ds:datastoreItem>
</file>

<file path=customXml/itemProps4.xml><?xml version="1.0" encoding="utf-8"?>
<ds:datastoreItem xmlns:ds="http://schemas.openxmlformats.org/officeDocument/2006/customXml" ds:itemID="{ABF58FEE-D3AE-4598-886B-EDC65E32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BDT-nd</cp:lastModifiedBy>
  <cp:revision>24</cp:revision>
  <cp:lastPrinted>2023-05-03T14:02:00Z</cp:lastPrinted>
  <dcterms:created xsi:type="dcterms:W3CDTF">2023-05-08T06:37:00Z</dcterms:created>
  <dcterms:modified xsi:type="dcterms:W3CDTF">2023-05-09T11:52:00Z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