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A07C3" w14:paraId="3F0E9EC4" w14:textId="77777777" w:rsidTr="00952667">
        <w:trPr>
          <w:cantSplit/>
          <w:trHeight w:val="1134"/>
        </w:trPr>
        <w:tc>
          <w:tcPr>
            <w:tcW w:w="6379" w:type="dxa"/>
          </w:tcPr>
          <w:p w14:paraId="68FE8375" w14:textId="60D4E501" w:rsidR="00307769" w:rsidRPr="00AA07C3" w:rsidRDefault="001011EB" w:rsidP="005E2A35">
            <w:pPr>
              <w:tabs>
                <w:tab w:val="clear" w:pos="1191"/>
                <w:tab w:val="clear" w:pos="1588"/>
                <w:tab w:val="clear" w:pos="1985"/>
              </w:tabs>
              <w:ind w:left="34"/>
              <w:rPr>
                <w:b/>
                <w:bCs/>
                <w:sz w:val="32"/>
                <w:szCs w:val="32"/>
                <w:lang w:val="fr-FR"/>
              </w:rPr>
            </w:pPr>
            <w:r w:rsidRPr="00AA07C3">
              <w:rPr>
                <w:b/>
                <w:bCs/>
                <w:sz w:val="32"/>
                <w:szCs w:val="32"/>
                <w:lang w:val="fr-FR"/>
              </w:rPr>
              <w:t xml:space="preserve">Groupe consultatif pour le développement </w:t>
            </w:r>
            <w:r w:rsidR="00307769" w:rsidRPr="00AA07C3">
              <w:rPr>
                <w:b/>
                <w:bCs/>
                <w:sz w:val="32"/>
                <w:szCs w:val="32"/>
                <w:lang w:val="fr-FR"/>
              </w:rPr>
              <w:br/>
            </w:r>
            <w:r w:rsidRPr="00AA07C3">
              <w:rPr>
                <w:b/>
                <w:bCs/>
                <w:sz w:val="32"/>
                <w:szCs w:val="32"/>
                <w:lang w:val="fr-FR"/>
              </w:rPr>
              <w:t>des télécommunications (GCDT</w:t>
            </w:r>
            <w:r w:rsidR="00307769" w:rsidRPr="00AA07C3">
              <w:rPr>
                <w:b/>
                <w:bCs/>
                <w:sz w:val="32"/>
                <w:szCs w:val="32"/>
                <w:lang w:val="fr-FR"/>
              </w:rPr>
              <w:t>)</w:t>
            </w:r>
          </w:p>
          <w:p w14:paraId="5F5F590A" w14:textId="0A20C9ED" w:rsidR="00307769" w:rsidRPr="00AA07C3" w:rsidRDefault="00307769" w:rsidP="005E2A35">
            <w:pPr>
              <w:tabs>
                <w:tab w:val="clear" w:pos="1191"/>
                <w:tab w:val="clear" w:pos="1588"/>
                <w:tab w:val="clear" w:pos="1985"/>
              </w:tabs>
              <w:spacing w:after="120"/>
              <w:ind w:left="34"/>
              <w:rPr>
                <w:rFonts w:ascii="Verdana" w:hAnsi="Verdana"/>
                <w:sz w:val="28"/>
                <w:szCs w:val="28"/>
                <w:lang w:val="fr-FR"/>
              </w:rPr>
            </w:pPr>
            <w:r w:rsidRPr="00AA07C3">
              <w:rPr>
                <w:b/>
                <w:bCs/>
                <w:sz w:val="26"/>
                <w:szCs w:val="26"/>
                <w:lang w:val="fr-FR"/>
              </w:rPr>
              <w:t>30</w:t>
            </w:r>
            <w:r w:rsidR="001011EB" w:rsidRPr="00AA07C3">
              <w:rPr>
                <w:b/>
                <w:bCs/>
                <w:sz w:val="26"/>
                <w:szCs w:val="26"/>
                <w:lang w:val="fr-FR"/>
              </w:rPr>
              <w:t>ème réunion</w:t>
            </w:r>
            <w:r w:rsidRPr="00AA07C3">
              <w:rPr>
                <w:b/>
                <w:bCs/>
                <w:sz w:val="26"/>
                <w:szCs w:val="26"/>
                <w:lang w:val="fr-FR"/>
              </w:rPr>
              <w:t xml:space="preserve">, </w:t>
            </w:r>
            <w:r w:rsidR="001011EB" w:rsidRPr="00AA07C3">
              <w:rPr>
                <w:b/>
                <w:bCs/>
                <w:sz w:val="26"/>
                <w:szCs w:val="26"/>
                <w:lang w:val="fr-FR"/>
              </w:rPr>
              <w:t>Genève</w:t>
            </w:r>
            <w:r w:rsidRPr="00AA07C3">
              <w:rPr>
                <w:b/>
                <w:bCs/>
                <w:sz w:val="26"/>
                <w:szCs w:val="26"/>
                <w:lang w:val="fr-FR"/>
              </w:rPr>
              <w:t xml:space="preserve"> </w:t>
            </w:r>
            <w:r w:rsidR="001011EB" w:rsidRPr="00AA07C3">
              <w:rPr>
                <w:b/>
                <w:bCs/>
                <w:sz w:val="26"/>
                <w:szCs w:val="26"/>
                <w:lang w:val="fr-FR"/>
              </w:rPr>
              <w:t>(Suisse)</w:t>
            </w:r>
            <w:r w:rsidRPr="00AA07C3">
              <w:rPr>
                <w:b/>
                <w:bCs/>
                <w:sz w:val="26"/>
                <w:szCs w:val="26"/>
                <w:lang w:val="fr-FR"/>
              </w:rPr>
              <w:t xml:space="preserve">, 19-23 </w:t>
            </w:r>
            <w:r w:rsidR="001011EB" w:rsidRPr="00AA07C3">
              <w:rPr>
                <w:b/>
                <w:bCs/>
                <w:sz w:val="26"/>
                <w:szCs w:val="26"/>
                <w:lang w:val="fr-FR"/>
              </w:rPr>
              <w:t>juin</w:t>
            </w:r>
            <w:r w:rsidRPr="00AA07C3">
              <w:rPr>
                <w:b/>
                <w:bCs/>
                <w:sz w:val="26"/>
                <w:szCs w:val="26"/>
                <w:lang w:val="fr-FR"/>
              </w:rPr>
              <w:t xml:space="preserve"> 2023</w:t>
            </w:r>
          </w:p>
        </w:tc>
        <w:tc>
          <w:tcPr>
            <w:tcW w:w="3509" w:type="dxa"/>
          </w:tcPr>
          <w:p w14:paraId="67E7B4C4" w14:textId="0F52E4CC" w:rsidR="00307769" w:rsidRPr="00AA07C3" w:rsidRDefault="00307769" w:rsidP="005E2A35">
            <w:pPr>
              <w:spacing w:after="120"/>
              <w:ind w:right="142"/>
              <w:jc w:val="right"/>
              <w:rPr>
                <w:lang w:val="fr-FR"/>
              </w:rPr>
            </w:pPr>
            <w:r w:rsidRPr="00AA07C3">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A07C3" w14:paraId="3C13197B" w14:textId="77777777" w:rsidTr="0009076F">
        <w:trPr>
          <w:cantSplit/>
        </w:trPr>
        <w:tc>
          <w:tcPr>
            <w:tcW w:w="6379" w:type="dxa"/>
            <w:tcBorders>
              <w:top w:val="single" w:sz="12" w:space="0" w:color="auto"/>
            </w:tcBorders>
          </w:tcPr>
          <w:p w14:paraId="2EED9DB2" w14:textId="77777777" w:rsidR="00683C32" w:rsidRPr="00AA07C3" w:rsidRDefault="00683C32" w:rsidP="005E2A35">
            <w:pPr>
              <w:spacing w:before="0"/>
              <w:rPr>
                <w:rFonts w:cs="Arial"/>
                <w:b/>
                <w:bCs/>
                <w:sz w:val="20"/>
                <w:lang w:val="fr-FR"/>
              </w:rPr>
            </w:pPr>
          </w:p>
        </w:tc>
        <w:tc>
          <w:tcPr>
            <w:tcW w:w="3509" w:type="dxa"/>
            <w:tcBorders>
              <w:top w:val="single" w:sz="12" w:space="0" w:color="auto"/>
            </w:tcBorders>
          </w:tcPr>
          <w:p w14:paraId="6CC77CFE" w14:textId="77777777" w:rsidR="00683C32" w:rsidRPr="00AA07C3" w:rsidRDefault="00683C32" w:rsidP="005E2A35">
            <w:pPr>
              <w:spacing w:before="0"/>
              <w:rPr>
                <w:b/>
                <w:bCs/>
                <w:sz w:val="20"/>
                <w:lang w:val="fr-FR"/>
              </w:rPr>
            </w:pPr>
          </w:p>
        </w:tc>
      </w:tr>
      <w:tr w:rsidR="00683C32" w:rsidRPr="00AE0F57" w14:paraId="0BB3FBC4" w14:textId="77777777" w:rsidTr="0009076F">
        <w:trPr>
          <w:cantSplit/>
        </w:trPr>
        <w:tc>
          <w:tcPr>
            <w:tcW w:w="6379" w:type="dxa"/>
          </w:tcPr>
          <w:p w14:paraId="43C54B3D" w14:textId="77777777" w:rsidR="00683C32" w:rsidRPr="00AA07C3" w:rsidRDefault="00683C32" w:rsidP="005E2A35">
            <w:pPr>
              <w:pStyle w:val="Committee"/>
              <w:spacing w:before="0"/>
              <w:rPr>
                <w:b w:val="0"/>
                <w:szCs w:val="24"/>
                <w:lang w:val="fr-FR"/>
              </w:rPr>
            </w:pPr>
          </w:p>
        </w:tc>
        <w:tc>
          <w:tcPr>
            <w:tcW w:w="3509" w:type="dxa"/>
          </w:tcPr>
          <w:p w14:paraId="02E44EE9" w14:textId="47232A98" w:rsidR="00683C32" w:rsidRPr="00AA07C3" w:rsidRDefault="00461482" w:rsidP="005E2A35">
            <w:pPr>
              <w:spacing w:before="0"/>
              <w:jc w:val="both"/>
              <w:rPr>
                <w:bCs/>
                <w:szCs w:val="24"/>
                <w:lang w:val="fr-FR"/>
              </w:rPr>
            </w:pPr>
            <w:r>
              <w:rPr>
                <w:b/>
                <w:bCs/>
                <w:lang w:val="fr-FR"/>
              </w:rPr>
              <w:t>Révision 1 du</w:t>
            </w:r>
            <w:r>
              <w:rPr>
                <w:b/>
                <w:bCs/>
                <w:lang w:val="fr-FR"/>
              </w:rPr>
              <w:br/>
            </w:r>
            <w:r w:rsidR="0096201B" w:rsidRPr="00AA07C3">
              <w:rPr>
                <w:b/>
                <w:bCs/>
                <w:lang w:val="fr-FR"/>
              </w:rPr>
              <w:t xml:space="preserve">Document </w:t>
            </w:r>
            <w:bookmarkStart w:id="0" w:name="DocRef1"/>
            <w:bookmarkEnd w:id="0"/>
            <w:r w:rsidR="0096201B" w:rsidRPr="00AA07C3">
              <w:rPr>
                <w:b/>
                <w:bCs/>
                <w:lang w:val="fr-FR"/>
              </w:rPr>
              <w:t>TDAG</w:t>
            </w:r>
            <w:r w:rsidR="003242AB" w:rsidRPr="00AA07C3">
              <w:rPr>
                <w:b/>
                <w:bCs/>
                <w:lang w:val="fr-FR"/>
              </w:rPr>
              <w:t>-</w:t>
            </w:r>
            <w:r w:rsidR="00B648C7" w:rsidRPr="00AA07C3">
              <w:rPr>
                <w:b/>
                <w:bCs/>
                <w:lang w:val="fr-FR"/>
              </w:rPr>
              <w:t>2</w:t>
            </w:r>
            <w:bookmarkStart w:id="1" w:name="DocNo1"/>
            <w:bookmarkEnd w:id="1"/>
            <w:r w:rsidR="00307769" w:rsidRPr="00AA07C3">
              <w:rPr>
                <w:b/>
                <w:bCs/>
                <w:lang w:val="fr-FR"/>
              </w:rPr>
              <w:t>3</w:t>
            </w:r>
            <w:r w:rsidR="0009076F" w:rsidRPr="00AA07C3">
              <w:rPr>
                <w:b/>
                <w:bCs/>
                <w:lang w:val="fr-FR"/>
              </w:rPr>
              <w:t>/</w:t>
            </w:r>
            <w:r w:rsidR="00712516" w:rsidRPr="00AA07C3">
              <w:rPr>
                <w:b/>
                <w:bCs/>
                <w:lang w:val="fr-FR"/>
              </w:rPr>
              <w:t>13</w:t>
            </w:r>
            <w:r w:rsidR="0096201B" w:rsidRPr="00AA07C3">
              <w:rPr>
                <w:b/>
                <w:bCs/>
                <w:lang w:val="fr-FR"/>
              </w:rPr>
              <w:t>-</w:t>
            </w:r>
            <w:r w:rsidR="00E25345" w:rsidRPr="00AA07C3">
              <w:rPr>
                <w:b/>
                <w:bCs/>
                <w:lang w:val="fr-FR"/>
              </w:rPr>
              <w:t>F</w:t>
            </w:r>
          </w:p>
        </w:tc>
      </w:tr>
      <w:tr w:rsidR="00683C32" w:rsidRPr="00AA07C3" w14:paraId="24D04936" w14:textId="77777777" w:rsidTr="0009076F">
        <w:trPr>
          <w:cantSplit/>
        </w:trPr>
        <w:tc>
          <w:tcPr>
            <w:tcW w:w="6379" w:type="dxa"/>
          </w:tcPr>
          <w:p w14:paraId="12CE4DBF" w14:textId="77777777" w:rsidR="00683C32" w:rsidRPr="00AA07C3" w:rsidRDefault="00683C32" w:rsidP="005E2A35">
            <w:pPr>
              <w:spacing w:before="0"/>
              <w:rPr>
                <w:b/>
                <w:bCs/>
                <w:smallCaps/>
                <w:szCs w:val="24"/>
                <w:lang w:val="fr-FR"/>
              </w:rPr>
            </w:pPr>
          </w:p>
        </w:tc>
        <w:tc>
          <w:tcPr>
            <w:tcW w:w="3509" w:type="dxa"/>
          </w:tcPr>
          <w:p w14:paraId="0F89640F" w14:textId="53E2C095" w:rsidR="00683C32" w:rsidRPr="00AA07C3" w:rsidRDefault="00461482" w:rsidP="005E2A35">
            <w:pPr>
              <w:spacing w:before="0"/>
              <w:rPr>
                <w:b/>
                <w:szCs w:val="24"/>
                <w:lang w:val="fr-FR"/>
              </w:rPr>
            </w:pPr>
            <w:bookmarkStart w:id="2" w:name="CreationDate"/>
            <w:bookmarkEnd w:id="2"/>
            <w:r>
              <w:rPr>
                <w:b/>
                <w:bCs/>
                <w:szCs w:val="28"/>
                <w:lang w:val="fr-FR"/>
              </w:rPr>
              <w:t>13 juin</w:t>
            </w:r>
            <w:r w:rsidR="00CE0422" w:rsidRPr="00AA07C3">
              <w:rPr>
                <w:b/>
                <w:bCs/>
                <w:szCs w:val="28"/>
                <w:lang w:val="fr-FR"/>
              </w:rPr>
              <w:t xml:space="preserve"> 20</w:t>
            </w:r>
            <w:r w:rsidR="00B648C7" w:rsidRPr="00AA07C3">
              <w:rPr>
                <w:b/>
                <w:bCs/>
                <w:szCs w:val="28"/>
                <w:lang w:val="fr-FR"/>
              </w:rPr>
              <w:t>2</w:t>
            </w:r>
            <w:r w:rsidR="00307769" w:rsidRPr="00AA07C3">
              <w:rPr>
                <w:b/>
                <w:bCs/>
                <w:szCs w:val="28"/>
                <w:lang w:val="fr-FR"/>
              </w:rPr>
              <w:t>3</w:t>
            </w:r>
          </w:p>
        </w:tc>
      </w:tr>
      <w:tr w:rsidR="00683C32" w:rsidRPr="00AA07C3" w14:paraId="7B96545F" w14:textId="77777777" w:rsidTr="0009076F">
        <w:trPr>
          <w:cantSplit/>
        </w:trPr>
        <w:tc>
          <w:tcPr>
            <w:tcW w:w="6379" w:type="dxa"/>
          </w:tcPr>
          <w:p w14:paraId="65956FD3" w14:textId="77777777" w:rsidR="00683C32" w:rsidRPr="00AA07C3" w:rsidRDefault="00683C32" w:rsidP="005E2A35">
            <w:pPr>
              <w:spacing w:before="0"/>
              <w:rPr>
                <w:b/>
                <w:bCs/>
                <w:smallCaps/>
                <w:szCs w:val="24"/>
                <w:lang w:val="fr-FR"/>
              </w:rPr>
            </w:pPr>
          </w:p>
        </w:tc>
        <w:tc>
          <w:tcPr>
            <w:tcW w:w="3509" w:type="dxa"/>
          </w:tcPr>
          <w:p w14:paraId="30EFD39F" w14:textId="33ACFB79" w:rsidR="00514D2F" w:rsidRPr="00AA07C3" w:rsidRDefault="0096201B" w:rsidP="005E2A35">
            <w:pPr>
              <w:spacing w:before="0"/>
              <w:rPr>
                <w:szCs w:val="24"/>
                <w:lang w:val="fr-FR"/>
              </w:rPr>
            </w:pPr>
            <w:r w:rsidRPr="00AA07C3">
              <w:rPr>
                <w:b/>
                <w:lang w:val="fr-FR"/>
              </w:rPr>
              <w:t>Original:</w:t>
            </w:r>
            <w:bookmarkStart w:id="3" w:name="Original"/>
            <w:bookmarkEnd w:id="3"/>
            <w:r w:rsidR="00CE0422" w:rsidRPr="00AA07C3">
              <w:rPr>
                <w:b/>
                <w:lang w:val="fr-FR"/>
              </w:rPr>
              <w:t xml:space="preserve"> </w:t>
            </w:r>
            <w:r w:rsidR="001011EB" w:rsidRPr="00AA07C3">
              <w:rPr>
                <w:b/>
                <w:lang w:val="fr-FR"/>
              </w:rPr>
              <w:t>anglais</w:t>
            </w:r>
          </w:p>
        </w:tc>
      </w:tr>
      <w:tr w:rsidR="00A13162" w:rsidRPr="00AE0F57" w14:paraId="31656E31" w14:textId="77777777" w:rsidTr="00107E85">
        <w:trPr>
          <w:cantSplit/>
          <w:trHeight w:val="852"/>
        </w:trPr>
        <w:tc>
          <w:tcPr>
            <w:tcW w:w="9888" w:type="dxa"/>
            <w:gridSpan w:val="2"/>
          </w:tcPr>
          <w:p w14:paraId="512FCA01" w14:textId="264F4B9D" w:rsidR="00A13162" w:rsidRPr="00AA07C3" w:rsidRDefault="00712516" w:rsidP="005E2A35">
            <w:pPr>
              <w:pStyle w:val="Source"/>
              <w:rPr>
                <w:lang w:val="fr-FR"/>
              </w:rPr>
            </w:pPr>
            <w:bookmarkStart w:id="4" w:name="Source"/>
            <w:bookmarkEnd w:id="4"/>
            <w:r w:rsidRPr="00AA07C3">
              <w:rPr>
                <w:lang w:val="fr-FR"/>
              </w:rPr>
              <w:t>Directeur du Bureau de développement des télécommunications</w:t>
            </w:r>
          </w:p>
        </w:tc>
      </w:tr>
      <w:tr w:rsidR="00AC6F14" w:rsidRPr="00AE0F57" w14:paraId="2CBD3A36" w14:textId="77777777" w:rsidTr="00107E85">
        <w:trPr>
          <w:cantSplit/>
        </w:trPr>
        <w:tc>
          <w:tcPr>
            <w:tcW w:w="9888" w:type="dxa"/>
            <w:gridSpan w:val="2"/>
          </w:tcPr>
          <w:p w14:paraId="1B4121DF" w14:textId="2703EA00" w:rsidR="00AC6F14" w:rsidRPr="00AA07C3" w:rsidRDefault="00712516" w:rsidP="005E2A35">
            <w:pPr>
              <w:pStyle w:val="Title1"/>
              <w:rPr>
                <w:lang w:val="fr-FR"/>
              </w:rPr>
            </w:pPr>
            <w:bookmarkStart w:id="5" w:name="Title"/>
            <w:bookmarkEnd w:id="5"/>
            <w:r w:rsidRPr="00AA07C3">
              <w:rPr>
                <w:lang w:val="fr-FR"/>
              </w:rPr>
              <w:t>Alliance de l</w:t>
            </w:r>
            <w:r w:rsidR="00026688" w:rsidRPr="00AA07C3">
              <w:rPr>
                <w:lang w:val="fr-FR"/>
              </w:rPr>
              <w:t>'</w:t>
            </w:r>
            <w:r w:rsidRPr="00AA07C3">
              <w:rPr>
                <w:lang w:val="fr-FR"/>
              </w:rPr>
              <w:t>innovation et de l</w:t>
            </w:r>
            <w:r w:rsidR="00026688" w:rsidRPr="00AA07C3">
              <w:rPr>
                <w:lang w:val="fr-FR"/>
              </w:rPr>
              <w:t>'</w:t>
            </w:r>
            <w:r w:rsidRPr="00AA07C3">
              <w:rPr>
                <w:lang w:val="fr-FR"/>
              </w:rPr>
              <w:t xml:space="preserve">entrepreneuriat au service </w:t>
            </w:r>
            <w:r w:rsidRPr="00AA07C3">
              <w:rPr>
                <w:lang w:val="fr-FR"/>
              </w:rPr>
              <w:br/>
              <w:t>du développement du numérique</w:t>
            </w:r>
          </w:p>
        </w:tc>
      </w:tr>
      <w:tr w:rsidR="00A721F4" w:rsidRPr="00AE0F57" w14:paraId="23A30231" w14:textId="77777777" w:rsidTr="00A721F4">
        <w:trPr>
          <w:cantSplit/>
        </w:trPr>
        <w:tc>
          <w:tcPr>
            <w:tcW w:w="9888" w:type="dxa"/>
            <w:gridSpan w:val="2"/>
            <w:tcBorders>
              <w:bottom w:val="single" w:sz="4" w:space="0" w:color="auto"/>
            </w:tcBorders>
          </w:tcPr>
          <w:p w14:paraId="726EE70E" w14:textId="77777777" w:rsidR="00A721F4" w:rsidRPr="00AA07C3" w:rsidRDefault="00A721F4" w:rsidP="005E2A35">
            <w:pPr>
              <w:rPr>
                <w:lang w:val="fr-FR"/>
              </w:rPr>
            </w:pPr>
          </w:p>
        </w:tc>
      </w:tr>
      <w:tr w:rsidR="00A721F4" w:rsidRPr="00AA07C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A07C3" w:rsidRDefault="001011EB" w:rsidP="005E2A35">
            <w:pPr>
              <w:spacing w:after="120"/>
              <w:rPr>
                <w:b/>
                <w:bCs/>
                <w:szCs w:val="24"/>
                <w:lang w:val="fr-FR"/>
              </w:rPr>
            </w:pPr>
            <w:r w:rsidRPr="00AA07C3">
              <w:rPr>
                <w:b/>
                <w:bCs/>
                <w:szCs w:val="24"/>
                <w:lang w:val="fr-FR"/>
              </w:rPr>
              <w:t>Résumé</w:t>
            </w:r>
            <w:r w:rsidR="00A721F4" w:rsidRPr="00AA07C3">
              <w:rPr>
                <w:b/>
                <w:bCs/>
                <w:szCs w:val="24"/>
                <w:lang w:val="fr-FR"/>
              </w:rPr>
              <w:t>:</w:t>
            </w:r>
          </w:p>
          <w:p w14:paraId="0840564B" w14:textId="323F1852" w:rsidR="00712516" w:rsidRPr="00AA07C3" w:rsidRDefault="00712516" w:rsidP="005E2A35">
            <w:pPr>
              <w:spacing w:after="120"/>
              <w:rPr>
                <w:lang w:val="fr-FR"/>
              </w:rPr>
            </w:pPr>
            <w:r w:rsidRPr="00AA07C3">
              <w:rPr>
                <w:lang w:val="fr-FR"/>
              </w:rPr>
              <w:t>Le présent document donne un aperçu de</w:t>
            </w:r>
            <w:r w:rsidR="00E543B3">
              <w:rPr>
                <w:lang w:val="fr-FR"/>
              </w:rPr>
              <w:t xml:space="preserve"> l'</w:t>
            </w:r>
            <w:bookmarkStart w:id="6" w:name="_Hlk135982300"/>
            <w:r w:rsidR="00E50602" w:rsidRPr="00AA07C3">
              <w:fldChar w:fldCharType="begin"/>
            </w:r>
            <w:r w:rsidR="00026688" w:rsidRPr="00AA07C3">
              <w:rPr>
                <w:lang w:val="fr-FR"/>
              </w:rPr>
              <w:instrText>HYPERLINK "https://www.itu.int/itu-d/sites/innovation-alliance/fr/"</w:instrText>
            </w:r>
            <w:r w:rsidR="00E50602" w:rsidRPr="00AA07C3">
              <w:fldChar w:fldCharType="separate"/>
            </w:r>
            <w:r w:rsidRPr="00AA07C3">
              <w:rPr>
                <w:rStyle w:val="Hyperlink"/>
                <w:lang w:val="fr-FR"/>
              </w:rPr>
              <w:t xml:space="preserve">Alliance </w:t>
            </w:r>
            <w:r w:rsidRPr="00E74FB7">
              <w:rPr>
                <w:rStyle w:val="Hyperlink"/>
                <w:lang w:val="fr-FR"/>
              </w:rPr>
              <w:t>de</w:t>
            </w:r>
            <w:r w:rsidRPr="00AA07C3">
              <w:rPr>
                <w:rStyle w:val="Hyperlink"/>
                <w:lang w:val="fr-FR"/>
              </w:rPr>
              <w:t xml:space="preserve"> l</w:t>
            </w:r>
            <w:r w:rsidR="00026688" w:rsidRPr="00AA07C3">
              <w:rPr>
                <w:rStyle w:val="Hyperlink"/>
                <w:lang w:val="fr-FR"/>
              </w:rPr>
              <w:t>'</w:t>
            </w:r>
            <w:r w:rsidRPr="00AA07C3">
              <w:rPr>
                <w:rStyle w:val="Hyperlink"/>
                <w:lang w:val="fr-FR"/>
              </w:rPr>
              <w:t>innovation et de l</w:t>
            </w:r>
            <w:r w:rsidR="00026688" w:rsidRPr="00AA07C3">
              <w:rPr>
                <w:rStyle w:val="Hyperlink"/>
                <w:lang w:val="fr-FR"/>
              </w:rPr>
              <w:t>'</w:t>
            </w:r>
            <w:r w:rsidRPr="00AA07C3">
              <w:rPr>
                <w:rStyle w:val="Hyperlink"/>
                <w:lang w:val="fr-FR"/>
              </w:rPr>
              <w:t>entrepreneuriat au service du développement du numérique</w:t>
            </w:r>
            <w:r w:rsidR="00E50602" w:rsidRPr="00AA07C3">
              <w:rPr>
                <w:rStyle w:val="Hyperlink"/>
                <w:lang w:val="fr-FR"/>
              </w:rPr>
              <w:fldChar w:fldCharType="end"/>
            </w:r>
            <w:bookmarkEnd w:id="6"/>
            <w:r w:rsidRPr="00AA07C3">
              <w:rPr>
                <w:lang w:val="fr-FR"/>
              </w:rPr>
              <w:t>, qui a vocation à répondre aux nombreux besoins des membres de l</w:t>
            </w:r>
            <w:r w:rsidR="00026688" w:rsidRPr="00AA07C3">
              <w:rPr>
                <w:lang w:val="fr-FR"/>
              </w:rPr>
              <w:t>'</w:t>
            </w:r>
            <w:r w:rsidRPr="00AA07C3">
              <w:rPr>
                <w:lang w:val="fr-FR"/>
              </w:rPr>
              <w:t>UIT qui n</w:t>
            </w:r>
            <w:r w:rsidR="00026688" w:rsidRPr="00AA07C3">
              <w:rPr>
                <w:lang w:val="fr-FR"/>
              </w:rPr>
              <w:t>'</w:t>
            </w:r>
            <w:r w:rsidRPr="00AA07C3">
              <w:rPr>
                <w:lang w:val="fr-FR"/>
              </w:rPr>
              <w:t>ont pas encore été satisfaits dans le domaine de l</w:t>
            </w:r>
            <w:r w:rsidR="00026688" w:rsidRPr="00AA07C3">
              <w:rPr>
                <w:lang w:val="fr-FR"/>
              </w:rPr>
              <w:t>'</w:t>
            </w:r>
            <w:r w:rsidRPr="00AA07C3">
              <w:rPr>
                <w:lang w:val="fr-FR"/>
              </w:rPr>
              <w:t>innovation, comme il ressort du Plan d</w:t>
            </w:r>
            <w:r w:rsidR="00026688" w:rsidRPr="00AA07C3">
              <w:rPr>
                <w:lang w:val="fr-FR"/>
              </w:rPr>
              <w:t>'</w:t>
            </w:r>
            <w:r w:rsidRPr="00AA07C3">
              <w:rPr>
                <w:lang w:val="fr-FR"/>
              </w:rPr>
              <w:t>action de Kigali adopté à la Conférence mondiale de développement des télécommunications de 2022 (CMDT-22) et de la résolution pertinente de la Conférence de plénipotentiaires de l</w:t>
            </w:r>
            <w:r w:rsidR="00026688" w:rsidRPr="00AA07C3">
              <w:rPr>
                <w:lang w:val="fr-FR"/>
              </w:rPr>
              <w:t>'</w:t>
            </w:r>
            <w:r w:rsidRPr="00AA07C3">
              <w:rPr>
                <w:lang w:val="fr-FR"/>
              </w:rPr>
              <w:t>UIT de 2022 (PP-22), citée en référence ci-dessous.</w:t>
            </w:r>
          </w:p>
          <w:p w14:paraId="273B33AB" w14:textId="28DD967B" w:rsidR="00712516" w:rsidRPr="00AA07C3" w:rsidRDefault="00712516" w:rsidP="005E2A35">
            <w:pPr>
              <w:spacing w:after="120"/>
              <w:rPr>
                <w:lang w:val="fr-FR"/>
              </w:rPr>
            </w:pPr>
            <w:r w:rsidRPr="00AA07C3">
              <w:rPr>
                <w:lang w:val="fr-FR"/>
              </w:rPr>
              <w:t>L</w:t>
            </w:r>
            <w:r w:rsidR="00026688" w:rsidRPr="00AA07C3">
              <w:rPr>
                <w:lang w:val="fr-FR"/>
              </w:rPr>
              <w:t>'</w:t>
            </w:r>
            <w:r w:rsidRPr="00AA07C3">
              <w:rPr>
                <w:lang w:val="fr-FR"/>
              </w:rPr>
              <w:t>Alliance contribuera à la mise en œuvre des cinq domaines prioritaires de la CMDT-22, en particulier celui qui porte sur la transformation numérique.</w:t>
            </w:r>
          </w:p>
          <w:p w14:paraId="4082D7E8" w14:textId="75BE0BBE" w:rsidR="00A721F4" w:rsidRPr="00AA07C3" w:rsidRDefault="00712516" w:rsidP="005E2A35">
            <w:pPr>
              <w:spacing w:after="120"/>
              <w:rPr>
                <w:lang w:val="fr-FR"/>
              </w:rPr>
            </w:pPr>
            <w:r w:rsidRPr="00AA07C3">
              <w:rPr>
                <w:lang w:val="fr-FR"/>
              </w:rPr>
              <w:t>On trouvera dans le</w:t>
            </w:r>
            <w:r w:rsidR="00286CD2" w:rsidRPr="00AA07C3">
              <w:rPr>
                <w:lang w:val="fr-FR"/>
              </w:rPr>
              <w:t xml:space="preserve"> </w:t>
            </w:r>
            <w:r w:rsidRPr="00AA07C3">
              <w:rPr>
                <w:lang w:val="fr-FR"/>
              </w:rPr>
              <w:t>présent document</w:t>
            </w:r>
            <w:r w:rsidR="00286CD2" w:rsidRPr="00AA07C3">
              <w:rPr>
                <w:lang w:val="fr-FR"/>
              </w:rPr>
              <w:t xml:space="preserve"> </w:t>
            </w:r>
            <w:r w:rsidRPr="00AA07C3">
              <w:rPr>
                <w:lang w:val="fr-FR"/>
              </w:rPr>
              <w:t>une présentation des objectifs de l</w:t>
            </w:r>
            <w:r w:rsidR="00026688" w:rsidRPr="00AA07C3">
              <w:rPr>
                <w:lang w:val="fr-FR"/>
              </w:rPr>
              <w:t>'</w:t>
            </w:r>
            <w:r w:rsidRPr="00AA07C3">
              <w:rPr>
                <w:lang w:val="fr-FR"/>
              </w:rPr>
              <w:t>Alliance de l</w:t>
            </w:r>
            <w:r w:rsidR="00026688" w:rsidRPr="00AA07C3">
              <w:rPr>
                <w:lang w:val="fr-FR"/>
              </w:rPr>
              <w:t>'</w:t>
            </w:r>
            <w:r w:rsidRPr="00AA07C3">
              <w:rPr>
                <w:lang w:val="fr-FR"/>
              </w:rPr>
              <w:t>innovation et de l</w:t>
            </w:r>
            <w:r w:rsidR="00026688" w:rsidRPr="00AA07C3">
              <w:rPr>
                <w:lang w:val="fr-FR"/>
              </w:rPr>
              <w:t>'</w:t>
            </w:r>
            <w:r w:rsidRPr="00AA07C3">
              <w:rPr>
                <w:lang w:val="fr-FR"/>
              </w:rPr>
              <w:t>entrepreneuriat au service du développement du numérique et</w:t>
            </w:r>
            <w:r w:rsidR="00286CD2" w:rsidRPr="00AA07C3">
              <w:rPr>
                <w:lang w:val="fr-FR"/>
              </w:rPr>
              <w:t xml:space="preserve"> </w:t>
            </w:r>
            <w:r w:rsidRPr="00AA07C3">
              <w:rPr>
                <w:lang w:val="fr-FR"/>
              </w:rPr>
              <w:t>une vue d</w:t>
            </w:r>
            <w:r w:rsidR="00026688" w:rsidRPr="00AA07C3">
              <w:rPr>
                <w:lang w:val="fr-FR"/>
              </w:rPr>
              <w:t>'</w:t>
            </w:r>
            <w:r w:rsidRPr="00AA07C3">
              <w:rPr>
                <w:lang w:val="fr-FR"/>
              </w:rPr>
              <w:t xml:space="preserve">ensemble des progrès déjà accomplis dans sa mise en </w:t>
            </w:r>
            <w:r w:rsidR="00286CD2" w:rsidRPr="00AA07C3">
              <w:rPr>
                <w:lang w:val="fr-FR"/>
              </w:rPr>
              <w:t>œuvre</w:t>
            </w:r>
            <w:r w:rsidRPr="00AA07C3">
              <w:rPr>
                <w:lang w:val="fr-FR"/>
              </w:rPr>
              <w:t>. Étant donné que toutes les régions ont fait de l</w:t>
            </w:r>
            <w:r w:rsidR="00026688" w:rsidRPr="00AA07C3">
              <w:rPr>
                <w:lang w:val="fr-FR"/>
              </w:rPr>
              <w:t>'</w:t>
            </w:r>
            <w:r w:rsidRPr="00AA07C3">
              <w:rPr>
                <w:lang w:val="fr-FR"/>
              </w:rPr>
              <w:t>innovation et de l</w:t>
            </w:r>
            <w:r w:rsidR="00026688" w:rsidRPr="00AA07C3">
              <w:rPr>
                <w:lang w:val="fr-FR"/>
              </w:rPr>
              <w:t>'</w:t>
            </w:r>
            <w:r w:rsidRPr="00AA07C3">
              <w:rPr>
                <w:lang w:val="fr-FR"/>
              </w:rPr>
              <w:t>entrepreneuriat une</w:t>
            </w:r>
            <w:r w:rsidR="00286CD2" w:rsidRPr="00AA07C3">
              <w:rPr>
                <w:lang w:val="fr-FR"/>
              </w:rPr>
              <w:t xml:space="preserve"> </w:t>
            </w:r>
            <w:r w:rsidRPr="00AA07C3">
              <w:rPr>
                <w:lang w:val="fr-FR"/>
              </w:rPr>
              <w:t>priorité, cette initiative contribuera au succès de</w:t>
            </w:r>
            <w:r w:rsidR="00286CD2" w:rsidRPr="00AA07C3">
              <w:rPr>
                <w:lang w:val="fr-FR"/>
              </w:rPr>
              <w:t xml:space="preserve"> </w:t>
            </w:r>
            <w:r w:rsidRPr="00AA07C3">
              <w:rPr>
                <w:lang w:val="fr-FR"/>
              </w:rPr>
              <w:t>l</w:t>
            </w:r>
            <w:r w:rsidR="00026688" w:rsidRPr="00AA07C3">
              <w:rPr>
                <w:lang w:val="fr-FR"/>
              </w:rPr>
              <w:t>'</w:t>
            </w:r>
            <w:r w:rsidRPr="00AA07C3">
              <w:rPr>
                <w:lang w:val="fr-FR"/>
              </w:rPr>
              <w:t>exécution des projets</w:t>
            </w:r>
            <w:r w:rsidR="00286CD2" w:rsidRPr="00AA07C3">
              <w:rPr>
                <w:lang w:val="fr-FR"/>
              </w:rPr>
              <w:t xml:space="preserve"> </w:t>
            </w:r>
            <w:r w:rsidRPr="00AA07C3">
              <w:rPr>
                <w:lang w:val="fr-FR"/>
              </w:rPr>
              <w:t>relevant</w:t>
            </w:r>
            <w:r w:rsidR="00286CD2" w:rsidRPr="00AA07C3">
              <w:rPr>
                <w:lang w:val="fr-FR"/>
              </w:rPr>
              <w:t xml:space="preserve"> </w:t>
            </w:r>
            <w:r w:rsidRPr="00AA07C3">
              <w:rPr>
                <w:lang w:val="fr-FR"/>
              </w:rPr>
              <w:t>des initiatives régionales.</w:t>
            </w:r>
          </w:p>
          <w:p w14:paraId="76A1C541" w14:textId="23209CDB" w:rsidR="00A721F4" w:rsidRPr="00AA07C3" w:rsidRDefault="001011EB" w:rsidP="005E2A35">
            <w:pPr>
              <w:spacing w:after="120"/>
              <w:rPr>
                <w:b/>
                <w:bCs/>
                <w:szCs w:val="24"/>
                <w:lang w:val="fr-FR"/>
              </w:rPr>
            </w:pPr>
            <w:r w:rsidRPr="00AA07C3">
              <w:rPr>
                <w:b/>
                <w:bCs/>
                <w:lang w:val="fr-FR"/>
              </w:rPr>
              <w:t>Suite à donner</w:t>
            </w:r>
            <w:r w:rsidR="00A721F4" w:rsidRPr="00AA07C3">
              <w:rPr>
                <w:b/>
                <w:bCs/>
                <w:lang w:val="fr-FR"/>
              </w:rPr>
              <w:t>:</w:t>
            </w:r>
          </w:p>
          <w:p w14:paraId="371956FC" w14:textId="6998F8EF" w:rsidR="00A721F4" w:rsidRPr="00AA07C3" w:rsidRDefault="00712516" w:rsidP="005E2A35">
            <w:pPr>
              <w:spacing w:after="120"/>
              <w:rPr>
                <w:szCs w:val="24"/>
                <w:lang w:val="fr-FR"/>
              </w:rPr>
            </w:pPr>
            <w:r w:rsidRPr="00AA07C3">
              <w:rPr>
                <w:lang w:val="fr-FR"/>
              </w:rPr>
              <w:t>Le GCDT est invité à prendre note du présent document et à fournir les indications qu</w:t>
            </w:r>
            <w:r w:rsidR="00026688" w:rsidRPr="00AA07C3">
              <w:rPr>
                <w:lang w:val="fr-FR"/>
              </w:rPr>
              <w:t>'</w:t>
            </w:r>
            <w:r w:rsidRPr="00AA07C3">
              <w:rPr>
                <w:lang w:val="fr-FR"/>
              </w:rPr>
              <w:t>il jugera nécessaires.</w:t>
            </w:r>
          </w:p>
          <w:p w14:paraId="622ACB80" w14:textId="39EE560D" w:rsidR="00A721F4" w:rsidRPr="00AA07C3" w:rsidRDefault="00A721F4" w:rsidP="005E2A35">
            <w:pPr>
              <w:spacing w:after="120"/>
              <w:rPr>
                <w:b/>
                <w:bCs/>
                <w:szCs w:val="24"/>
                <w:lang w:val="fr-FR"/>
              </w:rPr>
            </w:pPr>
            <w:r w:rsidRPr="00AA07C3">
              <w:rPr>
                <w:b/>
                <w:bCs/>
                <w:szCs w:val="24"/>
                <w:lang w:val="fr-FR"/>
              </w:rPr>
              <w:t>R</w:t>
            </w:r>
            <w:r w:rsidR="001011EB" w:rsidRPr="00AA07C3">
              <w:rPr>
                <w:b/>
                <w:bCs/>
                <w:szCs w:val="24"/>
                <w:lang w:val="fr-FR"/>
              </w:rPr>
              <w:t>é</w:t>
            </w:r>
            <w:r w:rsidRPr="00AA07C3">
              <w:rPr>
                <w:b/>
                <w:bCs/>
                <w:szCs w:val="24"/>
                <w:lang w:val="fr-FR"/>
              </w:rPr>
              <w:t>f</w:t>
            </w:r>
            <w:r w:rsidR="001011EB" w:rsidRPr="00AA07C3">
              <w:rPr>
                <w:b/>
                <w:bCs/>
                <w:szCs w:val="24"/>
                <w:lang w:val="fr-FR"/>
              </w:rPr>
              <w:t>é</w:t>
            </w:r>
            <w:r w:rsidRPr="00AA07C3">
              <w:rPr>
                <w:b/>
                <w:bCs/>
                <w:szCs w:val="24"/>
                <w:lang w:val="fr-FR"/>
              </w:rPr>
              <w:t>rences:</w:t>
            </w:r>
          </w:p>
          <w:p w14:paraId="083D2FAA" w14:textId="60DF3F6A" w:rsidR="00712516" w:rsidRPr="00AA07C3" w:rsidRDefault="00712516" w:rsidP="005E2A35">
            <w:pPr>
              <w:spacing w:after="120"/>
              <w:rPr>
                <w:lang w:val="fr-FR"/>
              </w:rPr>
            </w:pPr>
            <w:r w:rsidRPr="00AA07C3">
              <w:rPr>
                <w:lang w:val="fr-FR"/>
              </w:rPr>
              <w:t>Résolutions 90, 89 et 85 (Rév. Kigali, 2022) de la CMDT.</w:t>
            </w:r>
          </w:p>
          <w:p w14:paraId="2E5A32E6" w14:textId="19C37193" w:rsidR="00712516" w:rsidRPr="00AA07C3" w:rsidRDefault="00712516" w:rsidP="005E2A35">
            <w:pPr>
              <w:spacing w:after="120"/>
              <w:rPr>
                <w:lang w:val="fr-FR"/>
              </w:rPr>
            </w:pPr>
            <w:r w:rsidRPr="00AA07C3">
              <w:rPr>
                <w:lang w:val="fr-FR"/>
              </w:rPr>
              <w:t>Initiatives régionales de l</w:t>
            </w:r>
            <w:r w:rsidR="00026688" w:rsidRPr="00AA07C3">
              <w:rPr>
                <w:lang w:val="fr-FR"/>
              </w:rPr>
              <w:t>'</w:t>
            </w:r>
            <w:r w:rsidRPr="00AA07C3">
              <w:rPr>
                <w:lang w:val="fr-FR"/>
              </w:rPr>
              <w:t>UIT: AFR4, AMS3, ARB4, ASP4, CEI3, CEI5, EUR5.</w:t>
            </w:r>
          </w:p>
          <w:p w14:paraId="1ECDD20E" w14:textId="71C77A3A" w:rsidR="00A721F4" w:rsidRPr="00AA07C3" w:rsidRDefault="00712516" w:rsidP="005E2A35">
            <w:pPr>
              <w:spacing w:after="120"/>
              <w:rPr>
                <w:lang w:val="fr-FR"/>
              </w:rPr>
            </w:pPr>
            <w:r w:rsidRPr="00AA07C3">
              <w:rPr>
                <w:lang w:val="fr-FR"/>
              </w:rPr>
              <w:t>Résolution 205 de la Conférence de plénipotentiaires; Plan stratégique de l</w:t>
            </w:r>
            <w:r w:rsidR="00026688" w:rsidRPr="00AA07C3">
              <w:rPr>
                <w:lang w:val="fr-FR"/>
              </w:rPr>
              <w:t>'</w:t>
            </w:r>
            <w:r w:rsidRPr="00AA07C3">
              <w:rPr>
                <w:lang w:val="fr-FR"/>
              </w:rPr>
              <w:t>UIT (Résolution 71 (Rév. Bucarest, 2022) de la PP).</w:t>
            </w:r>
          </w:p>
        </w:tc>
      </w:tr>
    </w:tbl>
    <w:p w14:paraId="4BFCB196" w14:textId="526BE863" w:rsidR="00712516" w:rsidRPr="00E74FB7" w:rsidRDefault="00923CF1" w:rsidP="005E2A35">
      <w:pPr>
        <w:pStyle w:val="Heading1"/>
        <w:rPr>
          <w:sz w:val="24"/>
          <w:szCs w:val="24"/>
          <w:lang w:val="fr-FR"/>
        </w:rPr>
      </w:pPr>
      <w:r w:rsidRPr="00AA07C3">
        <w:rPr>
          <w:lang w:val="fr-FR"/>
        </w:rPr>
        <w:br w:type="page"/>
      </w:r>
      <w:r w:rsidR="00712516" w:rsidRPr="00E74FB7">
        <w:rPr>
          <w:sz w:val="24"/>
          <w:szCs w:val="24"/>
          <w:lang w:val="fr-FR"/>
        </w:rPr>
        <w:lastRenderedPageBreak/>
        <w:t>1</w:t>
      </w:r>
      <w:r w:rsidR="00712516" w:rsidRPr="00E74FB7">
        <w:rPr>
          <w:sz w:val="24"/>
          <w:szCs w:val="24"/>
          <w:lang w:val="fr-FR"/>
        </w:rPr>
        <w:tab/>
        <w:t>Considérations générales</w:t>
      </w:r>
    </w:p>
    <w:p w14:paraId="3835A142" w14:textId="622F8104" w:rsidR="00712516" w:rsidRPr="00AA07C3" w:rsidRDefault="00712516" w:rsidP="005E2A35">
      <w:pPr>
        <w:rPr>
          <w:lang w:val="fr-FR"/>
        </w:rPr>
      </w:pPr>
      <w:r w:rsidRPr="00AA07C3">
        <w:rPr>
          <w:lang w:val="fr-FR"/>
        </w:rPr>
        <w:t>À la Conférence mondiale de développement des télécommunications</w:t>
      </w:r>
      <w:r w:rsidR="00286CD2" w:rsidRPr="00AA07C3">
        <w:rPr>
          <w:lang w:val="fr-FR"/>
        </w:rPr>
        <w:t xml:space="preserve"> </w:t>
      </w:r>
      <w:r w:rsidRPr="00AA07C3">
        <w:rPr>
          <w:lang w:val="fr-FR"/>
        </w:rPr>
        <w:t>(CMDT-22), les membres ont accordé à l</w:t>
      </w:r>
      <w:r w:rsidR="00026688" w:rsidRPr="00AA07C3">
        <w:rPr>
          <w:lang w:val="fr-FR"/>
        </w:rPr>
        <w:t>'</w:t>
      </w:r>
      <w:r w:rsidRPr="00AA07C3">
        <w:rPr>
          <w:lang w:val="fr-FR"/>
        </w:rPr>
        <w:t>innovation et à l</w:t>
      </w:r>
      <w:r w:rsidR="00026688" w:rsidRPr="00AA07C3">
        <w:rPr>
          <w:lang w:val="fr-FR"/>
        </w:rPr>
        <w:t>'</w:t>
      </w:r>
      <w:r w:rsidRPr="00AA07C3">
        <w:rPr>
          <w:lang w:val="fr-FR"/>
        </w:rPr>
        <w:t>entrepreneuriat un rang de priorité élevé, afin de mettre en place des méthodes nouvelles, plus résilientes et tournées vers l</w:t>
      </w:r>
      <w:r w:rsidR="00026688" w:rsidRPr="00AA07C3">
        <w:rPr>
          <w:lang w:val="fr-FR"/>
        </w:rPr>
        <w:t>'</w:t>
      </w:r>
      <w:r w:rsidRPr="00AA07C3">
        <w:rPr>
          <w:lang w:val="fr-FR"/>
        </w:rPr>
        <w:t>avenir, grâce auxquelles ils seront en mesure d</w:t>
      </w:r>
      <w:r w:rsidR="00026688" w:rsidRPr="00AA07C3">
        <w:rPr>
          <w:lang w:val="fr-FR"/>
        </w:rPr>
        <w:t>'</w:t>
      </w:r>
      <w:r w:rsidRPr="00AA07C3">
        <w:rPr>
          <w:lang w:val="fr-FR"/>
        </w:rPr>
        <w:t>évoluer en toute sécurité dans un monde numérique de plus en plus volatile, incertain, complexe et ambigu</w:t>
      </w:r>
      <w:r w:rsidR="00286CD2" w:rsidRPr="00AA07C3">
        <w:rPr>
          <w:lang w:val="fr-FR"/>
        </w:rPr>
        <w:t xml:space="preserve"> </w:t>
      </w:r>
      <w:r w:rsidRPr="00AA07C3">
        <w:rPr>
          <w:lang w:val="fr-FR"/>
        </w:rPr>
        <w:t>dans le cadre du Plan d</w:t>
      </w:r>
      <w:r w:rsidR="00026688" w:rsidRPr="00AA07C3">
        <w:rPr>
          <w:lang w:val="fr-FR"/>
        </w:rPr>
        <w:t>'</w:t>
      </w:r>
      <w:r w:rsidRPr="00AA07C3">
        <w:rPr>
          <w:lang w:val="fr-FR"/>
        </w:rPr>
        <w:t>action de Kigali.</w:t>
      </w:r>
    </w:p>
    <w:p w14:paraId="7C782BAD" w14:textId="38AD457C" w:rsidR="00712516" w:rsidRPr="00AA07C3" w:rsidRDefault="00712516" w:rsidP="005E2A35">
      <w:pPr>
        <w:rPr>
          <w:lang w:val="fr-FR"/>
        </w:rPr>
      </w:pPr>
      <w:r w:rsidRPr="00AA07C3">
        <w:rPr>
          <w:lang w:val="fr-FR"/>
        </w:rPr>
        <w:t>De nombreux pays en développement aspirent à devenir des économies numériques tournées vers l</w:t>
      </w:r>
      <w:r w:rsidR="00026688" w:rsidRPr="00AA07C3">
        <w:rPr>
          <w:lang w:val="fr-FR"/>
        </w:rPr>
        <w:t>'</w:t>
      </w:r>
      <w:r w:rsidRPr="00AA07C3">
        <w:rPr>
          <w:lang w:val="fr-FR"/>
        </w:rPr>
        <w:t>innovation, qui reposent sur des entreprises exportatrices de</w:t>
      </w:r>
      <w:r w:rsidR="00286CD2" w:rsidRPr="00AA07C3">
        <w:rPr>
          <w:lang w:val="fr-FR"/>
        </w:rPr>
        <w:t xml:space="preserve"> </w:t>
      </w:r>
      <w:r w:rsidRPr="00AA07C3">
        <w:rPr>
          <w:lang w:val="fr-FR"/>
        </w:rPr>
        <w:t>niveau</w:t>
      </w:r>
      <w:r w:rsidR="00286CD2" w:rsidRPr="00AA07C3">
        <w:rPr>
          <w:lang w:val="fr-FR"/>
        </w:rPr>
        <w:t xml:space="preserve"> </w:t>
      </w:r>
      <w:r w:rsidRPr="00AA07C3">
        <w:rPr>
          <w:lang w:val="fr-FR"/>
        </w:rPr>
        <w:t>mondial, des secteurs à forte croissance et des emplois hautement qualifiés. Malgré des investissements massifs dans les technologies de l</w:t>
      </w:r>
      <w:r w:rsidR="00026688" w:rsidRPr="00AA07C3">
        <w:rPr>
          <w:lang w:val="fr-FR"/>
        </w:rPr>
        <w:t>'</w:t>
      </w:r>
      <w:r w:rsidRPr="00AA07C3">
        <w:rPr>
          <w:lang w:val="fr-FR"/>
        </w:rPr>
        <w:t>information et de la communication (TIC), l</w:t>
      </w:r>
      <w:r w:rsidR="00026688" w:rsidRPr="00AA07C3">
        <w:rPr>
          <w:lang w:val="fr-FR"/>
        </w:rPr>
        <w:t>'</w:t>
      </w:r>
      <w:r w:rsidRPr="00AA07C3">
        <w:rPr>
          <w:lang w:val="fr-FR"/>
        </w:rPr>
        <w:t>entrepreneuriat et l</w:t>
      </w:r>
      <w:r w:rsidR="00026688" w:rsidRPr="00AA07C3">
        <w:rPr>
          <w:lang w:val="fr-FR"/>
        </w:rPr>
        <w:t>'</w:t>
      </w:r>
      <w:r w:rsidRPr="00AA07C3">
        <w:rPr>
          <w:lang w:val="fr-FR"/>
        </w:rPr>
        <w:t>innovation, bon nombre de ces pays peinent à:</w:t>
      </w:r>
    </w:p>
    <w:p w14:paraId="29308FB9" w14:textId="4DE62741" w:rsidR="00712516" w:rsidRPr="00AA07C3" w:rsidRDefault="00712516" w:rsidP="005E2A35">
      <w:pPr>
        <w:pStyle w:val="enumlev1"/>
        <w:rPr>
          <w:lang w:val="fr-FR"/>
        </w:rPr>
      </w:pPr>
      <w:r w:rsidRPr="00AA07C3">
        <w:rPr>
          <w:lang w:val="fr-FR"/>
        </w:rPr>
        <w:t>–</w:t>
      </w:r>
      <w:r w:rsidRPr="00AA07C3">
        <w:rPr>
          <w:lang w:val="fr-FR"/>
        </w:rPr>
        <w:tab/>
        <w:t>s</w:t>
      </w:r>
      <w:r w:rsidR="00026688" w:rsidRPr="00AA07C3">
        <w:rPr>
          <w:lang w:val="fr-FR"/>
        </w:rPr>
        <w:t>'</w:t>
      </w:r>
      <w:r w:rsidRPr="00AA07C3">
        <w:rPr>
          <w:lang w:val="fr-FR"/>
        </w:rPr>
        <w:t>adapter à l</w:t>
      </w:r>
      <w:r w:rsidR="00026688" w:rsidRPr="00AA07C3">
        <w:rPr>
          <w:lang w:val="fr-FR"/>
        </w:rPr>
        <w:t>'</w:t>
      </w:r>
      <w:r w:rsidRPr="00AA07C3">
        <w:rPr>
          <w:lang w:val="fr-FR"/>
        </w:rPr>
        <w:t>environnement numérique en mutation rapide;</w:t>
      </w:r>
    </w:p>
    <w:p w14:paraId="47067A0F" w14:textId="5FED8F32" w:rsidR="00712516" w:rsidRPr="00AA07C3" w:rsidRDefault="00712516" w:rsidP="005E2A35">
      <w:pPr>
        <w:pStyle w:val="enumlev1"/>
        <w:rPr>
          <w:lang w:val="fr-FR"/>
        </w:rPr>
      </w:pPr>
      <w:r w:rsidRPr="00AA07C3">
        <w:rPr>
          <w:lang w:val="fr-FR"/>
        </w:rPr>
        <w:t>–</w:t>
      </w:r>
      <w:r w:rsidRPr="00AA07C3">
        <w:rPr>
          <w:lang w:val="fr-FR"/>
        </w:rPr>
        <w:tab/>
        <w:t>adopter de manière efficace les technologies numériques émergentes;</w:t>
      </w:r>
    </w:p>
    <w:p w14:paraId="5E8560B9" w14:textId="22519933" w:rsidR="00712516" w:rsidRPr="00AA07C3" w:rsidRDefault="00712516" w:rsidP="005E2A35">
      <w:pPr>
        <w:pStyle w:val="enumlev1"/>
        <w:rPr>
          <w:lang w:val="fr-FR"/>
        </w:rPr>
      </w:pPr>
      <w:r w:rsidRPr="00AA07C3">
        <w:rPr>
          <w:lang w:val="fr-FR"/>
        </w:rPr>
        <w:t>–</w:t>
      </w:r>
      <w:r w:rsidRPr="00AA07C3">
        <w:rPr>
          <w:lang w:val="fr-FR"/>
        </w:rPr>
        <w:tab/>
        <w:t>devenir un levier de l</w:t>
      </w:r>
      <w:r w:rsidR="00026688" w:rsidRPr="00AA07C3">
        <w:rPr>
          <w:lang w:val="fr-FR"/>
        </w:rPr>
        <w:t>'</w:t>
      </w:r>
      <w:r w:rsidRPr="00AA07C3">
        <w:rPr>
          <w:lang w:val="fr-FR"/>
        </w:rPr>
        <w:t>innovation numérique à même de susciter des retombées socio</w:t>
      </w:r>
      <w:r w:rsidR="00686E73" w:rsidRPr="00AA07C3">
        <w:rPr>
          <w:lang w:val="fr-FR"/>
        </w:rPr>
        <w:noBreakHyphen/>
      </w:r>
      <w:r w:rsidRPr="00AA07C3">
        <w:rPr>
          <w:lang w:val="fr-FR"/>
        </w:rPr>
        <w:t>économiques;</w:t>
      </w:r>
    </w:p>
    <w:p w14:paraId="3DDC79CA" w14:textId="76BB33B1" w:rsidR="00712516" w:rsidRPr="00AA07C3" w:rsidRDefault="00712516" w:rsidP="005E2A35">
      <w:pPr>
        <w:pStyle w:val="enumlev1"/>
        <w:rPr>
          <w:lang w:val="fr-FR"/>
        </w:rPr>
      </w:pPr>
      <w:r w:rsidRPr="00AA07C3">
        <w:rPr>
          <w:lang w:val="fr-FR"/>
        </w:rPr>
        <w:t>–</w:t>
      </w:r>
      <w:r w:rsidRPr="00AA07C3">
        <w:rPr>
          <w:lang w:val="fr-FR"/>
        </w:rPr>
        <w:tab/>
        <w:t>tirer parti de l</w:t>
      </w:r>
      <w:r w:rsidR="00026688" w:rsidRPr="00AA07C3">
        <w:rPr>
          <w:lang w:val="fr-FR"/>
        </w:rPr>
        <w:t>'</w:t>
      </w:r>
      <w:r w:rsidRPr="00AA07C3">
        <w:rPr>
          <w:lang w:val="fr-FR"/>
        </w:rPr>
        <w:t>innovation numérique fondée sur l</w:t>
      </w:r>
      <w:r w:rsidR="00026688" w:rsidRPr="00AA07C3">
        <w:rPr>
          <w:lang w:val="fr-FR"/>
        </w:rPr>
        <w:t>'</w:t>
      </w:r>
      <w:r w:rsidRPr="00AA07C3">
        <w:rPr>
          <w:lang w:val="fr-FR"/>
        </w:rPr>
        <w:t>entrepreneuriat en tant que catalyseur de la création d</w:t>
      </w:r>
      <w:r w:rsidR="00026688" w:rsidRPr="00AA07C3">
        <w:rPr>
          <w:lang w:val="fr-FR"/>
        </w:rPr>
        <w:t>'</w:t>
      </w:r>
      <w:r w:rsidRPr="00AA07C3">
        <w:rPr>
          <w:lang w:val="fr-FR"/>
        </w:rPr>
        <w:t>emplois;</w:t>
      </w:r>
    </w:p>
    <w:p w14:paraId="4E391964" w14:textId="169ADAD9" w:rsidR="00712516" w:rsidRPr="00AA07C3" w:rsidRDefault="00712516" w:rsidP="005E2A35">
      <w:pPr>
        <w:pStyle w:val="enumlev1"/>
        <w:rPr>
          <w:lang w:val="fr-FR"/>
        </w:rPr>
      </w:pPr>
      <w:r w:rsidRPr="00AA07C3">
        <w:rPr>
          <w:lang w:val="fr-FR"/>
        </w:rPr>
        <w:t>–</w:t>
      </w:r>
      <w:r w:rsidRPr="00AA07C3">
        <w:rPr>
          <w:lang w:val="fr-FR"/>
        </w:rPr>
        <w:tab/>
        <w:t>accéder à un réseau d</w:t>
      </w:r>
      <w:r w:rsidR="00026688" w:rsidRPr="00AA07C3">
        <w:rPr>
          <w:lang w:val="fr-FR"/>
        </w:rPr>
        <w:t>'</w:t>
      </w:r>
      <w:r w:rsidRPr="00AA07C3">
        <w:rPr>
          <w:lang w:val="fr-FR"/>
        </w:rPr>
        <w:t>acteurs du changement partageant les mêmes intérêts ainsi qu</w:t>
      </w:r>
      <w:r w:rsidR="00026688" w:rsidRPr="00AA07C3">
        <w:rPr>
          <w:lang w:val="fr-FR"/>
        </w:rPr>
        <w:t>'</w:t>
      </w:r>
      <w:r w:rsidRPr="00AA07C3">
        <w:rPr>
          <w:lang w:val="fr-FR"/>
        </w:rPr>
        <w:t>à leurs bonnes pratiques et;</w:t>
      </w:r>
    </w:p>
    <w:p w14:paraId="7F8FF774" w14:textId="6BB5EF57" w:rsidR="00712516" w:rsidRPr="00AA07C3" w:rsidRDefault="00712516" w:rsidP="005E2A35">
      <w:pPr>
        <w:pStyle w:val="enumlev1"/>
        <w:rPr>
          <w:lang w:val="fr-FR"/>
        </w:rPr>
      </w:pPr>
      <w:r w:rsidRPr="00AA07C3">
        <w:rPr>
          <w:lang w:val="fr-FR"/>
        </w:rPr>
        <w:t>–</w:t>
      </w:r>
      <w:r w:rsidRPr="00AA07C3">
        <w:rPr>
          <w:lang w:val="fr-FR"/>
        </w:rPr>
        <w:tab/>
        <w:t>nouer des partenariats innovants au</w:t>
      </w:r>
      <w:r w:rsidR="00286CD2" w:rsidRPr="00AA07C3">
        <w:rPr>
          <w:lang w:val="fr-FR"/>
        </w:rPr>
        <w:t xml:space="preserve"> </w:t>
      </w:r>
      <w:r w:rsidRPr="00AA07C3">
        <w:rPr>
          <w:lang w:val="fr-FR"/>
        </w:rPr>
        <w:t>niveau</w:t>
      </w:r>
      <w:r w:rsidR="00286CD2" w:rsidRPr="00AA07C3">
        <w:rPr>
          <w:lang w:val="fr-FR"/>
        </w:rPr>
        <w:t xml:space="preserve"> </w:t>
      </w:r>
      <w:r w:rsidRPr="00AA07C3">
        <w:rPr>
          <w:lang w:val="fr-FR"/>
        </w:rPr>
        <w:t>local, régional ou mondial,</w:t>
      </w:r>
      <w:r w:rsidR="00286CD2" w:rsidRPr="00AA07C3">
        <w:rPr>
          <w:lang w:val="fr-FR"/>
        </w:rPr>
        <w:t xml:space="preserve"> </w:t>
      </w:r>
      <w:r w:rsidRPr="00AA07C3">
        <w:rPr>
          <w:lang w:val="fr-FR"/>
        </w:rPr>
        <w:t>en vue d</w:t>
      </w:r>
      <w:r w:rsidR="00026688" w:rsidRPr="00AA07C3">
        <w:rPr>
          <w:lang w:val="fr-FR"/>
        </w:rPr>
        <w:t>'</w:t>
      </w:r>
      <w:r w:rsidRPr="00AA07C3">
        <w:rPr>
          <w:lang w:val="fr-FR"/>
        </w:rPr>
        <w:t>accélérer le développement du numérique.</w:t>
      </w:r>
    </w:p>
    <w:p w14:paraId="51150D15" w14:textId="2F6EF120" w:rsidR="00712516" w:rsidRPr="00AA07C3" w:rsidRDefault="00712516" w:rsidP="005E2A35">
      <w:pPr>
        <w:rPr>
          <w:lang w:val="fr-FR"/>
        </w:rPr>
      </w:pPr>
      <w:r w:rsidRPr="00AA07C3">
        <w:rPr>
          <w:lang w:val="fr-FR"/>
        </w:rPr>
        <w:t>L</w:t>
      </w:r>
      <w:r w:rsidR="00026688" w:rsidRPr="00AA07C3">
        <w:rPr>
          <w:lang w:val="fr-FR"/>
        </w:rPr>
        <w:t>'</w:t>
      </w:r>
      <w:r w:rsidRPr="00AA07C3">
        <w:rPr>
          <w:lang w:val="fr-FR"/>
        </w:rPr>
        <w:t>Alliance de l</w:t>
      </w:r>
      <w:r w:rsidR="00026688" w:rsidRPr="00AA07C3">
        <w:rPr>
          <w:lang w:val="fr-FR"/>
        </w:rPr>
        <w:t>'</w:t>
      </w:r>
      <w:r w:rsidRPr="00AA07C3">
        <w:rPr>
          <w:lang w:val="fr-FR"/>
        </w:rPr>
        <w:t>innovation et de l</w:t>
      </w:r>
      <w:r w:rsidR="00026688" w:rsidRPr="00AA07C3">
        <w:rPr>
          <w:lang w:val="fr-FR"/>
        </w:rPr>
        <w:t>'</w:t>
      </w:r>
      <w:r w:rsidRPr="00AA07C3">
        <w:rPr>
          <w:lang w:val="fr-FR"/>
        </w:rPr>
        <w:t>entrepreneuriat au service du développement du numérique favorisera la mise en place de leviers essentiels à l</w:t>
      </w:r>
      <w:r w:rsidR="00026688" w:rsidRPr="00AA07C3">
        <w:rPr>
          <w:lang w:val="fr-FR"/>
        </w:rPr>
        <w:t>'</w:t>
      </w:r>
      <w:r w:rsidRPr="00AA07C3">
        <w:rPr>
          <w:lang w:val="fr-FR"/>
        </w:rPr>
        <w:t>échelon local pour jouer un rôle moteur dans l</w:t>
      </w:r>
      <w:r w:rsidR="00026688" w:rsidRPr="00AA07C3">
        <w:rPr>
          <w:lang w:val="fr-FR"/>
        </w:rPr>
        <w:t>'</w:t>
      </w:r>
      <w:r w:rsidRPr="00AA07C3">
        <w:rPr>
          <w:lang w:val="fr-FR"/>
        </w:rPr>
        <w:t>environnement numérique en mutation. En outre, grâce à cette Alliance, le BDT sera en mesure de développer de nouvelles capacités en matière d</w:t>
      </w:r>
      <w:r w:rsidR="00026688" w:rsidRPr="00AA07C3">
        <w:rPr>
          <w:lang w:val="fr-FR"/>
        </w:rPr>
        <w:t>'</w:t>
      </w:r>
      <w:r w:rsidRPr="00AA07C3">
        <w:rPr>
          <w:lang w:val="fr-FR"/>
        </w:rPr>
        <w:t>excellence humaine</w:t>
      </w:r>
      <w:r w:rsidR="00286CD2" w:rsidRPr="00AA07C3">
        <w:rPr>
          <w:lang w:val="fr-FR"/>
        </w:rPr>
        <w:t xml:space="preserve"> </w:t>
      </w:r>
      <w:r w:rsidRPr="00AA07C3">
        <w:rPr>
          <w:lang w:val="fr-FR"/>
        </w:rPr>
        <w:t>et organisationnelle, de fournir de nouveaux produits et services aux membres de l</w:t>
      </w:r>
      <w:r w:rsidR="00026688" w:rsidRPr="00AA07C3">
        <w:rPr>
          <w:lang w:val="fr-FR"/>
        </w:rPr>
        <w:t>'</w:t>
      </w:r>
      <w:r w:rsidRPr="00AA07C3">
        <w:rPr>
          <w:lang w:val="fr-FR"/>
        </w:rPr>
        <w:t>UIT et de renforcer la participation du secteur privé et des établissements universitaires aux travaux essentiels</w:t>
      </w:r>
      <w:r w:rsidR="00286CD2" w:rsidRPr="00AA07C3">
        <w:rPr>
          <w:lang w:val="fr-FR"/>
        </w:rPr>
        <w:t xml:space="preserve"> </w:t>
      </w:r>
      <w:r w:rsidRPr="00AA07C3">
        <w:rPr>
          <w:lang w:val="fr-FR"/>
        </w:rPr>
        <w:t>menés par le BDT.</w:t>
      </w:r>
    </w:p>
    <w:p w14:paraId="2FA3C6DB" w14:textId="6D4127BC" w:rsidR="00712516" w:rsidRPr="00AA07C3" w:rsidRDefault="00712516" w:rsidP="005E2A35">
      <w:pPr>
        <w:rPr>
          <w:lang w:val="fr-FR"/>
        </w:rPr>
      </w:pPr>
      <w:r w:rsidRPr="00AA07C3">
        <w:rPr>
          <w:lang w:val="fr-FR"/>
        </w:rPr>
        <w:t>Les travaux de l</w:t>
      </w:r>
      <w:r w:rsidR="00026688" w:rsidRPr="00AA07C3">
        <w:rPr>
          <w:lang w:val="fr-FR"/>
        </w:rPr>
        <w:t>'</w:t>
      </w:r>
      <w:r w:rsidRPr="00AA07C3">
        <w:rPr>
          <w:lang w:val="fr-FR"/>
        </w:rPr>
        <w:t>Alliance s</w:t>
      </w:r>
      <w:r w:rsidR="00026688" w:rsidRPr="00AA07C3">
        <w:rPr>
          <w:lang w:val="fr-FR"/>
        </w:rPr>
        <w:t>'</w:t>
      </w:r>
      <w:r w:rsidRPr="00AA07C3">
        <w:rPr>
          <w:lang w:val="fr-FR"/>
        </w:rPr>
        <w:t>inscrivent dans le droit fil:</w:t>
      </w:r>
    </w:p>
    <w:p w14:paraId="39108C70" w14:textId="0FCF03D7" w:rsidR="00712516" w:rsidRPr="00AA07C3" w:rsidRDefault="00712516" w:rsidP="005E2A35">
      <w:pPr>
        <w:pStyle w:val="enumlev1"/>
        <w:rPr>
          <w:lang w:val="fr-FR"/>
        </w:rPr>
      </w:pPr>
      <w:r w:rsidRPr="00AA07C3">
        <w:rPr>
          <w:lang w:val="fr-FR"/>
        </w:rPr>
        <w:t>–</w:t>
      </w:r>
      <w:r w:rsidRPr="00AA07C3">
        <w:rPr>
          <w:lang w:val="fr-FR"/>
        </w:rPr>
        <w:tab/>
        <w:t>des Résolutions 90, 89 et 85</w:t>
      </w:r>
      <w:r w:rsidR="00286CD2" w:rsidRPr="00AA07C3">
        <w:rPr>
          <w:lang w:val="fr-FR"/>
        </w:rPr>
        <w:t xml:space="preserve"> </w:t>
      </w:r>
      <w:r w:rsidRPr="00AA07C3">
        <w:rPr>
          <w:lang w:val="fr-FR"/>
        </w:rPr>
        <w:t>(Kigali, 2022) de la CMDT</w:t>
      </w:r>
      <w:r w:rsidR="00286CD2" w:rsidRPr="00AA07C3">
        <w:rPr>
          <w:lang w:val="fr-FR"/>
        </w:rPr>
        <w:t xml:space="preserve"> </w:t>
      </w:r>
      <w:r w:rsidRPr="00AA07C3">
        <w:rPr>
          <w:lang w:val="fr-FR"/>
        </w:rPr>
        <w:t>qui</w:t>
      </w:r>
      <w:r w:rsidR="00286CD2" w:rsidRPr="00AA07C3">
        <w:rPr>
          <w:lang w:val="fr-FR"/>
        </w:rPr>
        <w:t xml:space="preserve"> </w:t>
      </w:r>
      <w:r w:rsidRPr="00AA07C3">
        <w:rPr>
          <w:lang w:val="fr-FR"/>
        </w:rPr>
        <w:t>fournissent des orientations précises sur le rôle de l</w:t>
      </w:r>
      <w:r w:rsidR="00026688" w:rsidRPr="00AA07C3">
        <w:rPr>
          <w:lang w:val="fr-FR"/>
        </w:rPr>
        <w:t>'</w:t>
      </w:r>
      <w:r w:rsidRPr="00AA07C3">
        <w:rPr>
          <w:lang w:val="fr-FR"/>
        </w:rPr>
        <w:t>innovation dans la transformation numérique de la société;</w:t>
      </w:r>
    </w:p>
    <w:p w14:paraId="4AE86619" w14:textId="222AD363" w:rsidR="00712516" w:rsidRPr="00AA07C3" w:rsidRDefault="00712516" w:rsidP="005E2A35">
      <w:pPr>
        <w:pStyle w:val="enumlev1"/>
        <w:rPr>
          <w:lang w:val="fr-FR"/>
        </w:rPr>
      </w:pPr>
      <w:r w:rsidRPr="00AA07C3">
        <w:rPr>
          <w:lang w:val="fr-FR"/>
        </w:rPr>
        <w:t>–</w:t>
      </w:r>
      <w:r w:rsidRPr="00AA07C3">
        <w:rPr>
          <w:lang w:val="fr-FR"/>
        </w:rPr>
        <w:tab/>
        <w:t>des initiatives régionales de l</w:t>
      </w:r>
      <w:r w:rsidR="00026688" w:rsidRPr="00AA07C3">
        <w:rPr>
          <w:lang w:val="fr-FR"/>
        </w:rPr>
        <w:t>'</w:t>
      </w:r>
      <w:r w:rsidRPr="00AA07C3">
        <w:rPr>
          <w:lang w:val="fr-FR"/>
        </w:rPr>
        <w:t>UIT définies pour toutes les régions, au titre desquelles il est demandé de se concentrer davantage sur ce domaine;</w:t>
      </w:r>
    </w:p>
    <w:p w14:paraId="50A1BCE0" w14:textId="4DC7307F" w:rsidR="00712516" w:rsidRPr="00AA07C3" w:rsidRDefault="00712516" w:rsidP="005E2A35">
      <w:pPr>
        <w:pStyle w:val="enumlev1"/>
        <w:rPr>
          <w:lang w:val="fr-FR"/>
        </w:rPr>
      </w:pPr>
      <w:r w:rsidRPr="00AA07C3">
        <w:rPr>
          <w:lang w:val="fr-FR"/>
        </w:rPr>
        <w:t>–</w:t>
      </w:r>
      <w:r w:rsidRPr="00AA07C3">
        <w:rPr>
          <w:lang w:val="fr-FR"/>
        </w:rPr>
        <w:tab/>
        <w:t>de la Résolution 205 (Rév. Bucarest, 2022) de la PP, intitulée "Rôle de l</w:t>
      </w:r>
      <w:r w:rsidR="00026688" w:rsidRPr="00AA07C3">
        <w:rPr>
          <w:lang w:val="fr-FR"/>
        </w:rPr>
        <w:t>'</w:t>
      </w:r>
      <w:r w:rsidRPr="00AA07C3">
        <w:rPr>
          <w:lang w:val="fr-FR"/>
        </w:rPr>
        <w:t>UIT dans la promotion d</w:t>
      </w:r>
      <w:r w:rsidR="00026688" w:rsidRPr="00AA07C3">
        <w:rPr>
          <w:lang w:val="fr-FR"/>
        </w:rPr>
        <w:t>'</w:t>
      </w:r>
      <w:r w:rsidRPr="00AA07C3">
        <w:rPr>
          <w:lang w:val="fr-FR"/>
        </w:rPr>
        <w:t>une innovation centrée sur les télécommunications/technologies de l</w:t>
      </w:r>
      <w:r w:rsidR="00026688" w:rsidRPr="00AA07C3">
        <w:rPr>
          <w:lang w:val="fr-FR"/>
        </w:rPr>
        <w:t>'</w:t>
      </w:r>
      <w:r w:rsidRPr="00AA07C3">
        <w:rPr>
          <w:lang w:val="fr-FR"/>
        </w:rPr>
        <w:t>information et de la communication pour appuyer l</w:t>
      </w:r>
      <w:r w:rsidR="00026688" w:rsidRPr="00AA07C3">
        <w:rPr>
          <w:lang w:val="fr-FR"/>
        </w:rPr>
        <w:t>'</w:t>
      </w:r>
      <w:r w:rsidRPr="00AA07C3">
        <w:rPr>
          <w:lang w:val="fr-FR"/>
        </w:rPr>
        <w:t>économie et la société numériques", dans laquelle il est rappelé que le BDT joue un rôle prépondérant dans le domaine de l</w:t>
      </w:r>
      <w:r w:rsidR="00026688" w:rsidRPr="00AA07C3">
        <w:rPr>
          <w:lang w:val="fr-FR"/>
        </w:rPr>
        <w:t>'</w:t>
      </w:r>
      <w:r w:rsidRPr="00AA07C3">
        <w:rPr>
          <w:lang w:val="fr-FR"/>
        </w:rPr>
        <w:t>innovation en faveur du développement du numérique; et</w:t>
      </w:r>
    </w:p>
    <w:p w14:paraId="67D7B783" w14:textId="0F08DF82" w:rsidR="00712516" w:rsidRPr="00AA07C3" w:rsidRDefault="008A7EB7" w:rsidP="005E2A35">
      <w:pPr>
        <w:pStyle w:val="enumlev1"/>
        <w:rPr>
          <w:lang w:val="fr-FR"/>
        </w:rPr>
      </w:pPr>
      <w:r w:rsidRPr="00AA07C3">
        <w:rPr>
          <w:lang w:val="fr-FR"/>
        </w:rPr>
        <w:t>–</w:t>
      </w:r>
      <w:r w:rsidRPr="00AA07C3">
        <w:rPr>
          <w:lang w:val="fr-FR"/>
        </w:rPr>
        <w:tab/>
      </w:r>
      <w:r w:rsidR="00E74FB7">
        <w:rPr>
          <w:lang w:val="fr-FR"/>
        </w:rPr>
        <w:t>du P</w:t>
      </w:r>
      <w:r w:rsidR="00712516" w:rsidRPr="00AA07C3">
        <w:rPr>
          <w:lang w:val="fr-FR"/>
        </w:rPr>
        <w:t>lan stratégique de l</w:t>
      </w:r>
      <w:r w:rsidR="00026688" w:rsidRPr="00AA07C3">
        <w:rPr>
          <w:lang w:val="fr-FR"/>
        </w:rPr>
        <w:t>'</w:t>
      </w:r>
      <w:r w:rsidR="00712516" w:rsidRPr="00AA07C3">
        <w:rPr>
          <w:lang w:val="fr-FR"/>
        </w:rPr>
        <w:t>UIT (Résolution 71 (Rév. Bucarest, 2022) de la PP).</w:t>
      </w:r>
    </w:p>
    <w:p w14:paraId="59A80A22" w14:textId="2E8ABD34" w:rsidR="00712516" w:rsidRPr="00AA07C3" w:rsidRDefault="00712516" w:rsidP="005E2A35">
      <w:pPr>
        <w:rPr>
          <w:lang w:val="fr-FR"/>
        </w:rPr>
      </w:pPr>
      <w:r w:rsidRPr="00AA07C3">
        <w:rPr>
          <w:lang w:val="fr-FR"/>
        </w:rPr>
        <w:t>Grâce aux travaux menés précédemment par le BDT dans le domaine de l</w:t>
      </w:r>
      <w:r w:rsidR="00026688" w:rsidRPr="00AA07C3">
        <w:rPr>
          <w:lang w:val="fr-FR"/>
        </w:rPr>
        <w:t>'</w:t>
      </w:r>
      <w:r w:rsidRPr="00AA07C3">
        <w:rPr>
          <w:lang w:val="fr-FR"/>
        </w:rPr>
        <w:t>innovation, et notamment</w:t>
      </w:r>
      <w:r w:rsidR="00286CD2" w:rsidRPr="00AA07C3">
        <w:rPr>
          <w:lang w:val="fr-FR"/>
        </w:rPr>
        <w:t xml:space="preserve"> </w:t>
      </w:r>
      <w:r w:rsidRPr="00AA07C3">
        <w:rPr>
          <w:lang w:val="fr-FR"/>
        </w:rPr>
        <w:t>à la série de kits pratiques sur la réduction de l</w:t>
      </w:r>
      <w:r w:rsidR="00026688" w:rsidRPr="00AA07C3">
        <w:rPr>
          <w:lang w:val="fr-FR"/>
        </w:rPr>
        <w:t>'</w:t>
      </w:r>
      <w:r w:rsidRPr="00AA07C3">
        <w:rPr>
          <w:lang w:val="fr-FR"/>
        </w:rPr>
        <w:t>écart en matière d</w:t>
      </w:r>
      <w:r w:rsidR="00026688" w:rsidRPr="00AA07C3">
        <w:rPr>
          <w:lang w:val="fr-FR"/>
        </w:rPr>
        <w:t>'</w:t>
      </w:r>
      <w:r w:rsidRPr="00AA07C3">
        <w:rPr>
          <w:lang w:val="fr-FR"/>
        </w:rPr>
        <w:t>innovation numérique (</w:t>
      </w:r>
      <w:r w:rsidR="000E0CC5">
        <w:fldChar w:fldCharType="begin"/>
      </w:r>
      <w:r w:rsidR="000E0CC5" w:rsidRPr="00BC33CF">
        <w:rPr>
          <w:lang w:val="fr-CH"/>
          <w:rPrChange w:id="7" w:author="French" w:date="2023-06-14T12:04:00Z">
            <w:rPr/>
          </w:rPrChange>
        </w:rPr>
        <w:instrText>HYPERLINK "https://www.itu.int/pub/D-INNO-TOOLKIT.1-2018"</w:instrText>
      </w:r>
      <w:r w:rsidR="000E0CC5">
        <w:fldChar w:fldCharType="separate"/>
      </w:r>
      <w:r w:rsidRPr="00AA07C3">
        <w:rPr>
          <w:rStyle w:val="Hyperlink"/>
          <w:lang w:val="fr-FR"/>
        </w:rPr>
        <w:t>Kit pratique pour renforcer les écosystèmes centrés sur les télécommunications/TIC</w:t>
      </w:r>
      <w:r w:rsidR="000E0CC5">
        <w:rPr>
          <w:rStyle w:val="Hyperlink"/>
          <w:lang w:val="fr-FR"/>
        </w:rPr>
        <w:fldChar w:fldCharType="end"/>
      </w:r>
      <w:r w:rsidRPr="00AA07C3">
        <w:rPr>
          <w:lang w:val="fr-FR"/>
        </w:rPr>
        <w:t xml:space="preserve"> et</w:t>
      </w:r>
      <w:r w:rsidR="00286CD2" w:rsidRPr="00AA07C3">
        <w:rPr>
          <w:lang w:val="fr-FR"/>
        </w:rPr>
        <w:t xml:space="preserve"> </w:t>
      </w:r>
      <w:r w:rsidR="000E0CC5">
        <w:fldChar w:fldCharType="begin"/>
      </w:r>
      <w:r w:rsidR="000E0CC5" w:rsidRPr="00BC33CF">
        <w:rPr>
          <w:lang w:val="fr-CH"/>
          <w:rPrChange w:id="8" w:author="French" w:date="2023-06-14T12:04:00Z">
            <w:rPr/>
          </w:rPrChange>
        </w:rPr>
        <w:instrText>HYPERLINK "https://www.itu.int/pub/D-INNO-TOOLKIT.2-2020"</w:instrText>
      </w:r>
      <w:r w:rsidR="000E0CC5">
        <w:fldChar w:fldCharType="separate"/>
      </w:r>
      <w:r w:rsidRPr="00AA07C3">
        <w:rPr>
          <w:rStyle w:val="Hyperlink"/>
          <w:lang w:val="fr-FR"/>
        </w:rPr>
        <w:t>Kit pratique pour élaborer des projets visant à mettre en place un écosystème durable centré sur les TIC</w:t>
      </w:r>
      <w:r w:rsidR="000E0CC5">
        <w:rPr>
          <w:rStyle w:val="Hyperlink"/>
          <w:lang w:val="fr-FR"/>
        </w:rPr>
        <w:fldChar w:fldCharType="end"/>
      </w:r>
      <w:r w:rsidRPr="00AA07C3">
        <w:rPr>
          <w:lang w:val="fr-FR"/>
        </w:rPr>
        <w:t xml:space="preserve">), et au </w:t>
      </w:r>
      <w:r w:rsidR="000E0CC5">
        <w:fldChar w:fldCharType="begin"/>
      </w:r>
      <w:r w:rsidR="000E0CC5" w:rsidRPr="00BC33CF">
        <w:rPr>
          <w:lang w:val="fr-CH"/>
          <w:rPrChange w:id="9" w:author="French" w:date="2023-06-14T12:04:00Z">
            <w:rPr/>
          </w:rPrChange>
        </w:rPr>
        <w:instrText>HYPERLINK "https://www.itu.int/itu-d/sites/i-codi/co-design-playbook/"</w:instrText>
      </w:r>
      <w:r w:rsidR="000E0CC5">
        <w:fldChar w:fldCharType="separate"/>
      </w:r>
      <w:r w:rsidRPr="00AA07C3">
        <w:rPr>
          <w:rStyle w:val="Hyperlink"/>
          <w:lang w:val="fr-FR"/>
        </w:rPr>
        <w:t xml:space="preserve">Manuel </w:t>
      </w:r>
      <w:proofErr w:type="spellStart"/>
      <w:r w:rsidRPr="00AA07C3">
        <w:rPr>
          <w:rStyle w:val="Hyperlink"/>
          <w:lang w:val="fr-FR"/>
        </w:rPr>
        <w:t>iCodi</w:t>
      </w:r>
      <w:proofErr w:type="spellEnd"/>
      <w:r w:rsidRPr="00AA07C3">
        <w:rPr>
          <w:rStyle w:val="Hyperlink"/>
          <w:lang w:val="fr-FR"/>
        </w:rPr>
        <w:t xml:space="preserve"> "100 jours pour réussir sur la voie de l</w:t>
      </w:r>
      <w:r w:rsidR="00026688" w:rsidRPr="00AA07C3">
        <w:rPr>
          <w:rStyle w:val="Hyperlink"/>
          <w:lang w:val="fr-FR"/>
        </w:rPr>
        <w:t>'</w:t>
      </w:r>
      <w:r w:rsidRPr="00AA07C3">
        <w:rPr>
          <w:rStyle w:val="Hyperlink"/>
          <w:lang w:val="fr-FR"/>
        </w:rPr>
        <w:t>innovation"</w:t>
      </w:r>
      <w:r w:rsidR="000E0CC5">
        <w:rPr>
          <w:rStyle w:val="Hyperlink"/>
          <w:lang w:val="fr-FR"/>
        </w:rPr>
        <w:fldChar w:fldCharType="end"/>
      </w:r>
      <w:r w:rsidRPr="00AA07C3">
        <w:rPr>
          <w:lang w:val="fr-FR"/>
        </w:rPr>
        <w:t>, l</w:t>
      </w:r>
      <w:r w:rsidR="00026688" w:rsidRPr="00AA07C3">
        <w:rPr>
          <w:lang w:val="fr-FR"/>
        </w:rPr>
        <w:t>'</w:t>
      </w:r>
      <w:r w:rsidRPr="00AA07C3">
        <w:rPr>
          <w:lang w:val="fr-FR"/>
        </w:rPr>
        <w:t xml:space="preserve">Alliance </w:t>
      </w:r>
      <w:r w:rsidRPr="00AA07C3">
        <w:rPr>
          <w:lang w:val="fr-FR"/>
        </w:rPr>
        <w:lastRenderedPageBreak/>
        <w:t>continuera de renforcer les capacités des pays grâce à une approche plus institutionnalisée à même de consolider les capacité d</w:t>
      </w:r>
      <w:r w:rsidR="00026688" w:rsidRPr="00AA07C3">
        <w:rPr>
          <w:lang w:val="fr-FR"/>
        </w:rPr>
        <w:t>'</w:t>
      </w:r>
      <w:r w:rsidRPr="00AA07C3">
        <w:rPr>
          <w:lang w:val="fr-FR"/>
        </w:rPr>
        <w:t>innovation à l</w:t>
      </w:r>
      <w:r w:rsidR="00026688" w:rsidRPr="00AA07C3">
        <w:rPr>
          <w:lang w:val="fr-FR"/>
        </w:rPr>
        <w:t>'</w:t>
      </w:r>
      <w:r w:rsidRPr="00AA07C3">
        <w:rPr>
          <w:lang w:val="fr-FR"/>
        </w:rPr>
        <w:t>échelon local, diffusera de bonnes pratiques et produira des résultats concrets et à fort retentissement.</w:t>
      </w:r>
    </w:p>
    <w:p w14:paraId="1E99A99F" w14:textId="34A6DAEA" w:rsidR="00712516" w:rsidRPr="00E74FB7" w:rsidRDefault="008A7EB7" w:rsidP="005E2A35">
      <w:pPr>
        <w:pStyle w:val="Heading1"/>
        <w:rPr>
          <w:sz w:val="24"/>
          <w:szCs w:val="24"/>
          <w:lang w:val="fr-FR"/>
        </w:rPr>
      </w:pPr>
      <w:r w:rsidRPr="00E74FB7">
        <w:rPr>
          <w:sz w:val="24"/>
          <w:szCs w:val="24"/>
          <w:lang w:val="fr-FR"/>
        </w:rPr>
        <w:t>2</w:t>
      </w:r>
      <w:r w:rsidRPr="00E74FB7">
        <w:rPr>
          <w:sz w:val="24"/>
          <w:szCs w:val="24"/>
          <w:lang w:val="fr-FR"/>
        </w:rPr>
        <w:tab/>
      </w:r>
      <w:r w:rsidR="00712516" w:rsidRPr="00E74FB7">
        <w:rPr>
          <w:sz w:val="24"/>
          <w:szCs w:val="24"/>
          <w:lang w:val="fr-FR"/>
        </w:rPr>
        <w:t>Objectifs et stratégies</w:t>
      </w:r>
    </w:p>
    <w:p w14:paraId="080D087D" w14:textId="773571BC" w:rsidR="00712516" w:rsidRPr="00AA07C3" w:rsidRDefault="00712516" w:rsidP="005E2A35">
      <w:pPr>
        <w:rPr>
          <w:lang w:val="fr-FR"/>
        </w:rPr>
      </w:pPr>
      <w:r w:rsidRPr="00AA07C3">
        <w:rPr>
          <w:lang w:val="fr-FR"/>
        </w:rPr>
        <w:t>L</w:t>
      </w:r>
      <w:r w:rsidR="00026688" w:rsidRPr="00AA07C3">
        <w:rPr>
          <w:lang w:val="fr-FR"/>
        </w:rPr>
        <w:t>'</w:t>
      </w:r>
      <w:r w:rsidRPr="00AA07C3">
        <w:rPr>
          <w:lang w:val="fr-FR"/>
        </w:rPr>
        <w:t>Alliance apportera son concours pour atteindre les résultats ci-dessous dans le cadre de la priorité de l</w:t>
      </w:r>
      <w:r w:rsidR="00026688" w:rsidRPr="00AA07C3">
        <w:rPr>
          <w:lang w:val="fr-FR"/>
        </w:rPr>
        <w:t>'</w:t>
      </w:r>
      <w:r w:rsidRPr="00AA07C3">
        <w:rPr>
          <w:lang w:val="fr-FR"/>
        </w:rPr>
        <w:t>UIT-D intitulée "Transformation numérique":</w:t>
      </w:r>
    </w:p>
    <w:p w14:paraId="770B6113" w14:textId="3ECBA735"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Renforcement de la capacité des membres de l</w:t>
      </w:r>
      <w:r w:rsidR="00026688" w:rsidRPr="00AA07C3">
        <w:rPr>
          <w:lang w:val="fr-FR"/>
        </w:rPr>
        <w:t>'</w:t>
      </w:r>
      <w:r w:rsidR="00712516" w:rsidRPr="00AA07C3">
        <w:rPr>
          <w:lang w:val="fr-FR"/>
        </w:rPr>
        <w:t>UIT d</w:t>
      </w:r>
      <w:r w:rsidR="00026688" w:rsidRPr="00AA07C3">
        <w:rPr>
          <w:lang w:val="fr-FR"/>
        </w:rPr>
        <w:t>'</w:t>
      </w:r>
      <w:r w:rsidR="00712516" w:rsidRPr="00AA07C3">
        <w:rPr>
          <w:lang w:val="fr-FR"/>
        </w:rPr>
        <w:t>intégrer l</w:t>
      </w:r>
      <w:r w:rsidR="00026688" w:rsidRPr="00AA07C3">
        <w:rPr>
          <w:lang w:val="fr-FR"/>
        </w:rPr>
        <w:t>'</w:t>
      </w:r>
      <w:r w:rsidR="00712516" w:rsidRPr="00AA07C3">
        <w:rPr>
          <w:lang w:val="fr-FR"/>
        </w:rPr>
        <w:t>innovation dans le secteur des télécommunications/TIC et la généralisation du numérique dans leurs programmes nationaux de développement et d</w:t>
      </w:r>
      <w:r w:rsidR="00026688" w:rsidRPr="00AA07C3">
        <w:rPr>
          <w:lang w:val="fr-FR"/>
        </w:rPr>
        <w:t>'</w:t>
      </w:r>
      <w:r w:rsidR="00712516" w:rsidRPr="00AA07C3">
        <w:rPr>
          <w:lang w:val="fr-FR"/>
        </w:rPr>
        <w:t>élaborer des stratégies visant à promouvoir les initiatives en matière d</w:t>
      </w:r>
      <w:r w:rsidR="00026688" w:rsidRPr="00AA07C3">
        <w:rPr>
          <w:lang w:val="fr-FR"/>
        </w:rPr>
        <w:t>'</w:t>
      </w:r>
      <w:r w:rsidR="00712516" w:rsidRPr="00AA07C3">
        <w:rPr>
          <w:lang w:val="fr-FR"/>
        </w:rPr>
        <w:t>innovation, y compris dans le cadre de partenariats publics, privés ou public-privé.</w:t>
      </w:r>
    </w:p>
    <w:p w14:paraId="0A98028D" w14:textId="48619A52"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Renforcement des capacités humaines et institutionnelles des membres de l</w:t>
      </w:r>
      <w:r w:rsidR="00026688" w:rsidRPr="00AA07C3">
        <w:rPr>
          <w:lang w:val="fr-FR"/>
        </w:rPr>
        <w:t>'</w:t>
      </w:r>
      <w:r w:rsidR="00712516" w:rsidRPr="00AA07C3">
        <w:rPr>
          <w:lang w:val="fr-FR"/>
        </w:rPr>
        <w:t>UIT dans le domaine des télécommunications/TIC pour favoriser la transformation numérique.</w:t>
      </w:r>
    </w:p>
    <w:p w14:paraId="04A69D63" w14:textId="6D4D4373" w:rsidR="00712516" w:rsidRPr="00AA07C3" w:rsidRDefault="008A7EB7" w:rsidP="005E2A35">
      <w:pPr>
        <w:pStyle w:val="Heading2"/>
        <w:rPr>
          <w:lang w:val="fr-FR"/>
        </w:rPr>
      </w:pPr>
      <w:r w:rsidRPr="00AA07C3">
        <w:rPr>
          <w:lang w:val="fr-FR"/>
        </w:rPr>
        <w:t>2.1</w:t>
      </w:r>
      <w:r w:rsidRPr="00AA07C3">
        <w:rPr>
          <w:lang w:val="fr-FR"/>
        </w:rPr>
        <w:tab/>
      </w:r>
      <w:r w:rsidR="00712516" w:rsidRPr="00AA07C3">
        <w:rPr>
          <w:lang w:val="fr-FR"/>
        </w:rPr>
        <w:t>Objectifs stratégiques</w:t>
      </w:r>
    </w:p>
    <w:p w14:paraId="06F0A15B" w14:textId="05CC8F83" w:rsidR="00712516" w:rsidRPr="00AA07C3" w:rsidRDefault="00712516" w:rsidP="005E2A35">
      <w:pPr>
        <w:rPr>
          <w:lang w:val="fr-FR"/>
        </w:rPr>
      </w:pPr>
      <w:r w:rsidRPr="00AA07C3">
        <w:rPr>
          <w:lang w:val="fr-FR"/>
        </w:rPr>
        <w:t>L</w:t>
      </w:r>
      <w:r w:rsidR="00026688" w:rsidRPr="00AA07C3">
        <w:rPr>
          <w:lang w:val="fr-FR"/>
        </w:rPr>
        <w:t>'</w:t>
      </w:r>
      <w:r w:rsidRPr="00AA07C3">
        <w:rPr>
          <w:lang w:val="fr-FR"/>
        </w:rPr>
        <w:t>Alliance aura pour mission de promouvoir la réalisation de cinq objectifs stratégiques visant à accélérer la transition des pays vers une économie numérique fondée sur l</w:t>
      </w:r>
      <w:r w:rsidR="00026688" w:rsidRPr="00AA07C3">
        <w:rPr>
          <w:lang w:val="fr-FR"/>
        </w:rPr>
        <w:t>'</w:t>
      </w:r>
      <w:r w:rsidRPr="00AA07C3">
        <w:rPr>
          <w:lang w:val="fr-FR"/>
        </w:rPr>
        <w:t>innovation.</w:t>
      </w:r>
    </w:p>
    <w:p w14:paraId="586AD0FC" w14:textId="78C9546D" w:rsidR="00712516" w:rsidRPr="00AA07C3" w:rsidRDefault="00712516" w:rsidP="005E2A35">
      <w:pPr>
        <w:rPr>
          <w:lang w:val="fr-FR"/>
        </w:rPr>
      </w:pPr>
      <w:r w:rsidRPr="00AA07C3">
        <w:rPr>
          <w:lang w:val="fr-FR"/>
        </w:rPr>
        <w:t>Les pays ont besoin d</w:t>
      </w:r>
      <w:r w:rsidR="00026688" w:rsidRPr="00AA07C3">
        <w:rPr>
          <w:lang w:val="fr-FR"/>
        </w:rPr>
        <w:t>'</w:t>
      </w:r>
      <w:r w:rsidRPr="00AA07C3">
        <w:rPr>
          <w:lang w:val="fr-FR"/>
        </w:rPr>
        <w:t>accéder à des méthodes avant-gardistes en matière d</w:t>
      </w:r>
      <w:r w:rsidR="00026688" w:rsidRPr="00AA07C3">
        <w:rPr>
          <w:lang w:val="fr-FR"/>
        </w:rPr>
        <w:t>'</w:t>
      </w:r>
      <w:r w:rsidRPr="00AA07C3">
        <w:rPr>
          <w:lang w:val="fr-FR"/>
        </w:rPr>
        <w:t>innovation qui soient à leur portée, ce qui suppose de développer de nouvelles capacités et de localiser ces capacités pour les rendre pérennes:</w:t>
      </w:r>
    </w:p>
    <w:p w14:paraId="14E044D7" w14:textId="6CB2068C"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Capacité d</w:t>
      </w:r>
      <w:r w:rsidR="00026688" w:rsidRPr="00AA07C3">
        <w:rPr>
          <w:lang w:val="fr-FR"/>
        </w:rPr>
        <w:t>'</w:t>
      </w:r>
      <w:r w:rsidR="00712516" w:rsidRPr="00AA07C3">
        <w:rPr>
          <w:lang w:val="fr-FR"/>
        </w:rPr>
        <w:t>étudier et d</w:t>
      </w:r>
      <w:r w:rsidR="00026688" w:rsidRPr="00AA07C3">
        <w:rPr>
          <w:lang w:val="fr-FR"/>
        </w:rPr>
        <w:t>'</w:t>
      </w:r>
      <w:r w:rsidR="00712516" w:rsidRPr="00AA07C3">
        <w:rPr>
          <w:lang w:val="fr-FR"/>
        </w:rPr>
        <w:t>anticiper les grandes tendances – pour permettre aux pays d</w:t>
      </w:r>
      <w:r w:rsidR="00026688" w:rsidRPr="00AA07C3">
        <w:rPr>
          <w:lang w:val="fr-FR"/>
        </w:rPr>
        <w:t>'</w:t>
      </w:r>
      <w:r w:rsidR="00712516" w:rsidRPr="00AA07C3">
        <w:rPr>
          <w:lang w:val="fr-FR"/>
        </w:rPr>
        <w:t>avoir une longueur d</w:t>
      </w:r>
      <w:r w:rsidR="00026688" w:rsidRPr="00AA07C3">
        <w:rPr>
          <w:lang w:val="fr-FR"/>
        </w:rPr>
        <w:t>'</w:t>
      </w:r>
      <w:r w:rsidR="00712516" w:rsidRPr="00AA07C3">
        <w:rPr>
          <w:lang w:val="fr-FR"/>
        </w:rPr>
        <w:t>avance et de comprendre les dynamiques qui sous-tendent l</w:t>
      </w:r>
      <w:r w:rsidR="00026688" w:rsidRPr="00AA07C3">
        <w:rPr>
          <w:lang w:val="fr-FR"/>
        </w:rPr>
        <w:t>'</w:t>
      </w:r>
      <w:r w:rsidR="00712516" w:rsidRPr="00AA07C3">
        <w:rPr>
          <w:lang w:val="fr-FR"/>
        </w:rPr>
        <w:t>évolution des technologies, des politiques et de l</w:t>
      </w:r>
      <w:r w:rsidR="00026688" w:rsidRPr="00AA07C3">
        <w:rPr>
          <w:lang w:val="fr-FR"/>
        </w:rPr>
        <w:t>'</w:t>
      </w:r>
      <w:r w:rsidR="00712516" w:rsidRPr="00AA07C3">
        <w:rPr>
          <w:lang w:val="fr-FR"/>
        </w:rPr>
        <w:t>innovation.</w:t>
      </w:r>
    </w:p>
    <w:p w14:paraId="7ABDB828" w14:textId="3F426226"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Innovation ouverte dans le domaine des technologies – pour exploiter le savoir-faire technologique</w:t>
      </w:r>
      <w:r w:rsidR="00286CD2" w:rsidRPr="00AA07C3">
        <w:rPr>
          <w:lang w:val="fr-FR"/>
        </w:rPr>
        <w:t xml:space="preserve"> </w:t>
      </w:r>
      <w:r w:rsidR="00712516" w:rsidRPr="00AA07C3">
        <w:rPr>
          <w:lang w:val="fr-FR"/>
        </w:rPr>
        <w:t>et</w:t>
      </w:r>
      <w:r w:rsidR="00286CD2" w:rsidRPr="00AA07C3">
        <w:rPr>
          <w:lang w:val="fr-FR"/>
        </w:rPr>
        <w:t xml:space="preserve"> </w:t>
      </w:r>
      <w:r w:rsidR="00712516" w:rsidRPr="00AA07C3">
        <w:rPr>
          <w:lang w:val="fr-FR"/>
        </w:rPr>
        <w:t>le concrétiser sous la forme de biens mondiaux, grâce à l</w:t>
      </w:r>
      <w:r w:rsidR="00026688" w:rsidRPr="00AA07C3">
        <w:rPr>
          <w:lang w:val="fr-FR"/>
        </w:rPr>
        <w:t>'</w:t>
      </w:r>
      <w:r w:rsidR="00712516" w:rsidRPr="00AA07C3">
        <w:rPr>
          <w:lang w:val="fr-FR"/>
        </w:rPr>
        <w:t>innovation ouverte et à des mécanismes multi-parties prenantes, afin d</w:t>
      </w:r>
      <w:r w:rsidR="00026688" w:rsidRPr="00AA07C3">
        <w:rPr>
          <w:lang w:val="fr-FR"/>
        </w:rPr>
        <w:t>'</w:t>
      </w:r>
      <w:r w:rsidR="00712516" w:rsidRPr="00AA07C3">
        <w:rPr>
          <w:lang w:val="fr-FR"/>
        </w:rPr>
        <w:t>accélérer l</w:t>
      </w:r>
      <w:r w:rsidR="00026688" w:rsidRPr="00AA07C3">
        <w:rPr>
          <w:lang w:val="fr-FR"/>
        </w:rPr>
        <w:t>'</w:t>
      </w:r>
      <w:r w:rsidR="00712516" w:rsidRPr="00AA07C3">
        <w:rPr>
          <w:lang w:val="fr-FR"/>
        </w:rPr>
        <w:t>accès de tous aux technologies émergentes.</w:t>
      </w:r>
    </w:p>
    <w:p w14:paraId="5B4EBE61" w14:textId="7A9AD195"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Croissance de l</w:t>
      </w:r>
      <w:r w:rsidR="00026688" w:rsidRPr="00AA07C3">
        <w:rPr>
          <w:lang w:val="fr-FR"/>
        </w:rPr>
        <w:t>'</w:t>
      </w:r>
      <w:r w:rsidR="00712516" w:rsidRPr="00AA07C3">
        <w:rPr>
          <w:lang w:val="fr-FR"/>
        </w:rPr>
        <w:t>entrepreneuriat et des PME – pour accélérer l</w:t>
      </w:r>
      <w:r w:rsidR="00026688" w:rsidRPr="00AA07C3">
        <w:rPr>
          <w:lang w:val="fr-FR"/>
        </w:rPr>
        <w:t>'</w:t>
      </w:r>
      <w:r w:rsidR="00712516" w:rsidRPr="00AA07C3">
        <w:rPr>
          <w:lang w:val="fr-FR"/>
        </w:rPr>
        <w:t>adhésion à l</w:t>
      </w:r>
      <w:r w:rsidR="00026688" w:rsidRPr="00AA07C3">
        <w:rPr>
          <w:lang w:val="fr-FR"/>
        </w:rPr>
        <w:t>'</w:t>
      </w:r>
      <w:r w:rsidR="00712516" w:rsidRPr="00AA07C3">
        <w:rPr>
          <w:lang w:val="fr-FR"/>
        </w:rPr>
        <w:t>entrepreneuriat numérique axé sur l</w:t>
      </w:r>
      <w:r w:rsidR="00026688" w:rsidRPr="00AA07C3">
        <w:rPr>
          <w:lang w:val="fr-FR"/>
        </w:rPr>
        <w:t>'</w:t>
      </w:r>
      <w:r w:rsidR="00712516" w:rsidRPr="00AA07C3">
        <w:rPr>
          <w:lang w:val="fr-FR"/>
        </w:rPr>
        <w:t>innovation et permettre aux talents d</w:t>
      </w:r>
      <w:r w:rsidR="00026688" w:rsidRPr="00AA07C3">
        <w:rPr>
          <w:lang w:val="fr-FR"/>
        </w:rPr>
        <w:t>'</w:t>
      </w:r>
      <w:r w:rsidR="00712516" w:rsidRPr="00AA07C3">
        <w:rPr>
          <w:lang w:val="fr-FR"/>
        </w:rPr>
        <w:t>intégrer l</w:t>
      </w:r>
      <w:r w:rsidR="00026688" w:rsidRPr="00AA07C3">
        <w:rPr>
          <w:lang w:val="fr-FR"/>
        </w:rPr>
        <w:t>'</w:t>
      </w:r>
      <w:r w:rsidR="00712516" w:rsidRPr="00AA07C3">
        <w:rPr>
          <w:lang w:val="fr-FR"/>
        </w:rPr>
        <w:t>inclusion socio</w:t>
      </w:r>
      <w:r w:rsidR="00686E73" w:rsidRPr="00AA07C3">
        <w:rPr>
          <w:lang w:val="fr-FR"/>
        </w:rPr>
        <w:noBreakHyphen/>
      </w:r>
      <w:r w:rsidR="00712516" w:rsidRPr="00AA07C3">
        <w:rPr>
          <w:lang w:val="fr-FR"/>
        </w:rPr>
        <w:t>économique dans leurs communautés.</w:t>
      </w:r>
    </w:p>
    <w:p w14:paraId="76EA8625" w14:textId="4B03C108"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Expérimentation des politiques – pour élaborer des politiques souples qui offrent aux parties prenantes un cadre sûr pour mener des expérimentations, qui encourage l</w:t>
      </w:r>
      <w:r w:rsidR="00026688" w:rsidRPr="00AA07C3">
        <w:rPr>
          <w:lang w:val="fr-FR"/>
        </w:rPr>
        <w:t>'</w:t>
      </w:r>
      <w:r w:rsidR="00712516" w:rsidRPr="00AA07C3">
        <w:rPr>
          <w:lang w:val="fr-FR"/>
        </w:rPr>
        <w:t>innovation et attire les investissements dans l</w:t>
      </w:r>
      <w:r w:rsidR="00026688" w:rsidRPr="00AA07C3">
        <w:rPr>
          <w:lang w:val="fr-FR"/>
        </w:rPr>
        <w:t>'</w:t>
      </w:r>
      <w:r w:rsidR="00712516" w:rsidRPr="00AA07C3">
        <w:rPr>
          <w:lang w:val="fr-FR"/>
        </w:rPr>
        <w:t>écosystème numérique.</w:t>
      </w:r>
    </w:p>
    <w:p w14:paraId="1E2943C3" w14:textId="32CB4FE9"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Accélération des initiatives relatives aux écosystèmes – pour promouvoir la collaboration et les synergies propres à développer les innovations numériques et à créer une valeur sectorielle transversale en faveur d</w:t>
      </w:r>
      <w:r w:rsidR="00026688" w:rsidRPr="00AA07C3">
        <w:rPr>
          <w:lang w:val="fr-FR"/>
        </w:rPr>
        <w:t>'</w:t>
      </w:r>
      <w:r w:rsidR="00712516" w:rsidRPr="00AA07C3">
        <w:rPr>
          <w:lang w:val="fr-FR"/>
        </w:rPr>
        <w:t>une économie numérique compétitive.</w:t>
      </w:r>
    </w:p>
    <w:p w14:paraId="30194F4E" w14:textId="436CFE88" w:rsidR="00712516" w:rsidRPr="00AA07C3" w:rsidRDefault="008A7EB7" w:rsidP="005E2A35">
      <w:pPr>
        <w:pStyle w:val="Heading2"/>
        <w:rPr>
          <w:lang w:val="fr-FR"/>
        </w:rPr>
      </w:pPr>
      <w:r w:rsidRPr="00AA07C3">
        <w:rPr>
          <w:lang w:val="fr-FR"/>
        </w:rPr>
        <w:t>2.2</w:t>
      </w:r>
      <w:r w:rsidRPr="00AA07C3">
        <w:rPr>
          <w:lang w:val="fr-FR"/>
        </w:rPr>
        <w:tab/>
      </w:r>
      <w:r w:rsidR="00712516" w:rsidRPr="00AA07C3">
        <w:rPr>
          <w:lang w:val="fr-FR"/>
        </w:rPr>
        <w:t>Principaux instruments</w:t>
      </w:r>
    </w:p>
    <w:p w14:paraId="56043768" w14:textId="30B2F4B3" w:rsidR="00712516" w:rsidRPr="00AA07C3" w:rsidRDefault="00712516" w:rsidP="005E2A35">
      <w:pPr>
        <w:rPr>
          <w:lang w:val="fr-FR"/>
        </w:rPr>
      </w:pPr>
      <w:r w:rsidRPr="00AA07C3">
        <w:rPr>
          <w:lang w:val="fr-FR"/>
        </w:rPr>
        <w:t>L</w:t>
      </w:r>
      <w:r w:rsidR="00026688" w:rsidRPr="00AA07C3">
        <w:rPr>
          <w:lang w:val="fr-FR"/>
        </w:rPr>
        <w:t>'</w:t>
      </w:r>
      <w:r w:rsidRPr="00AA07C3">
        <w:rPr>
          <w:lang w:val="fr-FR"/>
        </w:rPr>
        <w:t>Alliance contribuera à renforcer les capacités des pays d</w:t>
      </w:r>
      <w:r w:rsidR="00026688" w:rsidRPr="00AA07C3">
        <w:rPr>
          <w:lang w:val="fr-FR"/>
        </w:rPr>
        <w:t>'</w:t>
      </w:r>
      <w:r w:rsidRPr="00AA07C3">
        <w:rPr>
          <w:lang w:val="fr-FR"/>
        </w:rPr>
        <w:t>intégrer l</w:t>
      </w:r>
      <w:r w:rsidR="00026688" w:rsidRPr="00AA07C3">
        <w:rPr>
          <w:lang w:val="fr-FR"/>
        </w:rPr>
        <w:t>'</w:t>
      </w:r>
      <w:r w:rsidRPr="00AA07C3">
        <w:rPr>
          <w:lang w:val="fr-FR"/>
        </w:rPr>
        <w:t>innovation dans le secteur des</w:t>
      </w:r>
      <w:r w:rsidR="00686E73" w:rsidRPr="00AA07C3">
        <w:rPr>
          <w:lang w:val="fr-FR"/>
        </w:rPr>
        <w:t> </w:t>
      </w:r>
      <w:r w:rsidRPr="00AA07C3">
        <w:rPr>
          <w:lang w:val="fr-FR"/>
        </w:rPr>
        <w:t>TIC dans leurs programmes nationaux de développement et à créer les capacités humaines et institutionnelles à l</w:t>
      </w:r>
      <w:r w:rsidR="00026688" w:rsidRPr="00AA07C3">
        <w:rPr>
          <w:lang w:val="fr-FR"/>
        </w:rPr>
        <w:t>'</w:t>
      </w:r>
      <w:r w:rsidRPr="00AA07C3">
        <w:rPr>
          <w:lang w:val="fr-FR"/>
        </w:rPr>
        <w:t>échelon national, là où elles sont plus utiles et viables.</w:t>
      </w:r>
    </w:p>
    <w:p w14:paraId="49C9A5F5" w14:textId="4D68369F" w:rsidR="00E74FB7" w:rsidRDefault="00E74FB7" w:rsidP="005E2A35">
      <w:pPr>
        <w:pStyle w:val="enumlev1"/>
        <w:rPr>
          <w:lang w:val="fr-FR"/>
        </w:rPr>
      </w:pPr>
      <w:r>
        <w:rPr>
          <w:lang w:val="fr-FR"/>
        </w:rPr>
        <w:br w:type="page"/>
      </w:r>
    </w:p>
    <w:p w14:paraId="6CCC1031" w14:textId="4CEBDAB7" w:rsidR="00A10B7A" w:rsidRPr="00A10B7A" w:rsidRDefault="00A10B7A" w:rsidP="005E2A35">
      <w:pPr>
        <w:rPr>
          <w:lang w:val="fr-FR"/>
        </w:rPr>
      </w:pPr>
      <w:r w:rsidRPr="00A10B7A">
        <w:rPr>
          <w:lang w:val="fr-FR"/>
        </w:rPr>
        <w:lastRenderedPageBreak/>
        <w:t>L'Alliance</w:t>
      </w:r>
      <w:r>
        <w:rPr>
          <w:lang w:val="fr-FR"/>
        </w:rPr>
        <w:t xml:space="preserve"> </w:t>
      </w:r>
      <w:r w:rsidRPr="00A10B7A">
        <w:rPr>
          <w:lang w:val="fr-FR"/>
        </w:rPr>
        <w:t>mettra en œuvre les capacités nécessaires en s'appuyant sur trois instruments principaux:</w:t>
      </w:r>
    </w:p>
    <w:p w14:paraId="6B9629A6" w14:textId="7E0BEA42" w:rsidR="00A10B7A" w:rsidRPr="00461482" w:rsidRDefault="00A10B7A" w:rsidP="005E2A35">
      <w:pPr>
        <w:pStyle w:val="enumlev1"/>
        <w:rPr>
          <w:lang w:val="fr-CH"/>
        </w:rPr>
      </w:pPr>
      <w:r>
        <w:rPr>
          <w:lang w:val="fr-FR"/>
        </w:rPr>
        <w:t>1)</w:t>
      </w:r>
      <w:r>
        <w:rPr>
          <w:lang w:val="fr-FR"/>
        </w:rPr>
        <w:tab/>
      </w:r>
      <w:r w:rsidRPr="00A10B7A">
        <w:rPr>
          <w:b/>
          <w:lang w:val="fr-FR"/>
        </w:rPr>
        <w:t>Un laboratoire de transformation numérique</w:t>
      </w:r>
      <w:r w:rsidRPr="00A10B7A">
        <w:rPr>
          <w:lang w:val="fr-FR"/>
        </w:rPr>
        <w:t xml:space="preserve">: Le laboratoire DT </w:t>
      </w:r>
      <w:proofErr w:type="spellStart"/>
      <w:r w:rsidRPr="00A10B7A">
        <w:rPr>
          <w:lang w:val="fr-FR"/>
        </w:rPr>
        <w:t>Lab</w:t>
      </w:r>
      <w:proofErr w:type="spellEnd"/>
      <w:r w:rsidRPr="00A10B7A">
        <w:rPr>
          <w:lang w:val="fr-FR"/>
        </w:rPr>
        <w:t xml:space="preserve"> appuiera</w:t>
      </w:r>
      <w:r>
        <w:rPr>
          <w:lang w:val="fr-FR"/>
        </w:rPr>
        <w:t xml:space="preserve"> </w:t>
      </w:r>
      <w:r w:rsidRPr="00A10B7A">
        <w:rPr>
          <w:lang w:val="fr-FR"/>
        </w:rPr>
        <w:t>la création et la mise en place du réseau de centres d'accélération et</w:t>
      </w:r>
      <w:r>
        <w:rPr>
          <w:lang w:val="fr-FR"/>
        </w:rPr>
        <w:t xml:space="preserve"> </w:t>
      </w:r>
      <w:r w:rsidRPr="00A10B7A">
        <w:rPr>
          <w:lang w:val="fr-FR"/>
        </w:rPr>
        <w:t>fournira, sur demande, une assistance technique aux pays qui ne disposent pas des capacités nécessaires pour instaurer un environnement de type "bac à sable" et prendre des initiatives propres à accélérer le développement du numérique. Le laboratoire, qui sera basé à Genève,</w:t>
      </w:r>
      <w:r>
        <w:rPr>
          <w:lang w:val="fr-FR"/>
        </w:rPr>
        <w:t xml:space="preserve"> </w:t>
      </w:r>
      <w:r w:rsidRPr="00A10B7A">
        <w:rPr>
          <w:lang w:val="fr-FR"/>
        </w:rPr>
        <w:t>sera accessible de manière virtu</w:t>
      </w:r>
      <w:r>
        <w:rPr>
          <w:lang w:val="fr-FR"/>
        </w:rPr>
        <w:t>elle et offrira au personnel du </w:t>
      </w:r>
      <w:r w:rsidRPr="00A10B7A">
        <w:rPr>
          <w:lang w:val="fr-FR"/>
        </w:rPr>
        <w:t xml:space="preserve">BDT et aux pays des services en matière d'innovation. </w:t>
      </w:r>
      <w:r w:rsidRPr="00461482">
        <w:rPr>
          <w:lang w:val="fr-CH"/>
        </w:rPr>
        <w:t>Le BDT tirera parti de l'amélioration des produits et des services qu'il offre en vue de se hisser au rang de première institution à même d'accompagner les pays en développement dans leur processus de transformation numérique.</w:t>
      </w:r>
    </w:p>
    <w:p w14:paraId="0211AC34" w14:textId="08266B17" w:rsidR="00A10B7A" w:rsidRPr="00511564" w:rsidRDefault="00A10B7A" w:rsidP="005E2A35">
      <w:pPr>
        <w:pStyle w:val="enumlev1"/>
        <w:rPr>
          <w:lang w:val="fr-FR"/>
        </w:rPr>
      </w:pPr>
      <w:r>
        <w:rPr>
          <w:lang w:val="fr-FR"/>
        </w:rPr>
        <w:t>2)</w:t>
      </w:r>
      <w:r>
        <w:rPr>
          <w:lang w:val="fr-FR"/>
        </w:rPr>
        <w:tab/>
      </w:r>
      <w:r w:rsidRPr="00A10B7A">
        <w:rPr>
          <w:b/>
          <w:lang w:val="fr-FR"/>
        </w:rPr>
        <w:t>Un réseau de centres d'accélération</w:t>
      </w:r>
      <w:r w:rsidRPr="00A10B7A">
        <w:rPr>
          <w:lang w:val="fr-FR"/>
        </w:rPr>
        <w:t xml:space="preserve">: Le réseau aura pour but de renforcer les capacités d'innovation aux niveaux mondial, régional et national, afin d'élaborer des initiatives dans le domaine des technologies et des stratégies ainsi que des initiatives phares. </w:t>
      </w:r>
      <w:r w:rsidRPr="00461482">
        <w:rPr>
          <w:lang w:val="fr-CH"/>
        </w:rPr>
        <w:t xml:space="preserve">Les différents centres viseront à accélérer la transformation numérique en adoptant une approche unique en son genre, qui place l'écosystème au cœur de toutes les réflexions et associe le meilleur de trois méthodes reconnues: la perception du sens, la réflexion systémique et la réflexion conceptuelle. </w:t>
      </w:r>
      <w:r w:rsidRPr="00511564">
        <w:rPr>
          <w:lang w:val="fr-FR"/>
        </w:rPr>
        <w:t>Les centres permettront également de développer les capacités locales pour accélérer l'innovation, l'entrepreneuriat et le passage au numérique des économies au niveau local, l'objectif étant de renforcer la compétitivité des secteurs de l'économie</w:t>
      </w:r>
      <w:r w:rsidR="00511564" w:rsidRPr="00511564">
        <w:rPr>
          <w:lang w:val="fr-FR"/>
        </w:rPr>
        <w:t>.</w:t>
      </w:r>
    </w:p>
    <w:p w14:paraId="5E3075DD" w14:textId="4E8E4B18" w:rsidR="00712516" w:rsidRPr="00AA07C3" w:rsidRDefault="008A7EB7" w:rsidP="005E2A35">
      <w:pPr>
        <w:pStyle w:val="enumlev1"/>
        <w:rPr>
          <w:lang w:val="fr-FR"/>
        </w:rPr>
      </w:pPr>
      <w:r w:rsidRPr="00AA07C3">
        <w:rPr>
          <w:lang w:val="fr-FR"/>
        </w:rPr>
        <w:t>3)</w:t>
      </w:r>
      <w:r w:rsidRPr="00AA07C3">
        <w:rPr>
          <w:lang w:val="fr-FR"/>
        </w:rPr>
        <w:tab/>
      </w:r>
      <w:r w:rsidR="00712516" w:rsidRPr="00AA07C3">
        <w:rPr>
          <w:b/>
          <w:bCs/>
          <w:lang w:val="fr-FR"/>
        </w:rPr>
        <w:t>Un Conseil de l</w:t>
      </w:r>
      <w:r w:rsidR="00026688" w:rsidRPr="00AA07C3">
        <w:rPr>
          <w:b/>
          <w:bCs/>
          <w:lang w:val="fr-FR"/>
        </w:rPr>
        <w:t>'</w:t>
      </w:r>
      <w:r w:rsidR="00712516" w:rsidRPr="00AA07C3">
        <w:rPr>
          <w:b/>
          <w:bCs/>
          <w:lang w:val="fr-FR"/>
        </w:rPr>
        <w:t>innovation numérique</w:t>
      </w:r>
      <w:r w:rsidR="00712516" w:rsidRPr="00AA07C3">
        <w:rPr>
          <w:lang w:val="fr-FR"/>
        </w:rPr>
        <w:t xml:space="preserve">: </w:t>
      </w:r>
      <w:r w:rsidR="00511564">
        <w:rPr>
          <w:lang w:val="fr-FR"/>
        </w:rPr>
        <w:t>L</w:t>
      </w:r>
      <w:r w:rsidR="00712516" w:rsidRPr="00AA07C3">
        <w:rPr>
          <w:lang w:val="fr-FR"/>
        </w:rPr>
        <w:t>e conseil guidera les travaux de l</w:t>
      </w:r>
      <w:r w:rsidR="00026688" w:rsidRPr="00AA07C3">
        <w:rPr>
          <w:lang w:val="fr-FR"/>
        </w:rPr>
        <w:t>'</w:t>
      </w:r>
      <w:r w:rsidR="00712516" w:rsidRPr="00AA07C3">
        <w:rPr>
          <w:lang w:val="fr-FR"/>
        </w:rPr>
        <w:t>Alliance et veillera à ce qu</w:t>
      </w:r>
      <w:r w:rsidR="00026688" w:rsidRPr="00AA07C3">
        <w:rPr>
          <w:lang w:val="fr-FR"/>
        </w:rPr>
        <w:t>'</w:t>
      </w:r>
      <w:r w:rsidR="00712516" w:rsidRPr="00AA07C3">
        <w:rPr>
          <w:lang w:val="fr-FR"/>
        </w:rPr>
        <w:t>elle soit efficace et en mesure de rendre des comptes et de prendre des décisions de manière éclairée,</w:t>
      </w:r>
      <w:r w:rsidR="00286CD2" w:rsidRPr="00AA07C3">
        <w:rPr>
          <w:lang w:val="fr-FR"/>
        </w:rPr>
        <w:t xml:space="preserve"> </w:t>
      </w:r>
      <w:r w:rsidR="00712516" w:rsidRPr="00AA07C3">
        <w:rPr>
          <w:lang w:val="fr-FR"/>
        </w:rPr>
        <w:t>en vue d</w:t>
      </w:r>
      <w:r w:rsidR="00026688" w:rsidRPr="00AA07C3">
        <w:rPr>
          <w:lang w:val="fr-FR"/>
        </w:rPr>
        <w:t>'</w:t>
      </w:r>
      <w:r w:rsidR="00712516" w:rsidRPr="00AA07C3">
        <w:rPr>
          <w:lang w:val="fr-FR"/>
        </w:rPr>
        <w:t>accélérer la mise en œuvre du Plan d</w:t>
      </w:r>
      <w:r w:rsidR="00026688" w:rsidRPr="00AA07C3">
        <w:rPr>
          <w:lang w:val="fr-FR"/>
        </w:rPr>
        <w:t>'</w:t>
      </w:r>
      <w:r w:rsidR="00712516" w:rsidRPr="00AA07C3">
        <w:rPr>
          <w:lang w:val="fr-FR"/>
        </w:rPr>
        <w:t>action de Kigali. Il facilitera la coordination de haut niveau et participera à des activités de promotion</w:t>
      </w:r>
      <w:r w:rsidR="00286CD2" w:rsidRPr="00AA07C3">
        <w:rPr>
          <w:lang w:val="fr-FR"/>
        </w:rPr>
        <w:t xml:space="preserve"> </w:t>
      </w:r>
      <w:r w:rsidR="00712516" w:rsidRPr="00AA07C3">
        <w:rPr>
          <w:lang w:val="fr-FR"/>
        </w:rPr>
        <w:t>à l</w:t>
      </w:r>
      <w:r w:rsidR="00026688" w:rsidRPr="00AA07C3">
        <w:rPr>
          <w:lang w:val="fr-FR"/>
        </w:rPr>
        <w:t>'</w:t>
      </w:r>
      <w:r w:rsidR="00712516" w:rsidRPr="00AA07C3">
        <w:rPr>
          <w:lang w:val="fr-FR"/>
        </w:rPr>
        <w:t>échelle mondiale au niveau des Nations Unies et aux côtés d</w:t>
      </w:r>
      <w:r w:rsidR="00026688" w:rsidRPr="00AA07C3">
        <w:rPr>
          <w:lang w:val="fr-FR"/>
        </w:rPr>
        <w:t>'</w:t>
      </w:r>
      <w:r w:rsidR="00712516" w:rsidRPr="00AA07C3">
        <w:rPr>
          <w:lang w:val="fr-FR"/>
        </w:rPr>
        <w:t>organisations régionales et internationales. Tirant parti de son influence, le conseil contribuera à mobiliser des ressources et des partenariats, à diffuser les enseignements tirés et à créer une communauté d</w:t>
      </w:r>
      <w:r w:rsidR="00026688" w:rsidRPr="00AA07C3">
        <w:rPr>
          <w:lang w:val="fr-FR"/>
        </w:rPr>
        <w:t>'</w:t>
      </w:r>
      <w:r w:rsidR="00712516" w:rsidRPr="00AA07C3">
        <w:rPr>
          <w:lang w:val="fr-FR"/>
        </w:rPr>
        <w:t>apprentissage à l</w:t>
      </w:r>
      <w:r w:rsidR="00026688" w:rsidRPr="00AA07C3">
        <w:rPr>
          <w:lang w:val="fr-FR"/>
        </w:rPr>
        <w:t>'</w:t>
      </w:r>
      <w:r w:rsidR="00712516" w:rsidRPr="00AA07C3">
        <w:rPr>
          <w:lang w:val="fr-FR"/>
        </w:rPr>
        <w:t>échelle mondiale.</w:t>
      </w:r>
    </w:p>
    <w:p w14:paraId="04269407" w14:textId="381B4E2C" w:rsidR="00712516" w:rsidRPr="00AA07C3" w:rsidRDefault="008A7EB7" w:rsidP="005E2A35">
      <w:pPr>
        <w:pStyle w:val="Heading2"/>
        <w:rPr>
          <w:lang w:val="fr-FR"/>
        </w:rPr>
      </w:pPr>
      <w:r w:rsidRPr="00AA07C3">
        <w:rPr>
          <w:lang w:val="fr-FR"/>
        </w:rPr>
        <w:t>2.3</w:t>
      </w:r>
      <w:r w:rsidRPr="00AA07C3">
        <w:rPr>
          <w:lang w:val="fr-FR"/>
        </w:rPr>
        <w:tab/>
      </w:r>
      <w:r w:rsidR="00712516" w:rsidRPr="00AA07C3">
        <w:rPr>
          <w:lang w:val="fr-FR"/>
        </w:rPr>
        <w:t>Informations complémentaires concernant les centres d</w:t>
      </w:r>
      <w:r w:rsidR="00026688" w:rsidRPr="00AA07C3">
        <w:rPr>
          <w:lang w:val="fr-FR"/>
        </w:rPr>
        <w:t>'</w:t>
      </w:r>
      <w:r w:rsidR="00712516" w:rsidRPr="00AA07C3">
        <w:rPr>
          <w:lang w:val="fr-FR"/>
        </w:rPr>
        <w:t>accélération et l</w:t>
      </w:r>
      <w:r w:rsidR="00026688" w:rsidRPr="00AA07C3">
        <w:rPr>
          <w:lang w:val="fr-FR"/>
        </w:rPr>
        <w:t>'</w:t>
      </w:r>
      <w:r w:rsidR="00712516" w:rsidRPr="00AA07C3">
        <w:rPr>
          <w:lang w:val="fr-FR"/>
        </w:rPr>
        <w:t>Alliance</w:t>
      </w:r>
    </w:p>
    <w:p w14:paraId="570983DE" w14:textId="42780E19" w:rsidR="00712516" w:rsidRPr="00AA07C3" w:rsidRDefault="00712516" w:rsidP="005E2A35">
      <w:pPr>
        <w:spacing w:after="240"/>
        <w:rPr>
          <w:lang w:val="fr-FR"/>
        </w:rPr>
      </w:pPr>
      <w:r w:rsidRPr="00AA07C3">
        <w:rPr>
          <w:lang w:val="fr-FR"/>
        </w:rPr>
        <w:t>Plusieurs types de centres d</w:t>
      </w:r>
      <w:r w:rsidR="00026688" w:rsidRPr="00AA07C3">
        <w:rPr>
          <w:lang w:val="fr-FR"/>
        </w:rPr>
        <w:t>'</w:t>
      </w:r>
      <w:r w:rsidRPr="00AA07C3">
        <w:rPr>
          <w:lang w:val="fr-FR"/>
        </w:rPr>
        <w:t>accélération sont prévus pour répondre aux besoins des membres – le modèle est souple et le nom effectif d</w:t>
      </w:r>
      <w:r w:rsidR="00026688" w:rsidRPr="00AA07C3">
        <w:rPr>
          <w:lang w:val="fr-FR"/>
        </w:rPr>
        <w:t>'</w:t>
      </w:r>
      <w:r w:rsidRPr="00AA07C3">
        <w:rPr>
          <w:lang w:val="fr-FR"/>
        </w:rPr>
        <w:t>un centre dépendra de l</w:t>
      </w:r>
      <w:r w:rsidR="00026688" w:rsidRPr="00AA07C3">
        <w:rPr>
          <w:lang w:val="fr-FR"/>
        </w:rPr>
        <w:t>'</w:t>
      </w:r>
      <w:r w:rsidRPr="00AA07C3">
        <w:rPr>
          <w:lang w:val="fr-FR"/>
        </w:rPr>
        <w:t>entité à l</w:t>
      </w:r>
      <w:r w:rsidR="00026688" w:rsidRPr="00AA07C3">
        <w:rPr>
          <w:lang w:val="fr-FR"/>
        </w:rPr>
        <w:t>'</w:t>
      </w:r>
      <w:r w:rsidRPr="00AA07C3">
        <w:rPr>
          <w:lang w:val="fr-FR"/>
        </w:rPr>
        <w:t>origine de la demande.</w:t>
      </w:r>
    </w:p>
    <w:p w14:paraId="54484C12" w14:textId="155C2519" w:rsidR="00686E73" w:rsidRPr="00AA07C3" w:rsidRDefault="00686E73" w:rsidP="005E2A35">
      <w:pPr>
        <w:tabs>
          <w:tab w:val="clear" w:pos="794"/>
          <w:tab w:val="clear" w:pos="1191"/>
          <w:tab w:val="clear" w:pos="1588"/>
          <w:tab w:val="clear" w:pos="1985"/>
        </w:tabs>
        <w:overflowPunct/>
        <w:autoSpaceDE/>
        <w:autoSpaceDN/>
        <w:adjustRightInd/>
        <w:spacing w:before="0"/>
        <w:textAlignment w:val="auto"/>
        <w:rPr>
          <w:lang w:val="fr-FR"/>
        </w:rPr>
      </w:pPr>
      <w:r w:rsidRPr="00AA07C3">
        <w:rPr>
          <w:lang w:val="fr-FR"/>
        </w:rPr>
        <w:br w:type="page"/>
      </w:r>
    </w:p>
    <w:tbl>
      <w:tblPr>
        <w:tblStyle w:val="TableGrid"/>
        <w:tblW w:w="9493" w:type="dxa"/>
        <w:tblLayout w:type="fixed"/>
        <w:tblLook w:val="04A0" w:firstRow="1" w:lastRow="0" w:firstColumn="1" w:lastColumn="0" w:noHBand="0" w:noVBand="1"/>
      </w:tblPr>
      <w:tblGrid>
        <w:gridCol w:w="1413"/>
        <w:gridCol w:w="1134"/>
        <w:gridCol w:w="992"/>
        <w:gridCol w:w="935"/>
        <w:gridCol w:w="936"/>
        <w:gridCol w:w="935"/>
        <w:gridCol w:w="936"/>
        <w:gridCol w:w="936"/>
        <w:gridCol w:w="1276"/>
      </w:tblGrid>
      <w:tr w:rsidR="009A1529" w:rsidRPr="00AA07C3" w14:paraId="088305F9" w14:textId="77777777" w:rsidTr="00774C23">
        <w:trPr>
          <w:trHeight w:val="53"/>
        </w:trPr>
        <w:tc>
          <w:tcPr>
            <w:tcW w:w="1413" w:type="dxa"/>
            <w:vMerge w:val="restart"/>
          </w:tcPr>
          <w:p w14:paraId="284E3898" w14:textId="77777777" w:rsidR="009A1529" w:rsidRPr="00AA07C3" w:rsidRDefault="009A1529" w:rsidP="005E2A35">
            <w:pPr>
              <w:pStyle w:val="Tablehead"/>
              <w:jc w:val="left"/>
              <w:rPr>
                <w:sz w:val="18"/>
                <w:szCs w:val="18"/>
                <w:lang w:val="fr-FR"/>
              </w:rPr>
            </w:pPr>
            <w:r w:rsidRPr="00AA07C3">
              <w:rPr>
                <w:sz w:val="18"/>
                <w:szCs w:val="18"/>
                <w:lang w:val="fr-FR"/>
              </w:rPr>
              <w:lastRenderedPageBreak/>
              <w:t>Type de centre</w:t>
            </w:r>
          </w:p>
        </w:tc>
        <w:tc>
          <w:tcPr>
            <w:tcW w:w="1134" w:type="dxa"/>
            <w:vMerge w:val="restart"/>
            <w:textDirection w:val="btLr"/>
          </w:tcPr>
          <w:p w14:paraId="5BDDEAAC" w14:textId="77777777" w:rsidR="009A1529" w:rsidRPr="00AA07C3" w:rsidRDefault="009A1529" w:rsidP="005E2A35">
            <w:pPr>
              <w:pStyle w:val="Tablehead"/>
              <w:ind w:firstLine="113"/>
              <w:jc w:val="left"/>
              <w:rPr>
                <w:sz w:val="18"/>
                <w:szCs w:val="18"/>
                <w:lang w:val="fr-FR"/>
              </w:rPr>
            </w:pPr>
            <w:r w:rsidRPr="00AA07C3">
              <w:rPr>
                <w:sz w:val="18"/>
                <w:szCs w:val="18"/>
                <w:lang w:val="fr-FR"/>
              </w:rPr>
              <w:t>Propriété</w:t>
            </w:r>
          </w:p>
        </w:tc>
        <w:tc>
          <w:tcPr>
            <w:tcW w:w="992" w:type="dxa"/>
            <w:vMerge w:val="restart"/>
            <w:textDirection w:val="btLr"/>
          </w:tcPr>
          <w:p w14:paraId="6B809EF3" w14:textId="77777777" w:rsidR="009A1529" w:rsidRPr="00AA07C3" w:rsidRDefault="009A1529" w:rsidP="005E2A35">
            <w:pPr>
              <w:pStyle w:val="Tablehead"/>
              <w:ind w:firstLine="113"/>
              <w:jc w:val="left"/>
              <w:rPr>
                <w:sz w:val="18"/>
                <w:szCs w:val="18"/>
                <w:lang w:val="fr-FR"/>
              </w:rPr>
            </w:pPr>
            <w:r w:rsidRPr="00AA07C3">
              <w:rPr>
                <w:sz w:val="18"/>
                <w:szCs w:val="18"/>
                <w:lang w:val="fr-FR"/>
              </w:rPr>
              <w:t>Portée</w:t>
            </w:r>
          </w:p>
        </w:tc>
        <w:tc>
          <w:tcPr>
            <w:tcW w:w="4678" w:type="dxa"/>
            <w:gridSpan w:val="5"/>
          </w:tcPr>
          <w:p w14:paraId="405EC1A5" w14:textId="77777777" w:rsidR="009A1529" w:rsidRPr="00AA07C3" w:rsidRDefault="009A1529" w:rsidP="005E2A35">
            <w:pPr>
              <w:pStyle w:val="Tablehead"/>
              <w:rPr>
                <w:sz w:val="16"/>
                <w:szCs w:val="16"/>
                <w:lang w:val="fr-FR"/>
              </w:rPr>
            </w:pPr>
            <w:r w:rsidRPr="00AA07C3">
              <w:rPr>
                <w:sz w:val="18"/>
                <w:szCs w:val="18"/>
                <w:lang w:val="fr-FR"/>
              </w:rPr>
              <w:t>Capacités stratégiques</w:t>
            </w:r>
          </w:p>
        </w:tc>
        <w:tc>
          <w:tcPr>
            <w:tcW w:w="1276" w:type="dxa"/>
            <w:vMerge w:val="restart"/>
            <w:textDirection w:val="btLr"/>
          </w:tcPr>
          <w:p w14:paraId="0E37AA0A" w14:textId="115F38CD" w:rsidR="00774C23" w:rsidRPr="00AA07C3" w:rsidRDefault="009A1529" w:rsidP="005E2A35">
            <w:pPr>
              <w:pStyle w:val="Tablehead"/>
              <w:ind w:firstLine="113"/>
              <w:jc w:val="left"/>
              <w:rPr>
                <w:sz w:val="18"/>
                <w:szCs w:val="18"/>
                <w:lang w:val="fr-FR"/>
              </w:rPr>
            </w:pPr>
            <w:r w:rsidRPr="00AA07C3">
              <w:rPr>
                <w:sz w:val="18"/>
                <w:szCs w:val="18"/>
                <w:lang w:val="fr-FR"/>
              </w:rPr>
              <w:t>Ressources</w:t>
            </w:r>
          </w:p>
        </w:tc>
      </w:tr>
      <w:tr w:rsidR="009A1529" w:rsidRPr="00AE0F57" w14:paraId="29C4A1B4" w14:textId="77777777" w:rsidTr="00774C23">
        <w:trPr>
          <w:trHeight w:val="638"/>
        </w:trPr>
        <w:tc>
          <w:tcPr>
            <w:tcW w:w="1413" w:type="dxa"/>
            <w:vMerge/>
          </w:tcPr>
          <w:p w14:paraId="2588C7BF" w14:textId="77777777" w:rsidR="009A1529" w:rsidRPr="00AA07C3" w:rsidRDefault="009A1529" w:rsidP="005E2A35">
            <w:pPr>
              <w:pStyle w:val="Tabletext"/>
              <w:rPr>
                <w:sz w:val="16"/>
                <w:szCs w:val="16"/>
                <w:lang w:val="fr-FR"/>
              </w:rPr>
            </w:pPr>
          </w:p>
        </w:tc>
        <w:tc>
          <w:tcPr>
            <w:tcW w:w="1134" w:type="dxa"/>
            <w:vMerge/>
          </w:tcPr>
          <w:p w14:paraId="0B63BD43" w14:textId="77777777" w:rsidR="009A1529" w:rsidRPr="00AA07C3" w:rsidRDefault="009A1529" w:rsidP="005E2A35">
            <w:pPr>
              <w:pStyle w:val="Tabletext"/>
              <w:rPr>
                <w:sz w:val="16"/>
                <w:szCs w:val="16"/>
                <w:lang w:val="fr-FR"/>
              </w:rPr>
            </w:pPr>
          </w:p>
        </w:tc>
        <w:tc>
          <w:tcPr>
            <w:tcW w:w="992" w:type="dxa"/>
            <w:vMerge/>
          </w:tcPr>
          <w:p w14:paraId="0C6062C6" w14:textId="77777777" w:rsidR="009A1529" w:rsidRPr="00AA07C3" w:rsidRDefault="009A1529" w:rsidP="005E2A35">
            <w:pPr>
              <w:pStyle w:val="Tabletext"/>
              <w:rPr>
                <w:sz w:val="16"/>
                <w:szCs w:val="16"/>
                <w:lang w:val="fr-FR"/>
              </w:rPr>
            </w:pPr>
          </w:p>
        </w:tc>
        <w:tc>
          <w:tcPr>
            <w:tcW w:w="935" w:type="dxa"/>
          </w:tcPr>
          <w:p w14:paraId="68B9F894" w14:textId="1E8334D8" w:rsidR="009A1529" w:rsidRPr="00AA07C3" w:rsidRDefault="009A1529" w:rsidP="005E2A35">
            <w:pPr>
              <w:pStyle w:val="Tablehead8pt"/>
              <w:ind w:left="-13"/>
              <w:rPr>
                <w:b/>
                <w:bCs/>
              </w:rPr>
            </w:pPr>
            <w:r w:rsidRPr="00AA07C3">
              <w:rPr>
                <w:b/>
                <w:bCs/>
              </w:rPr>
              <w:t>Capacité d</w:t>
            </w:r>
            <w:r w:rsidR="00026688" w:rsidRPr="00AA07C3">
              <w:rPr>
                <w:b/>
                <w:bCs/>
              </w:rPr>
              <w:t>'</w:t>
            </w:r>
            <w:r w:rsidRPr="00AA07C3">
              <w:rPr>
                <w:b/>
                <w:bCs/>
              </w:rPr>
              <w:t>étudier et d</w:t>
            </w:r>
            <w:r w:rsidR="00026688" w:rsidRPr="00AA07C3">
              <w:rPr>
                <w:b/>
                <w:bCs/>
              </w:rPr>
              <w:t>'</w:t>
            </w:r>
            <w:r w:rsidRPr="00AA07C3">
              <w:rPr>
                <w:b/>
                <w:bCs/>
              </w:rPr>
              <w:t>anti</w:t>
            </w:r>
            <w:r w:rsidR="00774C23" w:rsidRPr="00AA07C3">
              <w:rPr>
                <w:b/>
                <w:bCs/>
              </w:rPr>
              <w:softHyphen/>
            </w:r>
            <w:r w:rsidRPr="00AA07C3">
              <w:rPr>
                <w:b/>
                <w:bCs/>
              </w:rPr>
              <w:t>ciper les grandes tendances</w:t>
            </w:r>
          </w:p>
        </w:tc>
        <w:tc>
          <w:tcPr>
            <w:tcW w:w="936" w:type="dxa"/>
          </w:tcPr>
          <w:p w14:paraId="41823DE0" w14:textId="3260B1A0" w:rsidR="009A1529" w:rsidRPr="00AA07C3" w:rsidRDefault="009A1529" w:rsidP="005E2A35">
            <w:pPr>
              <w:pStyle w:val="Tablehead8pt"/>
              <w:rPr>
                <w:b/>
                <w:bCs/>
              </w:rPr>
            </w:pPr>
            <w:r w:rsidRPr="00AA07C3">
              <w:rPr>
                <w:b/>
                <w:bCs/>
              </w:rPr>
              <w:t>Innovation ouverte dans le domaine des technolo</w:t>
            </w:r>
            <w:r w:rsidR="00774C23" w:rsidRPr="00AA07C3">
              <w:rPr>
                <w:b/>
                <w:bCs/>
              </w:rPr>
              <w:softHyphen/>
            </w:r>
            <w:r w:rsidRPr="00AA07C3">
              <w:rPr>
                <w:b/>
                <w:bCs/>
              </w:rPr>
              <w:t>gies</w:t>
            </w:r>
          </w:p>
        </w:tc>
        <w:tc>
          <w:tcPr>
            <w:tcW w:w="935" w:type="dxa"/>
          </w:tcPr>
          <w:p w14:paraId="3C8C9ABC" w14:textId="71AE3146" w:rsidR="009A1529" w:rsidRPr="00AA07C3" w:rsidRDefault="009A1529" w:rsidP="005E2A35">
            <w:pPr>
              <w:pStyle w:val="Tablehead8pt"/>
              <w:rPr>
                <w:b/>
                <w:bCs/>
              </w:rPr>
            </w:pPr>
            <w:r w:rsidRPr="00AA07C3">
              <w:rPr>
                <w:b/>
                <w:bCs/>
              </w:rPr>
              <w:t>Croissance de l</w:t>
            </w:r>
            <w:r w:rsidR="00026688" w:rsidRPr="00AA07C3">
              <w:rPr>
                <w:b/>
                <w:bCs/>
              </w:rPr>
              <w:t>'</w:t>
            </w:r>
            <w:r w:rsidRPr="00AA07C3">
              <w:rPr>
                <w:b/>
                <w:bCs/>
              </w:rPr>
              <w:t>entre</w:t>
            </w:r>
            <w:r w:rsidR="00774C23" w:rsidRPr="00AA07C3">
              <w:rPr>
                <w:b/>
                <w:bCs/>
              </w:rPr>
              <w:softHyphen/>
            </w:r>
            <w:r w:rsidRPr="00AA07C3">
              <w:rPr>
                <w:b/>
                <w:bCs/>
              </w:rPr>
              <w:t>pr</w:t>
            </w:r>
            <w:r w:rsidR="00774C23" w:rsidRPr="00AA07C3">
              <w:rPr>
                <w:b/>
                <w:bCs/>
              </w:rPr>
              <w:t>e</w:t>
            </w:r>
            <w:r w:rsidRPr="00AA07C3">
              <w:rPr>
                <w:b/>
                <w:bCs/>
              </w:rPr>
              <w:t>neuriat et des PME</w:t>
            </w:r>
          </w:p>
        </w:tc>
        <w:tc>
          <w:tcPr>
            <w:tcW w:w="936" w:type="dxa"/>
          </w:tcPr>
          <w:p w14:paraId="7918E866" w14:textId="3A331837" w:rsidR="009A1529" w:rsidRPr="00AA07C3" w:rsidRDefault="009A1529" w:rsidP="005E2A35">
            <w:pPr>
              <w:pStyle w:val="Tablehead8pt"/>
              <w:rPr>
                <w:b/>
                <w:bCs/>
              </w:rPr>
            </w:pPr>
            <w:r w:rsidRPr="00AA07C3">
              <w:rPr>
                <w:b/>
                <w:bCs/>
              </w:rPr>
              <w:t>Expéri</w:t>
            </w:r>
            <w:r w:rsidR="00774C23" w:rsidRPr="00AA07C3">
              <w:rPr>
                <w:b/>
                <w:bCs/>
              </w:rPr>
              <w:softHyphen/>
            </w:r>
            <w:r w:rsidRPr="00AA07C3">
              <w:rPr>
                <w:b/>
                <w:bCs/>
              </w:rPr>
              <w:t>mentation des politiques</w:t>
            </w:r>
          </w:p>
        </w:tc>
        <w:tc>
          <w:tcPr>
            <w:tcW w:w="936" w:type="dxa"/>
          </w:tcPr>
          <w:p w14:paraId="4B98838B" w14:textId="0B4C207F" w:rsidR="009A1529" w:rsidRPr="00AA07C3" w:rsidRDefault="009A1529" w:rsidP="005E2A35">
            <w:pPr>
              <w:pStyle w:val="Tablehead8pt"/>
              <w:rPr>
                <w:b/>
                <w:bCs/>
              </w:rPr>
            </w:pPr>
            <w:r w:rsidRPr="00AA07C3">
              <w:rPr>
                <w:b/>
                <w:bCs/>
              </w:rPr>
              <w:t>Accéléra</w:t>
            </w:r>
            <w:r w:rsidR="00774C23" w:rsidRPr="00AA07C3">
              <w:rPr>
                <w:b/>
                <w:bCs/>
              </w:rPr>
              <w:softHyphen/>
            </w:r>
            <w:r w:rsidRPr="00AA07C3">
              <w:rPr>
                <w:b/>
                <w:bCs/>
              </w:rPr>
              <w:t>tion des initiatives relatives aux éco</w:t>
            </w:r>
            <w:r w:rsidR="00774C23" w:rsidRPr="00AA07C3">
              <w:rPr>
                <w:b/>
                <w:bCs/>
              </w:rPr>
              <w:softHyphen/>
            </w:r>
            <w:r w:rsidRPr="00AA07C3">
              <w:rPr>
                <w:b/>
                <w:bCs/>
              </w:rPr>
              <w:t>systèmes</w:t>
            </w:r>
          </w:p>
        </w:tc>
        <w:tc>
          <w:tcPr>
            <w:tcW w:w="1276" w:type="dxa"/>
            <w:vMerge/>
          </w:tcPr>
          <w:p w14:paraId="34FB5A51" w14:textId="77777777" w:rsidR="009A1529" w:rsidRPr="00AA07C3" w:rsidRDefault="009A1529" w:rsidP="005E2A35">
            <w:pPr>
              <w:pStyle w:val="Tabletext"/>
              <w:rPr>
                <w:sz w:val="16"/>
                <w:szCs w:val="16"/>
                <w:lang w:val="fr-FR"/>
              </w:rPr>
            </w:pPr>
          </w:p>
        </w:tc>
      </w:tr>
      <w:tr w:rsidR="009A1529" w:rsidRPr="00AE0F57" w14:paraId="5CEC4C91" w14:textId="77777777" w:rsidTr="00774C23">
        <w:trPr>
          <w:trHeight w:val="557"/>
        </w:trPr>
        <w:tc>
          <w:tcPr>
            <w:tcW w:w="1413" w:type="dxa"/>
          </w:tcPr>
          <w:p w14:paraId="777C4CC8" w14:textId="1FF1AF44" w:rsidR="009A1529" w:rsidRPr="00AA07C3" w:rsidRDefault="009A1529" w:rsidP="005E2A35">
            <w:pPr>
              <w:pStyle w:val="Tabletext"/>
              <w:rPr>
                <w:b/>
                <w:bCs/>
                <w:sz w:val="16"/>
                <w:szCs w:val="16"/>
                <w:lang w:val="fr-FR"/>
              </w:rPr>
            </w:pPr>
            <w:r w:rsidRPr="00AA07C3">
              <w:rPr>
                <w:b/>
                <w:bCs/>
                <w:sz w:val="16"/>
                <w:szCs w:val="16"/>
                <w:lang w:val="fr-FR"/>
              </w:rPr>
              <w:t>Centre d</w:t>
            </w:r>
            <w:r w:rsidR="00026688" w:rsidRPr="00AA07C3">
              <w:rPr>
                <w:b/>
                <w:bCs/>
                <w:sz w:val="16"/>
                <w:szCs w:val="16"/>
                <w:lang w:val="fr-FR"/>
              </w:rPr>
              <w:t>'</w:t>
            </w:r>
            <w:r w:rsidRPr="00AA07C3">
              <w:rPr>
                <w:b/>
                <w:bCs/>
                <w:sz w:val="16"/>
                <w:szCs w:val="16"/>
                <w:lang w:val="fr-FR"/>
              </w:rPr>
              <w:t>accélération des technologies</w:t>
            </w:r>
          </w:p>
        </w:tc>
        <w:tc>
          <w:tcPr>
            <w:tcW w:w="1134" w:type="dxa"/>
          </w:tcPr>
          <w:p w14:paraId="2009133B" w14:textId="4E50E4D3" w:rsidR="009A1529" w:rsidRPr="00AA07C3" w:rsidRDefault="009A1529" w:rsidP="005E2A35">
            <w:pPr>
              <w:pStyle w:val="Tabletext"/>
              <w:rPr>
                <w:sz w:val="16"/>
                <w:szCs w:val="16"/>
                <w:lang w:val="fr-FR"/>
              </w:rPr>
            </w:pPr>
            <w:r w:rsidRPr="00AA07C3">
              <w:rPr>
                <w:sz w:val="16"/>
                <w:szCs w:val="16"/>
                <w:lang w:val="fr-FR"/>
              </w:rPr>
              <w:t>Détenu et géré par l</w:t>
            </w:r>
            <w:r w:rsidR="00026688" w:rsidRPr="00AA07C3">
              <w:rPr>
                <w:sz w:val="16"/>
                <w:szCs w:val="16"/>
                <w:lang w:val="fr-FR"/>
              </w:rPr>
              <w:t>'</w:t>
            </w:r>
            <w:r w:rsidRPr="00AA07C3">
              <w:rPr>
                <w:sz w:val="16"/>
                <w:szCs w:val="16"/>
                <w:lang w:val="fr-FR"/>
              </w:rPr>
              <w:t>UIT ou le pays hôte</w:t>
            </w:r>
          </w:p>
        </w:tc>
        <w:tc>
          <w:tcPr>
            <w:tcW w:w="992" w:type="dxa"/>
          </w:tcPr>
          <w:p w14:paraId="17337B81" w14:textId="77777777" w:rsidR="009A1529" w:rsidRPr="00AA07C3" w:rsidRDefault="009A1529" w:rsidP="005E2A35">
            <w:pPr>
              <w:pStyle w:val="Tabletext"/>
              <w:rPr>
                <w:sz w:val="16"/>
                <w:szCs w:val="16"/>
                <w:lang w:val="fr-FR"/>
              </w:rPr>
            </w:pPr>
            <w:r w:rsidRPr="00AA07C3">
              <w:rPr>
                <w:sz w:val="16"/>
                <w:szCs w:val="16"/>
                <w:lang w:val="fr-FR"/>
              </w:rPr>
              <w:t>Mondiale ou régionale</w:t>
            </w:r>
          </w:p>
        </w:tc>
        <w:tc>
          <w:tcPr>
            <w:tcW w:w="935" w:type="dxa"/>
          </w:tcPr>
          <w:p w14:paraId="2D15B8C4"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17139586" wp14:editId="655BE854">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355DF3D2"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11ECD6A1" wp14:editId="45F2987C">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5" w:type="dxa"/>
          </w:tcPr>
          <w:p w14:paraId="705F971A"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06D09728" wp14:editId="0B437F4C">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1E34BC28"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37774F11" wp14:editId="77210B73">
                  <wp:extent cx="183697" cy="183697"/>
                  <wp:effectExtent l="0" t="0" r="6985" b="698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6822F9CF" w14:textId="77777777" w:rsidR="009A1529" w:rsidRPr="00AA07C3" w:rsidRDefault="009A1529" w:rsidP="005E2A35">
            <w:pPr>
              <w:pStyle w:val="Tabletext"/>
              <w:rPr>
                <w:sz w:val="16"/>
                <w:szCs w:val="16"/>
                <w:lang w:val="fr-FR"/>
              </w:rPr>
            </w:pPr>
          </w:p>
        </w:tc>
        <w:tc>
          <w:tcPr>
            <w:tcW w:w="1276" w:type="dxa"/>
          </w:tcPr>
          <w:p w14:paraId="20D66BA5" w14:textId="1FCE4B05" w:rsidR="009A1529" w:rsidRPr="00AA07C3" w:rsidRDefault="009A1529" w:rsidP="005E2A35">
            <w:pPr>
              <w:pStyle w:val="Tabletext"/>
              <w:rPr>
                <w:sz w:val="16"/>
                <w:szCs w:val="16"/>
                <w:lang w:val="fr-FR"/>
              </w:rPr>
            </w:pPr>
            <w:r w:rsidRPr="00AA07C3">
              <w:rPr>
                <w:sz w:val="16"/>
                <w:szCs w:val="16"/>
                <w:lang w:val="fr-FR"/>
              </w:rPr>
              <w:t>Parrainé par le pays hôte, géré par le personnel de l</w:t>
            </w:r>
            <w:r w:rsidR="00026688" w:rsidRPr="00AA07C3">
              <w:rPr>
                <w:sz w:val="16"/>
                <w:szCs w:val="16"/>
                <w:lang w:val="fr-FR"/>
              </w:rPr>
              <w:t>'</w:t>
            </w:r>
            <w:r w:rsidRPr="00AA07C3">
              <w:rPr>
                <w:sz w:val="16"/>
                <w:szCs w:val="16"/>
                <w:lang w:val="fr-FR"/>
              </w:rPr>
              <w:t>UIT ou du pays hôte</w:t>
            </w:r>
          </w:p>
        </w:tc>
      </w:tr>
      <w:tr w:rsidR="009A1529" w:rsidRPr="00AE0F57" w14:paraId="3C1692A9" w14:textId="77777777" w:rsidTr="00774C23">
        <w:tc>
          <w:tcPr>
            <w:tcW w:w="1413" w:type="dxa"/>
          </w:tcPr>
          <w:p w14:paraId="70423648" w14:textId="1A16E5CC" w:rsidR="009A1529" w:rsidRPr="00AA07C3" w:rsidRDefault="009A1529" w:rsidP="005E2A35">
            <w:pPr>
              <w:pStyle w:val="Tabletext"/>
              <w:rPr>
                <w:b/>
                <w:bCs/>
                <w:sz w:val="16"/>
                <w:szCs w:val="16"/>
                <w:lang w:val="fr-FR"/>
              </w:rPr>
            </w:pPr>
            <w:r w:rsidRPr="00AA07C3">
              <w:rPr>
                <w:b/>
                <w:bCs/>
                <w:sz w:val="16"/>
                <w:szCs w:val="16"/>
                <w:lang w:val="fr-FR"/>
              </w:rPr>
              <w:t>Centre de recherche et d</w:t>
            </w:r>
            <w:r w:rsidR="00026688" w:rsidRPr="00AA07C3">
              <w:rPr>
                <w:b/>
                <w:bCs/>
                <w:sz w:val="16"/>
                <w:szCs w:val="16"/>
                <w:lang w:val="fr-FR"/>
              </w:rPr>
              <w:t>'</w:t>
            </w:r>
            <w:r w:rsidRPr="00AA07C3">
              <w:rPr>
                <w:b/>
                <w:bCs/>
                <w:sz w:val="16"/>
                <w:szCs w:val="16"/>
                <w:lang w:val="fr-FR"/>
              </w:rPr>
              <w:t>excellence en entrepreneuriat</w:t>
            </w:r>
          </w:p>
        </w:tc>
        <w:tc>
          <w:tcPr>
            <w:tcW w:w="1134" w:type="dxa"/>
          </w:tcPr>
          <w:p w14:paraId="37295FAB" w14:textId="2E283798" w:rsidR="009A1529" w:rsidRPr="00AA07C3" w:rsidRDefault="009A1529" w:rsidP="005E2A35">
            <w:pPr>
              <w:pStyle w:val="Tabletext"/>
              <w:rPr>
                <w:sz w:val="16"/>
                <w:szCs w:val="16"/>
                <w:lang w:val="fr-FR"/>
              </w:rPr>
            </w:pPr>
            <w:r w:rsidRPr="00AA07C3">
              <w:rPr>
                <w:sz w:val="16"/>
                <w:szCs w:val="16"/>
                <w:lang w:val="fr-FR"/>
              </w:rPr>
              <w:t>Propriété du pays. Lorsqu</w:t>
            </w:r>
            <w:r w:rsidR="00026688" w:rsidRPr="00AA07C3">
              <w:rPr>
                <w:sz w:val="16"/>
                <w:szCs w:val="16"/>
                <w:lang w:val="fr-FR"/>
              </w:rPr>
              <w:t>'</w:t>
            </w:r>
            <w:r w:rsidRPr="00AA07C3">
              <w:rPr>
                <w:sz w:val="16"/>
                <w:szCs w:val="16"/>
                <w:lang w:val="fr-FR"/>
              </w:rPr>
              <w:t>il s</w:t>
            </w:r>
            <w:r w:rsidR="00026688" w:rsidRPr="00AA07C3">
              <w:rPr>
                <w:sz w:val="16"/>
                <w:szCs w:val="16"/>
                <w:lang w:val="fr-FR"/>
              </w:rPr>
              <w:t>'</w:t>
            </w:r>
            <w:r w:rsidRPr="00AA07C3">
              <w:rPr>
                <w:sz w:val="16"/>
                <w:szCs w:val="16"/>
                <w:lang w:val="fr-FR"/>
              </w:rPr>
              <w:t>agit d</w:t>
            </w:r>
            <w:r w:rsidR="00026688" w:rsidRPr="00AA07C3">
              <w:rPr>
                <w:sz w:val="16"/>
                <w:szCs w:val="16"/>
                <w:lang w:val="fr-FR"/>
              </w:rPr>
              <w:t>'</w:t>
            </w:r>
            <w:r w:rsidRPr="00AA07C3">
              <w:rPr>
                <w:sz w:val="16"/>
                <w:szCs w:val="16"/>
                <w:lang w:val="fr-FR"/>
              </w:rPr>
              <w:t>un centre régional, celui-ci fait fonction de point de convergence pour l</w:t>
            </w:r>
            <w:r w:rsidR="00026688" w:rsidRPr="00AA07C3">
              <w:rPr>
                <w:sz w:val="16"/>
                <w:szCs w:val="16"/>
                <w:lang w:val="fr-FR"/>
              </w:rPr>
              <w:t>'</w:t>
            </w:r>
            <w:r w:rsidRPr="00AA07C3">
              <w:rPr>
                <w:sz w:val="16"/>
                <w:szCs w:val="16"/>
                <w:lang w:val="fr-FR"/>
              </w:rPr>
              <w:t>UIT sur le sujet dans la région en question</w:t>
            </w:r>
          </w:p>
        </w:tc>
        <w:tc>
          <w:tcPr>
            <w:tcW w:w="992" w:type="dxa"/>
          </w:tcPr>
          <w:p w14:paraId="4947F22C" w14:textId="77777777" w:rsidR="009A1529" w:rsidRPr="00AA07C3" w:rsidRDefault="009A1529" w:rsidP="005E2A35">
            <w:pPr>
              <w:pStyle w:val="Tabletext"/>
              <w:rPr>
                <w:sz w:val="16"/>
                <w:szCs w:val="16"/>
                <w:lang w:val="fr-FR"/>
              </w:rPr>
            </w:pPr>
            <w:r w:rsidRPr="00AA07C3">
              <w:rPr>
                <w:sz w:val="16"/>
                <w:szCs w:val="16"/>
                <w:lang w:val="fr-FR"/>
              </w:rPr>
              <w:t>Régionale ou nationale</w:t>
            </w:r>
          </w:p>
        </w:tc>
        <w:tc>
          <w:tcPr>
            <w:tcW w:w="935" w:type="dxa"/>
          </w:tcPr>
          <w:p w14:paraId="68224DA9"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49C13788" wp14:editId="147C46E2">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070A37C5"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7EB803D8" wp14:editId="74787B10">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5" w:type="dxa"/>
          </w:tcPr>
          <w:p w14:paraId="2E0A3F35"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4D160FEB" wp14:editId="626D94FE">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5A27A866" w14:textId="77777777" w:rsidR="009A1529" w:rsidRPr="00AA07C3" w:rsidRDefault="009A1529" w:rsidP="005E2A35">
            <w:pPr>
              <w:pStyle w:val="Tabletext"/>
              <w:rPr>
                <w:sz w:val="16"/>
                <w:szCs w:val="16"/>
                <w:lang w:val="fr-FR"/>
              </w:rPr>
            </w:pPr>
          </w:p>
        </w:tc>
        <w:tc>
          <w:tcPr>
            <w:tcW w:w="936" w:type="dxa"/>
          </w:tcPr>
          <w:p w14:paraId="3E742A38" w14:textId="77777777" w:rsidR="009A1529" w:rsidRPr="00AA07C3" w:rsidRDefault="009A1529" w:rsidP="005E2A35">
            <w:pPr>
              <w:pStyle w:val="Tabletext"/>
              <w:rPr>
                <w:sz w:val="16"/>
                <w:szCs w:val="16"/>
                <w:lang w:val="fr-FR"/>
              </w:rPr>
            </w:pPr>
          </w:p>
        </w:tc>
        <w:tc>
          <w:tcPr>
            <w:tcW w:w="1276" w:type="dxa"/>
          </w:tcPr>
          <w:p w14:paraId="09848608" w14:textId="1ECFC65C" w:rsidR="009A1529" w:rsidRPr="00AA07C3" w:rsidRDefault="009A1529" w:rsidP="005E2A35">
            <w:pPr>
              <w:pStyle w:val="Tabletext"/>
              <w:rPr>
                <w:sz w:val="16"/>
                <w:szCs w:val="16"/>
                <w:lang w:val="fr-FR"/>
              </w:rPr>
            </w:pPr>
            <w:r w:rsidRPr="00AA07C3">
              <w:rPr>
                <w:sz w:val="16"/>
                <w:szCs w:val="16"/>
                <w:lang w:val="fr-FR"/>
              </w:rPr>
              <w:t>Parrainé par un établissement universitaire participant aux travaux de l</w:t>
            </w:r>
            <w:r w:rsidR="00026688" w:rsidRPr="00AA07C3">
              <w:rPr>
                <w:sz w:val="16"/>
                <w:szCs w:val="16"/>
                <w:lang w:val="fr-FR"/>
              </w:rPr>
              <w:t>'</w:t>
            </w:r>
            <w:r w:rsidRPr="00AA07C3">
              <w:rPr>
                <w:sz w:val="16"/>
                <w:szCs w:val="16"/>
                <w:lang w:val="fr-FR"/>
              </w:rPr>
              <w:t>UIT en partenariat avec diverses parties prenantes et le personnel universitaire</w:t>
            </w:r>
          </w:p>
        </w:tc>
      </w:tr>
      <w:tr w:rsidR="009A1529" w:rsidRPr="00AE0F57" w14:paraId="16C4A631" w14:textId="77777777" w:rsidTr="00774C23">
        <w:tc>
          <w:tcPr>
            <w:tcW w:w="1413" w:type="dxa"/>
          </w:tcPr>
          <w:p w14:paraId="4905283F" w14:textId="7CB1C4D7" w:rsidR="009A1529" w:rsidRPr="00AA07C3" w:rsidRDefault="009A1529" w:rsidP="005E2A35">
            <w:pPr>
              <w:pStyle w:val="Tabletext"/>
              <w:rPr>
                <w:b/>
                <w:bCs/>
                <w:sz w:val="16"/>
                <w:szCs w:val="16"/>
                <w:lang w:val="fr-FR"/>
              </w:rPr>
            </w:pPr>
            <w:r w:rsidRPr="00AA07C3">
              <w:rPr>
                <w:b/>
                <w:bCs/>
                <w:sz w:val="16"/>
                <w:szCs w:val="16"/>
                <w:lang w:val="fr-FR"/>
              </w:rPr>
              <w:t>Centre d</w:t>
            </w:r>
            <w:r w:rsidR="00026688" w:rsidRPr="00AA07C3">
              <w:rPr>
                <w:b/>
                <w:bCs/>
                <w:sz w:val="16"/>
                <w:szCs w:val="16"/>
                <w:lang w:val="fr-FR"/>
              </w:rPr>
              <w:t>'</w:t>
            </w:r>
            <w:r w:rsidRPr="00AA07C3">
              <w:rPr>
                <w:b/>
                <w:bCs/>
                <w:sz w:val="16"/>
                <w:szCs w:val="16"/>
                <w:lang w:val="fr-FR"/>
              </w:rPr>
              <w:t>accélération de l</w:t>
            </w:r>
            <w:r w:rsidR="00026688" w:rsidRPr="00AA07C3">
              <w:rPr>
                <w:b/>
                <w:bCs/>
                <w:sz w:val="16"/>
                <w:szCs w:val="16"/>
                <w:lang w:val="fr-FR"/>
              </w:rPr>
              <w:t>'</w:t>
            </w:r>
            <w:r w:rsidRPr="00AA07C3">
              <w:rPr>
                <w:b/>
                <w:bCs/>
                <w:sz w:val="16"/>
                <w:szCs w:val="16"/>
                <w:lang w:val="fr-FR"/>
              </w:rPr>
              <w:t>innovation et de la transformation numérique</w:t>
            </w:r>
          </w:p>
        </w:tc>
        <w:tc>
          <w:tcPr>
            <w:tcW w:w="1134" w:type="dxa"/>
          </w:tcPr>
          <w:p w14:paraId="65E5E455" w14:textId="72B79D59" w:rsidR="009A1529" w:rsidRPr="00AA07C3" w:rsidRDefault="009A1529" w:rsidP="005E2A35">
            <w:pPr>
              <w:pStyle w:val="Tabletext"/>
              <w:rPr>
                <w:sz w:val="16"/>
                <w:szCs w:val="16"/>
                <w:lang w:val="fr-FR"/>
              </w:rPr>
            </w:pPr>
            <w:r w:rsidRPr="00AA07C3">
              <w:rPr>
                <w:sz w:val="16"/>
                <w:szCs w:val="16"/>
                <w:lang w:val="fr-FR"/>
              </w:rPr>
              <w:t>Propriété du pays. Lorsqu</w:t>
            </w:r>
            <w:r w:rsidR="00026688" w:rsidRPr="00AA07C3">
              <w:rPr>
                <w:sz w:val="16"/>
                <w:szCs w:val="16"/>
                <w:lang w:val="fr-FR"/>
              </w:rPr>
              <w:t>'</w:t>
            </w:r>
            <w:r w:rsidRPr="00AA07C3">
              <w:rPr>
                <w:sz w:val="16"/>
                <w:szCs w:val="16"/>
                <w:lang w:val="fr-FR"/>
              </w:rPr>
              <w:t>il s</w:t>
            </w:r>
            <w:r w:rsidR="00026688" w:rsidRPr="00AA07C3">
              <w:rPr>
                <w:sz w:val="16"/>
                <w:szCs w:val="16"/>
                <w:lang w:val="fr-FR"/>
              </w:rPr>
              <w:t>'</w:t>
            </w:r>
            <w:r w:rsidRPr="00AA07C3">
              <w:rPr>
                <w:sz w:val="16"/>
                <w:szCs w:val="16"/>
                <w:lang w:val="fr-FR"/>
              </w:rPr>
              <w:t>agit d</w:t>
            </w:r>
            <w:r w:rsidR="00026688" w:rsidRPr="00AA07C3">
              <w:rPr>
                <w:sz w:val="16"/>
                <w:szCs w:val="16"/>
                <w:lang w:val="fr-FR"/>
              </w:rPr>
              <w:t>'</w:t>
            </w:r>
            <w:r w:rsidRPr="00AA07C3">
              <w:rPr>
                <w:sz w:val="16"/>
                <w:szCs w:val="16"/>
                <w:lang w:val="fr-FR"/>
              </w:rPr>
              <w:t>un centre régional, celui-ci fait fonction de point de convergence pour l</w:t>
            </w:r>
            <w:r w:rsidR="00026688" w:rsidRPr="00AA07C3">
              <w:rPr>
                <w:sz w:val="16"/>
                <w:szCs w:val="16"/>
                <w:lang w:val="fr-FR"/>
              </w:rPr>
              <w:t>'</w:t>
            </w:r>
            <w:r w:rsidRPr="00AA07C3">
              <w:rPr>
                <w:sz w:val="16"/>
                <w:szCs w:val="16"/>
                <w:lang w:val="fr-FR"/>
              </w:rPr>
              <w:t>UIT sur le sujet dans la région en question.</w:t>
            </w:r>
          </w:p>
        </w:tc>
        <w:tc>
          <w:tcPr>
            <w:tcW w:w="992" w:type="dxa"/>
          </w:tcPr>
          <w:p w14:paraId="3F757CDA" w14:textId="77777777" w:rsidR="009A1529" w:rsidRPr="00AA07C3" w:rsidRDefault="009A1529" w:rsidP="005E2A35">
            <w:pPr>
              <w:pStyle w:val="Tabletext"/>
              <w:rPr>
                <w:sz w:val="16"/>
                <w:szCs w:val="16"/>
                <w:lang w:val="fr-FR"/>
              </w:rPr>
            </w:pPr>
            <w:r w:rsidRPr="00AA07C3">
              <w:rPr>
                <w:sz w:val="16"/>
                <w:szCs w:val="16"/>
                <w:lang w:val="fr-FR"/>
              </w:rPr>
              <w:t>Régionale ou nationale</w:t>
            </w:r>
          </w:p>
        </w:tc>
        <w:tc>
          <w:tcPr>
            <w:tcW w:w="935" w:type="dxa"/>
          </w:tcPr>
          <w:p w14:paraId="19438739" w14:textId="77777777" w:rsidR="009A1529" w:rsidRPr="00AA07C3" w:rsidRDefault="009A1529" w:rsidP="005E2A35">
            <w:pPr>
              <w:pStyle w:val="Tabletext"/>
              <w:rPr>
                <w:sz w:val="16"/>
                <w:szCs w:val="16"/>
                <w:lang w:val="fr-FR"/>
              </w:rPr>
            </w:pPr>
          </w:p>
        </w:tc>
        <w:tc>
          <w:tcPr>
            <w:tcW w:w="936" w:type="dxa"/>
          </w:tcPr>
          <w:p w14:paraId="4EA748E2" w14:textId="77777777" w:rsidR="009A1529" w:rsidRPr="00AA07C3" w:rsidRDefault="009A1529" w:rsidP="005E2A35">
            <w:pPr>
              <w:pStyle w:val="Tabletext"/>
              <w:rPr>
                <w:sz w:val="16"/>
                <w:szCs w:val="16"/>
                <w:lang w:val="fr-FR"/>
              </w:rPr>
            </w:pPr>
          </w:p>
        </w:tc>
        <w:tc>
          <w:tcPr>
            <w:tcW w:w="935" w:type="dxa"/>
          </w:tcPr>
          <w:p w14:paraId="02A3E244"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20F9C052" wp14:editId="2853E0C8">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642C0E36"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34E32E13" wp14:editId="0A6B6B71">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936" w:type="dxa"/>
          </w:tcPr>
          <w:p w14:paraId="092A20B7"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56058E0A" wp14:editId="2E26F41E">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1276" w:type="dxa"/>
          </w:tcPr>
          <w:p w14:paraId="3035B099" w14:textId="44B37024" w:rsidR="009A1529" w:rsidRPr="00AA07C3" w:rsidRDefault="009A1529" w:rsidP="005E2A35">
            <w:pPr>
              <w:pStyle w:val="Tabletext"/>
              <w:rPr>
                <w:sz w:val="16"/>
                <w:szCs w:val="16"/>
                <w:lang w:val="fr-FR"/>
              </w:rPr>
            </w:pPr>
            <w:r w:rsidRPr="00AA07C3">
              <w:rPr>
                <w:sz w:val="16"/>
                <w:szCs w:val="16"/>
                <w:lang w:val="fr-FR"/>
              </w:rPr>
              <w:t>Parrainé par le pays hôte, géré par le personnel du pays hôte</w:t>
            </w:r>
          </w:p>
        </w:tc>
      </w:tr>
      <w:tr w:rsidR="009A1529" w:rsidRPr="00AE0F57" w14:paraId="56730F02" w14:textId="77777777" w:rsidTr="00E50602">
        <w:trPr>
          <w:trHeight w:val="1069"/>
        </w:trPr>
        <w:tc>
          <w:tcPr>
            <w:tcW w:w="1413" w:type="dxa"/>
          </w:tcPr>
          <w:p w14:paraId="112859A8" w14:textId="1DCF5BDF" w:rsidR="009A1529" w:rsidRPr="00AA07C3" w:rsidRDefault="009A1529" w:rsidP="005E2A35">
            <w:pPr>
              <w:pStyle w:val="Tabletext"/>
              <w:rPr>
                <w:b/>
                <w:bCs/>
                <w:sz w:val="16"/>
                <w:szCs w:val="16"/>
                <w:lang w:val="fr-FR"/>
              </w:rPr>
            </w:pPr>
            <w:r w:rsidRPr="00AA07C3">
              <w:rPr>
                <w:b/>
                <w:bCs/>
                <w:sz w:val="16"/>
                <w:szCs w:val="16"/>
                <w:lang w:val="fr-FR"/>
              </w:rPr>
              <w:t>Centre d</w:t>
            </w:r>
            <w:r w:rsidR="00026688" w:rsidRPr="00AA07C3">
              <w:rPr>
                <w:b/>
                <w:bCs/>
                <w:sz w:val="16"/>
                <w:szCs w:val="16"/>
                <w:lang w:val="fr-FR"/>
              </w:rPr>
              <w:t>'</w:t>
            </w:r>
            <w:r w:rsidRPr="00AA07C3">
              <w:rPr>
                <w:b/>
                <w:bCs/>
                <w:sz w:val="16"/>
                <w:szCs w:val="16"/>
                <w:lang w:val="fr-FR"/>
              </w:rPr>
              <w:t>accélération des initiatives</w:t>
            </w:r>
          </w:p>
        </w:tc>
        <w:tc>
          <w:tcPr>
            <w:tcW w:w="1134" w:type="dxa"/>
          </w:tcPr>
          <w:p w14:paraId="540429D1" w14:textId="631B1578" w:rsidR="009A1529" w:rsidRPr="00AA07C3" w:rsidRDefault="009A1529" w:rsidP="005E2A35">
            <w:pPr>
              <w:pStyle w:val="Tabletext"/>
              <w:rPr>
                <w:sz w:val="16"/>
                <w:szCs w:val="16"/>
                <w:lang w:val="fr-FR"/>
              </w:rPr>
            </w:pPr>
            <w:r w:rsidRPr="00AA07C3">
              <w:rPr>
                <w:sz w:val="16"/>
                <w:szCs w:val="16"/>
                <w:lang w:val="fr-FR"/>
              </w:rPr>
              <w:t>Au sein d</w:t>
            </w:r>
            <w:r w:rsidR="00026688" w:rsidRPr="00AA07C3">
              <w:rPr>
                <w:sz w:val="16"/>
                <w:szCs w:val="16"/>
                <w:lang w:val="fr-FR"/>
              </w:rPr>
              <w:t>'</w:t>
            </w:r>
            <w:r w:rsidRPr="00AA07C3">
              <w:rPr>
                <w:sz w:val="16"/>
                <w:szCs w:val="16"/>
                <w:lang w:val="fr-FR"/>
              </w:rPr>
              <w:t>une institution existante</w:t>
            </w:r>
          </w:p>
        </w:tc>
        <w:tc>
          <w:tcPr>
            <w:tcW w:w="992" w:type="dxa"/>
          </w:tcPr>
          <w:p w14:paraId="3EC52213" w14:textId="77777777" w:rsidR="009A1529" w:rsidRPr="00AA07C3" w:rsidRDefault="009A1529" w:rsidP="005E2A35">
            <w:pPr>
              <w:pStyle w:val="Tabletext"/>
              <w:rPr>
                <w:sz w:val="16"/>
                <w:szCs w:val="16"/>
                <w:lang w:val="fr-FR"/>
              </w:rPr>
            </w:pPr>
            <w:r w:rsidRPr="00AA07C3">
              <w:rPr>
                <w:sz w:val="16"/>
                <w:szCs w:val="16"/>
                <w:lang w:val="fr-FR"/>
              </w:rPr>
              <w:t>Régionale ou nationale</w:t>
            </w:r>
          </w:p>
        </w:tc>
        <w:tc>
          <w:tcPr>
            <w:tcW w:w="935" w:type="dxa"/>
          </w:tcPr>
          <w:p w14:paraId="2BB90301" w14:textId="77777777" w:rsidR="009A1529" w:rsidRPr="00AA07C3" w:rsidRDefault="009A1529" w:rsidP="005E2A35">
            <w:pPr>
              <w:pStyle w:val="Tabletext"/>
              <w:rPr>
                <w:sz w:val="16"/>
                <w:szCs w:val="16"/>
                <w:lang w:val="fr-FR"/>
              </w:rPr>
            </w:pPr>
          </w:p>
        </w:tc>
        <w:tc>
          <w:tcPr>
            <w:tcW w:w="936" w:type="dxa"/>
          </w:tcPr>
          <w:p w14:paraId="73B4F781" w14:textId="77777777" w:rsidR="009A1529" w:rsidRPr="00AA07C3" w:rsidRDefault="009A1529" w:rsidP="005E2A35">
            <w:pPr>
              <w:pStyle w:val="Tabletext"/>
              <w:rPr>
                <w:sz w:val="16"/>
                <w:szCs w:val="16"/>
                <w:lang w:val="fr-FR"/>
              </w:rPr>
            </w:pPr>
          </w:p>
        </w:tc>
        <w:tc>
          <w:tcPr>
            <w:tcW w:w="935" w:type="dxa"/>
          </w:tcPr>
          <w:p w14:paraId="00880E46" w14:textId="77777777" w:rsidR="009A1529" w:rsidRPr="00AA07C3" w:rsidRDefault="009A1529" w:rsidP="005E2A35">
            <w:pPr>
              <w:pStyle w:val="Tabletext"/>
              <w:rPr>
                <w:sz w:val="16"/>
                <w:szCs w:val="16"/>
                <w:lang w:val="fr-FR"/>
              </w:rPr>
            </w:pPr>
          </w:p>
        </w:tc>
        <w:tc>
          <w:tcPr>
            <w:tcW w:w="936" w:type="dxa"/>
          </w:tcPr>
          <w:p w14:paraId="7E983106" w14:textId="77777777" w:rsidR="009A1529" w:rsidRPr="00AA07C3" w:rsidRDefault="009A1529" w:rsidP="005E2A35">
            <w:pPr>
              <w:pStyle w:val="Tabletext"/>
              <w:rPr>
                <w:sz w:val="16"/>
                <w:szCs w:val="16"/>
                <w:lang w:val="fr-FR"/>
              </w:rPr>
            </w:pPr>
          </w:p>
        </w:tc>
        <w:tc>
          <w:tcPr>
            <w:tcW w:w="936" w:type="dxa"/>
          </w:tcPr>
          <w:p w14:paraId="2F9DA9B8" w14:textId="77777777" w:rsidR="009A1529" w:rsidRPr="00AA07C3" w:rsidRDefault="009A1529" w:rsidP="005E2A35">
            <w:pPr>
              <w:pStyle w:val="Tabletext"/>
              <w:rPr>
                <w:sz w:val="16"/>
                <w:szCs w:val="16"/>
                <w:lang w:val="fr-FR"/>
              </w:rPr>
            </w:pPr>
            <w:r w:rsidRPr="00AA07C3">
              <w:rPr>
                <w:noProof/>
                <w:sz w:val="16"/>
                <w:szCs w:val="16"/>
                <w:lang w:val="en-US"/>
              </w:rPr>
              <w:drawing>
                <wp:inline distT="0" distB="0" distL="0" distR="0" wp14:anchorId="276FFE9D" wp14:editId="0E878D1A">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6613" cy="186613"/>
                          </a:xfrm>
                          <a:prstGeom prst="rect">
                            <a:avLst/>
                          </a:prstGeom>
                        </pic:spPr>
                      </pic:pic>
                    </a:graphicData>
                  </a:graphic>
                </wp:inline>
              </w:drawing>
            </w:r>
          </w:p>
        </w:tc>
        <w:tc>
          <w:tcPr>
            <w:tcW w:w="1276" w:type="dxa"/>
          </w:tcPr>
          <w:p w14:paraId="4E84C47F" w14:textId="2E042D33" w:rsidR="009A1529" w:rsidRPr="00AA07C3" w:rsidRDefault="009A1529" w:rsidP="005E2A35">
            <w:pPr>
              <w:pStyle w:val="Tabletext"/>
              <w:rPr>
                <w:sz w:val="16"/>
                <w:szCs w:val="16"/>
                <w:lang w:val="fr-FR"/>
              </w:rPr>
            </w:pPr>
            <w:r w:rsidRPr="00AA07C3">
              <w:rPr>
                <w:sz w:val="16"/>
                <w:szCs w:val="16"/>
                <w:lang w:val="fr-FR"/>
              </w:rPr>
              <w:t>Exploite les ressources existantes de l</w:t>
            </w:r>
            <w:r w:rsidR="00026688" w:rsidRPr="00AA07C3">
              <w:rPr>
                <w:sz w:val="16"/>
                <w:szCs w:val="16"/>
                <w:lang w:val="fr-FR"/>
              </w:rPr>
              <w:t>'</w:t>
            </w:r>
            <w:r w:rsidRPr="00AA07C3">
              <w:rPr>
                <w:sz w:val="16"/>
                <w:szCs w:val="16"/>
                <w:lang w:val="fr-FR"/>
              </w:rPr>
              <w:t>organisation hôte</w:t>
            </w:r>
          </w:p>
        </w:tc>
      </w:tr>
    </w:tbl>
    <w:p w14:paraId="605FB973" w14:textId="5A05653B" w:rsidR="00712516" w:rsidRPr="00AA07C3" w:rsidRDefault="00712516" w:rsidP="005E2A35">
      <w:pPr>
        <w:spacing w:before="240"/>
        <w:rPr>
          <w:lang w:val="fr-FR"/>
        </w:rPr>
      </w:pPr>
      <w:r w:rsidRPr="00AA07C3">
        <w:rPr>
          <w:lang w:val="fr-FR"/>
        </w:rPr>
        <w:t>Les indications ci-dessus ne sont pas contraignantes pour les centres et ne sont données qu</w:t>
      </w:r>
      <w:r w:rsidR="00026688" w:rsidRPr="00AA07C3">
        <w:rPr>
          <w:lang w:val="fr-FR"/>
        </w:rPr>
        <w:t>'</w:t>
      </w:r>
      <w:r w:rsidRPr="00AA07C3">
        <w:rPr>
          <w:lang w:val="fr-FR"/>
        </w:rPr>
        <w:t>à titre d</w:t>
      </w:r>
      <w:r w:rsidR="00026688" w:rsidRPr="00AA07C3">
        <w:rPr>
          <w:lang w:val="fr-FR"/>
        </w:rPr>
        <w:t>'</w:t>
      </w:r>
      <w:r w:rsidRPr="00AA07C3">
        <w:rPr>
          <w:lang w:val="fr-FR"/>
        </w:rPr>
        <w:t>exemple. L</w:t>
      </w:r>
      <w:r w:rsidR="00026688" w:rsidRPr="00AA07C3">
        <w:rPr>
          <w:lang w:val="fr-FR"/>
        </w:rPr>
        <w:t>'</w:t>
      </w:r>
      <w:r w:rsidRPr="00AA07C3">
        <w:rPr>
          <w:lang w:val="fr-FR"/>
        </w:rPr>
        <w:t>UIT validera chaque manifestation d</w:t>
      </w:r>
      <w:r w:rsidR="00026688" w:rsidRPr="00AA07C3">
        <w:rPr>
          <w:lang w:val="fr-FR"/>
        </w:rPr>
        <w:t>'</w:t>
      </w:r>
      <w:r w:rsidRPr="00AA07C3">
        <w:rPr>
          <w:lang w:val="fr-FR"/>
        </w:rPr>
        <w:t>intérêt et donnera des avis sur les objectifs stratégiques et la portée qui conviennent pour atteindre les objectifs généraux de l</w:t>
      </w:r>
      <w:r w:rsidR="00026688" w:rsidRPr="00AA07C3">
        <w:rPr>
          <w:lang w:val="fr-FR"/>
        </w:rPr>
        <w:t>'</w:t>
      </w:r>
      <w:r w:rsidRPr="00AA07C3">
        <w:rPr>
          <w:lang w:val="fr-FR"/>
        </w:rPr>
        <w:t>Alliance et tenir compte des ressources demandées et les capacités de l</w:t>
      </w:r>
      <w:r w:rsidR="00026688" w:rsidRPr="00AA07C3">
        <w:rPr>
          <w:lang w:val="fr-FR"/>
        </w:rPr>
        <w:t>'</w:t>
      </w:r>
      <w:r w:rsidRPr="00AA07C3">
        <w:rPr>
          <w:lang w:val="fr-FR"/>
        </w:rPr>
        <w:t>écosystème.</w:t>
      </w:r>
    </w:p>
    <w:p w14:paraId="535A5867" w14:textId="35DAFE47" w:rsidR="00712516" w:rsidRPr="00AA07C3" w:rsidRDefault="00712516" w:rsidP="005E2A35">
      <w:pPr>
        <w:rPr>
          <w:lang w:val="fr-FR"/>
        </w:rPr>
      </w:pPr>
      <w:r w:rsidRPr="00AA07C3">
        <w:rPr>
          <w:lang w:val="fr-FR"/>
        </w:rPr>
        <w:t>Chaque centre disposera de son propre système de gouvernance adapté à son objet, indépendant du Conseil de l</w:t>
      </w:r>
      <w:r w:rsidR="00026688" w:rsidRPr="00AA07C3">
        <w:rPr>
          <w:lang w:val="fr-FR"/>
        </w:rPr>
        <w:t>'</w:t>
      </w:r>
      <w:r w:rsidRPr="00AA07C3">
        <w:rPr>
          <w:lang w:val="fr-FR"/>
        </w:rPr>
        <w:t>innovation numérique, compte tenu de ses fonctions distinctes. La sélection et la qualification des centres se feront dans le cadre d</w:t>
      </w:r>
      <w:r w:rsidR="00026688" w:rsidRPr="00AA07C3">
        <w:rPr>
          <w:lang w:val="fr-FR"/>
        </w:rPr>
        <w:t>'</w:t>
      </w:r>
      <w:r w:rsidRPr="00AA07C3">
        <w:rPr>
          <w:lang w:val="fr-FR"/>
        </w:rPr>
        <w:t xml:space="preserve">appels à candidature ouverts et transparents. Des renseignements supplémentaires seront mis à la disposition du public sur le </w:t>
      </w:r>
      <w:r w:rsidR="000E0CC5">
        <w:fldChar w:fldCharType="begin"/>
      </w:r>
      <w:r w:rsidR="000E0CC5" w:rsidRPr="00BC33CF">
        <w:rPr>
          <w:lang w:val="fr-CH"/>
          <w:rPrChange w:id="10" w:author="French" w:date="2023-06-14T12:04:00Z">
            <w:rPr/>
          </w:rPrChange>
        </w:rPr>
        <w:instrText>HYPERLINK "https://www.itu.int/itu-d/sites/innovation-alliance/fr/"</w:instrText>
      </w:r>
      <w:r w:rsidR="000E0CC5">
        <w:fldChar w:fldCharType="separate"/>
      </w:r>
      <w:r w:rsidRPr="00AA07C3">
        <w:rPr>
          <w:rStyle w:val="Hyperlink"/>
          <w:lang w:val="fr-FR"/>
        </w:rPr>
        <w:t>site web de l</w:t>
      </w:r>
      <w:r w:rsidR="00026688" w:rsidRPr="00AA07C3">
        <w:rPr>
          <w:rStyle w:val="Hyperlink"/>
          <w:lang w:val="fr-FR"/>
        </w:rPr>
        <w:t>'</w:t>
      </w:r>
      <w:r w:rsidRPr="00AA07C3">
        <w:rPr>
          <w:rStyle w:val="Hyperlink"/>
          <w:lang w:val="fr-FR"/>
        </w:rPr>
        <w:t>Alliance</w:t>
      </w:r>
      <w:r w:rsidR="000E0CC5">
        <w:rPr>
          <w:rStyle w:val="Hyperlink"/>
          <w:lang w:val="fr-FR"/>
        </w:rPr>
        <w:fldChar w:fldCharType="end"/>
      </w:r>
      <w:r w:rsidRPr="00AA07C3">
        <w:rPr>
          <w:lang w:val="fr-FR"/>
        </w:rPr>
        <w:t>.</w:t>
      </w:r>
    </w:p>
    <w:p w14:paraId="4BFE4946" w14:textId="190E77F1" w:rsidR="00712516" w:rsidRPr="00AA07C3" w:rsidRDefault="00712516" w:rsidP="005E2A35">
      <w:pPr>
        <w:rPr>
          <w:lang w:val="fr-FR"/>
        </w:rPr>
      </w:pPr>
      <w:r w:rsidRPr="00AA07C3">
        <w:rPr>
          <w:lang w:val="fr-FR"/>
        </w:rPr>
        <w:t>Le mandat initial de l</w:t>
      </w:r>
      <w:r w:rsidR="00026688" w:rsidRPr="00AA07C3">
        <w:rPr>
          <w:lang w:val="fr-FR"/>
        </w:rPr>
        <w:t>'</w:t>
      </w:r>
      <w:r w:rsidRPr="00AA07C3">
        <w:rPr>
          <w:lang w:val="fr-FR"/>
        </w:rPr>
        <w:t>Alliance a été élaboré et des informations actualisées seront publiées sur le site web de l</w:t>
      </w:r>
      <w:r w:rsidR="00026688" w:rsidRPr="00AA07C3">
        <w:rPr>
          <w:lang w:val="fr-FR"/>
        </w:rPr>
        <w:t>'</w:t>
      </w:r>
      <w:r w:rsidRPr="00AA07C3">
        <w:rPr>
          <w:lang w:val="fr-FR"/>
        </w:rPr>
        <w:t>Alliance, y compris le mandat du Conseil de l</w:t>
      </w:r>
      <w:r w:rsidR="00026688" w:rsidRPr="00AA07C3">
        <w:rPr>
          <w:lang w:val="fr-FR"/>
        </w:rPr>
        <w:t>'</w:t>
      </w:r>
      <w:r w:rsidRPr="00AA07C3">
        <w:rPr>
          <w:lang w:val="fr-FR"/>
        </w:rPr>
        <w:t>innovation numérique, les centres sélectionnés et les centres potentiels, et les questions fréquemment posées.</w:t>
      </w:r>
    </w:p>
    <w:p w14:paraId="754DE4CF" w14:textId="1B58F21D" w:rsidR="00712516" w:rsidRPr="003677DC" w:rsidRDefault="008A7EB7" w:rsidP="005E2A35">
      <w:pPr>
        <w:pStyle w:val="Heading1"/>
        <w:rPr>
          <w:sz w:val="24"/>
          <w:szCs w:val="24"/>
          <w:lang w:val="fr-FR"/>
        </w:rPr>
      </w:pPr>
      <w:r w:rsidRPr="003677DC">
        <w:rPr>
          <w:sz w:val="24"/>
          <w:szCs w:val="24"/>
          <w:lang w:val="fr-FR"/>
        </w:rPr>
        <w:lastRenderedPageBreak/>
        <w:t>3</w:t>
      </w:r>
      <w:r w:rsidRPr="003677DC">
        <w:rPr>
          <w:sz w:val="24"/>
          <w:szCs w:val="24"/>
          <w:lang w:val="fr-FR"/>
        </w:rPr>
        <w:tab/>
      </w:r>
      <w:r w:rsidR="00712516" w:rsidRPr="003677DC">
        <w:rPr>
          <w:sz w:val="24"/>
          <w:szCs w:val="24"/>
          <w:lang w:val="fr-FR"/>
        </w:rPr>
        <w:t>Principales initiatives et résultats obtenus</w:t>
      </w:r>
    </w:p>
    <w:p w14:paraId="484FC5FF" w14:textId="525D4061" w:rsidR="00712516" w:rsidRPr="00AA07C3" w:rsidRDefault="00712516" w:rsidP="005E2A35">
      <w:pPr>
        <w:rPr>
          <w:lang w:val="fr-FR"/>
        </w:rPr>
      </w:pPr>
      <w:r w:rsidRPr="00AA07C3">
        <w:rPr>
          <w:lang w:val="fr-FR"/>
        </w:rPr>
        <w:t>Depuis le lancement de l</w:t>
      </w:r>
      <w:r w:rsidR="00026688" w:rsidRPr="00AA07C3">
        <w:rPr>
          <w:lang w:val="fr-FR"/>
        </w:rPr>
        <w:t>'</w:t>
      </w:r>
      <w:r w:rsidRPr="00AA07C3">
        <w:rPr>
          <w:lang w:val="fr-FR"/>
        </w:rPr>
        <w:t>initiative le 25 janvier 2023, dans le cadre d</w:t>
      </w:r>
      <w:r w:rsidR="00026688" w:rsidRPr="00AA07C3">
        <w:rPr>
          <w:lang w:val="fr-FR"/>
        </w:rPr>
        <w:t>'</w:t>
      </w:r>
      <w:r w:rsidRPr="00AA07C3">
        <w:rPr>
          <w:lang w:val="fr-FR"/>
        </w:rPr>
        <w:t>un appel à manifestation d</w:t>
      </w:r>
      <w:r w:rsidR="00026688" w:rsidRPr="00AA07C3">
        <w:rPr>
          <w:lang w:val="fr-FR"/>
        </w:rPr>
        <w:t>'</w:t>
      </w:r>
      <w:r w:rsidRPr="00AA07C3">
        <w:rPr>
          <w:lang w:val="fr-FR"/>
        </w:rPr>
        <w:t>intérêt, les étapes suivantes ont été franchies:</w:t>
      </w:r>
    </w:p>
    <w:p w14:paraId="376B9796" w14:textId="53C1C40F" w:rsidR="00712516" w:rsidRPr="00AA07C3" w:rsidRDefault="008A7EB7" w:rsidP="005E2A35">
      <w:pPr>
        <w:pStyle w:val="enumlev1"/>
        <w:rPr>
          <w:lang w:val="fr-FR"/>
        </w:rPr>
      </w:pPr>
      <w:r w:rsidRPr="003677DC">
        <w:rPr>
          <w:lang w:val="fr-FR"/>
        </w:rPr>
        <w:t>–</w:t>
      </w:r>
      <w:r w:rsidRPr="003677DC">
        <w:rPr>
          <w:lang w:val="fr-FR"/>
        </w:rPr>
        <w:tab/>
      </w:r>
      <w:r w:rsidR="00712516" w:rsidRPr="003677DC">
        <w:rPr>
          <w:lang w:val="fr-FR"/>
        </w:rPr>
        <w:t xml:space="preserve">Le BDT a créé et présenté le premier </w:t>
      </w:r>
      <w:r w:rsidR="000E0CC5">
        <w:fldChar w:fldCharType="begin"/>
      </w:r>
      <w:r w:rsidR="000E0CC5" w:rsidRPr="00BC33CF">
        <w:rPr>
          <w:lang w:val="fr-CH"/>
          <w:rPrChange w:id="11" w:author="French" w:date="2023-06-14T12:04:00Z">
            <w:rPr/>
          </w:rPrChange>
        </w:rPr>
        <w:instrText>HYPERLINK "https://www.itu.int/hub/2023/03/itu-opens-area-office-and-innovation-centre-in-new-delhi/" \l "/fr"</w:instrText>
      </w:r>
      <w:r w:rsidR="000E0CC5">
        <w:fldChar w:fldCharType="separate"/>
      </w:r>
      <w:r w:rsidR="00712516" w:rsidRPr="003677DC">
        <w:rPr>
          <w:rStyle w:val="Hyperlink"/>
          <w:lang w:val="fr-FR"/>
        </w:rPr>
        <w:t>Centre d</w:t>
      </w:r>
      <w:r w:rsidR="00026688" w:rsidRPr="003677DC">
        <w:rPr>
          <w:rStyle w:val="Hyperlink"/>
          <w:lang w:val="fr-FR"/>
        </w:rPr>
        <w:t>'</w:t>
      </w:r>
      <w:r w:rsidR="00712516" w:rsidRPr="003677DC">
        <w:rPr>
          <w:rStyle w:val="Hyperlink"/>
          <w:lang w:val="fr-FR"/>
        </w:rPr>
        <w:t>innovation mondial</w:t>
      </w:r>
      <w:r w:rsidR="000E0CC5">
        <w:rPr>
          <w:rStyle w:val="Hyperlink"/>
          <w:lang w:val="fr-FR"/>
        </w:rPr>
        <w:fldChar w:fldCharType="end"/>
      </w:r>
      <w:r w:rsidR="00712516" w:rsidRPr="003677DC">
        <w:rPr>
          <w:lang w:val="fr-FR"/>
        </w:rPr>
        <w:t>, qui fait partie du</w:t>
      </w:r>
      <w:r w:rsidR="00712516" w:rsidRPr="00AA07C3">
        <w:rPr>
          <w:lang w:val="fr-FR"/>
        </w:rPr>
        <w:t xml:space="preserve"> Bureau de zone de l</w:t>
      </w:r>
      <w:r w:rsidR="00026688" w:rsidRPr="00AA07C3">
        <w:rPr>
          <w:lang w:val="fr-FR"/>
        </w:rPr>
        <w:t>'</w:t>
      </w:r>
      <w:r w:rsidR="00712516" w:rsidRPr="00AA07C3">
        <w:rPr>
          <w:lang w:val="fr-FR"/>
        </w:rPr>
        <w:t>UIT et du Centre d</w:t>
      </w:r>
      <w:r w:rsidR="00026688" w:rsidRPr="00AA07C3">
        <w:rPr>
          <w:lang w:val="fr-FR"/>
        </w:rPr>
        <w:t>'</w:t>
      </w:r>
      <w:r w:rsidR="00712516" w:rsidRPr="00AA07C3">
        <w:rPr>
          <w:lang w:val="fr-FR"/>
        </w:rPr>
        <w:t>innovation pour l</w:t>
      </w:r>
      <w:r w:rsidR="00026688" w:rsidRPr="00AA07C3">
        <w:rPr>
          <w:lang w:val="fr-FR"/>
        </w:rPr>
        <w:t>'</w:t>
      </w:r>
      <w:r w:rsidR="00712516" w:rsidRPr="00AA07C3">
        <w:rPr>
          <w:lang w:val="fr-FR"/>
        </w:rPr>
        <w:t>Asie du Sud, à New Delhi le</w:t>
      </w:r>
      <w:r w:rsidR="00A7392E" w:rsidRPr="00AA07C3">
        <w:rPr>
          <w:lang w:val="fr-FR"/>
        </w:rPr>
        <w:t> </w:t>
      </w:r>
      <w:r w:rsidR="00712516" w:rsidRPr="00AA07C3">
        <w:rPr>
          <w:lang w:val="fr-FR"/>
        </w:rPr>
        <w:t>22</w:t>
      </w:r>
      <w:r w:rsidR="00A7392E" w:rsidRPr="00AA07C3">
        <w:rPr>
          <w:lang w:val="fr-FR"/>
        </w:rPr>
        <w:t> </w:t>
      </w:r>
      <w:r w:rsidR="00712516" w:rsidRPr="00AA07C3">
        <w:rPr>
          <w:lang w:val="fr-FR"/>
        </w:rPr>
        <w:t>mars 2023. Ce centre fera partie intégrante du réseau de centres d</w:t>
      </w:r>
      <w:r w:rsidR="00026688" w:rsidRPr="00AA07C3">
        <w:rPr>
          <w:lang w:val="fr-FR"/>
        </w:rPr>
        <w:t>'</w:t>
      </w:r>
      <w:r w:rsidR="00712516" w:rsidRPr="00AA07C3">
        <w:rPr>
          <w:lang w:val="fr-FR"/>
        </w:rPr>
        <w:t>accélération.</w:t>
      </w:r>
    </w:p>
    <w:p w14:paraId="35A32810" w14:textId="2D59B2A0"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 xml:space="preserve">Un </w:t>
      </w:r>
      <w:r w:rsidR="000E0CC5">
        <w:fldChar w:fldCharType="begin"/>
      </w:r>
      <w:r w:rsidR="000E0CC5" w:rsidRPr="00BC33CF">
        <w:rPr>
          <w:lang w:val="fr-CH"/>
          <w:rPrChange w:id="12" w:author="French" w:date="2023-06-14T12:04:00Z">
            <w:rPr/>
          </w:rPrChange>
        </w:rPr>
        <w:instrText>HYPERLINK "https://www.itu.int/en/ITU-D/Regional-Presence/AsiaPacific/Pages/v2/RD%27s%20Corner/2023/ITU-South-Asia-Presence-for-Inclusive-Digital-Transformation-.aspx"</w:instrText>
      </w:r>
      <w:r w:rsidR="000E0CC5">
        <w:fldChar w:fldCharType="separate"/>
      </w:r>
      <w:r w:rsidR="00712516" w:rsidRPr="00AA07C3">
        <w:rPr>
          <w:rStyle w:val="Hyperlink"/>
          <w:lang w:val="fr-FR"/>
        </w:rPr>
        <w:t>Forum régional sur l</w:t>
      </w:r>
      <w:r w:rsidR="00026688" w:rsidRPr="00AA07C3">
        <w:rPr>
          <w:rStyle w:val="Hyperlink"/>
          <w:lang w:val="fr-FR"/>
        </w:rPr>
        <w:t>'</w:t>
      </w:r>
      <w:r w:rsidR="00712516" w:rsidRPr="00AA07C3">
        <w:rPr>
          <w:rStyle w:val="Hyperlink"/>
          <w:lang w:val="fr-FR"/>
        </w:rPr>
        <w:t>innovation pour la région Asie-Pacifique</w:t>
      </w:r>
      <w:r w:rsidR="000E0CC5">
        <w:rPr>
          <w:rStyle w:val="Hyperlink"/>
          <w:lang w:val="fr-FR"/>
        </w:rPr>
        <w:fldChar w:fldCharType="end"/>
      </w:r>
      <w:r w:rsidR="00712516" w:rsidRPr="00AA07C3">
        <w:rPr>
          <w:lang w:val="fr-FR"/>
        </w:rPr>
        <w:t xml:space="preserve"> s</w:t>
      </w:r>
      <w:r w:rsidR="00026688" w:rsidRPr="00AA07C3">
        <w:rPr>
          <w:lang w:val="fr-FR"/>
        </w:rPr>
        <w:t>'</w:t>
      </w:r>
      <w:r w:rsidR="00712516" w:rsidRPr="00AA07C3">
        <w:rPr>
          <w:lang w:val="fr-FR"/>
        </w:rPr>
        <w:t>est tenu le 23 mars à New Delhi à l</w:t>
      </w:r>
      <w:r w:rsidR="00026688" w:rsidRPr="00AA07C3">
        <w:rPr>
          <w:lang w:val="fr-FR"/>
        </w:rPr>
        <w:t>'</w:t>
      </w:r>
      <w:r w:rsidR="00712516" w:rsidRPr="00AA07C3">
        <w:rPr>
          <w:lang w:val="fr-FR"/>
        </w:rPr>
        <w:t>occasion de l</w:t>
      </w:r>
      <w:r w:rsidR="00026688" w:rsidRPr="00AA07C3">
        <w:rPr>
          <w:lang w:val="fr-FR"/>
        </w:rPr>
        <w:t>'</w:t>
      </w:r>
      <w:r w:rsidR="00712516" w:rsidRPr="00AA07C3">
        <w:rPr>
          <w:lang w:val="fr-FR"/>
        </w:rPr>
        <w:t>ouverture du Bureau de zone de l</w:t>
      </w:r>
      <w:r w:rsidR="00026688" w:rsidRPr="00AA07C3">
        <w:rPr>
          <w:lang w:val="fr-FR"/>
        </w:rPr>
        <w:t>'</w:t>
      </w:r>
      <w:r w:rsidR="00712516" w:rsidRPr="00AA07C3">
        <w:rPr>
          <w:lang w:val="fr-FR"/>
        </w:rPr>
        <w:t>UIT et du Centre d</w:t>
      </w:r>
      <w:r w:rsidR="00026688" w:rsidRPr="00AA07C3">
        <w:rPr>
          <w:lang w:val="fr-FR"/>
        </w:rPr>
        <w:t>'</w:t>
      </w:r>
      <w:r w:rsidR="00712516" w:rsidRPr="00AA07C3">
        <w:rPr>
          <w:lang w:val="fr-FR"/>
        </w:rPr>
        <w:t>innovation. Le BDT a organisé une séance de cocréation avec les membres de l</w:t>
      </w:r>
      <w:r w:rsidR="00026688" w:rsidRPr="00AA07C3">
        <w:rPr>
          <w:lang w:val="fr-FR"/>
        </w:rPr>
        <w:t>'</w:t>
      </w:r>
      <w:r w:rsidR="00712516" w:rsidRPr="00AA07C3">
        <w:rPr>
          <w:lang w:val="fr-FR"/>
        </w:rPr>
        <w:t>écosystème indien, afin d</w:t>
      </w:r>
      <w:r w:rsidR="00026688" w:rsidRPr="00AA07C3">
        <w:rPr>
          <w:lang w:val="fr-FR"/>
        </w:rPr>
        <w:t>'</w:t>
      </w:r>
      <w:r w:rsidR="00712516" w:rsidRPr="00AA07C3">
        <w:rPr>
          <w:lang w:val="fr-FR"/>
        </w:rPr>
        <w:t>identifier et de présenter les manuels élaborés pour un centre type de l</w:t>
      </w:r>
      <w:r w:rsidR="00026688" w:rsidRPr="00AA07C3">
        <w:rPr>
          <w:lang w:val="fr-FR"/>
        </w:rPr>
        <w:t>'</w:t>
      </w:r>
      <w:r w:rsidR="00712516" w:rsidRPr="00AA07C3">
        <w:rPr>
          <w:lang w:val="fr-FR"/>
        </w:rPr>
        <w:t>Alliance.</w:t>
      </w:r>
    </w:p>
    <w:p w14:paraId="4F44CE18" w14:textId="4BC13FC9"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Une contribution volontaire de 304 000 USD a été reçue du Ministère des communications (MIC) du Japon pour appuyer la mise en œuvre de l</w:t>
      </w:r>
      <w:r w:rsidR="00026688" w:rsidRPr="00AA07C3">
        <w:rPr>
          <w:lang w:val="fr-FR"/>
        </w:rPr>
        <w:t>'</w:t>
      </w:r>
      <w:r w:rsidR="00712516" w:rsidRPr="00AA07C3">
        <w:rPr>
          <w:lang w:val="fr-FR"/>
        </w:rPr>
        <w:t>Alliance.</w:t>
      </w:r>
    </w:p>
    <w:p w14:paraId="1DA35838" w14:textId="3D375DFE"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 xml:space="preserve">Manifestations communautaires hybrides lors du SMSI: </w:t>
      </w:r>
      <w:r w:rsidR="00A7392E" w:rsidRPr="00AA07C3">
        <w:rPr>
          <w:lang w:val="fr-FR"/>
        </w:rPr>
        <w:t>l</w:t>
      </w:r>
      <w:r w:rsidR="00712516" w:rsidRPr="00AA07C3">
        <w:rPr>
          <w:lang w:val="fr-FR"/>
        </w:rPr>
        <w:t>e BDT a organisé deux manifestations pendant le Forum du SMSI, les 15 et 16 mars 2023, à savoir une session ministérielle de haut niveau (</w:t>
      </w:r>
      <w:r w:rsidR="000E0CC5">
        <w:fldChar w:fldCharType="begin"/>
      </w:r>
      <w:r w:rsidR="000E0CC5" w:rsidRPr="00BC33CF">
        <w:rPr>
          <w:lang w:val="fr-CH"/>
          <w:rPrChange w:id="13" w:author="French" w:date="2023-06-14T12:04:00Z">
            <w:rPr/>
          </w:rPrChange>
        </w:rPr>
        <w:instrText>HYPERLINK "https://www.itu.int/net4/wsis/forum/2023/Agenda/Session/395"</w:instrText>
      </w:r>
      <w:r w:rsidR="000E0CC5">
        <w:fldChar w:fldCharType="separate"/>
      </w:r>
      <w:r w:rsidR="00712516" w:rsidRPr="003677DC">
        <w:rPr>
          <w:rStyle w:val="Hyperlink"/>
          <w:lang w:val="fr-FR"/>
        </w:rPr>
        <w:t>Accélérer l</w:t>
      </w:r>
      <w:r w:rsidR="00026688" w:rsidRPr="003677DC">
        <w:rPr>
          <w:rStyle w:val="Hyperlink"/>
          <w:lang w:val="fr-FR"/>
        </w:rPr>
        <w:t>'</w:t>
      </w:r>
      <w:r w:rsidR="00712516" w:rsidRPr="003677DC">
        <w:rPr>
          <w:rStyle w:val="Hyperlink"/>
          <w:lang w:val="fr-FR"/>
        </w:rPr>
        <w:t>innovation et l</w:t>
      </w:r>
      <w:r w:rsidR="00026688" w:rsidRPr="003677DC">
        <w:rPr>
          <w:rStyle w:val="Hyperlink"/>
          <w:lang w:val="fr-FR"/>
        </w:rPr>
        <w:t>'</w:t>
      </w:r>
      <w:r w:rsidR="00712516" w:rsidRPr="003677DC">
        <w:rPr>
          <w:rStyle w:val="Hyperlink"/>
          <w:lang w:val="fr-FR"/>
        </w:rPr>
        <w:t>entrepreneuriat au service du développement du numérique</w:t>
      </w:r>
      <w:r w:rsidR="000E0CC5">
        <w:rPr>
          <w:rStyle w:val="Hyperlink"/>
          <w:lang w:val="fr-FR"/>
        </w:rPr>
        <w:fldChar w:fldCharType="end"/>
      </w:r>
      <w:r w:rsidR="00712516" w:rsidRPr="003677DC">
        <w:rPr>
          <w:lang w:val="fr-FR"/>
        </w:rPr>
        <w:t>) et une séance intensive en compagnie d</w:t>
      </w:r>
      <w:r w:rsidR="00026688" w:rsidRPr="003677DC">
        <w:rPr>
          <w:lang w:val="fr-FR"/>
        </w:rPr>
        <w:t>'</w:t>
      </w:r>
      <w:r w:rsidR="00712516" w:rsidRPr="003677DC">
        <w:rPr>
          <w:lang w:val="fr-FR"/>
        </w:rPr>
        <w:t>experts (</w:t>
      </w:r>
      <w:r w:rsidR="000E0CC5">
        <w:fldChar w:fldCharType="begin"/>
      </w:r>
      <w:r w:rsidR="000E0CC5" w:rsidRPr="00BC33CF">
        <w:rPr>
          <w:lang w:val="fr-CH"/>
          <w:rPrChange w:id="14" w:author="French" w:date="2023-06-14T12:04:00Z">
            <w:rPr/>
          </w:rPrChange>
        </w:rPr>
        <w:instrText>HYPERLINK "https://www.itu.int/net4/wsis/forum/2023/Agenda/Session/394"</w:instrText>
      </w:r>
      <w:r w:rsidR="000E0CC5">
        <w:fldChar w:fldCharType="separate"/>
      </w:r>
      <w:r w:rsidR="00712516" w:rsidRPr="003677DC">
        <w:rPr>
          <w:rStyle w:val="Hyperlink"/>
          <w:lang w:val="fr-FR"/>
        </w:rPr>
        <w:t>Alliance de l</w:t>
      </w:r>
      <w:r w:rsidR="00026688" w:rsidRPr="003677DC">
        <w:rPr>
          <w:rStyle w:val="Hyperlink"/>
          <w:lang w:val="fr-FR"/>
        </w:rPr>
        <w:t>'</w:t>
      </w:r>
      <w:r w:rsidR="00712516" w:rsidRPr="003677DC">
        <w:rPr>
          <w:rStyle w:val="Hyperlink"/>
          <w:lang w:val="fr-FR"/>
        </w:rPr>
        <w:t>innovation et de l</w:t>
      </w:r>
      <w:r w:rsidR="00026688" w:rsidRPr="003677DC">
        <w:rPr>
          <w:rStyle w:val="Hyperlink"/>
          <w:lang w:val="fr-FR"/>
        </w:rPr>
        <w:t>'</w:t>
      </w:r>
      <w:r w:rsidR="00712516" w:rsidRPr="003677DC">
        <w:rPr>
          <w:rStyle w:val="Hyperlink"/>
          <w:lang w:val="fr-FR"/>
        </w:rPr>
        <w:t>entrepreneuriat</w:t>
      </w:r>
      <w:r w:rsidR="000E0CC5">
        <w:rPr>
          <w:rStyle w:val="Hyperlink"/>
          <w:lang w:val="fr-FR"/>
        </w:rPr>
        <w:fldChar w:fldCharType="end"/>
      </w:r>
      <w:r w:rsidR="00712516" w:rsidRPr="003677DC">
        <w:rPr>
          <w:lang w:val="fr-FR"/>
        </w:rPr>
        <w:t>). Ces m</w:t>
      </w:r>
      <w:r w:rsidR="00712516" w:rsidRPr="00AA07C3">
        <w:rPr>
          <w:lang w:val="fr-FR"/>
        </w:rPr>
        <w:t>anifestations ont permis au BDT d</w:t>
      </w:r>
      <w:r w:rsidR="00026688" w:rsidRPr="00AA07C3">
        <w:rPr>
          <w:lang w:val="fr-FR"/>
        </w:rPr>
        <w:t>'</w:t>
      </w:r>
      <w:r w:rsidR="00712516" w:rsidRPr="00AA07C3">
        <w:rPr>
          <w:lang w:val="fr-FR"/>
        </w:rPr>
        <w:t>échanger des informations à propos de l</w:t>
      </w:r>
      <w:r w:rsidR="00026688" w:rsidRPr="00AA07C3">
        <w:rPr>
          <w:lang w:val="fr-FR"/>
        </w:rPr>
        <w:t>'</w:t>
      </w:r>
      <w:r w:rsidR="00712516" w:rsidRPr="00AA07C3">
        <w:rPr>
          <w:lang w:val="fr-FR"/>
        </w:rPr>
        <w:t>Alliance et de solliciter des contributions auprès d</w:t>
      </w:r>
      <w:r w:rsidR="00026688" w:rsidRPr="00AA07C3">
        <w:rPr>
          <w:lang w:val="fr-FR"/>
        </w:rPr>
        <w:t>'</w:t>
      </w:r>
      <w:r w:rsidR="00712516" w:rsidRPr="00AA07C3">
        <w:rPr>
          <w:lang w:val="fr-FR"/>
        </w:rPr>
        <w:t>un public international. La séance intensive a été organisée conjointement avec l</w:t>
      </w:r>
      <w:r w:rsidR="00026688" w:rsidRPr="00AA07C3">
        <w:rPr>
          <w:lang w:val="fr-FR"/>
        </w:rPr>
        <w:t>'</w:t>
      </w:r>
      <w:r w:rsidR="00712516" w:rsidRPr="00AA07C3">
        <w:rPr>
          <w:lang w:val="fr-FR"/>
        </w:rPr>
        <w:t>Organisation mondiale du tourisme (OMT) en vue de resserrer les liens de collaboration dans le cadre de l</w:t>
      </w:r>
      <w:r w:rsidR="00026688" w:rsidRPr="00AA07C3">
        <w:rPr>
          <w:lang w:val="fr-FR"/>
        </w:rPr>
        <w:t>'</w:t>
      </w:r>
      <w:r w:rsidR="00712516" w:rsidRPr="00AA07C3">
        <w:rPr>
          <w:lang w:val="fr-FR"/>
        </w:rPr>
        <w:t>initiative.</w:t>
      </w:r>
    </w:p>
    <w:p w14:paraId="1E7C2C98" w14:textId="282D7A92"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 xml:space="preserve">Manifestation communautaire virtuelle: </w:t>
      </w:r>
      <w:r w:rsidR="00047205" w:rsidRPr="00AA07C3">
        <w:rPr>
          <w:lang w:val="fr-FR"/>
        </w:rPr>
        <w:t>l</w:t>
      </w:r>
      <w:r w:rsidR="00712516" w:rsidRPr="00AA07C3">
        <w:rPr>
          <w:lang w:val="fr-FR"/>
        </w:rPr>
        <w:t>e BDT a organisé le 4 avril 2023 une manifestation virtuelle, sur le thème "</w:t>
      </w:r>
      <w:bookmarkStart w:id="15" w:name="_Hlk135982322"/>
      <w:r w:rsidR="00E50602" w:rsidRPr="00AA07C3">
        <w:fldChar w:fldCharType="begin"/>
      </w:r>
      <w:r w:rsidR="00DB46E8" w:rsidRPr="00AA07C3">
        <w:rPr>
          <w:lang w:val="fr-FR"/>
        </w:rPr>
        <w:instrText>HYPERLINK "https://www.itu.int/itu-d/sites/innovation-alliance/fr/events/news/manifestation-communautaire/"</w:instrText>
      </w:r>
      <w:r w:rsidR="00E50602" w:rsidRPr="00AA07C3">
        <w:fldChar w:fldCharType="separate"/>
      </w:r>
      <w:r w:rsidR="00712516" w:rsidRPr="00AA07C3">
        <w:rPr>
          <w:rStyle w:val="Hyperlink"/>
          <w:lang w:val="fr-FR"/>
        </w:rPr>
        <w:t>L</w:t>
      </w:r>
      <w:r w:rsidR="00026688" w:rsidRPr="00AA07C3">
        <w:rPr>
          <w:rStyle w:val="Hyperlink"/>
          <w:lang w:val="fr-FR"/>
        </w:rPr>
        <w:t>'</w:t>
      </w:r>
      <w:r w:rsidR="00712516" w:rsidRPr="00AA07C3">
        <w:rPr>
          <w:rStyle w:val="Hyperlink"/>
          <w:lang w:val="fr-FR"/>
        </w:rPr>
        <w:t xml:space="preserve">Alliance </w:t>
      </w:r>
      <w:r w:rsidR="003677DC">
        <w:rPr>
          <w:rStyle w:val="Hyperlink"/>
          <w:lang w:val="fr-FR"/>
        </w:rPr>
        <w:t>de</w:t>
      </w:r>
      <w:r w:rsidR="00712516" w:rsidRPr="00AA07C3">
        <w:rPr>
          <w:rStyle w:val="Hyperlink"/>
          <w:lang w:val="fr-FR"/>
        </w:rPr>
        <w:t xml:space="preserve"> l</w:t>
      </w:r>
      <w:r w:rsidR="00026688" w:rsidRPr="00AA07C3">
        <w:rPr>
          <w:rStyle w:val="Hyperlink"/>
          <w:lang w:val="fr-FR"/>
        </w:rPr>
        <w:t>'</w:t>
      </w:r>
      <w:r w:rsidR="00712516" w:rsidRPr="00AA07C3">
        <w:rPr>
          <w:rStyle w:val="Hyperlink"/>
          <w:lang w:val="fr-FR"/>
        </w:rPr>
        <w:t>innovation et l</w:t>
      </w:r>
      <w:r w:rsidR="00026688" w:rsidRPr="00AA07C3">
        <w:rPr>
          <w:rStyle w:val="Hyperlink"/>
          <w:lang w:val="fr-FR"/>
        </w:rPr>
        <w:t>'</w:t>
      </w:r>
      <w:r w:rsidR="00712516" w:rsidRPr="00AA07C3">
        <w:rPr>
          <w:rStyle w:val="Hyperlink"/>
          <w:lang w:val="fr-FR"/>
        </w:rPr>
        <w:t>entrepreneuriat au service du développement du numérique</w:t>
      </w:r>
      <w:r w:rsidR="00E50602" w:rsidRPr="00AA07C3">
        <w:rPr>
          <w:rStyle w:val="Hyperlink"/>
          <w:lang w:val="fr-FR"/>
        </w:rPr>
        <w:fldChar w:fldCharType="end"/>
      </w:r>
      <w:bookmarkEnd w:id="15"/>
      <w:r w:rsidR="00712516" w:rsidRPr="00AA07C3">
        <w:rPr>
          <w:lang w:val="fr-FR"/>
        </w:rPr>
        <w:t>", lors de laquelle un service d</w:t>
      </w:r>
      <w:r w:rsidR="00026688" w:rsidRPr="00AA07C3">
        <w:rPr>
          <w:lang w:val="fr-FR"/>
        </w:rPr>
        <w:t>'</w:t>
      </w:r>
      <w:r w:rsidR="00712516" w:rsidRPr="00AA07C3">
        <w:rPr>
          <w:lang w:val="fr-FR"/>
        </w:rPr>
        <w:t>interprétation simultanée fondé sur l</w:t>
      </w:r>
      <w:r w:rsidR="00026688" w:rsidRPr="00AA07C3">
        <w:rPr>
          <w:lang w:val="fr-FR"/>
        </w:rPr>
        <w:t>'</w:t>
      </w:r>
      <w:r w:rsidR="00712516" w:rsidRPr="00AA07C3">
        <w:rPr>
          <w:lang w:val="fr-FR"/>
        </w:rPr>
        <w:t>intelligence artificielle (IA) a été assuré pour plus de 100 langues, afin de présenter le concept de l</w:t>
      </w:r>
      <w:r w:rsidR="00026688" w:rsidRPr="00AA07C3">
        <w:rPr>
          <w:lang w:val="fr-FR"/>
        </w:rPr>
        <w:t>'</w:t>
      </w:r>
      <w:r w:rsidR="00712516" w:rsidRPr="00AA07C3">
        <w:rPr>
          <w:lang w:val="fr-FR"/>
        </w:rPr>
        <w:t>Alliance et de répondre à des questions supplémentaires à l</w:t>
      </w:r>
      <w:r w:rsidR="00026688" w:rsidRPr="00AA07C3">
        <w:rPr>
          <w:lang w:val="fr-FR"/>
        </w:rPr>
        <w:t>'</w:t>
      </w:r>
      <w:r w:rsidR="00712516" w:rsidRPr="00AA07C3">
        <w:rPr>
          <w:lang w:val="fr-FR"/>
        </w:rPr>
        <w:t>échelle mondiale.</w:t>
      </w:r>
    </w:p>
    <w:p w14:paraId="1CC78B4D" w14:textId="107FF5C0"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 xml:space="preserve">Une </w:t>
      </w:r>
      <w:r w:rsidR="000E0CC5">
        <w:fldChar w:fldCharType="begin"/>
      </w:r>
      <w:r w:rsidR="000E0CC5" w:rsidRPr="00BC33CF">
        <w:rPr>
          <w:lang w:val="fr-CH"/>
          <w:rPrChange w:id="16" w:author="French" w:date="2023-06-14T12:04:00Z">
            <w:rPr/>
          </w:rPrChange>
        </w:rPr>
        <w:instrText>HYPERLINK "https://www.itu.int/fr/ITU-D/Innovation/Pages/declaration-of-intent-digital-transformation-technology-innovation.aspx"</w:instrText>
      </w:r>
      <w:r w:rsidR="000E0CC5">
        <w:fldChar w:fldCharType="separate"/>
      </w:r>
      <w:r w:rsidR="00712516" w:rsidRPr="00AA07C3">
        <w:rPr>
          <w:rStyle w:val="Hyperlink"/>
          <w:lang w:val="fr-FR"/>
        </w:rPr>
        <w:t>Déclaration d</w:t>
      </w:r>
      <w:r w:rsidR="00026688" w:rsidRPr="00AA07C3">
        <w:rPr>
          <w:rStyle w:val="Hyperlink"/>
          <w:lang w:val="fr-FR"/>
        </w:rPr>
        <w:t>'</w:t>
      </w:r>
      <w:r w:rsidR="00712516" w:rsidRPr="00AA07C3">
        <w:rPr>
          <w:rStyle w:val="Hyperlink"/>
          <w:lang w:val="fr-FR"/>
        </w:rPr>
        <w:t>intention sur la transformation numérique et l</w:t>
      </w:r>
      <w:r w:rsidR="00026688" w:rsidRPr="00AA07C3">
        <w:rPr>
          <w:rStyle w:val="Hyperlink"/>
          <w:lang w:val="fr-FR"/>
        </w:rPr>
        <w:t>'</w:t>
      </w:r>
      <w:r w:rsidR="00712516" w:rsidRPr="00AA07C3">
        <w:rPr>
          <w:rStyle w:val="Hyperlink"/>
          <w:lang w:val="fr-FR"/>
        </w:rPr>
        <w:t>innovation technologique</w:t>
      </w:r>
      <w:r w:rsidR="000E0CC5">
        <w:rPr>
          <w:rStyle w:val="Hyperlink"/>
          <w:lang w:val="fr-FR"/>
        </w:rPr>
        <w:fldChar w:fldCharType="end"/>
      </w:r>
      <w:r w:rsidR="00712516" w:rsidRPr="00AA07C3">
        <w:rPr>
          <w:lang w:val="fr-FR"/>
        </w:rPr>
        <w:t xml:space="preserve"> a été signée, le 3 avril 2023, par le Bureau de l</w:t>
      </w:r>
      <w:r w:rsidR="00026688" w:rsidRPr="00AA07C3">
        <w:rPr>
          <w:lang w:val="fr-FR"/>
        </w:rPr>
        <w:t>'</w:t>
      </w:r>
      <w:r w:rsidR="00712516" w:rsidRPr="00AA07C3">
        <w:rPr>
          <w:lang w:val="fr-FR"/>
        </w:rPr>
        <w:t>informatique et des communications de l</w:t>
      </w:r>
      <w:r w:rsidR="00026688" w:rsidRPr="00AA07C3">
        <w:rPr>
          <w:lang w:val="fr-FR"/>
        </w:rPr>
        <w:t>'</w:t>
      </w:r>
      <w:r w:rsidR="00712516" w:rsidRPr="00AA07C3">
        <w:rPr>
          <w:lang w:val="fr-FR"/>
        </w:rPr>
        <w:t>Organisation des Nations Unies (ONU) et l</w:t>
      </w:r>
      <w:r w:rsidR="00026688" w:rsidRPr="00AA07C3">
        <w:rPr>
          <w:lang w:val="fr-FR"/>
        </w:rPr>
        <w:t>'</w:t>
      </w:r>
      <w:r w:rsidR="00712516" w:rsidRPr="00AA07C3">
        <w:rPr>
          <w:lang w:val="fr-FR"/>
        </w:rPr>
        <w:t>UIT concernant l</w:t>
      </w:r>
      <w:r w:rsidR="00026688" w:rsidRPr="00AA07C3">
        <w:rPr>
          <w:lang w:val="fr-FR"/>
        </w:rPr>
        <w:t>'</w:t>
      </w:r>
      <w:r w:rsidR="00712516" w:rsidRPr="00AA07C3">
        <w:rPr>
          <w:lang w:val="fr-FR"/>
        </w:rPr>
        <w:t>élaboration d</w:t>
      </w:r>
      <w:r w:rsidR="00026688" w:rsidRPr="00AA07C3">
        <w:rPr>
          <w:lang w:val="fr-FR"/>
        </w:rPr>
        <w:t>'</w:t>
      </w:r>
      <w:r w:rsidR="00712516" w:rsidRPr="00AA07C3">
        <w:rPr>
          <w:lang w:val="fr-FR"/>
        </w:rPr>
        <w:t>un programme conjoint destiné à appuyer les travaux de l</w:t>
      </w:r>
      <w:r w:rsidR="00026688" w:rsidRPr="00AA07C3">
        <w:rPr>
          <w:lang w:val="fr-FR"/>
        </w:rPr>
        <w:t>'</w:t>
      </w:r>
      <w:r w:rsidR="00712516" w:rsidRPr="00AA07C3">
        <w:rPr>
          <w:lang w:val="fr-FR"/>
        </w:rPr>
        <w:t>Alliance et à accélérer la réalisation des Objectifs de développement durable (ODD). Un atelier a également été organisé avec le Bureau de l</w:t>
      </w:r>
      <w:r w:rsidR="00026688" w:rsidRPr="00AA07C3">
        <w:rPr>
          <w:lang w:val="fr-FR"/>
        </w:rPr>
        <w:t>'</w:t>
      </w:r>
      <w:r w:rsidR="00712516" w:rsidRPr="00AA07C3">
        <w:rPr>
          <w:lang w:val="fr-FR"/>
        </w:rPr>
        <w:t>informatique et des communications pour développer le cadre de ce programme commun.</w:t>
      </w:r>
    </w:p>
    <w:p w14:paraId="2E37D8C6" w14:textId="180377AE"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 xml:space="preserve">Une </w:t>
      </w:r>
      <w:r w:rsidR="000E0CC5">
        <w:fldChar w:fldCharType="begin"/>
      </w:r>
      <w:r w:rsidR="000E0CC5" w:rsidRPr="00BC33CF">
        <w:rPr>
          <w:lang w:val="fr-CH"/>
          <w:rPrChange w:id="17" w:author="French" w:date="2023-06-14T12:04:00Z">
            <w:rPr/>
          </w:rPrChange>
        </w:rPr>
        <w:instrText>HYPERLINK "https://www.itu.int/en/ITU-D/Innovation/Pages/declaration-of-Intent-ITU-Smart-Africa.aspx"</w:instrText>
      </w:r>
      <w:r w:rsidR="000E0CC5">
        <w:fldChar w:fldCharType="separate"/>
      </w:r>
      <w:r w:rsidR="00712516" w:rsidRPr="00AA07C3">
        <w:rPr>
          <w:rStyle w:val="Hyperlink"/>
          <w:lang w:val="fr-FR"/>
        </w:rPr>
        <w:t>Déclaration d</w:t>
      </w:r>
      <w:r w:rsidR="00026688" w:rsidRPr="00AA07C3">
        <w:rPr>
          <w:rStyle w:val="Hyperlink"/>
          <w:lang w:val="fr-FR"/>
        </w:rPr>
        <w:t>'</w:t>
      </w:r>
      <w:r w:rsidR="00712516" w:rsidRPr="00AA07C3">
        <w:rPr>
          <w:rStyle w:val="Hyperlink"/>
          <w:lang w:val="fr-FR"/>
        </w:rPr>
        <w:t>intention sur l</w:t>
      </w:r>
      <w:r w:rsidR="00026688" w:rsidRPr="00AA07C3">
        <w:rPr>
          <w:rStyle w:val="Hyperlink"/>
          <w:lang w:val="fr-FR"/>
        </w:rPr>
        <w:t>'</w:t>
      </w:r>
      <w:r w:rsidR="00712516" w:rsidRPr="00AA07C3">
        <w:rPr>
          <w:rStyle w:val="Hyperlink"/>
          <w:lang w:val="fr-FR"/>
        </w:rPr>
        <w:t>innovation, l</w:t>
      </w:r>
      <w:r w:rsidR="00026688" w:rsidRPr="00AA07C3">
        <w:rPr>
          <w:rStyle w:val="Hyperlink"/>
          <w:lang w:val="fr-FR"/>
        </w:rPr>
        <w:t>'</w:t>
      </w:r>
      <w:r w:rsidR="00712516" w:rsidRPr="00AA07C3">
        <w:rPr>
          <w:rStyle w:val="Hyperlink"/>
          <w:lang w:val="fr-FR"/>
        </w:rPr>
        <w:t>entrepreneuriat et le renforcement des capacités</w:t>
      </w:r>
      <w:r w:rsidR="000E0CC5">
        <w:rPr>
          <w:rStyle w:val="Hyperlink"/>
          <w:lang w:val="fr-FR"/>
        </w:rPr>
        <w:fldChar w:fldCharType="end"/>
      </w:r>
      <w:r w:rsidR="00712516" w:rsidRPr="00AA07C3">
        <w:rPr>
          <w:lang w:val="fr-FR"/>
        </w:rPr>
        <w:t xml:space="preserve"> a été signée par Smart </w:t>
      </w:r>
      <w:proofErr w:type="spellStart"/>
      <w:r w:rsidR="00712516" w:rsidRPr="00AA07C3">
        <w:rPr>
          <w:lang w:val="fr-FR"/>
        </w:rPr>
        <w:t>Africa</w:t>
      </w:r>
      <w:proofErr w:type="spellEnd"/>
      <w:r w:rsidR="00712516" w:rsidRPr="00AA07C3">
        <w:rPr>
          <w:lang w:val="fr-FR"/>
        </w:rPr>
        <w:t xml:space="preserve"> et l</w:t>
      </w:r>
      <w:r w:rsidR="00026688" w:rsidRPr="00AA07C3">
        <w:rPr>
          <w:lang w:val="fr-FR"/>
        </w:rPr>
        <w:t>'</w:t>
      </w:r>
      <w:r w:rsidR="00712516" w:rsidRPr="00AA07C3">
        <w:rPr>
          <w:lang w:val="fr-FR"/>
        </w:rPr>
        <w:t>UIT, afin de contribuer à rationaliser la coopération et la collaboration et d</w:t>
      </w:r>
      <w:r w:rsidR="00026688" w:rsidRPr="00AA07C3">
        <w:rPr>
          <w:lang w:val="fr-FR"/>
        </w:rPr>
        <w:t>'</w:t>
      </w:r>
      <w:r w:rsidR="00712516" w:rsidRPr="00AA07C3">
        <w:rPr>
          <w:lang w:val="fr-FR"/>
        </w:rPr>
        <w:t xml:space="preserve">aider les pays membres de Smart </w:t>
      </w:r>
      <w:proofErr w:type="spellStart"/>
      <w:r w:rsidR="00712516" w:rsidRPr="00AA07C3">
        <w:rPr>
          <w:lang w:val="fr-FR"/>
        </w:rPr>
        <w:t>Africa</w:t>
      </w:r>
      <w:proofErr w:type="spellEnd"/>
      <w:r w:rsidR="00712516" w:rsidRPr="00AA07C3">
        <w:rPr>
          <w:lang w:val="fr-FR"/>
        </w:rPr>
        <w:t xml:space="preserve"> à mettre à profit l</w:t>
      </w:r>
      <w:r w:rsidR="00026688" w:rsidRPr="00AA07C3">
        <w:rPr>
          <w:lang w:val="fr-FR"/>
        </w:rPr>
        <w:t>'</w:t>
      </w:r>
      <w:r w:rsidR="00712516" w:rsidRPr="00AA07C3">
        <w:rPr>
          <w:lang w:val="fr-FR"/>
        </w:rPr>
        <w:t>Alliance de l</w:t>
      </w:r>
      <w:r w:rsidR="00026688" w:rsidRPr="00AA07C3">
        <w:rPr>
          <w:lang w:val="fr-FR"/>
        </w:rPr>
        <w:t>'</w:t>
      </w:r>
      <w:r w:rsidR="00712516" w:rsidRPr="00AA07C3">
        <w:rPr>
          <w:lang w:val="fr-FR"/>
        </w:rPr>
        <w:t>innovation et de l</w:t>
      </w:r>
      <w:r w:rsidR="00026688" w:rsidRPr="00AA07C3">
        <w:rPr>
          <w:lang w:val="fr-FR"/>
        </w:rPr>
        <w:t>'</w:t>
      </w:r>
      <w:r w:rsidR="00712516" w:rsidRPr="00AA07C3">
        <w:rPr>
          <w:lang w:val="fr-FR"/>
        </w:rPr>
        <w:t>entrepreneuriat au service du développement du numérique. Cette déclaration se concrétisera sous la forme d</w:t>
      </w:r>
      <w:r w:rsidR="00026688" w:rsidRPr="00AA07C3">
        <w:rPr>
          <w:lang w:val="fr-FR"/>
        </w:rPr>
        <w:t>'</w:t>
      </w:r>
      <w:r w:rsidR="00712516" w:rsidRPr="00AA07C3">
        <w:rPr>
          <w:lang w:val="fr-FR"/>
        </w:rPr>
        <w:t>un programme mené conjointement par les deux organisations pour tirer parti des synergies et des retombées.</w:t>
      </w:r>
    </w:p>
    <w:p w14:paraId="7F3F92BF" w14:textId="77777777" w:rsidR="00CB0CAA" w:rsidRDefault="00CB0CAA" w:rsidP="005E2A35">
      <w:pPr>
        <w:pStyle w:val="enumlev1"/>
        <w:rPr>
          <w:lang w:val="fr-FR"/>
        </w:rPr>
      </w:pPr>
      <w:r>
        <w:rPr>
          <w:lang w:val="fr-FR"/>
        </w:rPr>
        <w:br w:type="page"/>
      </w:r>
    </w:p>
    <w:p w14:paraId="2F83E891" w14:textId="5C9946D7" w:rsidR="00712516" w:rsidRDefault="008A7EB7" w:rsidP="005E2A35">
      <w:pPr>
        <w:pStyle w:val="enumlev1"/>
        <w:rPr>
          <w:lang w:val="fr-FR"/>
        </w:rPr>
      </w:pPr>
      <w:r w:rsidRPr="00AA07C3">
        <w:rPr>
          <w:lang w:val="fr-FR"/>
        </w:rPr>
        <w:lastRenderedPageBreak/>
        <w:t>–</w:t>
      </w:r>
      <w:r w:rsidRPr="00AA07C3">
        <w:rPr>
          <w:lang w:val="fr-FR"/>
        </w:rPr>
        <w:tab/>
      </w:r>
      <w:r w:rsidR="00712516" w:rsidRPr="00AA07C3">
        <w:rPr>
          <w:lang w:val="fr-FR"/>
        </w:rPr>
        <w:t xml:space="preserve">Deux </w:t>
      </w:r>
      <w:r w:rsidR="000E0CC5">
        <w:fldChar w:fldCharType="begin"/>
      </w:r>
      <w:r w:rsidR="000E0CC5" w:rsidRPr="00BC33CF">
        <w:rPr>
          <w:lang w:val="fr-CH"/>
          <w:rPrChange w:id="18" w:author="French" w:date="2023-06-14T12:04:00Z">
            <w:rPr/>
          </w:rPrChange>
        </w:rPr>
        <w:instrText>HYPERLINK "https://www.itu.int/net4/ITU-D/CDS/sg/blkmeetings.asp?lg=1&amp;stg=&amp;sp=2022&amp;blk=28224"</w:instrText>
      </w:r>
      <w:r w:rsidR="000E0CC5">
        <w:fldChar w:fldCharType="separate"/>
      </w:r>
      <w:r w:rsidR="00712516" w:rsidRPr="00AA07C3">
        <w:rPr>
          <w:rStyle w:val="Hyperlink"/>
          <w:lang w:val="fr-FR"/>
        </w:rPr>
        <w:t>ateliers</w:t>
      </w:r>
      <w:r w:rsidR="000E0CC5">
        <w:rPr>
          <w:rStyle w:val="Hyperlink"/>
          <w:lang w:val="fr-FR"/>
        </w:rPr>
        <w:fldChar w:fldCharType="end"/>
      </w:r>
      <w:r w:rsidR="00712516" w:rsidRPr="00AA07C3">
        <w:rPr>
          <w:lang w:val="fr-FR"/>
        </w:rPr>
        <w:t xml:space="preserve"> ont été organisés dans le cadre des réunions du Groupe du Rapporteur de la Commission d</w:t>
      </w:r>
      <w:r w:rsidR="00026688" w:rsidRPr="00AA07C3">
        <w:rPr>
          <w:lang w:val="fr-FR"/>
        </w:rPr>
        <w:t>'</w:t>
      </w:r>
      <w:r w:rsidR="00712516" w:rsidRPr="00AA07C3">
        <w:rPr>
          <w:lang w:val="fr-FR"/>
        </w:rPr>
        <w:t>études 1, les 8 et 10 mai, afin d</w:t>
      </w:r>
      <w:r w:rsidR="00026688" w:rsidRPr="00AA07C3">
        <w:rPr>
          <w:lang w:val="fr-FR"/>
        </w:rPr>
        <w:t>'</w:t>
      </w:r>
      <w:r w:rsidR="00712516" w:rsidRPr="00AA07C3">
        <w:rPr>
          <w:lang w:val="fr-FR"/>
        </w:rPr>
        <w:t>échanger des informations sur la nouvelle initiative de l</w:t>
      </w:r>
      <w:r w:rsidR="00026688" w:rsidRPr="00AA07C3">
        <w:rPr>
          <w:lang w:val="fr-FR"/>
        </w:rPr>
        <w:t>'</w:t>
      </w:r>
      <w:r w:rsidR="00712516" w:rsidRPr="00AA07C3">
        <w:rPr>
          <w:lang w:val="fr-FR"/>
        </w:rPr>
        <w:t>Alliance et de réfléchir, avec les participants aux travaux de la commission d</w:t>
      </w:r>
      <w:r w:rsidR="00026688" w:rsidRPr="00AA07C3">
        <w:rPr>
          <w:lang w:val="fr-FR"/>
        </w:rPr>
        <w:t>'</w:t>
      </w:r>
      <w:r w:rsidR="00712516" w:rsidRPr="00AA07C3">
        <w:rPr>
          <w:lang w:val="fr-FR"/>
        </w:rPr>
        <w:t>études, à la façon d</w:t>
      </w:r>
      <w:r w:rsidR="00026688" w:rsidRPr="00AA07C3">
        <w:rPr>
          <w:lang w:val="fr-FR"/>
        </w:rPr>
        <w:t>'</w:t>
      </w:r>
      <w:r w:rsidR="00712516" w:rsidRPr="00AA07C3">
        <w:rPr>
          <w:lang w:val="fr-FR"/>
        </w:rPr>
        <w:t>exploiter au mieux les produits de la Commission d</w:t>
      </w:r>
      <w:r w:rsidR="00026688" w:rsidRPr="00AA07C3">
        <w:rPr>
          <w:lang w:val="fr-FR"/>
        </w:rPr>
        <w:t>'</w:t>
      </w:r>
      <w:r w:rsidR="00712516" w:rsidRPr="00AA07C3">
        <w:rPr>
          <w:lang w:val="fr-FR"/>
        </w:rPr>
        <w:t>études 1 de l</w:t>
      </w:r>
      <w:r w:rsidR="00026688" w:rsidRPr="00AA07C3">
        <w:rPr>
          <w:lang w:val="fr-FR"/>
        </w:rPr>
        <w:t>'</w:t>
      </w:r>
      <w:r w:rsidR="00712516" w:rsidRPr="00AA07C3">
        <w:rPr>
          <w:lang w:val="fr-FR"/>
        </w:rPr>
        <w:t>UIT-D. Pour ce faire, des processus d</w:t>
      </w:r>
      <w:r w:rsidR="00026688" w:rsidRPr="00AA07C3">
        <w:rPr>
          <w:lang w:val="fr-FR"/>
        </w:rPr>
        <w:t>'</w:t>
      </w:r>
      <w:r w:rsidR="00712516" w:rsidRPr="00AA07C3">
        <w:rPr>
          <w:lang w:val="fr-FR"/>
        </w:rPr>
        <w:t xml:space="preserve">innovation ont été mis en place </w:t>
      </w:r>
      <w:r w:rsidR="00712516" w:rsidRPr="00AA07C3">
        <w:rPr>
          <w:lang w:val="fr-FR"/>
        </w:rPr>
        <w:t>conjointement.</w:t>
      </w:r>
    </w:p>
    <w:p w14:paraId="0AAF27AB" w14:textId="62C81821" w:rsidR="00461482" w:rsidRPr="00AA07C3" w:rsidRDefault="00C14218" w:rsidP="005E2A35">
      <w:pPr>
        <w:pStyle w:val="enumlev1"/>
        <w:rPr>
          <w:lang w:val="fr-FR"/>
        </w:rPr>
      </w:pPr>
      <w:r w:rsidRPr="00AA07C3">
        <w:rPr>
          <w:lang w:val="fr-FR"/>
        </w:rPr>
        <w:t>–</w:t>
      </w:r>
      <w:r w:rsidR="00461482">
        <w:rPr>
          <w:lang w:val="fr-FR"/>
        </w:rPr>
        <w:tab/>
        <w:t>Une séance spéciale sur l'</w:t>
      </w:r>
      <w:hyperlink r:id="rId11" w:history="1">
        <w:r w:rsidR="00461482" w:rsidRPr="00461482">
          <w:rPr>
            <w:rStyle w:val="Hyperlink"/>
            <w:lang w:val="fr-FR"/>
          </w:rPr>
          <w:t xml:space="preserve">Alliance de l'innovation </w:t>
        </w:r>
        <w:r w:rsidR="00461482" w:rsidRPr="00461482">
          <w:rPr>
            <w:rStyle w:val="Hyperlink"/>
            <w:lang w:val="fr-FR"/>
          </w:rPr>
          <w:t>e</w:t>
        </w:r>
        <w:r w:rsidR="00461482" w:rsidRPr="00461482">
          <w:rPr>
            <w:rStyle w:val="Hyperlink"/>
            <w:lang w:val="fr-FR"/>
          </w:rPr>
          <w:t>t de l'entrepreneuriat au service du développement du numérique</w:t>
        </w:r>
      </w:hyperlink>
      <w:r w:rsidR="00461482">
        <w:rPr>
          <w:lang w:val="fr-FR"/>
        </w:rPr>
        <w:t xml:space="preserve"> </w:t>
      </w:r>
      <w:r w:rsidR="000C10F2">
        <w:rPr>
          <w:lang w:val="fr-FR"/>
        </w:rPr>
        <w:t>s'est tenue le</w:t>
      </w:r>
      <w:r w:rsidR="00461482">
        <w:rPr>
          <w:lang w:val="fr-FR"/>
        </w:rPr>
        <w:t xml:space="preserve"> 23 mai 2023</w:t>
      </w:r>
      <w:r w:rsidR="003D46D2">
        <w:rPr>
          <w:lang w:val="fr-FR"/>
        </w:rPr>
        <w:t>,</w:t>
      </w:r>
      <w:r w:rsidR="00461482">
        <w:rPr>
          <w:lang w:val="fr-FR"/>
        </w:rPr>
        <w:t xml:space="preserve"> dans le cadre du Forum régional de l'UIT sur le développement pour l'Europe, afin de donner aux parties prenantes européennes </w:t>
      </w:r>
      <w:r w:rsidR="00AE0F57">
        <w:rPr>
          <w:lang w:val="fr-FR"/>
        </w:rPr>
        <w:t xml:space="preserve">l'occasion </w:t>
      </w:r>
      <w:r w:rsidR="00461482">
        <w:rPr>
          <w:lang w:val="fr-FR"/>
        </w:rPr>
        <w:t>de débattre</w:t>
      </w:r>
      <w:r w:rsidR="003D46D2">
        <w:rPr>
          <w:lang w:val="fr-FR"/>
        </w:rPr>
        <w:t xml:space="preserve"> </w:t>
      </w:r>
      <w:r w:rsidR="00AE0F57">
        <w:rPr>
          <w:lang w:val="fr-FR"/>
        </w:rPr>
        <w:t xml:space="preserve">de leur participation et </w:t>
      </w:r>
      <w:r w:rsidR="003D46D2">
        <w:rPr>
          <w:lang w:val="fr-FR"/>
        </w:rPr>
        <w:t xml:space="preserve">des activités qu'elles mènent </w:t>
      </w:r>
      <w:r w:rsidR="000E0CC5">
        <w:rPr>
          <w:lang w:val="fr-FR"/>
        </w:rPr>
        <w:t>conformément aux</w:t>
      </w:r>
      <w:r w:rsidR="003D46D2">
        <w:rPr>
          <w:lang w:val="fr-FR"/>
        </w:rPr>
        <w:t xml:space="preserve"> priorités régionales. </w:t>
      </w:r>
      <w:r w:rsidR="00461482">
        <w:rPr>
          <w:lang w:val="fr-FR"/>
        </w:rPr>
        <w:t xml:space="preserve">Il est prévu d'organiser des séances similaires lors des prochains Forums régionaux sur le développement </w:t>
      </w:r>
      <w:r>
        <w:rPr>
          <w:lang w:val="fr-FR"/>
        </w:rPr>
        <w:t>pour les</w:t>
      </w:r>
      <w:r w:rsidR="0078168F">
        <w:rPr>
          <w:lang w:val="fr-FR"/>
        </w:rPr>
        <w:t xml:space="preserve"> </w:t>
      </w:r>
      <w:hyperlink r:id="rId12" w:history="1">
        <w:r w:rsidR="0078168F" w:rsidRPr="00C14218">
          <w:rPr>
            <w:rStyle w:val="Hyperlink"/>
            <w:lang w:val="fr-FR"/>
          </w:rPr>
          <w:t>autre</w:t>
        </w:r>
        <w:r w:rsidR="0078168F" w:rsidRPr="00C14218">
          <w:rPr>
            <w:rStyle w:val="Hyperlink"/>
            <w:lang w:val="fr-FR"/>
          </w:rPr>
          <w:t>s</w:t>
        </w:r>
        <w:r w:rsidR="00461482" w:rsidRPr="00C14218">
          <w:rPr>
            <w:rStyle w:val="Hyperlink"/>
            <w:lang w:val="fr-FR"/>
          </w:rPr>
          <w:t xml:space="preserve"> régions</w:t>
        </w:r>
      </w:hyperlink>
      <w:r w:rsidR="00461482">
        <w:rPr>
          <w:lang w:val="fr-FR"/>
        </w:rPr>
        <w:t>.</w:t>
      </w:r>
    </w:p>
    <w:p w14:paraId="727DC4D6" w14:textId="4EA16E67" w:rsidR="00712516" w:rsidRPr="00AA07C3" w:rsidRDefault="00712516" w:rsidP="005E2A35">
      <w:pPr>
        <w:rPr>
          <w:lang w:val="fr-FR"/>
        </w:rPr>
      </w:pPr>
      <w:r w:rsidRPr="00AA07C3">
        <w:rPr>
          <w:lang w:val="fr-FR"/>
        </w:rPr>
        <w:t>À la clôture de la première échéance pour la présentation des manifestations d</w:t>
      </w:r>
      <w:r w:rsidR="00026688" w:rsidRPr="00AA07C3">
        <w:rPr>
          <w:lang w:val="fr-FR"/>
        </w:rPr>
        <w:t>'</w:t>
      </w:r>
      <w:r w:rsidRPr="00AA07C3">
        <w:rPr>
          <w:lang w:val="fr-FR"/>
        </w:rPr>
        <w:t>intérêt pour l</w:t>
      </w:r>
      <w:r w:rsidR="00026688" w:rsidRPr="00AA07C3">
        <w:rPr>
          <w:lang w:val="fr-FR"/>
        </w:rPr>
        <w:t>'</w:t>
      </w:r>
      <w:r w:rsidRPr="00AA07C3">
        <w:rPr>
          <w:lang w:val="fr-FR"/>
        </w:rPr>
        <w:t>Alliance, le 15 avril 2023, plus de 70 manifestations d</w:t>
      </w:r>
      <w:r w:rsidR="00026688" w:rsidRPr="00AA07C3">
        <w:rPr>
          <w:lang w:val="fr-FR"/>
        </w:rPr>
        <w:t>'</w:t>
      </w:r>
      <w:r w:rsidRPr="00AA07C3">
        <w:rPr>
          <w:lang w:val="fr-FR"/>
        </w:rPr>
        <w:t>intérêt</w:t>
      </w:r>
      <w:r w:rsidR="00047205" w:rsidRPr="00AA07C3">
        <w:rPr>
          <w:lang w:val="fr-FR"/>
        </w:rPr>
        <w:t xml:space="preserve"> </w:t>
      </w:r>
      <w:r w:rsidRPr="00AA07C3">
        <w:rPr>
          <w:lang w:val="fr-FR"/>
        </w:rPr>
        <w:t>émanant de plus de 55 pays</w:t>
      </w:r>
      <w:r w:rsidR="00286CD2" w:rsidRPr="00AA07C3">
        <w:rPr>
          <w:lang w:val="fr-FR"/>
        </w:rPr>
        <w:t xml:space="preserve"> </w:t>
      </w:r>
      <w:r w:rsidRPr="00AA07C3">
        <w:rPr>
          <w:lang w:val="fr-FR"/>
        </w:rPr>
        <w:t>avaient</w:t>
      </w:r>
      <w:r w:rsidR="00286CD2" w:rsidRPr="00AA07C3">
        <w:rPr>
          <w:lang w:val="fr-FR"/>
        </w:rPr>
        <w:t xml:space="preserve"> </w:t>
      </w:r>
      <w:r w:rsidRPr="00AA07C3">
        <w:rPr>
          <w:lang w:val="fr-FR"/>
        </w:rPr>
        <w:t>été enregistrées. Plus de 40 demandes de création ou de renforcement de centres ont été enregistrées et des travaux sont en cours pour valider et appuyer leur développement. Les centres seront autofinancés et bénéficieront des compétences spécialisées de l</w:t>
      </w:r>
      <w:r w:rsidR="00026688" w:rsidRPr="00AA07C3">
        <w:rPr>
          <w:lang w:val="fr-FR"/>
        </w:rPr>
        <w:t>'</w:t>
      </w:r>
      <w:r w:rsidRPr="00AA07C3">
        <w:rPr>
          <w:lang w:val="fr-FR"/>
        </w:rPr>
        <w:t>UIT.</w:t>
      </w:r>
    </w:p>
    <w:p w14:paraId="5DF52E7E" w14:textId="6364A462" w:rsidR="00712516" w:rsidRPr="00CB0CAA" w:rsidRDefault="008A7EB7" w:rsidP="005E2A35">
      <w:pPr>
        <w:pStyle w:val="Heading1"/>
        <w:rPr>
          <w:sz w:val="24"/>
          <w:szCs w:val="24"/>
          <w:lang w:val="fr-FR"/>
        </w:rPr>
      </w:pPr>
      <w:r w:rsidRPr="00CB0CAA">
        <w:rPr>
          <w:sz w:val="24"/>
          <w:szCs w:val="24"/>
          <w:lang w:val="fr-FR"/>
        </w:rPr>
        <w:t>4</w:t>
      </w:r>
      <w:r w:rsidRPr="00CB0CAA">
        <w:rPr>
          <w:sz w:val="24"/>
          <w:szCs w:val="24"/>
          <w:lang w:val="fr-FR"/>
        </w:rPr>
        <w:tab/>
      </w:r>
      <w:r w:rsidR="00712516" w:rsidRPr="00CB0CAA">
        <w:rPr>
          <w:sz w:val="24"/>
          <w:szCs w:val="24"/>
          <w:lang w:val="fr-FR"/>
        </w:rPr>
        <w:t>Perspectives d</w:t>
      </w:r>
      <w:r w:rsidR="00026688" w:rsidRPr="00CB0CAA">
        <w:rPr>
          <w:sz w:val="24"/>
          <w:szCs w:val="24"/>
          <w:lang w:val="fr-FR"/>
        </w:rPr>
        <w:t>'</w:t>
      </w:r>
      <w:r w:rsidR="00712516" w:rsidRPr="00CB0CAA">
        <w:rPr>
          <w:sz w:val="24"/>
          <w:szCs w:val="24"/>
          <w:lang w:val="fr-FR"/>
        </w:rPr>
        <w:t>avenir</w:t>
      </w:r>
    </w:p>
    <w:p w14:paraId="22056F38" w14:textId="473269F3" w:rsidR="00712516" w:rsidRPr="00AA07C3" w:rsidRDefault="00712516" w:rsidP="005E2A35">
      <w:pPr>
        <w:rPr>
          <w:lang w:val="fr-FR"/>
        </w:rPr>
      </w:pPr>
      <w:r w:rsidRPr="00AA07C3">
        <w:rPr>
          <w:lang w:val="fr-FR"/>
        </w:rPr>
        <w:t>Le BDT assurera le suivi de chaque manifestation d</w:t>
      </w:r>
      <w:r w:rsidR="00026688" w:rsidRPr="00AA07C3">
        <w:rPr>
          <w:lang w:val="fr-FR"/>
        </w:rPr>
        <w:t>'</w:t>
      </w:r>
      <w:r w:rsidRPr="00AA07C3">
        <w:rPr>
          <w:lang w:val="fr-FR"/>
        </w:rPr>
        <w:t>intérêt et est en train d</w:t>
      </w:r>
      <w:r w:rsidR="00026688" w:rsidRPr="00AA07C3">
        <w:rPr>
          <w:lang w:val="fr-FR"/>
        </w:rPr>
        <w:t>'</w:t>
      </w:r>
      <w:r w:rsidRPr="00AA07C3">
        <w:rPr>
          <w:lang w:val="fr-FR"/>
        </w:rPr>
        <w:t>élaborer, de tester et d</w:t>
      </w:r>
      <w:r w:rsidR="00026688" w:rsidRPr="00AA07C3">
        <w:rPr>
          <w:lang w:val="fr-FR"/>
        </w:rPr>
        <w:t>'</w:t>
      </w:r>
      <w:r w:rsidRPr="00AA07C3">
        <w:rPr>
          <w:lang w:val="fr-FR"/>
        </w:rPr>
        <w:t>utiliser les manuels, les systèmes et les outils nécessaires à la mise en œuvre opérationnelle de l</w:t>
      </w:r>
      <w:r w:rsidR="00026688" w:rsidRPr="00AA07C3">
        <w:rPr>
          <w:lang w:val="fr-FR"/>
        </w:rPr>
        <w:t>'</w:t>
      </w:r>
      <w:r w:rsidRPr="00AA07C3">
        <w:rPr>
          <w:lang w:val="fr-FR"/>
        </w:rPr>
        <w:t>Alliance. Des discussions sont en cours au sujet d</w:t>
      </w:r>
      <w:r w:rsidR="00026688" w:rsidRPr="00AA07C3">
        <w:rPr>
          <w:lang w:val="fr-FR"/>
        </w:rPr>
        <w:t>'</w:t>
      </w:r>
      <w:r w:rsidRPr="00AA07C3">
        <w:rPr>
          <w:lang w:val="fr-FR"/>
        </w:rPr>
        <w:t xml:space="preserve">initiatives qui pourront être lancées rapidement </w:t>
      </w:r>
      <w:r w:rsidRPr="00CB0CAA">
        <w:rPr>
          <w:lang w:val="fr-FR"/>
        </w:rPr>
        <w:t>grâce au Centre d</w:t>
      </w:r>
      <w:r w:rsidR="00026688" w:rsidRPr="00CB0CAA">
        <w:rPr>
          <w:lang w:val="fr-FR"/>
        </w:rPr>
        <w:t>'</w:t>
      </w:r>
      <w:r w:rsidRPr="00CB0CAA">
        <w:rPr>
          <w:lang w:val="fr-FR"/>
        </w:rPr>
        <w:t>innovation en Inde, avant la mise en service d</w:t>
      </w:r>
      <w:r w:rsidR="00026688" w:rsidRPr="00CB0CAA">
        <w:rPr>
          <w:lang w:val="fr-FR"/>
        </w:rPr>
        <w:t>'</w:t>
      </w:r>
      <w:r w:rsidRPr="00CB0CAA">
        <w:rPr>
          <w:lang w:val="fr-FR"/>
        </w:rPr>
        <w:t>autres</w:t>
      </w:r>
      <w:r w:rsidRPr="00AA07C3">
        <w:rPr>
          <w:lang w:val="fr-FR"/>
        </w:rPr>
        <w:t xml:space="preserve"> </w:t>
      </w:r>
      <w:r w:rsidRPr="00AA07C3">
        <w:rPr>
          <w:lang w:val="fr-FR"/>
        </w:rPr>
        <w:t>centres. Des discussions sont également en cours pour assurer la cohérence entre l</w:t>
      </w:r>
      <w:r w:rsidR="00026688" w:rsidRPr="00AA07C3">
        <w:rPr>
          <w:lang w:val="fr-FR"/>
        </w:rPr>
        <w:t>'</w:t>
      </w:r>
      <w:r w:rsidRPr="00AA07C3">
        <w:rPr>
          <w:lang w:val="fr-FR"/>
        </w:rPr>
        <w:t xml:space="preserve">initiative </w:t>
      </w:r>
      <w:proofErr w:type="spellStart"/>
      <w:r w:rsidRPr="00AA07C3">
        <w:rPr>
          <w:lang w:val="fr-FR"/>
        </w:rPr>
        <w:t>iCodi</w:t>
      </w:r>
      <w:proofErr w:type="spellEnd"/>
      <w:r w:rsidRPr="00AA07C3">
        <w:rPr>
          <w:lang w:val="fr-FR"/>
        </w:rPr>
        <w:t xml:space="preserve"> et les travaux de l</w:t>
      </w:r>
      <w:r w:rsidR="00026688" w:rsidRPr="00AA07C3">
        <w:rPr>
          <w:lang w:val="fr-FR"/>
        </w:rPr>
        <w:t>'</w:t>
      </w:r>
      <w:r w:rsidRPr="00AA07C3">
        <w:rPr>
          <w:lang w:val="fr-FR"/>
        </w:rPr>
        <w:t>Alliance.</w:t>
      </w:r>
    </w:p>
    <w:p w14:paraId="458869D8" w14:textId="49015A62" w:rsidR="00712516" w:rsidRPr="00AA07C3" w:rsidRDefault="00712516" w:rsidP="005E2A35">
      <w:pPr>
        <w:rPr>
          <w:lang w:val="fr-FR"/>
        </w:rPr>
      </w:pPr>
      <w:r w:rsidRPr="00AA07C3">
        <w:rPr>
          <w:lang w:val="fr-FR"/>
        </w:rPr>
        <w:t>Le BDT continuera de renforcer le développement de l</w:t>
      </w:r>
      <w:r w:rsidR="00026688" w:rsidRPr="00AA07C3">
        <w:rPr>
          <w:lang w:val="fr-FR"/>
        </w:rPr>
        <w:t>'</w:t>
      </w:r>
      <w:r w:rsidRPr="00AA07C3">
        <w:rPr>
          <w:lang w:val="fr-FR"/>
        </w:rPr>
        <w:t>Alliance et de ses initiatives dans le cadre des activités suivantes:</w:t>
      </w:r>
    </w:p>
    <w:p w14:paraId="1D516DA5" w14:textId="04745304"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Annonce des premiers centres d</w:t>
      </w:r>
      <w:r w:rsidR="00026688" w:rsidRPr="00AA07C3">
        <w:rPr>
          <w:lang w:val="fr-FR"/>
        </w:rPr>
        <w:t>'</w:t>
      </w:r>
      <w:r w:rsidR="00712516" w:rsidRPr="00AA07C3">
        <w:rPr>
          <w:lang w:val="fr-FR"/>
        </w:rPr>
        <w:t>ici à la fin juin 2023 et début de la collaboration avec chaque centre.</w:t>
      </w:r>
    </w:p>
    <w:p w14:paraId="57E8152D" w14:textId="36B839D2"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Mise au point de manuels et renforcement des capacités des membres de l</w:t>
      </w:r>
      <w:r w:rsidR="00026688" w:rsidRPr="00AA07C3">
        <w:rPr>
          <w:lang w:val="fr-FR"/>
        </w:rPr>
        <w:t>'</w:t>
      </w:r>
      <w:r w:rsidR="00712516" w:rsidRPr="00AA07C3">
        <w:rPr>
          <w:lang w:val="fr-FR"/>
        </w:rPr>
        <w:t>Alliance.</w:t>
      </w:r>
    </w:p>
    <w:p w14:paraId="7D814F10" w14:textId="3D2A4A35"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Poursuite des discussions avec les autres Secteurs de l</w:t>
      </w:r>
      <w:r w:rsidR="00026688" w:rsidRPr="00AA07C3">
        <w:rPr>
          <w:lang w:val="fr-FR"/>
        </w:rPr>
        <w:t>'</w:t>
      </w:r>
      <w:r w:rsidR="00712516" w:rsidRPr="00AA07C3">
        <w:rPr>
          <w:lang w:val="fr-FR"/>
        </w:rPr>
        <w:t>UIT, afin de garantir une certaine cohérence et de tirer parti de l</w:t>
      </w:r>
      <w:r w:rsidR="00026688" w:rsidRPr="00AA07C3">
        <w:rPr>
          <w:lang w:val="fr-FR"/>
        </w:rPr>
        <w:t>'</w:t>
      </w:r>
      <w:r w:rsidR="00712516" w:rsidRPr="00AA07C3">
        <w:rPr>
          <w:lang w:val="fr-FR"/>
        </w:rPr>
        <w:t>ensemble de l</w:t>
      </w:r>
      <w:r w:rsidR="00026688" w:rsidRPr="00AA07C3">
        <w:rPr>
          <w:lang w:val="fr-FR"/>
        </w:rPr>
        <w:t>'</w:t>
      </w:r>
      <w:r w:rsidR="00712516" w:rsidRPr="00AA07C3">
        <w:rPr>
          <w:lang w:val="fr-FR"/>
        </w:rPr>
        <w:t>UIT.</w:t>
      </w:r>
    </w:p>
    <w:p w14:paraId="64C31258" w14:textId="4B9BA990"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Renforcement continu du Centre d</w:t>
      </w:r>
      <w:r w:rsidR="00026688" w:rsidRPr="00AA07C3">
        <w:rPr>
          <w:lang w:val="fr-FR"/>
        </w:rPr>
        <w:t>'</w:t>
      </w:r>
      <w:r w:rsidR="00712516" w:rsidRPr="00AA07C3">
        <w:rPr>
          <w:lang w:val="fr-FR"/>
        </w:rPr>
        <w:t>innovation du Bureau de zone de l</w:t>
      </w:r>
      <w:r w:rsidR="00026688" w:rsidRPr="00AA07C3">
        <w:rPr>
          <w:lang w:val="fr-FR"/>
        </w:rPr>
        <w:t>'</w:t>
      </w:r>
      <w:r w:rsidR="00712516" w:rsidRPr="00AA07C3">
        <w:rPr>
          <w:lang w:val="fr-FR"/>
        </w:rPr>
        <w:t>UIT pour l</w:t>
      </w:r>
      <w:r w:rsidR="00026688" w:rsidRPr="00AA07C3">
        <w:rPr>
          <w:lang w:val="fr-FR"/>
        </w:rPr>
        <w:t>'</w:t>
      </w:r>
      <w:r w:rsidR="00712516" w:rsidRPr="00AA07C3">
        <w:rPr>
          <w:lang w:val="fr-FR"/>
        </w:rPr>
        <w:t>Asie du</w:t>
      </w:r>
      <w:r w:rsidR="00047205" w:rsidRPr="00AA07C3">
        <w:rPr>
          <w:lang w:val="fr-FR"/>
        </w:rPr>
        <w:t> </w:t>
      </w:r>
      <w:r w:rsidR="00712516" w:rsidRPr="00AA07C3">
        <w:rPr>
          <w:lang w:val="fr-FR"/>
        </w:rPr>
        <w:t>Sud.</w:t>
      </w:r>
    </w:p>
    <w:p w14:paraId="2AA3ABC9" w14:textId="30F72B56"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Cohérence assurée avec les activités entreprises dans le cadre de l</w:t>
      </w:r>
      <w:r w:rsidR="00026688" w:rsidRPr="00AA07C3">
        <w:rPr>
          <w:lang w:val="fr-FR"/>
        </w:rPr>
        <w:t>'</w:t>
      </w:r>
      <w:r w:rsidR="00712516" w:rsidRPr="00AA07C3">
        <w:rPr>
          <w:lang w:val="fr-FR"/>
        </w:rPr>
        <w:t xml:space="preserve">initiative </w:t>
      </w:r>
      <w:proofErr w:type="spellStart"/>
      <w:r w:rsidR="00712516" w:rsidRPr="00AA07C3">
        <w:rPr>
          <w:lang w:val="fr-FR"/>
        </w:rPr>
        <w:t>iCodi</w:t>
      </w:r>
      <w:proofErr w:type="spellEnd"/>
      <w:r w:rsidR="00712516" w:rsidRPr="00AA07C3">
        <w:rPr>
          <w:lang w:val="fr-FR"/>
        </w:rPr>
        <w:t xml:space="preserve"> et de l</w:t>
      </w:r>
      <w:r w:rsidR="00026688" w:rsidRPr="00AA07C3">
        <w:rPr>
          <w:lang w:val="fr-FR"/>
        </w:rPr>
        <w:t>'</w:t>
      </w:r>
      <w:r w:rsidR="00712516" w:rsidRPr="00AA07C3">
        <w:rPr>
          <w:lang w:val="fr-FR"/>
        </w:rPr>
        <w:t>engagement en faveur de l</w:t>
      </w:r>
      <w:r w:rsidR="00026688" w:rsidRPr="00AA07C3">
        <w:rPr>
          <w:lang w:val="fr-FR"/>
        </w:rPr>
        <w:t>'</w:t>
      </w:r>
      <w:r w:rsidR="00712516" w:rsidRPr="00AA07C3">
        <w:rPr>
          <w:lang w:val="fr-FR"/>
        </w:rPr>
        <w:t>initiative Partner2Connect (P2C).</w:t>
      </w:r>
    </w:p>
    <w:p w14:paraId="3ED8CA6A" w14:textId="093E6046"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Élaboration de stratégies globales en matière de mobilisation des ressources, de communication et de partenariat.</w:t>
      </w:r>
    </w:p>
    <w:p w14:paraId="1DDA1788" w14:textId="1D57AE7D"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Mise sur pied du Conseil de l</w:t>
      </w:r>
      <w:r w:rsidR="00026688" w:rsidRPr="00AA07C3">
        <w:rPr>
          <w:lang w:val="fr-FR"/>
        </w:rPr>
        <w:t>'</w:t>
      </w:r>
      <w:r w:rsidR="00712516" w:rsidRPr="00AA07C3">
        <w:rPr>
          <w:lang w:val="fr-FR"/>
        </w:rPr>
        <w:t>innovation numérique et organisation de la première réunion du conseil.</w:t>
      </w:r>
    </w:p>
    <w:p w14:paraId="52C579C6" w14:textId="5562E412"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Organisation d</w:t>
      </w:r>
      <w:r w:rsidR="00026688" w:rsidRPr="00AA07C3">
        <w:rPr>
          <w:lang w:val="fr-FR"/>
        </w:rPr>
        <w:t>'</w:t>
      </w:r>
      <w:r w:rsidR="00712516" w:rsidRPr="00AA07C3">
        <w:rPr>
          <w:lang w:val="fr-FR"/>
        </w:rPr>
        <w:t>un Forum à l</w:t>
      </w:r>
      <w:r w:rsidR="00026688" w:rsidRPr="00AA07C3">
        <w:rPr>
          <w:lang w:val="fr-FR"/>
        </w:rPr>
        <w:t>'</w:t>
      </w:r>
      <w:r w:rsidR="00712516" w:rsidRPr="00AA07C3">
        <w:rPr>
          <w:lang w:val="fr-FR"/>
        </w:rPr>
        <w:t>intention des membres de l</w:t>
      </w:r>
      <w:r w:rsidR="00026688" w:rsidRPr="00AA07C3">
        <w:rPr>
          <w:lang w:val="fr-FR"/>
        </w:rPr>
        <w:t>'</w:t>
      </w:r>
      <w:r w:rsidR="00712516" w:rsidRPr="00AA07C3">
        <w:rPr>
          <w:lang w:val="fr-FR"/>
        </w:rPr>
        <w:t>Alliance pour présenter les premiers résultats du réseau, échanger de bonnes pratiques et connecter les parties prenantes afin d</w:t>
      </w:r>
      <w:r w:rsidR="00026688" w:rsidRPr="00AA07C3">
        <w:rPr>
          <w:lang w:val="fr-FR"/>
        </w:rPr>
        <w:t>'</w:t>
      </w:r>
      <w:r w:rsidR="00712516" w:rsidRPr="00AA07C3">
        <w:rPr>
          <w:lang w:val="fr-FR"/>
        </w:rPr>
        <w:t>accélérer la transformation d</w:t>
      </w:r>
      <w:r w:rsidR="00026688" w:rsidRPr="00AA07C3">
        <w:rPr>
          <w:lang w:val="fr-FR"/>
        </w:rPr>
        <w:t>'</w:t>
      </w:r>
      <w:r w:rsidR="00712516" w:rsidRPr="00AA07C3">
        <w:rPr>
          <w:lang w:val="fr-FR"/>
        </w:rPr>
        <w:t>un BDT engagé à produire des résultats concrets (BDT4Impact).</w:t>
      </w:r>
    </w:p>
    <w:p w14:paraId="7CDD71B3" w14:textId="1AA7B1D0" w:rsidR="00712516" w:rsidRPr="00AA07C3" w:rsidRDefault="008A7EB7" w:rsidP="005E2A35">
      <w:pPr>
        <w:pStyle w:val="enumlev1"/>
        <w:rPr>
          <w:lang w:val="fr-FR"/>
        </w:rPr>
      </w:pPr>
      <w:r w:rsidRPr="00AA07C3">
        <w:rPr>
          <w:lang w:val="fr-FR"/>
        </w:rPr>
        <w:lastRenderedPageBreak/>
        <w:t>–</w:t>
      </w:r>
      <w:r w:rsidRPr="00AA07C3">
        <w:rPr>
          <w:lang w:val="fr-FR"/>
        </w:rPr>
        <w:tab/>
      </w:r>
      <w:r w:rsidR="00712516" w:rsidRPr="00AA07C3">
        <w:rPr>
          <w:lang w:val="fr-FR"/>
        </w:rPr>
        <w:t>Lancement d</w:t>
      </w:r>
      <w:r w:rsidR="00026688" w:rsidRPr="00AA07C3">
        <w:rPr>
          <w:lang w:val="fr-FR"/>
        </w:rPr>
        <w:t>'</w:t>
      </w:r>
      <w:r w:rsidR="00712516" w:rsidRPr="00AA07C3">
        <w:rPr>
          <w:lang w:val="fr-FR"/>
        </w:rPr>
        <w:t>initiatives en interne en faveur de l</w:t>
      </w:r>
      <w:r w:rsidR="00026688" w:rsidRPr="00AA07C3">
        <w:rPr>
          <w:lang w:val="fr-FR"/>
        </w:rPr>
        <w:t>'</w:t>
      </w:r>
      <w:r w:rsidR="00712516" w:rsidRPr="00AA07C3">
        <w:rPr>
          <w:lang w:val="fr-FR"/>
        </w:rPr>
        <w:t>innovation destinées à accélérer le renforcement des capacités humaines.</w:t>
      </w:r>
    </w:p>
    <w:p w14:paraId="565FD8E3" w14:textId="29FF3A49" w:rsidR="00712516" w:rsidRPr="00AA07C3" w:rsidRDefault="008A7EB7" w:rsidP="005E2A35">
      <w:pPr>
        <w:pStyle w:val="enumlev1"/>
        <w:rPr>
          <w:lang w:val="fr-FR"/>
        </w:rPr>
      </w:pPr>
      <w:r w:rsidRPr="00AA07C3">
        <w:rPr>
          <w:lang w:val="fr-FR"/>
        </w:rPr>
        <w:t>–</w:t>
      </w:r>
      <w:r w:rsidRPr="00AA07C3">
        <w:rPr>
          <w:lang w:val="fr-FR"/>
        </w:rPr>
        <w:tab/>
      </w:r>
      <w:r w:rsidR="00712516" w:rsidRPr="00AA07C3">
        <w:rPr>
          <w:lang w:val="fr-FR"/>
        </w:rPr>
        <w:t>Développement de nouveaux partenariats avec l</w:t>
      </w:r>
      <w:r w:rsidR="00026688" w:rsidRPr="00AA07C3">
        <w:rPr>
          <w:lang w:val="fr-FR"/>
        </w:rPr>
        <w:t>'</w:t>
      </w:r>
      <w:r w:rsidR="00712516" w:rsidRPr="00AA07C3">
        <w:rPr>
          <w:lang w:val="fr-FR"/>
        </w:rPr>
        <w:t>ONU et d</w:t>
      </w:r>
      <w:r w:rsidR="00026688" w:rsidRPr="00AA07C3">
        <w:rPr>
          <w:lang w:val="fr-FR"/>
        </w:rPr>
        <w:t>'</w:t>
      </w:r>
      <w:r w:rsidR="00712516" w:rsidRPr="00AA07C3">
        <w:rPr>
          <w:lang w:val="fr-FR"/>
        </w:rPr>
        <w:t>autres organisations internationales compétentes.</w:t>
      </w:r>
    </w:p>
    <w:p w14:paraId="361055DB" w14:textId="3419626F" w:rsidR="00712516" w:rsidRDefault="00712516" w:rsidP="005E2A35">
      <w:pPr>
        <w:rPr>
          <w:lang w:val="fr-FR"/>
        </w:rPr>
      </w:pPr>
      <w:r w:rsidRPr="00AA07C3">
        <w:rPr>
          <w:lang w:val="fr-FR"/>
        </w:rPr>
        <w:t>Le GCDT est invité à prendre note du présent rapport et à fournir les indications qu</w:t>
      </w:r>
      <w:r w:rsidR="00026688" w:rsidRPr="00AA07C3">
        <w:rPr>
          <w:lang w:val="fr-FR"/>
        </w:rPr>
        <w:t>'</w:t>
      </w:r>
      <w:r w:rsidRPr="00AA07C3">
        <w:rPr>
          <w:lang w:val="fr-FR"/>
        </w:rPr>
        <w:t>il jugera nécessaires.</w:t>
      </w:r>
    </w:p>
    <w:p w14:paraId="4CE203E1" w14:textId="77777777" w:rsidR="00CB0CAA" w:rsidRPr="00AA07C3" w:rsidRDefault="00CB0CAA" w:rsidP="005E2A35">
      <w:pPr>
        <w:rPr>
          <w:lang w:val="fr-FR"/>
        </w:rPr>
      </w:pPr>
    </w:p>
    <w:p w14:paraId="5B29B2A3" w14:textId="70070A2B" w:rsidR="00923CF1" w:rsidRPr="00AA07C3" w:rsidRDefault="008A7EB7" w:rsidP="005E2A35">
      <w:pPr>
        <w:jc w:val="center"/>
        <w:rPr>
          <w:lang w:val="fr-FR"/>
        </w:rPr>
      </w:pPr>
      <w:r w:rsidRPr="00AA07C3">
        <w:rPr>
          <w:lang w:val="fr-FR"/>
        </w:rPr>
        <w:t>______________</w:t>
      </w:r>
    </w:p>
    <w:sectPr w:rsidR="00923CF1" w:rsidRPr="00AA07C3"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E61B" w14:textId="77777777" w:rsidR="00B43C99" w:rsidRDefault="00B43C99">
      <w:r>
        <w:separator/>
      </w:r>
    </w:p>
  </w:endnote>
  <w:endnote w:type="continuationSeparator" w:id="0">
    <w:p w14:paraId="3B9B3ACA" w14:textId="77777777" w:rsidR="00B43C99" w:rsidRDefault="00B4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C073" w14:textId="2A6A8A49" w:rsidR="00712516" w:rsidRDefault="000E0CC5" w:rsidP="00E543B3">
    <w:pPr>
      <w:pStyle w:val="Footer"/>
    </w:pPr>
    <w:fldSimple w:instr=" FILENAME \p  \* MERGEFORMAT ">
      <w:r w:rsidR="00EF2076">
        <w:t>P:\FRA\ITU-D\CONF-D\TDAG23\TDAG23-30\000\013REV1F.docx</w:t>
      </w:r>
    </w:fldSimple>
    <w:r w:rsidR="00E543B3">
      <w:t xml:space="preserve"> </w:t>
    </w:r>
    <w:r w:rsidR="00712516">
      <w:t>(</w:t>
    </w:r>
    <w:r w:rsidR="00712516" w:rsidRPr="00712516">
      <w:t>52</w:t>
    </w:r>
    <w:r w:rsidR="00EF2076">
      <w:t>4482</w:t>
    </w:r>
    <w:r w:rsidR="007125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AE0F57"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217D312D" w:rsidR="0059420B" w:rsidRPr="001011EB" w:rsidRDefault="00712516" w:rsidP="0059420B">
          <w:pPr>
            <w:pStyle w:val="FirstFooter"/>
            <w:tabs>
              <w:tab w:val="left" w:pos="2302"/>
            </w:tabs>
            <w:rPr>
              <w:sz w:val="18"/>
              <w:szCs w:val="18"/>
              <w:lang w:val="fr-CH"/>
            </w:rPr>
          </w:pPr>
          <w:r w:rsidRPr="00712516">
            <w:rPr>
              <w:sz w:val="18"/>
              <w:szCs w:val="18"/>
              <w:lang w:val="fr-CH"/>
            </w:rPr>
            <w:t>M. Mohamed Ba, Coordonnateur principal, Écosystème de l'innovation numérique, Bureau de développement des télécommunications</w:t>
          </w:r>
        </w:p>
      </w:tc>
      <w:bookmarkStart w:id="19" w:name="OrgName"/>
      <w:bookmarkEnd w:id="19"/>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3281322A" w:rsidR="0059420B" w:rsidRPr="001011EB" w:rsidRDefault="00712516" w:rsidP="0059420B">
          <w:pPr>
            <w:pStyle w:val="FirstFooter"/>
            <w:tabs>
              <w:tab w:val="left" w:pos="2302"/>
            </w:tabs>
            <w:rPr>
              <w:sz w:val="18"/>
              <w:szCs w:val="18"/>
              <w:lang w:val="fr-CH"/>
            </w:rPr>
          </w:pPr>
          <w:r w:rsidRPr="00712516">
            <w:rPr>
              <w:sz w:val="18"/>
              <w:szCs w:val="18"/>
              <w:lang w:val="fr-CH"/>
            </w:rPr>
            <w:t>+41 22 730 5338</w:t>
          </w:r>
        </w:p>
      </w:tc>
      <w:bookmarkStart w:id="20" w:name="PhoneNo"/>
      <w:bookmarkEnd w:id="20"/>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5D7009C2" w:rsidR="0059420B" w:rsidRPr="001011EB" w:rsidRDefault="00EF2076" w:rsidP="0059420B">
          <w:pPr>
            <w:pStyle w:val="FirstFooter"/>
            <w:tabs>
              <w:tab w:val="left" w:pos="2302"/>
            </w:tabs>
            <w:rPr>
              <w:sz w:val="18"/>
              <w:szCs w:val="18"/>
              <w:lang w:val="fr-CH"/>
            </w:rPr>
          </w:pPr>
          <w:hyperlink r:id="rId1" w:history="1">
            <w:r w:rsidR="00712516" w:rsidRPr="00712516">
              <w:rPr>
                <w:rStyle w:val="Hyperlink"/>
                <w:sz w:val="18"/>
                <w:szCs w:val="18"/>
                <w:lang w:val="en-GB"/>
              </w:rPr>
              <w:t>mohamed.ba@itu.int</w:t>
            </w:r>
          </w:hyperlink>
        </w:p>
      </w:tc>
      <w:bookmarkStart w:id="21" w:name="Email"/>
      <w:bookmarkEnd w:id="21"/>
    </w:tr>
  </w:tbl>
  <w:p w14:paraId="40A321D0" w14:textId="50FEB05F" w:rsidR="00721657" w:rsidRPr="001011EB" w:rsidRDefault="00EF2076" w:rsidP="00E74FB7">
    <w:pPr>
      <w:pStyle w:val="Footer"/>
      <w:spacing w:before="120"/>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6399" w14:textId="77777777" w:rsidR="00B43C99" w:rsidRDefault="00B43C99">
      <w:r>
        <w:t>____________________</w:t>
      </w:r>
    </w:p>
  </w:footnote>
  <w:footnote w:type="continuationSeparator" w:id="0">
    <w:p w14:paraId="3AE57B02" w14:textId="77777777" w:rsidR="00B43C99" w:rsidRDefault="00B4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416919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712516">
      <w:rPr>
        <w:sz w:val="22"/>
        <w:szCs w:val="22"/>
        <w:lang w:val="de-CH"/>
      </w:rPr>
      <w:t>13</w:t>
    </w:r>
    <w:r w:rsidR="00FF3444">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A3076">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9C22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72F8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D4E6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123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D67E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8ACB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28C2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6B1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800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CA8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197756">
    <w:abstractNumId w:val="9"/>
  </w:num>
  <w:num w:numId="2" w16cid:durableId="1598370199">
    <w:abstractNumId w:val="7"/>
  </w:num>
  <w:num w:numId="3" w16cid:durableId="280038095">
    <w:abstractNumId w:val="6"/>
  </w:num>
  <w:num w:numId="4" w16cid:durableId="1964384527">
    <w:abstractNumId w:val="5"/>
  </w:num>
  <w:num w:numId="5" w16cid:durableId="180048887">
    <w:abstractNumId w:val="4"/>
  </w:num>
  <w:num w:numId="6" w16cid:durableId="222837797">
    <w:abstractNumId w:val="8"/>
  </w:num>
  <w:num w:numId="7" w16cid:durableId="226956537">
    <w:abstractNumId w:val="3"/>
  </w:num>
  <w:num w:numId="8" w16cid:durableId="272595556">
    <w:abstractNumId w:val="2"/>
  </w:num>
  <w:num w:numId="9" w16cid:durableId="1892963135">
    <w:abstractNumId w:val="1"/>
  </w:num>
  <w:num w:numId="10" w16cid:durableId="854342362">
    <w:abstractNumId w:val="0"/>
  </w:num>
  <w:num w:numId="11" w16cid:durableId="1218391665">
    <w:abstractNumId w:val="9"/>
  </w:num>
  <w:num w:numId="12" w16cid:durableId="1639610287">
    <w:abstractNumId w:val="7"/>
  </w:num>
  <w:num w:numId="13" w16cid:durableId="1003555021">
    <w:abstractNumId w:val="6"/>
  </w:num>
  <w:num w:numId="14" w16cid:durableId="1624189536">
    <w:abstractNumId w:val="5"/>
  </w:num>
  <w:num w:numId="15" w16cid:durableId="211504835">
    <w:abstractNumId w:val="4"/>
  </w:num>
  <w:num w:numId="16" w16cid:durableId="1543246778">
    <w:abstractNumId w:val="8"/>
  </w:num>
  <w:num w:numId="17" w16cid:durableId="449708268">
    <w:abstractNumId w:val="3"/>
  </w:num>
  <w:num w:numId="18" w16cid:durableId="1357805105">
    <w:abstractNumId w:val="2"/>
  </w:num>
  <w:num w:numId="19" w16cid:durableId="1258447393">
    <w:abstractNumId w:val="1"/>
  </w:num>
  <w:num w:numId="20" w16cid:durableId="2113669651">
    <w:abstractNumId w:val="0"/>
  </w:num>
  <w:num w:numId="21" w16cid:durableId="12045150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26688"/>
    <w:rsid w:val="000325DF"/>
    <w:rsid w:val="00036F98"/>
    <w:rsid w:val="00037A9E"/>
    <w:rsid w:val="00037F91"/>
    <w:rsid w:val="00047205"/>
    <w:rsid w:val="000539F1"/>
    <w:rsid w:val="00054747"/>
    <w:rsid w:val="00055A2A"/>
    <w:rsid w:val="00055C85"/>
    <w:rsid w:val="000615C1"/>
    <w:rsid w:val="00061675"/>
    <w:rsid w:val="000743AA"/>
    <w:rsid w:val="0009076F"/>
    <w:rsid w:val="0009225C"/>
    <w:rsid w:val="000A17C4"/>
    <w:rsid w:val="000A36A4"/>
    <w:rsid w:val="000B2352"/>
    <w:rsid w:val="000C10F2"/>
    <w:rsid w:val="000C7B84"/>
    <w:rsid w:val="000D261B"/>
    <w:rsid w:val="000D58A3"/>
    <w:rsid w:val="000E0CC5"/>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6CD2"/>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20B9"/>
    <w:rsid w:val="0035516C"/>
    <w:rsid w:val="00355A4C"/>
    <w:rsid w:val="003604FB"/>
    <w:rsid w:val="00360B73"/>
    <w:rsid w:val="003677DC"/>
    <w:rsid w:val="00380B71"/>
    <w:rsid w:val="0038365A"/>
    <w:rsid w:val="00386A89"/>
    <w:rsid w:val="0039648E"/>
    <w:rsid w:val="003A0B06"/>
    <w:rsid w:val="003A5AFE"/>
    <w:rsid w:val="003A5D5F"/>
    <w:rsid w:val="003A7FFE"/>
    <w:rsid w:val="003B0A63"/>
    <w:rsid w:val="003B50E1"/>
    <w:rsid w:val="003C1746"/>
    <w:rsid w:val="003C2AA9"/>
    <w:rsid w:val="003C58BF"/>
    <w:rsid w:val="003D451D"/>
    <w:rsid w:val="003D46D2"/>
    <w:rsid w:val="003F2DD8"/>
    <w:rsid w:val="003F3F2D"/>
    <w:rsid w:val="003F50B2"/>
    <w:rsid w:val="00400CCF"/>
    <w:rsid w:val="00401BFF"/>
    <w:rsid w:val="00404424"/>
    <w:rsid w:val="0041156B"/>
    <w:rsid w:val="004122C5"/>
    <w:rsid w:val="00413B78"/>
    <w:rsid w:val="00416DDE"/>
    <w:rsid w:val="0044411E"/>
    <w:rsid w:val="00453435"/>
    <w:rsid w:val="00460089"/>
    <w:rsid w:val="00461482"/>
    <w:rsid w:val="00466398"/>
    <w:rsid w:val="0047306D"/>
    <w:rsid w:val="00473791"/>
    <w:rsid w:val="00476E48"/>
    <w:rsid w:val="00481DE9"/>
    <w:rsid w:val="0049128B"/>
    <w:rsid w:val="00493B49"/>
    <w:rsid w:val="00495501"/>
    <w:rsid w:val="004A070A"/>
    <w:rsid w:val="004A3076"/>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1564"/>
    <w:rsid w:val="00514D2F"/>
    <w:rsid w:val="00522410"/>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2A35"/>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E73"/>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12516"/>
    <w:rsid w:val="00721657"/>
    <w:rsid w:val="007279A8"/>
    <w:rsid w:val="00727B1A"/>
    <w:rsid w:val="00741337"/>
    <w:rsid w:val="00742876"/>
    <w:rsid w:val="00752258"/>
    <w:rsid w:val="007529E1"/>
    <w:rsid w:val="00762880"/>
    <w:rsid w:val="00762AD6"/>
    <w:rsid w:val="00762E02"/>
    <w:rsid w:val="00772290"/>
    <w:rsid w:val="00774C23"/>
    <w:rsid w:val="00777265"/>
    <w:rsid w:val="007805E7"/>
    <w:rsid w:val="0078168F"/>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4586"/>
    <w:rsid w:val="008879FD"/>
    <w:rsid w:val="00894C37"/>
    <w:rsid w:val="008A00EA"/>
    <w:rsid w:val="008A3052"/>
    <w:rsid w:val="008A3F93"/>
    <w:rsid w:val="008A6236"/>
    <w:rsid w:val="008A6E1C"/>
    <w:rsid w:val="008A72FD"/>
    <w:rsid w:val="008A7EB7"/>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0659"/>
    <w:rsid w:val="00993F46"/>
    <w:rsid w:val="00997358"/>
    <w:rsid w:val="009A1529"/>
    <w:rsid w:val="009A452B"/>
    <w:rsid w:val="009B050C"/>
    <w:rsid w:val="009B087F"/>
    <w:rsid w:val="009B2AF4"/>
    <w:rsid w:val="009C110B"/>
    <w:rsid w:val="009C5441"/>
    <w:rsid w:val="009D119F"/>
    <w:rsid w:val="009D49A2"/>
    <w:rsid w:val="009F3940"/>
    <w:rsid w:val="009F3EB2"/>
    <w:rsid w:val="009F6EB1"/>
    <w:rsid w:val="00A10B7A"/>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15B8"/>
    <w:rsid w:val="00A721F4"/>
    <w:rsid w:val="00A7392E"/>
    <w:rsid w:val="00A9392C"/>
    <w:rsid w:val="00A9462B"/>
    <w:rsid w:val="00A97D59"/>
    <w:rsid w:val="00AA07C3"/>
    <w:rsid w:val="00AA3E09"/>
    <w:rsid w:val="00AA4BEF"/>
    <w:rsid w:val="00AB1659"/>
    <w:rsid w:val="00AB4962"/>
    <w:rsid w:val="00AB734E"/>
    <w:rsid w:val="00AB740F"/>
    <w:rsid w:val="00AC6F14"/>
    <w:rsid w:val="00AC7221"/>
    <w:rsid w:val="00AD4677"/>
    <w:rsid w:val="00AE0F57"/>
    <w:rsid w:val="00AE5961"/>
    <w:rsid w:val="00AF0745"/>
    <w:rsid w:val="00AF4971"/>
    <w:rsid w:val="00AF5276"/>
    <w:rsid w:val="00AF7C86"/>
    <w:rsid w:val="00B01046"/>
    <w:rsid w:val="00B310F9"/>
    <w:rsid w:val="00B37866"/>
    <w:rsid w:val="00B412FB"/>
    <w:rsid w:val="00B43C99"/>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33CF"/>
    <w:rsid w:val="00BC7BA2"/>
    <w:rsid w:val="00BD426B"/>
    <w:rsid w:val="00BD79F0"/>
    <w:rsid w:val="00BE2B4D"/>
    <w:rsid w:val="00C015F8"/>
    <w:rsid w:val="00C02C2A"/>
    <w:rsid w:val="00C07E26"/>
    <w:rsid w:val="00C1011C"/>
    <w:rsid w:val="00C12F94"/>
    <w:rsid w:val="00C14218"/>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0CAA"/>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B46E8"/>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0602"/>
    <w:rsid w:val="00E543B3"/>
    <w:rsid w:val="00E55807"/>
    <w:rsid w:val="00E63B14"/>
    <w:rsid w:val="00E65CA0"/>
    <w:rsid w:val="00E70D9F"/>
    <w:rsid w:val="00E74FB7"/>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EF2076"/>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44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712516"/>
    <w:rPr>
      <w:color w:val="605E5C"/>
      <w:shd w:val="clear" w:color="auto" w:fill="E1DFDD"/>
    </w:rPr>
  </w:style>
  <w:style w:type="paragraph" w:styleId="PlainText">
    <w:name w:val="Plain Text"/>
    <w:basedOn w:val="Normal"/>
    <w:link w:val="PlainTextChar"/>
    <w:uiPriority w:val="99"/>
    <w:unhideWhenUsed/>
    <w:rsid w:val="00712516"/>
    <w:pPr>
      <w:spacing w:before="0"/>
    </w:pPr>
    <w:rPr>
      <w:rFonts w:ascii="Consolas" w:hAnsi="Consolas"/>
      <w:sz w:val="21"/>
      <w:szCs w:val="21"/>
    </w:rPr>
  </w:style>
  <w:style w:type="character" w:customStyle="1" w:styleId="PlainTextChar">
    <w:name w:val="Plain Text Char"/>
    <w:basedOn w:val="DefaultParagraphFont"/>
    <w:link w:val="PlainText"/>
    <w:uiPriority w:val="99"/>
    <w:rsid w:val="00712516"/>
    <w:rPr>
      <w:rFonts w:ascii="Consolas" w:hAnsi="Consolas"/>
      <w:sz w:val="21"/>
      <w:szCs w:val="21"/>
      <w:lang w:val="en-GB" w:eastAsia="en-US"/>
    </w:rPr>
  </w:style>
  <w:style w:type="character" w:styleId="CommentReference">
    <w:name w:val="annotation reference"/>
    <w:basedOn w:val="DefaultParagraphFont"/>
    <w:semiHidden/>
    <w:unhideWhenUsed/>
    <w:rsid w:val="00712516"/>
    <w:rPr>
      <w:sz w:val="16"/>
      <w:szCs w:val="16"/>
    </w:rPr>
  </w:style>
  <w:style w:type="paragraph" w:styleId="CommentText">
    <w:name w:val="annotation text"/>
    <w:basedOn w:val="Normal"/>
    <w:link w:val="CommentTextChar"/>
    <w:unhideWhenUsed/>
    <w:rsid w:val="00712516"/>
    <w:rPr>
      <w:sz w:val="20"/>
    </w:rPr>
  </w:style>
  <w:style w:type="character" w:customStyle="1" w:styleId="CommentTextChar">
    <w:name w:val="Comment Text Char"/>
    <w:basedOn w:val="DefaultParagraphFont"/>
    <w:link w:val="CommentText"/>
    <w:rsid w:val="00712516"/>
    <w:rPr>
      <w:rFonts w:asciiTheme="minorHAnsi" w:hAnsiTheme="minorHAnsi"/>
      <w:lang w:val="en-GB" w:eastAsia="en-US"/>
    </w:rPr>
  </w:style>
  <w:style w:type="paragraph" w:customStyle="1" w:styleId="Tablehead8pt">
    <w:name w:val="Table_head + 8 pt"/>
    <w:aliases w:val="Italic"/>
    <w:basedOn w:val="Tabletext"/>
    <w:rsid w:val="00774C23"/>
    <w:rPr>
      <w:i/>
      <w:iCs/>
      <w:sz w:val="16"/>
      <w:szCs w:val="16"/>
      <w:lang w:val="fr-FR"/>
    </w:rPr>
  </w:style>
  <w:style w:type="paragraph" w:styleId="Revision">
    <w:name w:val="Revision"/>
    <w:hidden/>
    <w:uiPriority w:val="99"/>
    <w:semiHidden/>
    <w:rsid w:val="0046148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461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ITU-D/Pages/regional-development-forums.asp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nnovation-allian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mohamed.ba@itu.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5F3E-4336-4201-985B-A81B3D99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2907</Words>
  <Characters>18359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Frenche</cp:lastModifiedBy>
  <cp:revision>3</cp:revision>
  <cp:lastPrinted>2014-11-04T09:22:00Z</cp:lastPrinted>
  <dcterms:created xsi:type="dcterms:W3CDTF">2023-06-14T13:33:00Z</dcterms:created>
  <dcterms:modified xsi:type="dcterms:W3CDTF">2023-06-14T13:39:00Z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