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FE61B5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FE61B5" w:rsidRDefault="001011EB" w:rsidP="00851E0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E61B5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FE61B5">
              <w:rPr>
                <w:b/>
                <w:bCs/>
                <w:sz w:val="32"/>
                <w:szCs w:val="32"/>
                <w:lang w:val="fr-FR"/>
              </w:rPr>
              <w:br/>
            </w:r>
            <w:r w:rsidRPr="00FE61B5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FE61B5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0A20C9ED" w:rsidR="00307769" w:rsidRPr="00FE61B5" w:rsidRDefault="00307769" w:rsidP="00851E0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E61B5">
              <w:rPr>
                <w:b/>
                <w:bCs/>
                <w:sz w:val="26"/>
                <w:szCs w:val="26"/>
                <w:lang w:val="fr-FR"/>
              </w:rPr>
              <w:t>30</w:t>
            </w:r>
            <w:r w:rsidR="001011EB" w:rsidRPr="00FE61B5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FE61B5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FE61B5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Pr="00FE61B5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11EB" w:rsidRPr="00FE61B5">
              <w:rPr>
                <w:b/>
                <w:bCs/>
                <w:sz w:val="26"/>
                <w:szCs w:val="26"/>
                <w:lang w:val="fr-FR"/>
              </w:rPr>
              <w:t>(Suisse)</w:t>
            </w:r>
            <w:r w:rsidRPr="00FE61B5">
              <w:rPr>
                <w:b/>
                <w:bCs/>
                <w:sz w:val="26"/>
                <w:szCs w:val="26"/>
                <w:lang w:val="fr-FR"/>
              </w:rPr>
              <w:t xml:space="preserve">, 19-23 </w:t>
            </w:r>
            <w:r w:rsidR="001011EB" w:rsidRPr="00FE61B5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FE61B5">
              <w:rPr>
                <w:b/>
                <w:bCs/>
                <w:sz w:val="26"/>
                <w:szCs w:val="26"/>
                <w:lang w:val="fr-FR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FE61B5" w:rsidRDefault="00307769" w:rsidP="00851E0B">
            <w:pPr>
              <w:spacing w:after="120"/>
              <w:ind w:right="142"/>
              <w:jc w:val="right"/>
              <w:rPr>
                <w:lang w:val="fr-FR"/>
              </w:rPr>
            </w:pPr>
            <w:r w:rsidRPr="00FE61B5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FE61B5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FE61B5" w:rsidRDefault="00683C32" w:rsidP="00851E0B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FE61B5" w:rsidRDefault="00683C32" w:rsidP="00851E0B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FE61B5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FE61B5" w:rsidRDefault="00683C32" w:rsidP="00851E0B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2F3C8D08" w:rsidR="00683C32" w:rsidRPr="00FE61B5" w:rsidRDefault="0096201B" w:rsidP="00851E0B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FE61B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FE61B5">
              <w:rPr>
                <w:b/>
                <w:bCs/>
                <w:lang w:val="fr-FR"/>
              </w:rPr>
              <w:t>TDAG</w:t>
            </w:r>
            <w:r w:rsidR="003242AB" w:rsidRPr="00FE61B5">
              <w:rPr>
                <w:b/>
                <w:bCs/>
                <w:lang w:val="fr-FR"/>
              </w:rPr>
              <w:t>-</w:t>
            </w:r>
            <w:r w:rsidR="00B648C7" w:rsidRPr="00FE61B5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307769" w:rsidRPr="00FE61B5">
              <w:rPr>
                <w:b/>
                <w:bCs/>
                <w:lang w:val="fr-FR"/>
              </w:rPr>
              <w:t>3</w:t>
            </w:r>
            <w:r w:rsidR="0009076F" w:rsidRPr="00FE61B5">
              <w:rPr>
                <w:b/>
                <w:bCs/>
                <w:lang w:val="fr-FR"/>
              </w:rPr>
              <w:t>/</w:t>
            </w:r>
            <w:r w:rsidR="00DB7653" w:rsidRPr="00FE61B5">
              <w:rPr>
                <w:b/>
                <w:bCs/>
                <w:lang w:val="fr-FR"/>
              </w:rPr>
              <w:t>12</w:t>
            </w:r>
            <w:r w:rsidRPr="00FE61B5">
              <w:rPr>
                <w:b/>
                <w:bCs/>
                <w:lang w:val="fr-FR"/>
              </w:rPr>
              <w:t>-</w:t>
            </w:r>
            <w:r w:rsidR="00E25345" w:rsidRPr="00FE61B5">
              <w:rPr>
                <w:b/>
                <w:bCs/>
                <w:lang w:val="fr-FR"/>
              </w:rPr>
              <w:t>F</w:t>
            </w:r>
          </w:p>
        </w:tc>
      </w:tr>
      <w:tr w:rsidR="00683C32" w:rsidRPr="00FE61B5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FE61B5" w:rsidRDefault="00683C32" w:rsidP="00851E0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D06A375" w:rsidR="00683C32" w:rsidRPr="00FE61B5" w:rsidRDefault="00DB7653" w:rsidP="00851E0B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FE61B5">
              <w:rPr>
                <w:b/>
                <w:bCs/>
                <w:szCs w:val="28"/>
                <w:lang w:val="fr-FR"/>
              </w:rPr>
              <w:t>9 mai</w:t>
            </w:r>
            <w:r w:rsidR="00CE0422" w:rsidRPr="00FE61B5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FE61B5">
              <w:rPr>
                <w:b/>
                <w:bCs/>
                <w:szCs w:val="28"/>
                <w:lang w:val="fr-FR"/>
              </w:rPr>
              <w:t>2</w:t>
            </w:r>
            <w:r w:rsidR="00307769" w:rsidRPr="00FE61B5">
              <w:rPr>
                <w:b/>
                <w:bCs/>
                <w:szCs w:val="28"/>
                <w:lang w:val="fr-FR"/>
              </w:rPr>
              <w:t>3</w:t>
            </w:r>
          </w:p>
        </w:tc>
      </w:tr>
      <w:tr w:rsidR="00683C32" w:rsidRPr="00FE61B5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FE61B5" w:rsidRDefault="00683C32" w:rsidP="00851E0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FE61B5" w:rsidRDefault="0096201B" w:rsidP="00851E0B">
            <w:pPr>
              <w:spacing w:before="0"/>
              <w:rPr>
                <w:szCs w:val="24"/>
                <w:lang w:val="fr-FR"/>
              </w:rPr>
            </w:pPr>
            <w:r w:rsidRPr="00FE61B5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FE61B5">
              <w:rPr>
                <w:b/>
                <w:lang w:val="fr-FR"/>
              </w:rPr>
              <w:t xml:space="preserve"> </w:t>
            </w:r>
            <w:r w:rsidR="001011EB" w:rsidRPr="00FE61B5">
              <w:rPr>
                <w:b/>
                <w:lang w:val="fr-FR"/>
              </w:rPr>
              <w:t>anglais</w:t>
            </w:r>
          </w:p>
        </w:tc>
      </w:tr>
      <w:tr w:rsidR="00A13162" w:rsidRPr="00FE61B5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E7CB6F4" w:rsidR="00A13162" w:rsidRPr="00FE61B5" w:rsidRDefault="00BA6315" w:rsidP="00851E0B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FE61B5">
              <w:rPr>
                <w:lang w:val="fr-FR"/>
              </w:rPr>
              <w:t>Directeur du</w:t>
            </w:r>
            <w:r w:rsidR="00DB7653" w:rsidRPr="00FE61B5">
              <w:rPr>
                <w:lang w:val="fr-FR"/>
              </w:rPr>
              <w:t xml:space="preserve"> Bureau</w:t>
            </w:r>
            <w:r w:rsidR="00E85A4B" w:rsidRPr="00FE61B5">
              <w:rPr>
                <w:lang w:val="fr-FR"/>
              </w:rPr>
              <w:t xml:space="preserve"> de développement des télécommunications</w:t>
            </w:r>
          </w:p>
        </w:tc>
      </w:tr>
      <w:tr w:rsidR="00AC6F14" w:rsidRPr="00FE61B5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032C3EC" w:rsidR="00AC6F14" w:rsidRPr="00FE61B5" w:rsidRDefault="0061604B" w:rsidP="00851E0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FE61B5">
              <w:rPr>
                <w:lang w:val="fr-FR"/>
              </w:rPr>
              <w:t xml:space="preserve">Résultats de la PP-22 </w:t>
            </w:r>
            <w:r w:rsidR="008629A0" w:rsidRPr="00FE61B5">
              <w:rPr>
                <w:lang w:val="fr-FR"/>
              </w:rPr>
              <w:t>intéressant</w:t>
            </w:r>
            <w:r w:rsidRPr="00FE61B5">
              <w:rPr>
                <w:lang w:val="fr-FR"/>
              </w:rPr>
              <w:t xml:space="preserve"> l'UIT-D</w:t>
            </w:r>
          </w:p>
        </w:tc>
      </w:tr>
      <w:tr w:rsidR="00A721F4" w:rsidRPr="00FE61B5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FE61B5" w:rsidRDefault="00A721F4" w:rsidP="00851E0B">
            <w:pPr>
              <w:rPr>
                <w:lang w:val="fr-FR"/>
              </w:rPr>
            </w:pPr>
          </w:p>
        </w:tc>
      </w:tr>
      <w:tr w:rsidR="00A721F4" w:rsidRPr="00FE61B5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FE61B5" w:rsidRDefault="001011EB" w:rsidP="00851E0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E61B5">
              <w:rPr>
                <w:b/>
                <w:bCs/>
                <w:szCs w:val="24"/>
                <w:lang w:val="fr-FR"/>
              </w:rPr>
              <w:t>Résumé</w:t>
            </w:r>
            <w:r w:rsidR="00A721F4" w:rsidRPr="00FE61B5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21678753" w:rsidR="00A721F4" w:rsidRPr="00FE61B5" w:rsidRDefault="009B598C" w:rsidP="00851E0B">
            <w:pPr>
              <w:spacing w:after="120"/>
              <w:rPr>
                <w:szCs w:val="24"/>
                <w:lang w:val="fr-FR"/>
              </w:rPr>
            </w:pPr>
            <w:r w:rsidRPr="00FE61B5">
              <w:rPr>
                <w:lang w:val="fr-FR"/>
              </w:rPr>
              <w:t>Le présent document donne un aperçu des Résolutions de la Conférence de plénipotentiaires (PP) de 2022 dans le contexte des travaux menés par l'UIT</w:t>
            </w:r>
            <w:r w:rsidR="005217FA" w:rsidRPr="00FE61B5">
              <w:rPr>
                <w:lang w:val="fr-FR"/>
              </w:rPr>
              <w:t>-</w:t>
            </w:r>
            <w:r w:rsidRPr="00FE61B5">
              <w:rPr>
                <w:lang w:val="fr-FR"/>
              </w:rPr>
              <w:t>D</w:t>
            </w:r>
            <w:r w:rsidR="00190F19" w:rsidRPr="00FE61B5">
              <w:rPr>
                <w:lang w:val="fr-FR"/>
              </w:rPr>
              <w:t>.</w:t>
            </w:r>
          </w:p>
          <w:p w14:paraId="76A1C541" w14:textId="23209CDB" w:rsidR="00A721F4" w:rsidRPr="00FE61B5" w:rsidRDefault="001011EB" w:rsidP="00851E0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E61B5">
              <w:rPr>
                <w:b/>
                <w:bCs/>
                <w:lang w:val="fr-FR"/>
              </w:rPr>
              <w:t>Suite à donner</w:t>
            </w:r>
            <w:r w:rsidR="00A721F4" w:rsidRPr="00FE61B5">
              <w:rPr>
                <w:b/>
                <w:bCs/>
                <w:lang w:val="fr-FR"/>
              </w:rPr>
              <w:t>:</w:t>
            </w:r>
          </w:p>
          <w:p w14:paraId="371956FC" w14:textId="1398B5D9" w:rsidR="00A721F4" w:rsidRPr="00FE61B5" w:rsidRDefault="00DB7653" w:rsidP="00851E0B">
            <w:pPr>
              <w:spacing w:after="120"/>
              <w:rPr>
                <w:szCs w:val="24"/>
                <w:lang w:val="fr-FR"/>
              </w:rPr>
            </w:pPr>
            <w:r w:rsidRPr="00FE61B5">
              <w:rPr>
                <w:lang w:val="fr-FR"/>
              </w:rPr>
              <w:t>Le GCDT est invité à prendre note du présent document et à formuler les indications qu'il jugera nécessaires.</w:t>
            </w:r>
          </w:p>
          <w:p w14:paraId="622ACB80" w14:textId="39EE560D" w:rsidR="00A721F4" w:rsidRPr="00FE61B5" w:rsidRDefault="00A721F4" w:rsidP="00851E0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FE61B5">
              <w:rPr>
                <w:b/>
                <w:bCs/>
                <w:szCs w:val="24"/>
                <w:lang w:val="fr-FR"/>
              </w:rPr>
              <w:t>R</w:t>
            </w:r>
            <w:r w:rsidR="001011EB" w:rsidRPr="00FE61B5">
              <w:rPr>
                <w:b/>
                <w:bCs/>
                <w:szCs w:val="24"/>
                <w:lang w:val="fr-FR"/>
              </w:rPr>
              <w:t>é</w:t>
            </w:r>
            <w:r w:rsidRPr="00FE61B5">
              <w:rPr>
                <w:b/>
                <w:bCs/>
                <w:szCs w:val="24"/>
                <w:lang w:val="fr-FR"/>
              </w:rPr>
              <w:t>f</w:t>
            </w:r>
            <w:r w:rsidR="001011EB" w:rsidRPr="00FE61B5">
              <w:rPr>
                <w:b/>
                <w:bCs/>
                <w:szCs w:val="24"/>
                <w:lang w:val="fr-FR"/>
              </w:rPr>
              <w:t>é</w:t>
            </w:r>
            <w:r w:rsidRPr="00FE61B5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1FF8F78C" w:rsidR="00A721F4" w:rsidRPr="00FE61B5" w:rsidRDefault="00636AAB" w:rsidP="00851E0B">
            <w:pPr>
              <w:spacing w:after="120"/>
              <w:rPr>
                <w:lang w:val="fr-FR"/>
              </w:rPr>
            </w:pPr>
            <w:r w:rsidRPr="00FE61B5">
              <w:rPr>
                <w:lang w:val="fr-FR"/>
              </w:rPr>
              <w:t>Actes finals de la Conférence de plénipotentiaires de 2022</w:t>
            </w:r>
            <w:r w:rsidR="00DB7653" w:rsidRPr="00FE61B5">
              <w:rPr>
                <w:lang w:val="fr-FR"/>
              </w:rPr>
              <w:t xml:space="preserve">: </w:t>
            </w:r>
            <w:r w:rsidRPr="00FE61B5">
              <w:rPr>
                <w:lang w:val="fr-FR"/>
              </w:rPr>
              <w:t xml:space="preserve">Décisions, Résolutions et Recommandations abrogées, adoptées ou révisées par la Conférence de plénipotentiaires </w:t>
            </w:r>
            <w:r w:rsidR="00DB7653" w:rsidRPr="00FE61B5">
              <w:rPr>
                <w:lang w:val="fr-FR"/>
              </w:rPr>
              <w:t>(</w:t>
            </w:r>
            <w:r w:rsidR="00345DDF" w:rsidRPr="00FE61B5">
              <w:rPr>
                <w:lang w:val="fr-FR"/>
              </w:rPr>
              <w:t>Bucarest</w:t>
            </w:r>
            <w:r w:rsidR="00DB7653" w:rsidRPr="00FE61B5">
              <w:rPr>
                <w:lang w:val="fr-FR"/>
              </w:rPr>
              <w:t xml:space="preserve">, 2022): </w:t>
            </w:r>
            <w:hyperlink r:id="rId9" w:history="1">
              <w:r w:rsidR="00FA17DE" w:rsidRPr="00FE61B5">
                <w:rPr>
                  <w:rStyle w:val="Hyperlink"/>
                  <w:lang w:val="fr-FR"/>
                </w:rPr>
                <w:t>Actes f</w:t>
              </w:r>
              <w:r w:rsidR="00FA17DE" w:rsidRPr="00FE61B5">
                <w:rPr>
                  <w:rStyle w:val="Hyperlink"/>
                  <w:lang w:val="fr-FR"/>
                </w:rPr>
                <w:t>i</w:t>
              </w:r>
              <w:r w:rsidR="00FA17DE" w:rsidRPr="00FE61B5">
                <w:rPr>
                  <w:rStyle w:val="Hyperlink"/>
                  <w:lang w:val="fr-FR"/>
                </w:rPr>
                <w:t xml:space="preserve">nals de la Conférence de plénipotentiaires </w:t>
              </w:r>
              <w:r w:rsidR="006217B2" w:rsidRPr="00FE61B5">
                <w:rPr>
                  <w:rStyle w:val="Hyperlink"/>
                  <w:lang w:val="fr-FR"/>
                </w:rPr>
                <w:t>(itu.int)</w:t>
              </w:r>
            </w:hyperlink>
          </w:p>
        </w:tc>
      </w:tr>
    </w:tbl>
    <w:p w14:paraId="77CF718B" w14:textId="4DC326F8" w:rsidR="00AC6F14" w:rsidRPr="00FE61B5" w:rsidRDefault="00DB7653" w:rsidP="00851E0B">
      <w:pPr>
        <w:pStyle w:val="Headingb"/>
        <w:spacing w:before="480"/>
        <w:rPr>
          <w:lang w:val="fr-FR"/>
        </w:rPr>
      </w:pPr>
      <w:r w:rsidRPr="00FE61B5">
        <w:rPr>
          <w:lang w:val="fr-FR"/>
        </w:rPr>
        <w:t>Introduction</w:t>
      </w:r>
    </w:p>
    <w:p w14:paraId="634B588C" w14:textId="1C8392DB" w:rsidR="00DB7653" w:rsidRPr="00FE61B5" w:rsidRDefault="0063203B" w:rsidP="00851E0B">
      <w:pPr>
        <w:rPr>
          <w:lang w:val="fr-FR"/>
        </w:rPr>
      </w:pPr>
      <w:r w:rsidRPr="00FE61B5">
        <w:rPr>
          <w:lang w:val="fr-FR"/>
        </w:rPr>
        <w:t xml:space="preserve">Le tableau ci-joint donne un aperçu des Résolutions </w:t>
      </w:r>
      <w:r w:rsidR="008629A0" w:rsidRPr="00FE61B5">
        <w:rPr>
          <w:lang w:val="fr-FR"/>
        </w:rPr>
        <w:t>adoptées</w:t>
      </w:r>
      <w:r w:rsidRPr="00FE61B5">
        <w:rPr>
          <w:lang w:val="fr-FR"/>
        </w:rPr>
        <w:t xml:space="preserve"> par la </w:t>
      </w:r>
      <w:r w:rsidR="008629A0" w:rsidRPr="00FE61B5">
        <w:rPr>
          <w:lang w:val="fr-FR"/>
        </w:rPr>
        <w:t>Conférence</w:t>
      </w:r>
      <w:r w:rsidRPr="00FE61B5">
        <w:rPr>
          <w:lang w:val="fr-FR"/>
        </w:rPr>
        <w:t xml:space="preserve"> de plénipotentiaires de 2022 </w:t>
      </w:r>
      <w:r w:rsidR="0062685A" w:rsidRPr="00FE61B5">
        <w:rPr>
          <w:lang w:val="fr-FR"/>
        </w:rPr>
        <w:t>qui présentent un intérêt pour</w:t>
      </w:r>
      <w:r w:rsidRPr="00FE61B5">
        <w:rPr>
          <w:lang w:val="fr-FR"/>
        </w:rPr>
        <w:t xml:space="preserve"> l'UIT-D.</w:t>
      </w:r>
    </w:p>
    <w:p w14:paraId="72F5CF96" w14:textId="13E5C71C" w:rsidR="00923CF1" w:rsidRPr="00FE61B5" w:rsidRDefault="007E4AD0" w:rsidP="00851E0B">
      <w:pPr>
        <w:rPr>
          <w:lang w:val="fr-FR"/>
        </w:rPr>
      </w:pPr>
      <w:r w:rsidRPr="00FE61B5">
        <w:rPr>
          <w:lang w:val="fr-FR"/>
        </w:rPr>
        <w:t xml:space="preserve">Ce </w:t>
      </w:r>
      <w:r w:rsidR="00707928" w:rsidRPr="00FE61B5">
        <w:rPr>
          <w:lang w:val="fr-FR"/>
        </w:rPr>
        <w:t xml:space="preserve">tableau ne contient que les Résolutions </w:t>
      </w:r>
      <w:r w:rsidR="00EB67EE" w:rsidRPr="00FE61B5">
        <w:rPr>
          <w:lang w:val="fr-FR"/>
        </w:rPr>
        <w:t xml:space="preserve">qui ont fait l'objet d'une décision de la </w:t>
      </w:r>
      <w:r w:rsidR="00707928" w:rsidRPr="00FE61B5">
        <w:rPr>
          <w:lang w:val="fr-FR"/>
        </w:rPr>
        <w:t xml:space="preserve">Conférence de plénipotentiaires. </w:t>
      </w:r>
      <w:r w:rsidRPr="00FE61B5">
        <w:rPr>
          <w:lang w:val="fr-FR"/>
        </w:rPr>
        <w:t xml:space="preserve">Les </w:t>
      </w:r>
      <w:r w:rsidR="00707928" w:rsidRPr="00FE61B5">
        <w:rPr>
          <w:lang w:val="fr-FR"/>
        </w:rPr>
        <w:t xml:space="preserve">autres Résolutions </w:t>
      </w:r>
      <w:r w:rsidR="00137B0D" w:rsidRPr="00FE61B5">
        <w:rPr>
          <w:lang w:val="fr-FR"/>
        </w:rPr>
        <w:t>restées inchangées ne figur</w:t>
      </w:r>
      <w:r w:rsidR="00F03265" w:rsidRPr="00FE61B5">
        <w:rPr>
          <w:lang w:val="fr-FR"/>
        </w:rPr>
        <w:t>e</w:t>
      </w:r>
      <w:r w:rsidR="00137B0D" w:rsidRPr="00FE61B5">
        <w:rPr>
          <w:lang w:val="fr-FR"/>
        </w:rPr>
        <w:t>nt pas dans le tableau.</w:t>
      </w:r>
    </w:p>
    <w:p w14:paraId="24D1F66A" w14:textId="77777777" w:rsidR="00C907BA" w:rsidRPr="00FE61B5" w:rsidRDefault="00C907BA" w:rsidP="00851E0B">
      <w:pPr>
        <w:tabs>
          <w:tab w:val="clear" w:pos="794"/>
          <w:tab w:val="clear" w:pos="1191"/>
          <w:tab w:val="clear" w:pos="1588"/>
          <w:tab w:val="clear" w:pos="1985"/>
          <w:tab w:val="left" w:pos="7333"/>
        </w:tabs>
        <w:rPr>
          <w:lang w:val="fr-FR"/>
        </w:rPr>
      </w:pPr>
    </w:p>
    <w:p w14:paraId="2B251E0E" w14:textId="0EC13319" w:rsidR="00851E0B" w:rsidRPr="00FE61B5" w:rsidRDefault="00851E0B" w:rsidP="00851E0B">
      <w:pPr>
        <w:tabs>
          <w:tab w:val="clear" w:pos="794"/>
          <w:tab w:val="clear" w:pos="1191"/>
          <w:tab w:val="clear" w:pos="1588"/>
          <w:tab w:val="clear" w:pos="1985"/>
          <w:tab w:val="left" w:pos="7333"/>
        </w:tabs>
        <w:rPr>
          <w:lang w:val="fr-FR"/>
        </w:rPr>
        <w:sectPr w:rsidR="00851E0B" w:rsidRPr="00FE61B5" w:rsidSect="00473791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69B70EE0" w14:textId="00532C51" w:rsidR="00EC6FED" w:rsidRPr="00FE61B5" w:rsidRDefault="00DB7653" w:rsidP="00851E0B">
      <w:pPr>
        <w:pStyle w:val="Title4"/>
        <w:rPr>
          <w:b/>
          <w:bCs/>
          <w:lang w:val="fr-FR"/>
        </w:rPr>
      </w:pPr>
      <w:r w:rsidRPr="00FE61B5">
        <w:rPr>
          <w:b/>
          <w:bCs/>
          <w:lang w:val="fr-FR"/>
        </w:rPr>
        <w:lastRenderedPageBreak/>
        <w:t>List</w:t>
      </w:r>
      <w:r w:rsidR="00AC79B7" w:rsidRPr="00FE61B5">
        <w:rPr>
          <w:b/>
          <w:bCs/>
          <w:lang w:val="fr-FR"/>
        </w:rPr>
        <w:t>e des Résolutions de la PP-22 intéressant l'UIT-D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954"/>
        <w:gridCol w:w="6808"/>
      </w:tblGrid>
      <w:tr w:rsidR="00DB7653" w:rsidRPr="00FE61B5" w14:paraId="6F3A31BE" w14:textId="77777777" w:rsidTr="00B83279">
        <w:trPr>
          <w:trHeight w:val="534"/>
          <w:tblHeader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552E55DB" w14:textId="58FD4F32" w:rsidR="00DB7653" w:rsidRPr="00FE61B5" w:rsidRDefault="00DB7653" w:rsidP="00851E0B">
            <w:pPr>
              <w:pStyle w:val="Tablehead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</w:t>
            </w:r>
            <w:r w:rsidR="00795CA2" w:rsidRPr="00FE61B5">
              <w:rPr>
                <w:lang w:val="fr-FR" w:eastAsia="fr-CH"/>
              </w:rPr>
              <w:t>é</w:t>
            </w:r>
            <w:r w:rsidRPr="00FE61B5">
              <w:rPr>
                <w:lang w:val="fr-FR" w:eastAsia="fr-CH"/>
              </w:rPr>
              <w:t>f</w:t>
            </w:r>
            <w:r w:rsidR="00795CA2" w:rsidRPr="00FE61B5">
              <w:rPr>
                <w:lang w:val="fr-FR" w:eastAsia="fr-CH"/>
              </w:rPr>
              <w:t>é</w:t>
            </w:r>
            <w:r w:rsidRPr="00FE61B5">
              <w:rPr>
                <w:lang w:val="fr-FR" w:eastAsia="fr-CH"/>
              </w:rPr>
              <w:t>rence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6DA09C5B" w14:textId="4ABF6B23" w:rsidR="00DB7653" w:rsidRPr="00FE61B5" w:rsidRDefault="00DB7653" w:rsidP="00851E0B">
            <w:pPr>
              <w:pStyle w:val="Tablehead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Tit</w:t>
            </w:r>
            <w:r w:rsidR="00795CA2" w:rsidRPr="00FE61B5">
              <w:rPr>
                <w:lang w:val="fr-FR" w:eastAsia="fr-CH"/>
              </w:rPr>
              <w:t>r</w:t>
            </w:r>
            <w:r w:rsidRPr="00FE61B5">
              <w:rPr>
                <w:lang w:val="fr-FR" w:eastAsia="fr-CH"/>
              </w:rPr>
              <w:t>e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59B3B2E" w14:textId="3440D577" w:rsidR="00DB7653" w:rsidRPr="00FE61B5" w:rsidRDefault="00B46A8C" w:rsidP="00851E0B">
            <w:pPr>
              <w:pStyle w:val="Tablehead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Charge</w:t>
            </w:r>
          </w:p>
        </w:tc>
      </w:tr>
      <w:tr w:rsidR="00DB7653" w:rsidRPr="00FE61B5" w14:paraId="57032A68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269344A7" w14:textId="5061AEB7" w:rsidR="00DB7653" w:rsidRPr="00FE61B5" w:rsidRDefault="00DB7653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D</w:t>
            </w:r>
            <w:r w:rsidR="00795CA2" w:rsidRPr="00FE61B5">
              <w:rPr>
                <w:lang w:val="fr-FR" w:eastAsia="fr-CH"/>
              </w:rPr>
              <w:t>é</w:t>
            </w:r>
            <w:r w:rsidRPr="00FE61B5">
              <w:rPr>
                <w:lang w:val="fr-FR" w:eastAsia="fr-CH"/>
              </w:rPr>
              <w:t>cision 5 (</w:t>
            </w:r>
            <w:r w:rsidR="00345DDF" w:rsidRPr="00FE61B5">
              <w:rPr>
                <w:lang w:val="fr-FR" w:eastAsia="fr-CH"/>
              </w:rPr>
              <w:t>Rév.</w:t>
            </w:r>
            <w:r w:rsidR="00851E0B" w:rsidRPr="00FE61B5">
              <w:rPr>
                <w:lang w:val="fr-FR" w:eastAsia="fr-CH"/>
              </w:rPr>
              <w:t> </w:t>
            </w:r>
            <w:r w:rsidR="00345DDF" w:rsidRPr="00FE61B5">
              <w:rPr>
                <w:lang w:val="fr-FR" w:eastAsia="fr-CH"/>
              </w:rPr>
              <w:t>Bucarest</w:t>
            </w:r>
            <w:r w:rsidRPr="00FE61B5">
              <w:rPr>
                <w:lang w:val="fr-FR" w:eastAsia="fr-CH"/>
              </w:rPr>
              <w:t>,</w:t>
            </w:r>
            <w:r w:rsidR="00851E0B" w:rsidRPr="00FE61B5">
              <w:rPr>
                <w:lang w:val="fr-FR" w:eastAsia="fr-CH"/>
              </w:rPr>
              <w:t> </w:t>
            </w:r>
            <w:r w:rsidRPr="00FE61B5">
              <w:rPr>
                <w:lang w:val="fr-FR" w:eastAsia="fr-CH"/>
              </w:rPr>
              <w:t>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ABD939B" w14:textId="6D724487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Produits et charges de l'Union pour la période 2024-2027</w:t>
            </w:r>
          </w:p>
        </w:tc>
        <w:tc>
          <w:tcPr>
            <w:tcW w:w="6808" w:type="dxa"/>
            <w:shd w:val="clear" w:color="auto" w:fill="auto"/>
          </w:tcPr>
          <w:p w14:paraId="55D49273" w14:textId="7F68A5E8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 xml:space="preserve">e </w:t>
            </w:r>
            <w:r w:rsidR="00345DDF" w:rsidRPr="00FE61B5">
              <w:rPr>
                <w:lang w:val="fr-FR" w:eastAsia="fr-CH"/>
              </w:rPr>
              <w:t>Secrétaire général et les Directeurs des Bureaux</w:t>
            </w:r>
          </w:p>
        </w:tc>
      </w:tr>
      <w:tr w:rsidR="00DB7653" w:rsidRPr="00FE61B5" w14:paraId="38D2D5D3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F7EAF73" w14:textId="0D3FDAB6" w:rsidR="00DB7653" w:rsidRPr="00FE61B5" w:rsidRDefault="00DB7653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</w:t>
            </w:r>
            <w:r w:rsidR="00345DDF" w:rsidRPr="00FE61B5">
              <w:rPr>
                <w:lang w:val="fr-FR" w:eastAsia="fr-CH"/>
              </w:rPr>
              <w:t>és.</w:t>
            </w:r>
            <w:r w:rsidRPr="00FE61B5">
              <w:rPr>
                <w:lang w:val="fr-FR" w:eastAsia="fr-CH"/>
              </w:rPr>
              <w:t xml:space="preserve"> 21 (</w:t>
            </w:r>
            <w:r w:rsidR="00345DDF" w:rsidRPr="00FE61B5">
              <w:rPr>
                <w:lang w:val="fr-FR" w:eastAsia="fr-CH"/>
              </w:rPr>
              <w:t>Rév.</w:t>
            </w:r>
            <w:r w:rsidRPr="00FE61B5">
              <w:rPr>
                <w:lang w:val="fr-FR" w:eastAsia="fr-CH"/>
              </w:rPr>
              <w:t xml:space="preserve"> </w:t>
            </w:r>
            <w:r w:rsidR="00345DDF" w:rsidRPr="00FE61B5">
              <w:rPr>
                <w:lang w:val="fr-FR" w:eastAsia="fr-CH"/>
              </w:rPr>
              <w:t>Bucarest</w:t>
            </w:r>
            <w:r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A1D9630" w14:textId="4203ED85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Mesures à prendre en cas d'utilisation de procédures d'appel alternatives</w:t>
            </w:r>
            <w:r w:rsidR="00E85A4B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sur les réseaux de télécommunication internationaux</w:t>
            </w:r>
          </w:p>
        </w:tc>
        <w:tc>
          <w:tcPr>
            <w:tcW w:w="6808" w:type="dxa"/>
            <w:shd w:val="clear" w:color="auto" w:fill="auto"/>
          </w:tcPr>
          <w:p w14:paraId="4C1766E2" w14:textId="76D17BB5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 xml:space="preserve">es </w:t>
            </w:r>
            <w:r w:rsidR="00345DDF" w:rsidRPr="00FE61B5">
              <w:rPr>
                <w:lang w:val="fr-FR" w:eastAsia="fr-CH"/>
              </w:rPr>
              <w:t>Directeurs du Bureau de développement des télécommunications et du Bureau de la normalisation des télécommunications</w:t>
            </w:r>
          </w:p>
        </w:tc>
      </w:tr>
      <w:tr w:rsidR="00DB7653" w:rsidRPr="00FE61B5" w14:paraId="48A04D87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0B61E4CF" w14:textId="0C05CA79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25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59394EB" w14:textId="40E575B2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Renforcement de la présence régionale de l'UIT</w:t>
            </w:r>
          </w:p>
        </w:tc>
        <w:tc>
          <w:tcPr>
            <w:tcW w:w="6808" w:type="dxa"/>
            <w:shd w:val="clear" w:color="auto" w:fill="auto"/>
          </w:tcPr>
          <w:p w14:paraId="49C4CC4B" w14:textId="401F5AAC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Secrétaire général, en collaboration étroite avec les Directeurs des trois</w:t>
            </w:r>
            <w:r w:rsidRPr="00FE61B5">
              <w:rPr>
                <w:lang w:val="fr-FR" w:eastAsia="fr-CH"/>
              </w:rPr>
              <w:t> </w:t>
            </w:r>
            <w:r w:rsidR="00883CD4" w:rsidRPr="00FE61B5">
              <w:rPr>
                <w:lang w:val="fr-FR" w:eastAsia="fr-CH"/>
              </w:rPr>
              <w:t>Bureaux</w:t>
            </w:r>
          </w:p>
          <w:p w14:paraId="1DDE39AE" w14:textId="1641E3E3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Directeur du Bureau de développement des télécommunications</w:t>
            </w:r>
          </w:p>
          <w:p w14:paraId="71579948" w14:textId="68A522B1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Directeur du Bureau de développement des télécommunications, en collaboration étroite avec le Secrétaire général et les Directeurs du Bureau des radiocommunications et du Bureau de la normalisation des télécommunications</w:t>
            </w:r>
          </w:p>
        </w:tc>
      </w:tr>
      <w:tr w:rsidR="00DB7653" w:rsidRPr="00FE61B5" w14:paraId="04E44331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8CAFCF3" w14:textId="7603EA5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30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E56C601" w14:textId="683F0BCC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Mesures spéciales en faveur des pays les moins avancés, des petits États insulaires en développement, des pays en développement sans littoral et des pays dont l'économie est en transition</w:t>
            </w:r>
          </w:p>
        </w:tc>
        <w:tc>
          <w:tcPr>
            <w:tcW w:w="6808" w:type="dxa"/>
            <w:shd w:val="clear" w:color="auto" w:fill="auto"/>
          </w:tcPr>
          <w:p w14:paraId="51F6D207" w14:textId="4427F451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Secrétaire général et le Directeur du Bureau de développement des télécommunications</w:t>
            </w:r>
          </w:p>
        </w:tc>
      </w:tr>
      <w:tr w:rsidR="00DB7653" w:rsidRPr="00FE61B5" w14:paraId="39045140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3F270D0" w14:textId="6EBE5024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64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6DEB660" w14:textId="7862D6FB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Accès non discriminatoire aux moyens, services et applications reposant sur les télécommunications et les technologies de l'information et de la communication, y compris la recherche appliquée, le transfert de technologie et les réunions électroniques, selon des modalités mutuellement convenues</w:t>
            </w:r>
          </w:p>
        </w:tc>
        <w:tc>
          <w:tcPr>
            <w:tcW w:w="6808" w:type="dxa"/>
            <w:shd w:val="clear" w:color="auto" w:fill="auto"/>
          </w:tcPr>
          <w:p w14:paraId="69076068" w14:textId="37527E57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883CD4" w:rsidRPr="00FE61B5">
              <w:rPr>
                <w:lang w:val="fr-FR"/>
              </w:rPr>
              <w:t>es Directeurs des trois Bureaux</w:t>
            </w:r>
          </w:p>
          <w:p w14:paraId="5B0A6652" w14:textId="5B0D4835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883CD4" w:rsidRPr="00FE61B5">
              <w:rPr>
                <w:lang w:val="fr-FR"/>
              </w:rPr>
              <w:t>e Secrétaire général, en étroite collaboration avec les Directeurs des trois</w:t>
            </w:r>
            <w:r w:rsidRPr="00FE61B5">
              <w:rPr>
                <w:lang w:val="fr-FR"/>
              </w:rPr>
              <w:t> </w:t>
            </w:r>
            <w:r w:rsidR="00883CD4" w:rsidRPr="00FE61B5">
              <w:rPr>
                <w:lang w:val="fr-FR"/>
              </w:rPr>
              <w:t>Bureaux</w:t>
            </w:r>
          </w:p>
        </w:tc>
      </w:tr>
      <w:tr w:rsidR="00DB7653" w:rsidRPr="00FE61B5" w14:paraId="667E7FB9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75ADC895" w14:textId="4D6F9D4A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66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26F4EF25" w14:textId="0BE87E1A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Documents et publications de l'Union</w:t>
            </w:r>
          </w:p>
        </w:tc>
        <w:tc>
          <w:tcPr>
            <w:tcW w:w="6808" w:type="dxa"/>
            <w:shd w:val="clear" w:color="auto" w:fill="auto"/>
          </w:tcPr>
          <w:p w14:paraId="1D873164" w14:textId="241AFE88" w:rsidR="00883CD4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Directeur du Bureau de développement des télécommunications</w:t>
            </w:r>
          </w:p>
        </w:tc>
      </w:tr>
      <w:tr w:rsidR="00DB7653" w:rsidRPr="00FE61B5" w14:paraId="4DB4F911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1DF6D777" w14:textId="56BE231C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70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1B4C25B" w14:textId="59C8049E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Intégration du principe de l'égalité hommes/femmes à l'UIT et promotion de l'égalité hommes/femmes et de l'autonomisation des femmes et des jeunes filles grâce aux télécommunications/technologies de l'information et de la communication</w:t>
            </w:r>
          </w:p>
        </w:tc>
        <w:tc>
          <w:tcPr>
            <w:tcW w:w="6808" w:type="dxa"/>
            <w:shd w:val="clear" w:color="auto" w:fill="auto"/>
          </w:tcPr>
          <w:p w14:paraId="2E90D388" w14:textId="2B91375B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Secrétaire général et les Directeurs des Bureaux</w:t>
            </w:r>
          </w:p>
          <w:p w14:paraId="050FE446" w14:textId="546B5485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883CD4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B7653" w:rsidRPr="00FE61B5" w14:paraId="1FD1BBCE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</w:tcPr>
          <w:p w14:paraId="32C3DE63" w14:textId="1406CF2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71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1F37544F" w14:textId="441584FF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Plan stratégique de l'Union pour la période 2024-2027</w:t>
            </w:r>
          </w:p>
        </w:tc>
        <w:tc>
          <w:tcPr>
            <w:tcW w:w="6808" w:type="dxa"/>
            <w:shd w:val="clear" w:color="auto" w:fill="auto"/>
          </w:tcPr>
          <w:p w14:paraId="28AA1419" w14:textId="07F6C98C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883CD4" w:rsidRPr="00FE61B5">
              <w:rPr>
                <w:lang w:val="fr-FR" w:eastAsia="fr-CH"/>
              </w:rPr>
              <w:t>e Secrétaire général et les Directeurs des Bureaux</w:t>
            </w:r>
          </w:p>
        </w:tc>
      </w:tr>
      <w:tr w:rsidR="00DB7653" w:rsidRPr="00FE61B5" w14:paraId="4C58C646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C1E9491" w14:textId="5C85789D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lastRenderedPageBreak/>
              <w:t xml:space="preserve">Rés. </w:t>
            </w:r>
            <w:r w:rsidR="00DB7653" w:rsidRPr="00FE61B5">
              <w:rPr>
                <w:lang w:val="fr-FR" w:eastAsia="fr-CH"/>
              </w:rPr>
              <w:t>101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C366A7F" w14:textId="304AA88C" w:rsidR="00DB7653" w:rsidRPr="00FE61B5" w:rsidRDefault="00883CD4" w:rsidP="00851E0B">
            <w:pPr>
              <w:pStyle w:val="Tabletext"/>
              <w:rPr>
                <w:lang w:val="fr-FR" w:eastAsia="fr-CH"/>
              </w:rPr>
            </w:pPr>
            <w:bookmarkStart w:id="9" w:name="_Toc165351472"/>
            <w:bookmarkStart w:id="10" w:name="_Toc407016215"/>
            <w:r w:rsidRPr="00FE61B5">
              <w:rPr>
                <w:lang w:val="fr-FR"/>
              </w:rPr>
              <w:t>Réseaux fondés sur le protocole Internet</w:t>
            </w:r>
            <w:bookmarkEnd w:id="9"/>
            <w:bookmarkEnd w:id="10"/>
          </w:p>
        </w:tc>
        <w:tc>
          <w:tcPr>
            <w:tcW w:w="6808" w:type="dxa"/>
            <w:shd w:val="clear" w:color="auto" w:fill="auto"/>
          </w:tcPr>
          <w:p w14:paraId="5EA07296" w14:textId="6177EEB9" w:rsidR="00DB7653" w:rsidRPr="00FE61B5" w:rsidRDefault="00851E0B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Directeur du Bureau de développement des télécommunications</w:t>
            </w:r>
          </w:p>
        </w:tc>
      </w:tr>
      <w:tr w:rsidR="00DB7653" w:rsidRPr="00FE61B5" w14:paraId="246849C8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4BB46D9" w14:textId="13D1DD82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102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F999706" w14:textId="7BEAC77A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Rôle de l'UIT concernant les questions de politiques publiques internationales ayant trait à l'Internet et à la gestion des ressources de l'Internet, y compris les noms de domaine et les adresses</w:t>
            </w:r>
          </w:p>
        </w:tc>
        <w:tc>
          <w:tcPr>
            <w:tcW w:w="6808" w:type="dxa"/>
            <w:shd w:val="clear" w:color="auto" w:fill="auto"/>
          </w:tcPr>
          <w:p w14:paraId="624390C0" w14:textId="5E5DA2CD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es Directeurs des Bureaux</w:t>
            </w:r>
          </w:p>
          <w:p w14:paraId="55151234" w14:textId="44BE85BE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bookmarkStart w:id="11" w:name="_Hlk134689142"/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 xml:space="preserve">e Directeur </w:t>
            </w:r>
            <w:r w:rsidR="00E53B40" w:rsidRPr="00FE61B5">
              <w:rPr>
                <w:lang w:val="fr-FR" w:eastAsia="fr-CH"/>
              </w:rPr>
              <w:t>du Bureau de développement des télécommunications</w:t>
            </w:r>
            <w:bookmarkEnd w:id="11"/>
          </w:p>
        </w:tc>
      </w:tr>
      <w:tr w:rsidR="00DB7653" w:rsidRPr="00FE61B5" w14:paraId="59DF6692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4FE33EEB" w14:textId="1FC72420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123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5BF19F3A" w14:textId="6DE23A48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bookmarkStart w:id="12" w:name="_Toc407016221"/>
            <w:r w:rsidRPr="00FE61B5">
              <w:rPr>
                <w:lang w:val="fr-FR"/>
              </w:rPr>
              <w:t>Réduire l'écart qui existe en matière de normalisation entre pays en développement</w:t>
            </w:r>
            <w:r w:rsidRPr="00FE61B5">
              <w:rPr>
                <w:rStyle w:val="FootnoteReference"/>
                <w:lang w:val="fr-FR"/>
              </w:rPr>
              <w:t xml:space="preserve"> </w:t>
            </w:r>
            <w:r w:rsidRPr="00FE61B5">
              <w:rPr>
                <w:lang w:val="fr-FR"/>
              </w:rPr>
              <w:t>et pays développés</w:t>
            </w:r>
            <w:bookmarkEnd w:id="12"/>
          </w:p>
        </w:tc>
        <w:tc>
          <w:tcPr>
            <w:tcW w:w="6808" w:type="dxa"/>
            <w:shd w:val="clear" w:color="auto" w:fill="auto"/>
          </w:tcPr>
          <w:p w14:paraId="5F765673" w14:textId="567452B6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Secrétaire général et les Directeurs des trois Bureaux</w:t>
            </w:r>
          </w:p>
        </w:tc>
      </w:tr>
      <w:tr w:rsidR="00DB7653" w:rsidRPr="00FE61B5" w14:paraId="7A00FD0B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A6EE559" w14:textId="6062C507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125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B618044" w14:textId="5F6D0530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Assistance et appui à la Palestine pour le développement des infrastructures et le renforcement des capacités dans le secteur des télécommunications et des technologies de l'information</w:t>
            </w:r>
          </w:p>
        </w:tc>
        <w:tc>
          <w:tcPr>
            <w:tcW w:w="6808" w:type="dxa"/>
            <w:shd w:val="clear" w:color="auto" w:fill="auto"/>
          </w:tcPr>
          <w:p w14:paraId="268290FD" w14:textId="5D9EE947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Directeur du Bureau de développement des télécommunications</w:t>
            </w:r>
          </w:p>
        </w:tc>
      </w:tr>
      <w:tr w:rsidR="00DB7653" w:rsidRPr="00FE61B5" w14:paraId="11CE3E70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2F8859C" w14:textId="14243273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130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32A79D3" w14:textId="771BB2DA" w:rsidR="00DB7653" w:rsidRPr="00FE61B5" w:rsidRDefault="00393311" w:rsidP="00E11C2D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Renforcement du rôle de l'UIT dans l'instauration de la confiance et de la sécurité dans l'utilisation des technologies de l'information et de la communication</w:t>
            </w:r>
          </w:p>
        </w:tc>
        <w:tc>
          <w:tcPr>
            <w:tcW w:w="6808" w:type="dxa"/>
            <w:shd w:val="clear" w:color="auto" w:fill="auto"/>
          </w:tcPr>
          <w:p w14:paraId="6F9090C8" w14:textId="1BF3DC48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 Secrétaire général et les Directeurs des Bureaux</w:t>
            </w:r>
          </w:p>
          <w:p w14:paraId="180F2F89" w14:textId="12105BA5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 xml:space="preserve">e Directeur du Bureau </w:t>
            </w:r>
            <w:r w:rsidR="00E7379E" w:rsidRPr="00FE61B5">
              <w:rPr>
                <w:lang w:val="fr-FR" w:eastAsia="fr-CH"/>
              </w:rPr>
              <w:t>de développement des télécommunications</w:t>
            </w:r>
          </w:p>
          <w:p w14:paraId="199F5D62" w14:textId="2C03F0E4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Directeur du Bureau de la normalisation des télécommunications et le Directeur du Bureau de développement des télécommunications</w:t>
            </w:r>
            <w:r w:rsidR="00E7379E" w:rsidRPr="00FE61B5">
              <w:rPr>
                <w:lang w:val="fr-FR" w:eastAsia="fr-CH"/>
              </w:rPr>
              <w:t>,</w:t>
            </w:r>
            <w:r w:rsidR="00393311" w:rsidRPr="00FE61B5">
              <w:rPr>
                <w:lang w:val="fr-FR" w:eastAsia="fr-CH"/>
              </w:rPr>
              <w:t xml:space="preserve"> dans les limites de leurs responsabilités respectives</w:t>
            </w:r>
          </w:p>
        </w:tc>
      </w:tr>
      <w:tr w:rsidR="00DB7653" w:rsidRPr="00FE61B5" w14:paraId="150F7B9A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03E0D41" w14:textId="3CC2EFED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131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78F43CA" w14:textId="2527E336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Mesurer les technologies de l'information et de la communication pour édifier une société de l'information inclusive et qui facilite l'intégration</w:t>
            </w:r>
          </w:p>
        </w:tc>
        <w:tc>
          <w:tcPr>
            <w:tcW w:w="6808" w:type="dxa"/>
            <w:shd w:val="clear" w:color="auto" w:fill="auto"/>
          </w:tcPr>
          <w:p w14:paraId="2E2879AC" w14:textId="7AB33177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Secrétaire général et le Directeur du Bureau de développement des télécommunications</w:t>
            </w:r>
          </w:p>
          <w:p w14:paraId="61D0746E" w14:textId="39AACFA0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Directeur du Bureau de développement des télécommunications</w:t>
            </w:r>
          </w:p>
        </w:tc>
      </w:tr>
      <w:tr w:rsidR="00DB7653" w:rsidRPr="00FE61B5" w14:paraId="5A0E898B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0E057C0B" w14:textId="18174FA0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133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03747536" w14:textId="78C0CCA2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Rôle des Administrations des États Membres dans la gestion de noms de domaine (multilingues) internationalisés</w:t>
            </w:r>
          </w:p>
        </w:tc>
        <w:tc>
          <w:tcPr>
            <w:tcW w:w="6808" w:type="dxa"/>
            <w:shd w:val="clear" w:color="auto" w:fill="auto"/>
          </w:tcPr>
          <w:p w14:paraId="25C14979" w14:textId="3EB7C73A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Secrétaire général et les Directeurs des Bureaux</w:t>
            </w:r>
          </w:p>
          <w:p w14:paraId="032C6AEC" w14:textId="083C8E43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 Directeur du Bureau de développement des télécommunications, en étroite collaboration avec le Directeur du Bureau de la normalisation des télécommunications</w:t>
            </w:r>
          </w:p>
        </w:tc>
      </w:tr>
      <w:tr w:rsidR="00DB7653" w:rsidRPr="00FE61B5" w14:paraId="7C9C8D7C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ABF80F9" w14:textId="79298C99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135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FC3BB62" w14:textId="648F6E48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Rôle de l'UIT dans le développement pérenne et durable des télécommunications et des technologies de l'information et de la communication</w:t>
            </w:r>
            <w:r w:rsidR="00E7379E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dans la fourniture d'une assistance technique et d'avis aux pays en développement et dans la mise en œuvre de projets nationaux, régionaux et interrégionaux</w:t>
            </w:r>
          </w:p>
        </w:tc>
        <w:tc>
          <w:tcPr>
            <w:tcW w:w="6808" w:type="dxa"/>
            <w:shd w:val="clear" w:color="auto" w:fill="auto"/>
          </w:tcPr>
          <w:p w14:paraId="32F859DF" w14:textId="06804457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 Secrétaire général, en coopération étroite avec les Directeurs des trois</w:t>
            </w:r>
            <w:r w:rsidRPr="00FE61B5">
              <w:rPr>
                <w:lang w:val="fr-FR"/>
              </w:rPr>
              <w:t> </w:t>
            </w:r>
            <w:r w:rsidR="00393311" w:rsidRPr="00FE61B5">
              <w:rPr>
                <w:lang w:val="fr-FR"/>
              </w:rPr>
              <w:t>Bureaux</w:t>
            </w:r>
          </w:p>
        </w:tc>
      </w:tr>
      <w:tr w:rsidR="00DB7653" w:rsidRPr="00FE61B5" w14:paraId="1EF039AF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1CECC735" w14:textId="0D2A83BD" w:rsidR="00DB7653" w:rsidRPr="00FE61B5" w:rsidRDefault="00345DDF" w:rsidP="00E11C2D">
            <w:pPr>
              <w:pStyle w:val="Tabletext"/>
              <w:keepNext/>
              <w:keepLines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lastRenderedPageBreak/>
              <w:t xml:space="preserve">Rés. </w:t>
            </w:r>
            <w:r w:rsidR="00DB7653" w:rsidRPr="00FE61B5">
              <w:rPr>
                <w:lang w:val="fr-FR" w:eastAsia="fr-CH"/>
              </w:rPr>
              <w:t>136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2A30B27" w14:textId="788C147D" w:rsidR="00DB7653" w:rsidRPr="00FE61B5" w:rsidRDefault="00393311" w:rsidP="00E11C2D">
            <w:pPr>
              <w:pStyle w:val="Tabletext"/>
              <w:keepNext/>
              <w:keepLines/>
              <w:rPr>
                <w:lang w:val="fr-FR" w:eastAsia="fr-CH"/>
              </w:rPr>
            </w:pPr>
            <w:r w:rsidRPr="00FE61B5">
              <w:rPr>
                <w:lang w:val="fr-FR"/>
              </w:rPr>
              <w:t>Utilisation des télécommunications/technologies de l'information et de la communication pour l'aide humanitaire, pour le contrôle et la gestion des situations d'urgence et de catastrophe, y compris des urgences sanitaires, et pour l'alerte avancée, la prévention, l'atténuation des effets des catastrophes et les opérations de secours</w:t>
            </w:r>
          </w:p>
        </w:tc>
        <w:tc>
          <w:tcPr>
            <w:tcW w:w="6808" w:type="dxa"/>
            <w:shd w:val="clear" w:color="auto" w:fill="auto"/>
          </w:tcPr>
          <w:p w14:paraId="03EFBB47" w14:textId="1DFCDCF8" w:rsidR="00DB7653" w:rsidRPr="00FE61B5" w:rsidRDefault="00E11C2D" w:rsidP="00E11C2D">
            <w:pPr>
              <w:pStyle w:val="Tabletext"/>
              <w:keepNext/>
              <w:keepLines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es Directeurs des Bureaux</w:t>
            </w:r>
          </w:p>
        </w:tc>
      </w:tr>
      <w:tr w:rsidR="00DB7653" w:rsidRPr="00FE61B5" w14:paraId="3BEC72B0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0E1AC78" w14:textId="04A4C88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137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CA22C6A" w14:textId="74103C2C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Déploiement de réseaux futurs dans les pays en développement</w:t>
            </w:r>
          </w:p>
        </w:tc>
        <w:tc>
          <w:tcPr>
            <w:tcW w:w="6808" w:type="dxa"/>
            <w:shd w:val="clear" w:color="auto" w:fill="auto"/>
          </w:tcPr>
          <w:p w14:paraId="248EE0E3" w14:textId="458C0377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393311" w:rsidRPr="00FE61B5">
              <w:rPr>
                <w:lang w:val="fr-FR" w:eastAsia="fr-CH"/>
              </w:rPr>
              <w:t>es Directeurs des trois Bureaux, conformément au mandat de leurs Secteurs respectifs</w:t>
            </w:r>
          </w:p>
          <w:p w14:paraId="18562595" w14:textId="36F8CD5F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 Secrétaire général et le Directeur du Bureau de développement des télécommunications</w:t>
            </w:r>
          </w:p>
        </w:tc>
      </w:tr>
      <w:tr w:rsidR="00DB7653" w:rsidRPr="00FE61B5" w14:paraId="0E2C6BE9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78F88E32" w14:textId="5627FD8F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138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72740035" w14:textId="0BEC5264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bookmarkStart w:id="13" w:name="_Toc165351520"/>
            <w:r w:rsidRPr="00FE61B5">
              <w:rPr>
                <w:lang w:val="fr-FR"/>
              </w:rPr>
              <w:t>Colloque mondial des régulateurs</w:t>
            </w:r>
            <w:bookmarkEnd w:id="13"/>
          </w:p>
        </w:tc>
        <w:tc>
          <w:tcPr>
            <w:tcW w:w="6808" w:type="dxa"/>
            <w:shd w:val="clear" w:color="auto" w:fill="auto"/>
          </w:tcPr>
          <w:p w14:paraId="6738EEC2" w14:textId="424C5F5F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393311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B7653" w:rsidRPr="00FE61B5" w14:paraId="487F85ED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9347E8B" w14:textId="7D7C8E5A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139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DE77D7A" w14:textId="613325A2" w:rsidR="00DB7653" w:rsidRPr="00FE61B5" w:rsidRDefault="00393311" w:rsidP="00851E0B">
            <w:pPr>
              <w:pStyle w:val="Tabletext"/>
              <w:rPr>
                <w:lang w:val="fr-FR" w:eastAsia="fr-CH"/>
              </w:rPr>
            </w:pPr>
            <w:bookmarkStart w:id="14" w:name="_Toc407016237"/>
            <w:r w:rsidRPr="00FE61B5">
              <w:rPr>
                <w:lang w:val="fr-FR"/>
              </w:rPr>
              <w:t>Utilisation des télécommunications et des technologies de l'information et de la communication pour réduire la fracture numérique et édifier une société de l'information inclusive</w:t>
            </w:r>
            <w:bookmarkEnd w:id="14"/>
          </w:p>
        </w:tc>
        <w:tc>
          <w:tcPr>
            <w:tcW w:w="6808" w:type="dxa"/>
            <w:shd w:val="clear" w:color="auto" w:fill="auto"/>
          </w:tcPr>
          <w:p w14:paraId="44C58923" w14:textId="49CAC052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rFonts w:eastAsia="Calibri"/>
                <w:lang w:val="fr-FR"/>
              </w:rPr>
              <w:t>L</w:t>
            </w:r>
            <w:r w:rsidR="00AE41A9" w:rsidRPr="00FE61B5">
              <w:rPr>
                <w:rFonts w:eastAsia="Calibri"/>
                <w:lang w:val="fr-FR"/>
              </w:rPr>
              <w:t>e Secrétaire général et les Directeurs des trois Bureaux, conformément au mandat de leur Secteur respectif</w:t>
            </w:r>
          </w:p>
          <w:p w14:paraId="2BD5EA05" w14:textId="06A3FA43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AE41A9" w:rsidRPr="00FE61B5">
              <w:rPr>
                <w:lang w:val="fr-FR" w:eastAsia="fr-CH"/>
              </w:rPr>
              <w:t xml:space="preserve">e Directeur du Bureau de développement des télécommunications, en coordination avec les Directeurs des autres Bureaux, dans le cadre de </w:t>
            </w:r>
            <w:r w:rsidR="006D0FD4" w:rsidRPr="00FE61B5">
              <w:rPr>
                <w:lang w:val="fr-FR" w:eastAsia="fr-CH"/>
              </w:rPr>
              <w:t>l</w:t>
            </w:r>
            <w:r w:rsidR="00AE41A9" w:rsidRPr="00FE61B5">
              <w:rPr>
                <w:lang w:val="fr-FR" w:eastAsia="fr-CH"/>
              </w:rPr>
              <w:t>eurs mandats respectifs</w:t>
            </w:r>
          </w:p>
        </w:tc>
      </w:tr>
      <w:tr w:rsidR="00DB7653" w:rsidRPr="00FE61B5" w14:paraId="1C14E2A5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F41B335" w14:textId="4CCCD64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140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684D77C" w14:textId="2F672804" w:rsidR="00DB7653" w:rsidRPr="00FE61B5" w:rsidRDefault="00AE41A9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Rôle de l'UIT dans la mise en œuvre des résultats du Sommet mondial sur la société de l'information et du Programme de développement durable à l'horizon 2030 ainsi que dans les processus de suivi et d'examen associés</w:t>
            </w:r>
          </w:p>
        </w:tc>
        <w:tc>
          <w:tcPr>
            <w:tcW w:w="6808" w:type="dxa"/>
            <w:shd w:val="clear" w:color="auto" w:fill="auto"/>
          </w:tcPr>
          <w:p w14:paraId="614BAB14" w14:textId="7CF6FFFD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AE41A9" w:rsidRPr="00FE61B5">
              <w:rPr>
                <w:lang w:val="fr-FR"/>
              </w:rPr>
              <w:t>e Secrétaire général et les Directeurs des Bureaux</w:t>
            </w:r>
          </w:p>
          <w:p w14:paraId="2EEF01FF" w14:textId="4136090C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AE41A9" w:rsidRPr="00FE61B5">
              <w:rPr>
                <w:lang w:val="fr-FR" w:eastAsia="fr-CH"/>
              </w:rPr>
              <w:t>es Directeurs des Bureaux</w:t>
            </w:r>
          </w:p>
          <w:p w14:paraId="222C6469" w14:textId="3C6D6B8B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AE41A9" w:rsidRPr="00FE61B5">
              <w:rPr>
                <w:lang w:val="fr-FR" w:eastAsia="fr-CH"/>
              </w:rPr>
              <w:t>e Directeur du Bureau de développement des télécommunications</w:t>
            </w:r>
          </w:p>
        </w:tc>
      </w:tr>
      <w:tr w:rsidR="00DB7653" w:rsidRPr="00FE61B5" w14:paraId="4B794745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684786E4" w14:textId="516DB20F" w:rsidR="00DB7653" w:rsidRPr="00FE61B5" w:rsidRDefault="00DB7653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</w:t>
            </w:r>
            <w:r w:rsidR="00AE41A9" w:rsidRPr="00FE61B5">
              <w:rPr>
                <w:lang w:val="fr-FR" w:eastAsia="fr-CH"/>
              </w:rPr>
              <w:t>és.</w:t>
            </w:r>
            <w:r w:rsidRPr="00FE61B5">
              <w:rPr>
                <w:lang w:val="fr-FR" w:eastAsia="fr-CH"/>
              </w:rPr>
              <w:t xml:space="preserve"> 146 (</w:t>
            </w:r>
            <w:r w:rsidR="00345DDF" w:rsidRPr="00FE61B5">
              <w:rPr>
                <w:lang w:val="fr-FR" w:eastAsia="fr-CH"/>
              </w:rPr>
              <w:t>Rév.</w:t>
            </w:r>
            <w:r w:rsidRPr="00FE61B5">
              <w:rPr>
                <w:lang w:val="fr-FR" w:eastAsia="fr-CH"/>
              </w:rPr>
              <w:t xml:space="preserve"> </w:t>
            </w:r>
            <w:r w:rsidR="00345DDF" w:rsidRPr="00FE61B5">
              <w:rPr>
                <w:lang w:val="fr-FR" w:eastAsia="fr-CH"/>
              </w:rPr>
              <w:t>Bucarest</w:t>
            </w:r>
            <w:r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1B0EC673" w14:textId="1110D6B8" w:rsidR="00DB7653" w:rsidRPr="00FE61B5" w:rsidRDefault="00AE41A9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Examen périodique du Règlement des télécommunications internationales</w:t>
            </w:r>
          </w:p>
        </w:tc>
        <w:tc>
          <w:tcPr>
            <w:tcW w:w="6808" w:type="dxa"/>
            <w:shd w:val="clear" w:color="auto" w:fill="auto"/>
          </w:tcPr>
          <w:p w14:paraId="20DFF9A7" w14:textId="018E3666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AE41A9" w:rsidRPr="00FE61B5">
              <w:rPr>
                <w:lang w:val="fr-FR"/>
              </w:rPr>
              <w:t>es Directeurs des Bureaux</w:t>
            </w:r>
          </w:p>
        </w:tc>
      </w:tr>
      <w:tr w:rsidR="00DB7653" w:rsidRPr="00FE61B5" w14:paraId="45AA93B9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6B00679" w14:textId="1AE06325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151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9F512B8" w14:textId="2A2BD469" w:rsidR="00DB7653" w:rsidRPr="00FE61B5" w:rsidRDefault="00AE41A9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Amélioration de la gestion axée sur les résultats à l'UIT</w:t>
            </w:r>
          </w:p>
        </w:tc>
        <w:tc>
          <w:tcPr>
            <w:tcW w:w="6808" w:type="dxa"/>
            <w:shd w:val="clear" w:color="auto" w:fill="auto"/>
          </w:tcPr>
          <w:p w14:paraId="39DBF09D" w14:textId="19FE1ED1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AE41A9" w:rsidRPr="00FE61B5">
              <w:rPr>
                <w:lang w:val="fr-FR"/>
              </w:rPr>
              <w:t>e Secrétaire général et les Directeurs des trois Bureaux</w:t>
            </w:r>
          </w:p>
        </w:tc>
      </w:tr>
      <w:tr w:rsidR="00DB7653" w:rsidRPr="00FE61B5" w14:paraId="28BEAD99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BF1EE22" w14:textId="4937884A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154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B496498" w14:textId="059BEC22" w:rsidR="00DB7653" w:rsidRPr="00FE61B5" w:rsidRDefault="00AE41A9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Utilisation des six langues officielles de l'Union sur un pied d'égalité</w:t>
            </w:r>
          </w:p>
        </w:tc>
        <w:tc>
          <w:tcPr>
            <w:tcW w:w="6808" w:type="dxa"/>
            <w:shd w:val="clear" w:color="auto" w:fill="auto"/>
          </w:tcPr>
          <w:p w14:paraId="59A4F7AE" w14:textId="6D54F41E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AE41A9" w:rsidRPr="00FE61B5">
              <w:rPr>
                <w:lang w:val="fr-FR"/>
              </w:rPr>
              <w:t>e Secrétaire général, en collaboration étroite avec les Directeurs des Bureaux</w:t>
            </w:r>
          </w:p>
        </w:tc>
      </w:tr>
      <w:tr w:rsidR="00DB7653" w:rsidRPr="00FE61B5" w14:paraId="4436FD9E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61682D3" w14:textId="7434A61C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157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8A5B3FE" w14:textId="16337FAF" w:rsidR="00DB7653" w:rsidRPr="00FE61B5" w:rsidRDefault="00AE41A9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Renforcer les fonctions d'exécution et de suivi de projets à l'UIT</w:t>
            </w:r>
          </w:p>
        </w:tc>
        <w:tc>
          <w:tcPr>
            <w:tcW w:w="6808" w:type="dxa"/>
            <w:shd w:val="clear" w:color="auto" w:fill="auto"/>
          </w:tcPr>
          <w:p w14:paraId="27F6DADC" w14:textId="2209D1A1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AE41A9" w:rsidRPr="00FE61B5">
              <w:rPr>
                <w:lang w:val="fr-FR"/>
              </w:rPr>
              <w:t>e Secrétaire général, en étroite collaboration avec le Directeur du Bureau de développement des télécommunications</w:t>
            </w:r>
          </w:p>
        </w:tc>
      </w:tr>
      <w:tr w:rsidR="00DB7653" w:rsidRPr="00FE61B5" w14:paraId="761CD9A3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0CAC6C1F" w14:textId="71CD8A1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162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4DBC8CF2" w14:textId="3A7011FC" w:rsidR="00DB7653" w:rsidRPr="00FE61B5" w:rsidRDefault="00736295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Comité consultatif indépendant pour les questions de gestion</w:t>
            </w:r>
          </w:p>
        </w:tc>
        <w:tc>
          <w:tcPr>
            <w:tcW w:w="6808" w:type="dxa"/>
            <w:shd w:val="clear" w:color="auto" w:fill="auto"/>
          </w:tcPr>
          <w:p w14:paraId="5577F5C8" w14:textId="5A61AD4F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736295" w:rsidRPr="00FE61B5">
              <w:rPr>
                <w:lang w:val="fr-FR"/>
              </w:rPr>
              <w:t>e Secrétaire général, en collaboration avec les Directeurs des Bureaux</w:t>
            </w:r>
          </w:p>
        </w:tc>
      </w:tr>
      <w:tr w:rsidR="00DB7653" w:rsidRPr="00FE61B5" w14:paraId="5DDA0ECA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BD63634" w14:textId="6A8E25B4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lastRenderedPageBreak/>
              <w:t xml:space="preserve">Rés. </w:t>
            </w:r>
            <w:r w:rsidR="00DB7653" w:rsidRPr="00FE61B5">
              <w:rPr>
                <w:lang w:val="fr-FR" w:eastAsia="fr-CH"/>
              </w:rPr>
              <w:t>167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3EA499F" w14:textId="4DC05209" w:rsidR="00DB7653" w:rsidRPr="00FE61B5" w:rsidRDefault="00736295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Renforcement et développement des capacités de l'UIT pour les réunions entièrement virtuelles et les réunions physiques avec participation à distance, et des moyens électroniques permettant de faire avancer les travaux de l'Union</w:t>
            </w:r>
          </w:p>
        </w:tc>
        <w:tc>
          <w:tcPr>
            <w:tcW w:w="6808" w:type="dxa"/>
            <w:shd w:val="clear" w:color="auto" w:fill="auto"/>
          </w:tcPr>
          <w:p w14:paraId="7E1745B4" w14:textId="47971748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736295" w:rsidRPr="00FE61B5">
              <w:rPr>
                <w:lang w:val="fr-FR"/>
              </w:rPr>
              <w:t>e Secrétaire général, après consultation et en collaboration avec les Directeurs des trois Bureaux</w:t>
            </w:r>
          </w:p>
        </w:tc>
      </w:tr>
      <w:tr w:rsidR="00DB7653" w:rsidRPr="00FE61B5" w14:paraId="4F1589BC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117633BA" w14:textId="1CDEA2A7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169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</w:t>
            </w:r>
          </w:p>
        </w:tc>
        <w:tc>
          <w:tcPr>
            <w:tcW w:w="5954" w:type="dxa"/>
            <w:shd w:val="clear" w:color="auto" w:fill="auto"/>
            <w:hideMark/>
          </w:tcPr>
          <w:p w14:paraId="7EAB1FF6" w14:textId="2FD29EFD" w:rsidR="00DB7653" w:rsidRPr="00FE61B5" w:rsidRDefault="00736295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Admission d'établissements universitaires à participer aux travaux de l'Union</w:t>
            </w:r>
          </w:p>
        </w:tc>
        <w:tc>
          <w:tcPr>
            <w:tcW w:w="6808" w:type="dxa"/>
            <w:shd w:val="clear" w:color="auto" w:fill="auto"/>
          </w:tcPr>
          <w:p w14:paraId="05F625D1" w14:textId="609FC269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736295" w:rsidRPr="00FE61B5">
              <w:rPr>
                <w:lang w:val="fr-FR"/>
              </w:rPr>
              <w:t>e Secrétaire général et les Directeurs des trois Bureaux</w:t>
            </w:r>
          </w:p>
        </w:tc>
      </w:tr>
      <w:tr w:rsidR="00DB7653" w:rsidRPr="00FE61B5" w14:paraId="29F676FD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0851BDBA" w14:textId="7A484466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175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2E84689" w14:textId="533E56E1" w:rsidR="00DB7653" w:rsidRPr="00FE61B5" w:rsidRDefault="00736295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Accessibilité des télécommunications/technologies de l'information et de la communication pour les personnes handicapées et les personnes ayant des besoins particuliers</w:t>
            </w:r>
          </w:p>
        </w:tc>
        <w:tc>
          <w:tcPr>
            <w:tcW w:w="6808" w:type="dxa"/>
            <w:shd w:val="clear" w:color="auto" w:fill="auto"/>
          </w:tcPr>
          <w:p w14:paraId="63E6D7EC" w14:textId="40F7413C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Secrétaire général, après consultation des Directeurs des Bureaux</w:t>
            </w:r>
          </w:p>
        </w:tc>
      </w:tr>
      <w:tr w:rsidR="00DB7653" w:rsidRPr="00FE61B5" w14:paraId="2CD5807B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F3FA438" w14:textId="40F3956A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176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78BF027" w14:textId="5207032D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Problèmes de mesure et d'évaluation liés à l'exposition des personnes aux champs électromagnétiques</w:t>
            </w:r>
          </w:p>
        </w:tc>
        <w:tc>
          <w:tcPr>
            <w:tcW w:w="6808" w:type="dxa"/>
            <w:shd w:val="clear" w:color="auto" w:fill="auto"/>
          </w:tcPr>
          <w:p w14:paraId="4E88F317" w14:textId="3D315679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es Directeurs des trois Bureaux</w:t>
            </w:r>
          </w:p>
          <w:p w14:paraId="76E29AFC" w14:textId="2F0BEE40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télécommunications, en collaboration avec le Directeur du Bureau des radiocommunications et le Directeur du Bureau de la normalisation des télécommunications</w:t>
            </w:r>
          </w:p>
          <w:p w14:paraId="6E60A962" w14:textId="1708BAEE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la normalisation des télécommunications, en collaboration avec le Directeur du Bureau des radiocommunications et le Directeur du Bureau de développement des télécommunications</w:t>
            </w:r>
          </w:p>
          <w:p w14:paraId="0D4F0DEA" w14:textId="7604A422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Secrétaire général, après consultation des Directeurs des trois Bureaux</w:t>
            </w:r>
          </w:p>
        </w:tc>
      </w:tr>
      <w:tr w:rsidR="00DB7653" w:rsidRPr="00FE61B5" w14:paraId="36BE4BB1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5AECA8C" w14:textId="3474B661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177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D9D2ADB" w14:textId="69FAEB11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Conformité et interopérabilité</w:t>
            </w:r>
          </w:p>
        </w:tc>
        <w:tc>
          <w:tcPr>
            <w:tcW w:w="6808" w:type="dxa"/>
            <w:shd w:val="clear" w:color="auto" w:fill="auto"/>
          </w:tcPr>
          <w:p w14:paraId="41821722" w14:textId="12345E63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télécommunications, en étroite collaboration avec le Directeur du Bureau de la normalisation des télécommunications et le Directeur du Bureau des radiocommunications</w:t>
            </w:r>
          </w:p>
        </w:tc>
      </w:tr>
      <w:tr w:rsidR="00DB7653" w:rsidRPr="00FE61B5" w14:paraId="0C8A2D3E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3D6AA50F" w14:textId="28E68BBE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179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F4B0F89" w14:textId="2BFA33EB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Rôle de l'UIT dans la protection en ligne des enfants</w:t>
            </w:r>
          </w:p>
        </w:tc>
        <w:tc>
          <w:tcPr>
            <w:tcW w:w="6808" w:type="dxa"/>
            <w:shd w:val="clear" w:color="auto" w:fill="auto"/>
          </w:tcPr>
          <w:p w14:paraId="3D9FC181" w14:textId="24EF0613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Secrétaire général et les Directeurs des trois Bureaux</w:t>
            </w:r>
          </w:p>
          <w:p w14:paraId="34CF3753" w14:textId="300A6841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B7653" w:rsidRPr="00FE61B5" w14:paraId="388E2418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BF65EF1" w14:textId="1D309450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180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5A51EF7" w14:textId="120D853E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Promouvoir le déploiement de la version 6 du protocole Internet</w:t>
            </w:r>
          </w:p>
        </w:tc>
        <w:tc>
          <w:tcPr>
            <w:tcW w:w="6808" w:type="dxa"/>
            <w:shd w:val="clear" w:color="auto" w:fill="auto"/>
          </w:tcPr>
          <w:p w14:paraId="4AA1B449" w14:textId="4C62FA4C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télécommunications, en coordination avec le Directeur du Bureau de la normalisation des télécommunications</w:t>
            </w:r>
          </w:p>
        </w:tc>
      </w:tr>
      <w:tr w:rsidR="00DB7653" w:rsidRPr="00FE61B5" w14:paraId="3F117A12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400B82D0" w14:textId="516DE622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 xml:space="preserve">Rés. </w:t>
            </w:r>
            <w:r w:rsidR="00DB7653" w:rsidRPr="00FE61B5">
              <w:rPr>
                <w:lang w:val="fr-FR" w:eastAsia="fr-CH"/>
              </w:rPr>
              <w:t>182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14A63417" w14:textId="55531E7B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Rôle des télécommunications/technologies de l'information et de la communication en ce qui concerne les changements climatiques et la protection de l'environnement</w:t>
            </w:r>
          </w:p>
        </w:tc>
        <w:tc>
          <w:tcPr>
            <w:tcW w:w="6808" w:type="dxa"/>
            <w:shd w:val="clear" w:color="auto" w:fill="auto"/>
          </w:tcPr>
          <w:p w14:paraId="07079883" w14:textId="1D6F6661" w:rsidR="00DF4F24" w:rsidRPr="00FE61B5" w:rsidRDefault="00E11C2D" w:rsidP="00851E0B">
            <w:pPr>
              <w:pStyle w:val="Tabletext"/>
              <w:rPr>
                <w:lang w:val="fr-FR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Secrétaire général, en collaboration avec les Directeurs des trois</w:t>
            </w:r>
            <w:r w:rsidR="006D0FD4" w:rsidRPr="00FE61B5">
              <w:rPr>
                <w:lang w:val="fr-FR"/>
              </w:rPr>
              <w:t> </w:t>
            </w:r>
            <w:r w:rsidR="00DF4F24" w:rsidRPr="00FE61B5">
              <w:rPr>
                <w:lang w:val="fr-FR"/>
              </w:rPr>
              <w:t>Bureaux</w:t>
            </w:r>
          </w:p>
          <w:p w14:paraId="0E7BEA42" w14:textId="54340FAE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L</w:t>
            </w:r>
            <w:r w:rsidR="00DF4F24" w:rsidRPr="00FE61B5">
              <w:rPr>
                <w:lang w:val="fr-FR" w:eastAsia="fr-CH"/>
              </w:rPr>
              <w:t>es Directeurs des trois Bureaux, dans le cadre de leur mandat</w:t>
            </w:r>
          </w:p>
          <w:p w14:paraId="42D6A1FF" w14:textId="7DE05E02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B7653" w:rsidRPr="00FE61B5" w14:paraId="551B00BB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1C84D47D" w14:textId="4629AEA5" w:rsidR="00DB7653" w:rsidRPr="00FE61B5" w:rsidRDefault="00345DDF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lastRenderedPageBreak/>
              <w:t xml:space="preserve">Rés. </w:t>
            </w:r>
            <w:r w:rsidR="00DB7653" w:rsidRPr="00FE61B5">
              <w:rPr>
                <w:lang w:val="fr-FR" w:eastAsia="fr-CH"/>
              </w:rPr>
              <w:t>184 (</w:t>
            </w:r>
            <w:r w:rsidRPr="00FE61B5">
              <w:rPr>
                <w:lang w:val="fr-FR" w:eastAsia="fr-CH"/>
              </w:rPr>
              <w:t>Rév.</w:t>
            </w:r>
            <w:r w:rsidR="00DB7653" w:rsidRPr="00FE61B5">
              <w:rPr>
                <w:lang w:val="fr-FR" w:eastAsia="fr-CH"/>
              </w:rPr>
              <w:t xml:space="preserve"> </w:t>
            </w:r>
            <w:r w:rsidRPr="00FE61B5">
              <w:rPr>
                <w:lang w:val="fr-FR" w:eastAsia="fr-CH"/>
              </w:rPr>
              <w:t>Bucarest</w:t>
            </w:r>
            <w:r w:rsidR="00DB7653" w:rsidRPr="00FE61B5">
              <w:rPr>
                <w:lang w:val="fr-FR" w:eastAsia="fr-CH"/>
              </w:rPr>
              <w:t>, 2022)</w:t>
            </w:r>
          </w:p>
        </w:tc>
        <w:tc>
          <w:tcPr>
            <w:tcW w:w="5954" w:type="dxa"/>
            <w:shd w:val="clear" w:color="auto" w:fill="auto"/>
          </w:tcPr>
          <w:p w14:paraId="2ED891FC" w14:textId="42591076" w:rsidR="00DB7653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Faciliter les initiatives relatives à l'inclusion numérique en faveur des peuples autochtones</w:t>
            </w:r>
          </w:p>
        </w:tc>
        <w:tc>
          <w:tcPr>
            <w:tcW w:w="6808" w:type="dxa"/>
            <w:shd w:val="clear" w:color="auto" w:fill="auto"/>
          </w:tcPr>
          <w:p w14:paraId="45652A77" w14:textId="049DA90F" w:rsidR="00DB7653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36E13084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7F7D62F" w14:textId="3B768AD5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186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9E09128" w14:textId="5BC46F5A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Renforcement du rôle de l'UIT en ce qui concerne les mesures de transparence et de confiance relatives aux activités spatiales</w:t>
            </w:r>
          </w:p>
        </w:tc>
        <w:tc>
          <w:tcPr>
            <w:tcW w:w="6808" w:type="dxa"/>
            <w:shd w:val="clear" w:color="auto" w:fill="auto"/>
          </w:tcPr>
          <w:p w14:paraId="472D7B54" w14:textId="4169EFAE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09B05D7B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80EFA1D" w14:textId="4A93951E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188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19E1348" w14:textId="77587301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Lutter contre la contrefaçon et l'altération volontaire de dispositifs de télécommunication/fondés sur les technologies de l'information et de la communication</w:t>
            </w:r>
          </w:p>
        </w:tc>
        <w:tc>
          <w:tcPr>
            <w:tcW w:w="6808" w:type="dxa"/>
            <w:shd w:val="clear" w:color="auto" w:fill="auto"/>
          </w:tcPr>
          <w:p w14:paraId="5856AEF6" w14:textId="200F3AC5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es Directeurs des trois Bureaux</w:t>
            </w:r>
          </w:p>
          <w:p w14:paraId="1082EC4F" w14:textId="70EBF0C6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télécommunications, en collaboration avec le Directeur du Bureau de la normalisation des télécommunications</w:t>
            </w:r>
          </w:p>
        </w:tc>
      </w:tr>
      <w:tr w:rsidR="00DF4F24" w:rsidRPr="00FE61B5" w14:paraId="16FF5832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DFEF5CC" w14:textId="32025259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189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9288334" w14:textId="6B8AFDEC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Aider les États Membres à lutter contre le vol de dispositifs mobiles et à prévenir ce phénomène</w:t>
            </w:r>
          </w:p>
        </w:tc>
        <w:tc>
          <w:tcPr>
            <w:tcW w:w="6808" w:type="dxa"/>
            <w:shd w:val="clear" w:color="auto" w:fill="auto"/>
          </w:tcPr>
          <w:p w14:paraId="323E318A" w14:textId="35BE2D4E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DF4F24" w:rsidRPr="00FE61B5">
              <w:rPr>
                <w:lang w:val="fr-FR"/>
              </w:rPr>
              <w:t>e Directeur du Bureau de développement des télécommunications, en coordination avec le Directeur du Bureau des radiocommunications et le Directeur du Bureau de la normalisation des télécommunications</w:t>
            </w:r>
          </w:p>
        </w:tc>
      </w:tr>
      <w:tr w:rsidR="00DF4F24" w:rsidRPr="00FE61B5" w14:paraId="329D09DA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CE74091" w14:textId="00272F3F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191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EA4E2AD" w14:textId="3353B748" w:rsidR="00DF4F24" w:rsidRPr="00FE61B5" w:rsidRDefault="005E0C98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Stratégie de coordination des efforts entre les trois Secteurs de l'Union</w:t>
            </w:r>
          </w:p>
        </w:tc>
        <w:tc>
          <w:tcPr>
            <w:tcW w:w="6808" w:type="dxa"/>
            <w:shd w:val="clear" w:color="auto" w:fill="auto"/>
          </w:tcPr>
          <w:p w14:paraId="0698E530" w14:textId="422F7C1A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Secrétaire général et les Directeurs des trois Bureaux</w:t>
            </w:r>
          </w:p>
        </w:tc>
      </w:tr>
      <w:tr w:rsidR="00DF4F24" w:rsidRPr="00FE61B5" w14:paraId="1D7CE655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4D8FB880" w14:textId="571791ED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196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DA5EB35" w14:textId="67FE605D" w:rsidR="00DF4F24" w:rsidRPr="00FE61B5" w:rsidRDefault="005E0C98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Protection des utilisateurs/consommateurs de services de télécommunication</w:t>
            </w:r>
          </w:p>
        </w:tc>
        <w:tc>
          <w:tcPr>
            <w:tcW w:w="6808" w:type="dxa"/>
            <w:shd w:val="clear" w:color="auto" w:fill="auto"/>
          </w:tcPr>
          <w:p w14:paraId="013D0887" w14:textId="7378C26D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3B1A63AB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B9D02B3" w14:textId="213DDDEE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197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17D7EBB" w14:textId="429D3DF4" w:rsidR="00DF4F24" w:rsidRPr="00FE61B5" w:rsidRDefault="005E0C98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Faciliter l'avènement de l'Internet des objets et des villes et communautés intelligentes et durables</w:t>
            </w:r>
          </w:p>
        </w:tc>
        <w:tc>
          <w:tcPr>
            <w:tcW w:w="6808" w:type="dxa"/>
            <w:shd w:val="clear" w:color="auto" w:fill="auto"/>
          </w:tcPr>
          <w:p w14:paraId="3673AB18" w14:textId="5C28B7EA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Secrétaire général, après consultation des Directeurs des trois Bureaux et en collaboration avec eux</w:t>
            </w:r>
          </w:p>
          <w:p w14:paraId="1A464193" w14:textId="0DB17881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Directeur du Bureau de la normalisation des télécommunications, en collaboration avec le Directeur du Bureau de développement des télécommunications et le Directeur du Bureau des radiocommunications</w:t>
            </w:r>
          </w:p>
          <w:p w14:paraId="1ECD0A8C" w14:textId="07E4185D" w:rsidR="00B50CE8" w:rsidRPr="00FE61B5" w:rsidRDefault="00E11C2D" w:rsidP="00851E0B">
            <w:pPr>
              <w:pStyle w:val="Tabletext"/>
              <w:rPr>
                <w:lang w:val="fr-FR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Directeur du Bureau de développement des télécommunications, en étroite collaboration avec le Directeur du Bureau de la normalisation des télécommunications et le Directeur du Bureau des radiocommunications</w:t>
            </w:r>
          </w:p>
        </w:tc>
      </w:tr>
      <w:tr w:rsidR="00DF4F24" w:rsidRPr="00FE61B5" w14:paraId="3D84343F" w14:textId="77777777" w:rsidTr="00B83279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7E6E638B" w14:textId="53B64690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198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BEDD630" w14:textId="542E3A1D" w:rsidR="00DF4F24" w:rsidRPr="00FE61B5" w:rsidRDefault="005E0C98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Autonomisation des jeunes au moyen des télécommunications et des technologies de l'information et de la communication</w:t>
            </w:r>
          </w:p>
        </w:tc>
        <w:tc>
          <w:tcPr>
            <w:tcW w:w="6808" w:type="dxa"/>
            <w:shd w:val="clear" w:color="auto" w:fill="auto"/>
          </w:tcPr>
          <w:p w14:paraId="1E3ED1AC" w14:textId="67ADEC0B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 Directeur du Bureau de développement des télécommunications</w:t>
            </w:r>
          </w:p>
          <w:p w14:paraId="6AFE6C0E" w14:textId="7DF4DA48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5E0C98" w:rsidRPr="00FE61B5">
              <w:rPr>
                <w:lang w:val="fr-FR"/>
              </w:rPr>
              <w:t>es Directeurs des trois Bureaux</w:t>
            </w:r>
          </w:p>
        </w:tc>
      </w:tr>
      <w:tr w:rsidR="00DF4F24" w:rsidRPr="00FE61B5" w14:paraId="16E88F62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3D522BE" w14:textId="1B4E77D7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200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2A27BEE" w14:textId="55B74E4F" w:rsidR="00DF4F24" w:rsidRPr="00FE61B5" w:rsidRDefault="005E0C98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Programme Connect 2030 pour les télécommunications/technologies de l'information et de la communication dans le monde, y compris le large bande, en faveur du développement durable</w:t>
            </w:r>
          </w:p>
        </w:tc>
        <w:tc>
          <w:tcPr>
            <w:tcW w:w="6808" w:type="dxa"/>
            <w:shd w:val="clear" w:color="auto" w:fill="auto"/>
          </w:tcPr>
          <w:p w14:paraId="5E796068" w14:textId="4D088EDB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es Directeurs des Bureaux</w:t>
            </w:r>
          </w:p>
          <w:p w14:paraId="717454DD" w14:textId="007D5969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19907A66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2D1680F" w14:textId="4D2EAF67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lastRenderedPageBreak/>
              <w:t>Rés. 203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691EFE6" w14:textId="3FD316B0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Connectivité aux réseaux large bande</w:t>
            </w:r>
          </w:p>
        </w:tc>
        <w:tc>
          <w:tcPr>
            <w:tcW w:w="6808" w:type="dxa"/>
            <w:shd w:val="clear" w:color="auto" w:fill="auto"/>
          </w:tcPr>
          <w:p w14:paraId="07AD2C7D" w14:textId="03491FF6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0C2B0C68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6B45D5D" w14:textId="4AFC0B67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204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06EAF78" w14:textId="2CDCD646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Utilisation des technologies de l'information et de la communication pour réduire les disparités en matière d'inclusion financière</w:t>
            </w:r>
          </w:p>
        </w:tc>
        <w:tc>
          <w:tcPr>
            <w:tcW w:w="6808" w:type="dxa"/>
            <w:shd w:val="clear" w:color="auto" w:fill="auto"/>
          </w:tcPr>
          <w:p w14:paraId="114E8402" w14:textId="0992CEDF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Directeur du Bureau de la normalisation des télécommunications et le Directeur du Bureau de développement des télécommunications</w:t>
            </w:r>
          </w:p>
        </w:tc>
      </w:tr>
      <w:tr w:rsidR="00DF4F24" w:rsidRPr="00FE61B5" w14:paraId="3516556A" w14:textId="77777777" w:rsidTr="00B83279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A87B6CA" w14:textId="5327FBC4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205 (Rév.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37C4862" w14:textId="6FFDED59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Rôle de l'UIT dans la promotion d'une innovation centrée sur les télécommunications/technologies de l'information et de la communication pour appuyer l'économie et la société numériques</w:t>
            </w:r>
          </w:p>
        </w:tc>
        <w:tc>
          <w:tcPr>
            <w:tcW w:w="6808" w:type="dxa"/>
            <w:shd w:val="clear" w:color="auto" w:fill="auto"/>
          </w:tcPr>
          <w:p w14:paraId="01F1D21D" w14:textId="6A07A417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Directeur du Bureau de développement des télécommunications</w:t>
            </w:r>
          </w:p>
        </w:tc>
      </w:tr>
      <w:tr w:rsidR="00DF4F24" w:rsidRPr="00FE61B5" w14:paraId="0775FDA2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34D783CD" w14:textId="50A84A03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208 (Rév. Bucarest, 2022)</w:t>
            </w:r>
          </w:p>
        </w:tc>
        <w:tc>
          <w:tcPr>
            <w:tcW w:w="5954" w:type="dxa"/>
            <w:shd w:val="clear" w:color="auto" w:fill="auto"/>
          </w:tcPr>
          <w:p w14:paraId="4AE8141B" w14:textId="64B2006E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Nomination et durée maximale du mandat des présidents et des vice-présidents des groupes consultatifs, des commissions d'études et des autres groupes des Secteurs</w:t>
            </w:r>
          </w:p>
        </w:tc>
        <w:tc>
          <w:tcPr>
            <w:tcW w:w="6808" w:type="dxa"/>
            <w:shd w:val="clear" w:color="auto" w:fill="auto"/>
          </w:tcPr>
          <w:p w14:paraId="44583855" w14:textId="1FD69C3D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es Directeurs des Bureaux</w:t>
            </w:r>
          </w:p>
        </w:tc>
      </w:tr>
      <w:tr w:rsidR="00DF4F24" w:rsidRPr="00FE61B5" w14:paraId="44AFA559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548FE0C7" w14:textId="3469CB98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209 (Rév. Bucarest, 2022)</w:t>
            </w:r>
          </w:p>
        </w:tc>
        <w:tc>
          <w:tcPr>
            <w:tcW w:w="5954" w:type="dxa"/>
            <w:shd w:val="clear" w:color="auto" w:fill="auto"/>
          </w:tcPr>
          <w:p w14:paraId="2EAF2396" w14:textId="582A1D3A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Encourager la participation des petites et moyennes entreprises aux travaux de l'Union</w:t>
            </w:r>
          </w:p>
        </w:tc>
        <w:tc>
          <w:tcPr>
            <w:tcW w:w="6808" w:type="dxa"/>
            <w:shd w:val="clear" w:color="auto" w:fill="auto"/>
          </w:tcPr>
          <w:p w14:paraId="0FF4FD8C" w14:textId="0565AD7C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Secrétaire général et les Directeurs des trois Bureaux</w:t>
            </w:r>
          </w:p>
        </w:tc>
      </w:tr>
      <w:tr w:rsidR="00DF4F24" w:rsidRPr="00FE61B5" w14:paraId="7C35171F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216717BB" w14:textId="77B372AB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214 (Bucarest, 2022)</w:t>
            </w:r>
          </w:p>
        </w:tc>
        <w:tc>
          <w:tcPr>
            <w:tcW w:w="5954" w:type="dxa"/>
            <w:shd w:val="clear" w:color="auto" w:fill="auto"/>
          </w:tcPr>
          <w:p w14:paraId="0B0636F4" w14:textId="13C259C5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Technologies fondées sur l'intelligence artificielle et télécommunications/technologies de l'information et de la communication</w:t>
            </w:r>
          </w:p>
        </w:tc>
        <w:tc>
          <w:tcPr>
            <w:tcW w:w="6808" w:type="dxa"/>
            <w:shd w:val="clear" w:color="auto" w:fill="auto"/>
          </w:tcPr>
          <w:p w14:paraId="0876F633" w14:textId="73A42C4E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Secrétaire général, en consultation avec les Directeurs des trois</w:t>
            </w:r>
            <w:r w:rsidR="006D0FD4" w:rsidRPr="00FE61B5">
              <w:rPr>
                <w:lang w:val="fr-FR"/>
              </w:rPr>
              <w:t> </w:t>
            </w:r>
            <w:r w:rsidR="00281A71" w:rsidRPr="00FE61B5">
              <w:rPr>
                <w:lang w:val="fr-FR"/>
              </w:rPr>
              <w:t>Bureaux</w:t>
            </w:r>
          </w:p>
          <w:p w14:paraId="56CFC7E9" w14:textId="576683D3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es Directeurs des trois Bureaux</w:t>
            </w:r>
          </w:p>
        </w:tc>
      </w:tr>
      <w:tr w:rsidR="00DF4F24" w:rsidRPr="00FE61B5" w14:paraId="5276A6B8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1BC50C88" w14:textId="3A881189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215 (Bucarest, 2022)</w:t>
            </w:r>
          </w:p>
        </w:tc>
        <w:tc>
          <w:tcPr>
            <w:tcW w:w="5954" w:type="dxa"/>
            <w:shd w:val="clear" w:color="auto" w:fill="auto"/>
          </w:tcPr>
          <w:p w14:paraId="717E7214" w14:textId="61B0F01D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Rôle des télécommunications/technologies de l'information et de la communication dans l'atténuation des effets des pandémies mondiales</w:t>
            </w:r>
          </w:p>
        </w:tc>
        <w:tc>
          <w:tcPr>
            <w:tcW w:w="6808" w:type="dxa"/>
            <w:shd w:val="clear" w:color="auto" w:fill="auto"/>
          </w:tcPr>
          <w:p w14:paraId="1AEB5DB5" w14:textId="21592EC8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es Directeurs des trois Bureaux</w:t>
            </w:r>
          </w:p>
        </w:tc>
      </w:tr>
      <w:tr w:rsidR="00DF4F24" w:rsidRPr="00FE61B5" w14:paraId="78DB5F86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2CE6C300" w14:textId="02912DE9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217 (Bucarest, 2022)</w:t>
            </w:r>
          </w:p>
        </w:tc>
        <w:tc>
          <w:tcPr>
            <w:tcW w:w="5954" w:type="dxa"/>
            <w:shd w:val="clear" w:color="auto" w:fill="auto"/>
          </w:tcPr>
          <w:p w14:paraId="2BD3AEE4" w14:textId="729330C1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Gestion de la continuité des activités de l'UIT pour la période</w:t>
            </w:r>
            <w:r w:rsidR="006D0FD4" w:rsidRPr="00FE61B5">
              <w:rPr>
                <w:lang w:val="fr-FR"/>
              </w:rPr>
              <w:t> </w:t>
            </w:r>
            <w:r w:rsidRPr="00FE61B5">
              <w:rPr>
                <w:lang w:val="fr-FR"/>
              </w:rPr>
              <w:t>2023-2026</w:t>
            </w:r>
          </w:p>
        </w:tc>
        <w:tc>
          <w:tcPr>
            <w:tcW w:w="6808" w:type="dxa"/>
            <w:shd w:val="clear" w:color="auto" w:fill="auto"/>
          </w:tcPr>
          <w:p w14:paraId="72E93D23" w14:textId="28FB4E2B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es Directeurs des Bureaux</w:t>
            </w:r>
          </w:p>
        </w:tc>
      </w:tr>
      <w:tr w:rsidR="00DF4F24" w:rsidRPr="00FE61B5" w14:paraId="18583352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12EC829B" w14:textId="4FC56BEE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218 (Bucarest, 2022)</w:t>
            </w:r>
          </w:p>
        </w:tc>
        <w:tc>
          <w:tcPr>
            <w:tcW w:w="5954" w:type="dxa"/>
            <w:shd w:val="clear" w:color="auto" w:fill="auto"/>
          </w:tcPr>
          <w:p w14:paraId="165B2F94" w14:textId="40E46199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Rôle de l'UIT dans la mise en œuvre du programme "Espace2030": l'espace comme moteur de développement durable et dans le processus de suivi et d'examen de ce programme</w:t>
            </w:r>
          </w:p>
        </w:tc>
        <w:tc>
          <w:tcPr>
            <w:tcW w:w="6808" w:type="dxa"/>
            <w:shd w:val="clear" w:color="auto" w:fill="auto"/>
          </w:tcPr>
          <w:p w14:paraId="433D0E3E" w14:textId="35378867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Secrétaire général et les Directeurs des Bureaux</w:t>
            </w:r>
          </w:p>
        </w:tc>
      </w:tr>
      <w:tr w:rsidR="00DF4F24" w:rsidRPr="00FE61B5" w14:paraId="42E84B17" w14:textId="77777777" w:rsidTr="00B83279">
        <w:trPr>
          <w:jc w:val="center"/>
        </w:trPr>
        <w:tc>
          <w:tcPr>
            <w:tcW w:w="2972" w:type="dxa"/>
            <w:shd w:val="clear" w:color="auto" w:fill="auto"/>
          </w:tcPr>
          <w:p w14:paraId="0AB59F9E" w14:textId="6758C6BF" w:rsidR="00DF4F24" w:rsidRPr="00FE61B5" w:rsidRDefault="00DF4F24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 w:eastAsia="fr-CH"/>
              </w:rPr>
              <w:t>Rés. 219 (Bucarest, 2022)</w:t>
            </w:r>
          </w:p>
        </w:tc>
        <w:tc>
          <w:tcPr>
            <w:tcW w:w="5954" w:type="dxa"/>
            <w:shd w:val="clear" w:color="auto" w:fill="auto"/>
          </w:tcPr>
          <w:p w14:paraId="74B9272B" w14:textId="4D1BF346" w:rsidR="00DF4F24" w:rsidRPr="00FE61B5" w:rsidRDefault="00281A71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Viabilité des ressources que constituent le spectre des fréquences radioélectriques et les orbites de satellites associées utilisées par les services spatiaux</w:t>
            </w:r>
          </w:p>
        </w:tc>
        <w:tc>
          <w:tcPr>
            <w:tcW w:w="6808" w:type="dxa"/>
            <w:shd w:val="clear" w:color="auto" w:fill="auto"/>
          </w:tcPr>
          <w:p w14:paraId="7E20945A" w14:textId="674641DF" w:rsidR="00DF4F24" w:rsidRPr="00FE61B5" w:rsidRDefault="00E11C2D" w:rsidP="00851E0B">
            <w:pPr>
              <w:pStyle w:val="Tabletext"/>
              <w:rPr>
                <w:lang w:val="fr-FR" w:eastAsia="fr-CH"/>
              </w:rPr>
            </w:pPr>
            <w:r w:rsidRPr="00FE61B5">
              <w:rPr>
                <w:lang w:val="fr-FR"/>
              </w:rPr>
              <w:t>L</w:t>
            </w:r>
            <w:r w:rsidR="00281A71" w:rsidRPr="00FE61B5">
              <w:rPr>
                <w:lang w:val="fr-FR"/>
              </w:rPr>
              <w:t>e Directeur du Bureau de développement des télécommunications</w:t>
            </w:r>
          </w:p>
        </w:tc>
      </w:tr>
    </w:tbl>
    <w:p w14:paraId="7759C759" w14:textId="53CD6B45" w:rsidR="00821996" w:rsidRPr="00FE61B5" w:rsidRDefault="003C58BF" w:rsidP="006D0FD4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lang w:val="fr-FR"/>
        </w:rPr>
      </w:pPr>
      <w:bookmarkStart w:id="15" w:name="Proposal"/>
      <w:bookmarkEnd w:id="15"/>
      <w:r w:rsidRPr="00FE61B5">
        <w:rPr>
          <w:lang w:val="fr-FR"/>
        </w:rPr>
        <w:t>_____________</w:t>
      </w:r>
      <w:r w:rsidR="004122C5" w:rsidRPr="00FE61B5">
        <w:rPr>
          <w:lang w:val="fr-FR"/>
        </w:rPr>
        <w:t>_</w:t>
      </w:r>
      <w:r w:rsidR="00922EC1" w:rsidRPr="00FE61B5">
        <w:rPr>
          <w:lang w:val="fr-FR"/>
        </w:rPr>
        <w:t>_</w:t>
      </w:r>
    </w:p>
    <w:sectPr w:rsidR="00821996" w:rsidRPr="00FE61B5" w:rsidSect="00AF6E71">
      <w:footerReference w:type="default" r:id="rId13"/>
      <w:headerReference w:type="first" r:id="rId14"/>
      <w:footerReference w:type="first" r:id="rId15"/>
      <w:pgSz w:w="16834" w:h="11907" w:orient="landscape" w:code="9"/>
      <w:pgMar w:top="1134" w:right="1418" w:bottom="113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61EC" w14:textId="77777777" w:rsidR="00C76D06" w:rsidRDefault="00C76D06">
      <w:r>
        <w:separator/>
      </w:r>
    </w:p>
  </w:endnote>
  <w:endnote w:type="continuationSeparator" w:id="0">
    <w:p w14:paraId="3B159FBC" w14:textId="77777777" w:rsidR="00C76D06" w:rsidRDefault="00C7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6FD5" w14:textId="768F598D" w:rsidR="00DB7653" w:rsidRDefault="00FE61B5" w:rsidP="00DB765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P:\FRA\ITU-D\CONF-D\TDAG23\TDAG23-30\000\012F.docx</w:t>
    </w:r>
    <w:r>
      <w:fldChar w:fldCharType="end"/>
    </w:r>
    <w:r w:rsidR="00DB7653">
      <w:t xml:space="preserve"> (</w:t>
    </w:r>
    <w:r w:rsidR="00DB7653" w:rsidRPr="00DB7653">
      <w:t>520124</w:t>
    </w:r>
    <w:r w:rsidR="00DB7653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851E0B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883CD4" w:rsidRDefault="0059420B" w:rsidP="00EC0A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83CD4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59420B" w:rsidRPr="00883CD4" w:rsidRDefault="001011EB" w:rsidP="00EC0A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883CD4">
            <w:rPr>
              <w:sz w:val="18"/>
              <w:szCs w:val="18"/>
            </w:rPr>
            <w:t>Nom</w:t>
          </w:r>
          <w:r w:rsidR="0059420B" w:rsidRPr="00883CD4">
            <w:rPr>
              <w:sz w:val="18"/>
              <w:szCs w:val="18"/>
            </w:rPr>
            <w:t>/Organi</w:t>
          </w:r>
          <w:r w:rsidRPr="00883CD4">
            <w:rPr>
              <w:sz w:val="18"/>
              <w:szCs w:val="18"/>
            </w:rPr>
            <w:t>s</w:t>
          </w:r>
          <w:r w:rsidR="0059420B" w:rsidRPr="00883CD4">
            <w:rPr>
              <w:sz w:val="18"/>
              <w:szCs w:val="18"/>
            </w:rPr>
            <w:t>ation/Entit</w:t>
          </w:r>
          <w:r w:rsidRPr="00883CD4">
            <w:rPr>
              <w:sz w:val="18"/>
              <w:szCs w:val="18"/>
            </w:rPr>
            <w:t>é</w:t>
          </w:r>
          <w:r w:rsidR="0059420B" w:rsidRPr="00883CD4">
            <w:rPr>
              <w:sz w:val="18"/>
              <w:szCs w:val="18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604D4C5A" w:rsidR="0059420B" w:rsidRPr="00883CD4" w:rsidRDefault="00DB7653" w:rsidP="00EC0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51E0B">
            <w:rPr>
              <w:sz w:val="18"/>
              <w:szCs w:val="18"/>
              <w:lang w:val="fr-CH"/>
            </w:rPr>
            <w:t xml:space="preserve">M. Marco Obiso, </w:t>
          </w:r>
          <w:r w:rsidR="00F5429E" w:rsidRPr="00851E0B">
            <w:rPr>
              <w:sz w:val="18"/>
              <w:szCs w:val="18"/>
              <w:lang w:val="fr-CH"/>
            </w:rPr>
            <w:t>Chef a.i</w:t>
          </w:r>
          <w:r w:rsidRPr="00851E0B">
            <w:rPr>
              <w:sz w:val="18"/>
              <w:szCs w:val="18"/>
              <w:lang w:val="fr-CH"/>
            </w:rPr>
            <w:t>.</w:t>
          </w:r>
          <w:r w:rsidR="007E4AD0" w:rsidRPr="00851E0B">
            <w:rPr>
              <w:sz w:val="18"/>
              <w:szCs w:val="18"/>
              <w:lang w:val="fr-CH"/>
            </w:rPr>
            <w:t xml:space="preserve"> du</w:t>
          </w:r>
          <w:r w:rsidR="007E4AD0">
            <w:rPr>
              <w:sz w:val="18"/>
              <w:szCs w:val="18"/>
              <w:lang w:val="fr-CH"/>
            </w:rPr>
            <w:t xml:space="preserve"> </w:t>
          </w:r>
          <w:r w:rsidR="00F5429E" w:rsidRPr="00F5429E">
            <w:rPr>
              <w:sz w:val="18"/>
              <w:szCs w:val="18"/>
              <w:lang w:val="fr-CH"/>
            </w:rPr>
            <w:t>Département des partenariats pour le développement</w:t>
          </w:r>
          <w:r w:rsidR="00524095">
            <w:rPr>
              <w:sz w:val="18"/>
              <w:szCs w:val="18"/>
              <w:lang w:val="fr-CH"/>
            </w:rPr>
            <w:t xml:space="preserve"> du</w:t>
          </w:r>
          <w:r w:rsidR="00F5429E" w:rsidRPr="00F5429E">
            <w:rPr>
              <w:sz w:val="18"/>
              <w:szCs w:val="18"/>
              <w:lang w:val="fr-CH"/>
            </w:rPr>
            <w:t xml:space="preserve"> numérique</w:t>
          </w:r>
          <w:r w:rsidRPr="00883CD4">
            <w:rPr>
              <w:sz w:val="18"/>
              <w:szCs w:val="18"/>
            </w:rPr>
            <w:t>,</w:t>
          </w:r>
          <w:r w:rsidR="007B14C0">
            <w:rPr>
              <w:sz w:val="18"/>
              <w:szCs w:val="18"/>
            </w:rPr>
            <w:t xml:space="preserve"> </w:t>
          </w:r>
          <w:r w:rsidRPr="00883CD4">
            <w:rPr>
              <w:sz w:val="18"/>
              <w:szCs w:val="18"/>
            </w:rPr>
            <w:t>Bureau</w:t>
          </w:r>
          <w:r w:rsidR="00883CD4" w:rsidRPr="00883CD4">
            <w:rPr>
              <w:sz w:val="18"/>
              <w:szCs w:val="18"/>
            </w:rPr>
            <w:t xml:space="preserve"> de développement des télécommunications</w:t>
          </w:r>
        </w:p>
      </w:tc>
      <w:bookmarkStart w:id="6" w:name="OrgName"/>
      <w:bookmarkEnd w:id="6"/>
    </w:tr>
    <w:tr w:rsidR="0059420B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883CD4" w:rsidRDefault="0059420B" w:rsidP="00EC0A70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59420B" w:rsidRPr="00883CD4" w:rsidRDefault="001011EB" w:rsidP="00EC0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83CD4">
            <w:rPr>
              <w:sz w:val="18"/>
              <w:szCs w:val="18"/>
            </w:rPr>
            <w:t>Numéro de téléphone</w:t>
          </w:r>
          <w:r w:rsidR="0059420B" w:rsidRPr="00883CD4">
            <w:rPr>
              <w:sz w:val="18"/>
              <w:szCs w:val="18"/>
            </w:rPr>
            <w:t>:</w:t>
          </w:r>
        </w:p>
      </w:tc>
      <w:tc>
        <w:tcPr>
          <w:tcW w:w="5987" w:type="dxa"/>
        </w:tcPr>
        <w:p w14:paraId="6D7949F0" w14:textId="3123FEC0" w:rsidR="0059420B" w:rsidRPr="00883CD4" w:rsidRDefault="00DB7653" w:rsidP="00EC0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83CD4">
            <w:rPr>
              <w:sz w:val="18"/>
              <w:szCs w:val="18"/>
            </w:rPr>
            <w:t>+41 22 730 6760</w:t>
          </w:r>
        </w:p>
      </w:tc>
      <w:bookmarkStart w:id="7" w:name="PhoneNo"/>
      <w:bookmarkEnd w:id="7"/>
    </w:tr>
    <w:tr w:rsidR="0059420B" w:rsidRPr="001011EB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883CD4" w:rsidRDefault="0059420B" w:rsidP="00EC0A70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59420B" w:rsidRPr="00883CD4" w:rsidRDefault="001011EB" w:rsidP="00EC0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883CD4">
            <w:rPr>
              <w:sz w:val="18"/>
              <w:szCs w:val="18"/>
            </w:rPr>
            <w:t>Courriel</w:t>
          </w:r>
          <w:r w:rsidR="0059420B" w:rsidRPr="00883CD4">
            <w:rPr>
              <w:sz w:val="18"/>
              <w:szCs w:val="18"/>
            </w:rPr>
            <w:t>:</w:t>
          </w:r>
        </w:p>
      </w:tc>
      <w:tc>
        <w:tcPr>
          <w:tcW w:w="5987" w:type="dxa"/>
        </w:tcPr>
        <w:p w14:paraId="7EAB0988" w14:textId="5FF0403C" w:rsidR="0059420B" w:rsidRPr="00883CD4" w:rsidRDefault="00FE61B5" w:rsidP="00EC0A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DB7653" w:rsidRPr="00883CD4">
              <w:rPr>
                <w:rStyle w:val="Hyperlink"/>
                <w:sz w:val="18"/>
                <w:szCs w:val="18"/>
              </w:rPr>
              <w:t>marco.</w:t>
            </w:r>
            <w:r w:rsidR="00DB7653" w:rsidRPr="00883CD4">
              <w:rPr>
                <w:rStyle w:val="Hyperlink"/>
                <w:sz w:val="18"/>
                <w:szCs w:val="18"/>
              </w:rPr>
              <w:t>o</w:t>
            </w:r>
            <w:r w:rsidR="00DB7653" w:rsidRPr="00883CD4">
              <w:rPr>
                <w:rStyle w:val="Hyperlink"/>
                <w:sz w:val="18"/>
                <w:szCs w:val="18"/>
              </w:rPr>
              <w:t>biso@itu.int</w:t>
            </w:r>
          </w:hyperlink>
        </w:p>
      </w:tc>
      <w:bookmarkStart w:id="8" w:name="Email"/>
      <w:bookmarkEnd w:id="8"/>
    </w:tr>
  </w:tbl>
  <w:p w14:paraId="5AEFE7F9" w14:textId="77777777" w:rsidR="0059420B" w:rsidRPr="001011EB" w:rsidRDefault="0059420B" w:rsidP="00EC0A70">
    <w:pPr>
      <w:pStyle w:val="Footer"/>
      <w:jc w:val="center"/>
      <w:rPr>
        <w:lang w:val="fr-CH"/>
      </w:rPr>
    </w:pPr>
  </w:p>
  <w:p w14:paraId="40A321D0" w14:textId="50FEB05F" w:rsidR="00721657" w:rsidRPr="001011EB" w:rsidRDefault="00FE61B5" w:rsidP="00EC0A70">
    <w:pPr>
      <w:pStyle w:val="Footer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</w:t>
      </w:r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A</w:t>
      </w:r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G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B3D4" w14:textId="55A5F3A4" w:rsidR="00851E0B" w:rsidRDefault="00851E0B" w:rsidP="00DB7653">
    <w:pPr>
      <w:pStyle w:val="Footer"/>
    </w:pPr>
    <w:fldSimple w:instr=" FILENAME \p  \* MERGEFORMAT ">
      <w:r w:rsidR="00FE61B5">
        <w:t>P:\FRA\ITU-D\CONF-D\TDAG23\TDAG23-30\000\012F.docx</w:t>
      </w:r>
    </w:fldSimple>
    <w:r>
      <w:t xml:space="preserve"> (</w:t>
    </w:r>
    <w:r w:rsidRPr="00DB7653">
      <w:t>520124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AF2" w14:textId="1A33D4E7" w:rsidR="00345DDF" w:rsidRPr="00345DDF" w:rsidRDefault="00FE61B5" w:rsidP="00345D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P:\FRA\ITU-D\CONF-D\TDAG23\TDAG23-30\000\012F.docx</w:t>
    </w:r>
    <w:r>
      <w:fldChar w:fldCharType="end"/>
    </w:r>
    <w:r w:rsidR="00345DDF">
      <w:t xml:space="preserve"> (</w:t>
    </w:r>
    <w:r w:rsidR="00345DDF" w:rsidRPr="00345DDF">
      <w:t>520124</w:t>
    </w:r>
    <w:r w:rsidR="00345DD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8F01" w14:textId="77777777" w:rsidR="00C76D06" w:rsidRDefault="00C76D06">
      <w:r>
        <w:t>____________________</w:t>
      </w:r>
    </w:p>
  </w:footnote>
  <w:footnote w:type="continuationSeparator" w:id="0">
    <w:p w14:paraId="2C9C368F" w14:textId="77777777" w:rsidR="00C76D06" w:rsidRDefault="00C7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813FDA5" w:rsidR="00721657" w:rsidRPr="00A525CC" w:rsidRDefault="00A525CC" w:rsidP="00AF6E71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DB7653"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4850" w14:textId="77777777" w:rsidR="00AF6E71" w:rsidRDefault="00AF6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E0C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A0C9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1C7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14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A67C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1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4D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6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6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78350440">
    <w:abstractNumId w:val="10"/>
  </w:num>
  <w:num w:numId="2" w16cid:durableId="1565604511">
    <w:abstractNumId w:val="9"/>
  </w:num>
  <w:num w:numId="3" w16cid:durableId="355735334">
    <w:abstractNumId w:val="7"/>
  </w:num>
  <w:num w:numId="4" w16cid:durableId="640311669">
    <w:abstractNumId w:val="6"/>
  </w:num>
  <w:num w:numId="5" w16cid:durableId="2076662162">
    <w:abstractNumId w:val="5"/>
  </w:num>
  <w:num w:numId="6" w16cid:durableId="1059286323">
    <w:abstractNumId w:val="4"/>
  </w:num>
  <w:num w:numId="7" w16cid:durableId="1243219576">
    <w:abstractNumId w:val="8"/>
  </w:num>
  <w:num w:numId="8" w16cid:durableId="1033002426">
    <w:abstractNumId w:val="3"/>
  </w:num>
  <w:num w:numId="9" w16cid:durableId="84032356">
    <w:abstractNumId w:val="2"/>
  </w:num>
  <w:num w:numId="10" w16cid:durableId="551040007">
    <w:abstractNumId w:val="1"/>
  </w:num>
  <w:num w:numId="11" w16cid:durableId="1047799996">
    <w:abstractNumId w:val="0"/>
  </w:num>
  <w:num w:numId="12" w16cid:durableId="987441572">
    <w:abstractNumId w:val="9"/>
  </w:num>
  <w:num w:numId="13" w16cid:durableId="407114424">
    <w:abstractNumId w:val="7"/>
  </w:num>
  <w:num w:numId="14" w16cid:durableId="1797407794">
    <w:abstractNumId w:val="6"/>
  </w:num>
  <w:num w:numId="15" w16cid:durableId="954940411">
    <w:abstractNumId w:val="5"/>
  </w:num>
  <w:num w:numId="16" w16cid:durableId="858859236">
    <w:abstractNumId w:val="4"/>
  </w:num>
  <w:num w:numId="17" w16cid:durableId="547424840">
    <w:abstractNumId w:val="8"/>
  </w:num>
  <w:num w:numId="18" w16cid:durableId="1418474378">
    <w:abstractNumId w:val="3"/>
  </w:num>
  <w:num w:numId="19" w16cid:durableId="621618796">
    <w:abstractNumId w:val="2"/>
  </w:num>
  <w:num w:numId="20" w16cid:durableId="1443644184">
    <w:abstractNumId w:val="1"/>
  </w:num>
  <w:num w:numId="21" w16cid:durableId="1807311338">
    <w:abstractNumId w:val="0"/>
  </w:num>
  <w:num w:numId="22" w16cid:durableId="1500384265">
    <w:abstractNumId w:val="9"/>
  </w:num>
  <w:num w:numId="23" w16cid:durableId="252277795">
    <w:abstractNumId w:val="7"/>
  </w:num>
  <w:num w:numId="24" w16cid:durableId="1991865019">
    <w:abstractNumId w:val="6"/>
  </w:num>
  <w:num w:numId="25" w16cid:durableId="2136756529">
    <w:abstractNumId w:val="5"/>
  </w:num>
  <w:num w:numId="26" w16cid:durableId="966281208">
    <w:abstractNumId w:val="4"/>
  </w:num>
  <w:num w:numId="27" w16cid:durableId="1751847453">
    <w:abstractNumId w:val="8"/>
  </w:num>
  <w:num w:numId="28" w16cid:durableId="751894862">
    <w:abstractNumId w:val="3"/>
  </w:num>
  <w:num w:numId="29" w16cid:durableId="1692145149">
    <w:abstractNumId w:val="2"/>
  </w:num>
  <w:num w:numId="30" w16cid:durableId="1323965430">
    <w:abstractNumId w:val="1"/>
  </w:num>
  <w:num w:numId="31" w16cid:durableId="1534149624">
    <w:abstractNumId w:val="0"/>
  </w:num>
  <w:num w:numId="32" w16cid:durableId="351035729">
    <w:abstractNumId w:val="9"/>
  </w:num>
  <w:num w:numId="33" w16cid:durableId="988291700">
    <w:abstractNumId w:val="7"/>
  </w:num>
  <w:num w:numId="34" w16cid:durableId="533036120">
    <w:abstractNumId w:val="6"/>
  </w:num>
  <w:num w:numId="35" w16cid:durableId="2047410378">
    <w:abstractNumId w:val="5"/>
  </w:num>
  <w:num w:numId="36" w16cid:durableId="396589017">
    <w:abstractNumId w:val="4"/>
  </w:num>
  <w:num w:numId="37" w16cid:durableId="1851944042">
    <w:abstractNumId w:val="8"/>
  </w:num>
  <w:num w:numId="38" w16cid:durableId="1617441061">
    <w:abstractNumId w:val="3"/>
  </w:num>
  <w:num w:numId="39" w16cid:durableId="262151410">
    <w:abstractNumId w:val="2"/>
  </w:num>
  <w:num w:numId="40" w16cid:durableId="929390170">
    <w:abstractNumId w:val="1"/>
  </w:num>
  <w:num w:numId="41" w16cid:durableId="135584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C3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37B0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F1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0C70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1A71"/>
    <w:rsid w:val="00285B33"/>
    <w:rsid w:val="00287A3C"/>
    <w:rsid w:val="0029025F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5DDF"/>
    <w:rsid w:val="00351C79"/>
    <w:rsid w:val="00351CC2"/>
    <w:rsid w:val="0035516C"/>
    <w:rsid w:val="00355A4C"/>
    <w:rsid w:val="003604FB"/>
    <w:rsid w:val="00360B73"/>
    <w:rsid w:val="00380B71"/>
    <w:rsid w:val="0038365A"/>
    <w:rsid w:val="00386A89"/>
    <w:rsid w:val="00393311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17FA"/>
    <w:rsid w:val="0052409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77AC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16E"/>
    <w:rsid w:val="005D2C3A"/>
    <w:rsid w:val="005D55A4"/>
    <w:rsid w:val="005D57C8"/>
    <w:rsid w:val="005D7761"/>
    <w:rsid w:val="005E0278"/>
    <w:rsid w:val="005E090D"/>
    <w:rsid w:val="005E0C98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04B"/>
    <w:rsid w:val="006217B2"/>
    <w:rsid w:val="00623F30"/>
    <w:rsid w:val="00625FB8"/>
    <w:rsid w:val="006261BD"/>
    <w:rsid w:val="0062685A"/>
    <w:rsid w:val="0063203B"/>
    <w:rsid w:val="00635EDB"/>
    <w:rsid w:val="00636AA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D4"/>
    <w:rsid w:val="006D40D5"/>
    <w:rsid w:val="006F009A"/>
    <w:rsid w:val="006F3D93"/>
    <w:rsid w:val="00700F2B"/>
    <w:rsid w:val="007019B1"/>
    <w:rsid w:val="00707928"/>
    <w:rsid w:val="00721657"/>
    <w:rsid w:val="007279A8"/>
    <w:rsid w:val="00727B1A"/>
    <w:rsid w:val="00736295"/>
    <w:rsid w:val="0073685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5CA2"/>
    <w:rsid w:val="007A4E50"/>
    <w:rsid w:val="007B14C0"/>
    <w:rsid w:val="007B18A7"/>
    <w:rsid w:val="007B250E"/>
    <w:rsid w:val="007C27FC"/>
    <w:rsid w:val="007C51FF"/>
    <w:rsid w:val="007D50E4"/>
    <w:rsid w:val="007E2DC5"/>
    <w:rsid w:val="007E4AD0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1E0B"/>
    <w:rsid w:val="00852081"/>
    <w:rsid w:val="008629A0"/>
    <w:rsid w:val="00872B6E"/>
    <w:rsid w:val="00874DFD"/>
    <w:rsid w:val="008802F9"/>
    <w:rsid w:val="00883086"/>
    <w:rsid w:val="00883CD4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0C1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4AC0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598C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6498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C79B7"/>
    <w:rsid w:val="00AD4677"/>
    <w:rsid w:val="00AE41A9"/>
    <w:rsid w:val="00AE5961"/>
    <w:rsid w:val="00AF0745"/>
    <w:rsid w:val="00AF4971"/>
    <w:rsid w:val="00AF5276"/>
    <w:rsid w:val="00AF6E71"/>
    <w:rsid w:val="00AF7C86"/>
    <w:rsid w:val="00B01046"/>
    <w:rsid w:val="00B24528"/>
    <w:rsid w:val="00B310F9"/>
    <w:rsid w:val="00B37866"/>
    <w:rsid w:val="00B412FB"/>
    <w:rsid w:val="00B4576B"/>
    <w:rsid w:val="00B46350"/>
    <w:rsid w:val="00B46A8C"/>
    <w:rsid w:val="00B46DF3"/>
    <w:rsid w:val="00B50CE8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6315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7A5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D06"/>
    <w:rsid w:val="00C848EF"/>
    <w:rsid w:val="00C86600"/>
    <w:rsid w:val="00C87BCA"/>
    <w:rsid w:val="00C87EED"/>
    <w:rsid w:val="00C907B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81D"/>
    <w:rsid w:val="00CD2FCD"/>
    <w:rsid w:val="00CD7207"/>
    <w:rsid w:val="00CE0422"/>
    <w:rsid w:val="00CE0DBE"/>
    <w:rsid w:val="00CE119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739D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7653"/>
    <w:rsid w:val="00DC1BD3"/>
    <w:rsid w:val="00DC2C1A"/>
    <w:rsid w:val="00DD66B4"/>
    <w:rsid w:val="00DE1972"/>
    <w:rsid w:val="00DE27AB"/>
    <w:rsid w:val="00DF2AB3"/>
    <w:rsid w:val="00DF4F24"/>
    <w:rsid w:val="00DF7250"/>
    <w:rsid w:val="00E00CAA"/>
    <w:rsid w:val="00E03EBF"/>
    <w:rsid w:val="00E05209"/>
    <w:rsid w:val="00E05AC1"/>
    <w:rsid w:val="00E11BCF"/>
    <w:rsid w:val="00E11C2D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B40"/>
    <w:rsid w:val="00E55807"/>
    <w:rsid w:val="00E63B14"/>
    <w:rsid w:val="00E65CA0"/>
    <w:rsid w:val="00E70D9F"/>
    <w:rsid w:val="00E7379E"/>
    <w:rsid w:val="00E83810"/>
    <w:rsid w:val="00E857A8"/>
    <w:rsid w:val="00E85A4B"/>
    <w:rsid w:val="00E86933"/>
    <w:rsid w:val="00E9605B"/>
    <w:rsid w:val="00E97298"/>
    <w:rsid w:val="00E97753"/>
    <w:rsid w:val="00EA0C51"/>
    <w:rsid w:val="00EA7DE7"/>
    <w:rsid w:val="00EB67EE"/>
    <w:rsid w:val="00EB7A8A"/>
    <w:rsid w:val="00EC0A70"/>
    <w:rsid w:val="00EC6FED"/>
    <w:rsid w:val="00EC7F3B"/>
    <w:rsid w:val="00ED2E27"/>
    <w:rsid w:val="00ED5299"/>
    <w:rsid w:val="00EE3A64"/>
    <w:rsid w:val="00EE50E5"/>
    <w:rsid w:val="00EF01CF"/>
    <w:rsid w:val="00F03265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29E"/>
    <w:rsid w:val="00F626F7"/>
    <w:rsid w:val="00F736F9"/>
    <w:rsid w:val="00F73833"/>
    <w:rsid w:val="00F9211C"/>
    <w:rsid w:val="00FA095D"/>
    <w:rsid w:val="00FA17D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1B5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6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C7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ACTF-202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2243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6</cp:revision>
  <cp:lastPrinted>2014-11-04T09:22:00Z</cp:lastPrinted>
  <dcterms:created xsi:type="dcterms:W3CDTF">2023-05-11T08:14:00Z</dcterms:created>
  <dcterms:modified xsi:type="dcterms:W3CDTF">2023-05-11T08:59:00Z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