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FE327F" w14:paraId="4873A69B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68E40F0D" w14:textId="77777777" w:rsidR="0094065A" w:rsidRPr="00FE327F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FE327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FE327F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0225718" w14:textId="77777777" w:rsidR="0094065A" w:rsidRPr="00FE327F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FE327F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FE327F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الثلاثون، جنيف، سويسرا، </w:t>
            </w:r>
            <w:r w:rsidRPr="00FE327F"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 w:rsidRPr="00FE327F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 w:rsidRPr="00FE327F"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1073E061" w14:textId="77777777" w:rsidR="0094065A" w:rsidRPr="00FE327F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FE327F">
              <w:rPr>
                <w:noProof/>
                <w:lang w:val="fr-FR" w:eastAsia="fr-FR"/>
              </w:rPr>
              <w:drawing>
                <wp:inline distT="0" distB="0" distL="0" distR="0" wp14:anchorId="3C35B4E6" wp14:editId="7369B74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FE327F" w14:paraId="050C9DF2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17CB5916" w14:textId="77777777" w:rsidR="00CA08BA" w:rsidRPr="00FE327F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F254D1F" w14:textId="77777777" w:rsidR="00CA08BA" w:rsidRPr="00FE327F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</w:tr>
      <w:tr w:rsidR="00783A69" w:rsidRPr="00FE327F" w14:paraId="64381A81" w14:textId="77777777" w:rsidTr="00F77022">
        <w:trPr>
          <w:cantSplit/>
          <w:jc w:val="center"/>
        </w:trPr>
        <w:tc>
          <w:tcPr>
            <w:tcW w:w="6548" w:type="dxa"/>
          </w:tcPr>
          <w:p w14:paraId="5013EDCF" w14:textId="77777777" w:rsidR="00783A69" w:rsidRPr="00FE327F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2796EE13" w14:textId="6645331A" w:rsidR="00783A69" w:rsidRPr="00FE327F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FE327F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FE327F">
              <w:rPr>
                <w:b/>
                <w:bCs/>
                <w:lang w:bidi="ar-EG"/>
              </w:rPr>
              <w:t>TDAG-</w:t>
            </w:r>
            <w:r w:rsidR="00153471" w:rsidRPr="00FE327F">
              <w:rPr>
                <w:b/>
                <w:bCs/>
                <w:lang w:bidi="ar-EG"/>
              </w:rPr>
              <w:t>23</w:t>
            </w:r>
            <w:r w:rsidR="008562F3" w:rsidRPr="00FE327F">
              <w:rPr>
                <w:b/>
                <w:bCs/>
                <w:lang w:bidi="ar-EG"/>
              </w:rPr>
              <w:t>/</w:t>
            </w:r>
            <w:r w:rsidR="00015D3E" w:rsidRPr="00FE327F">
              <w:rPr>
                <w:b/>
                <w:bCs/>
                <w:lang w:bidi="ar-EG"/>
              </w:rPr>
              <w:t>12</w:t>
            </w:r>
            <w:r w:rsidRPr="00FE327F">
              <w:rPr>
                <w:b/>
                <w:bCs/>
                <w:lang w:bidi="ar-EG"/>
              </w:rPr>
              <w:t>-A</w:t>
            </w:r>
          </w:p>
        </w:tc>
      </w:tr>
      <w:tr w:rsidR="00783A69" w:rsidRPr="00FE327F" w14:paraId="3510F0C9" w14:textId="77777777" w:rsidTr="00F77022">
        <w:trPr>
          <w:cantSplit/>
          <w:jc w:val="center"/>
        </w:trPr>
        <w:tc>
          <w:tcPr>
            <w:tcW w:w="6548" w:type="dxa"/>
          </w:tcPr>
          <w:p w14:paraId="575DAB44" w14:textId="77777777" w:rsidR="00783A69" w:rsidRPr="00FE327F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3F8038D4" w14:textId="30FFC09B" w:rsidR="00783A69" w:rsidRPr="00FE327F" w:rsidRDefault="00015D3E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FE327F">
              <w:rPr>
                <w:b/>
                <w:bCs/>
                <w:lang w:bidi="ar-EG"/>
              </w:rPr>
              <w:t>9</w:t>
            </w:r>
            <w:r w:rsidR="00783A69" w:rsidRPr="00FE327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E327F"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3471" w:rsidRPr="00FE327F">
              <w:rPr>
                <w:b/>
                <w:bCs/>
                <w:lang w:bidi="ar-EG"/>
              </w:rPr>
              <w:t>2023</w:t>
            </w:r>
          </w:p>
        </w:tc>
      </w:tr>
      <w:tr w:rsidR="00783A69" w:rsidRPr="00FE327F" w14:paraId="4FB8C574" w14:textId="77777777" w:rsidTr="00F77022">
        <w:trPr>
          <w:cantSplit/>
          <w:jc w:val="center"/>
        </w:trPr>
        <w:tc>
          <w:tcPr>
            <w:tcW w:w="6548" w:type="dxa"/>
          </w:tcPr>
          <w:p w14:paraId="65F22BB4" w14:textId="77777777" w:rsidR="00783A69" w:rsidRPr="00FE327F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16838CAF" w14:textId="77777777" w:rsidR="00783A69" w:rsidRPr="00FE327F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E327F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FE327F" w14:paraId="6ED82654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7E7BCF99" w14:textId="1D29FD17" w:rsidR="00783A69" w:rsidRPr="00FE327F" w:rsidRDefault="00015D3E" w:rsidP="00EE5CF2">
            <w:pPr>
              <w:pStyle w:val="Source"/>
            </w:pPr>
            <w:r w:rsidRPr="00FE327F">
              <w:rPr>
                <w:rFonts w:hint="cs"/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FE327F" w14:paraId="310F2B8C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75434731" w14:textId="64CFD02C" w:rsidR="00783A69" w:rsidRPr="00FE327F" w:rsidRDefault="000738EE" w:rsidP="00EE5CF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نتائج مؤتمر المندوبين المفوضين لعام 2022 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ذات الصلة بقطاع تنمية الاتصالات بالاتحاد</w:t>
            </w:r>
          </w:p>
        </w:tc>
      </w:tr>
    </w:tbl>
    <w:p w14:paraId="2E06605E" w14:textId="77777777" w:rsidR="00EE5CF2" w:rsidRPr="00FE327F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FE327F" w14:paraId="03784257" w14:textId="77777777" w:rsidTr="00015D3E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CD11" w14:textId="77777777" w:rsidR="00783A69" w:rsidRPr="00FE327F" w:rsidRDefault="00783A69" w:rsidP="00EE5CF2">
            <w:pPr>
              <w:rPr>
                <w:b/>
                <w:bCs/>
                <w:rtl/>
                <w:lang w:bidi="ar-SY"/>
              </w:rPr>
            </w:pPr>
            <w:r w:rsidRPr="00FE327F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FE327F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AE6D3A0" w14:textId="70222B19" w:rsidR="00783A69" w:rsidRPr="00FE327F" w:rsidRDefault="006B1B96" w:rsidP="00EE5CF2">
            <w:pPr>
              <w:rPr>
                <w:lang w:bidi="ar-SY"/>
              </w:rPr>
            </w:pPr>
            <w:r>
              <w:rPr>
                <w:rFonts w:hint="cs"/>
                <w:rtl/>
                <w:lang w:bidi="ar-EG"/>
              </w:rPr>
              <w:t>تتضمن</w:t>
            </w:r>
            <w:r w:rsidR="000738EE">
              <w:rPr>
                <w:rFonts w:hint="cs"/>
                <w:rtl/>
                <w:lang w:bidi="ar-EG"/>
              </w:rPr>
              <w:t xml:space="preserve"> هذه الوثيقة </w:t>
            </w:r>
            <w:r>
              <w:rPr>
                <w:rFonts w:hint="cs"/>
                <w:rtl/>
                <w:lang w:bidi="ar-EG"/>
              </w:rPr>
              <w:t>عرضاً عاماً</w:t>
            </w:r>
            <w:r w:rsidR="000738EE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="000738EE">
              <w:rPr>
                <w:rFonts w:hint="cs"/>
                <w:rtl/>
                <w:lang w:bidi="ar-EG"/>
              </w:rPr>
              <w:t xml:space="preserve">قرارات مؤتمر المندوبين المفوضين لعام 2022 </w:t>
            </w:r>
            <w:r>
              <w:rPr>
                <w:lang w:bidi="ar-EG"/>
              </w:rPr>
              <w:t>(PP-22)</w:t>
            </w:r>
            <w:r w:rsidR="000738EE">
              <w:rPr>
                <w:rFonts w:hint="cs"/>
                <w:rtl/>
                <w:lang w:bidi="ar-EG"/>
              </w:rPr>
              <w:t xml:space="preserve"> في سياق عمل قطاع تنمية الاتصالات بالاتحاد </w:t>
            </w:r>
            <w:r w:rsidR="000738EE">
              <w:rPr>
                <w:lang w:bidi="ar-EG"/>
              </w:rPr>
              <w:t>(ITU-D)</w:t>
            </w:r>
            <w:r w:rsidR="000738EE">
              <w:rPr>
                <w:rFonts w:hint="cs"/>
                <w:rtl/>
                <w:lang w:bidi="ar-EG"/>
              </w:rPr>
              <w:t>.</w:t>
            </w:r>
          </w:p>
          <w:p w14:paraId="345181C9" w14:textId="77777777" w:rsidR="00783A69" w:rsidRPr="00FE327F" w:rsidRDefault="00783A69" w:rsidP="00EE5CF2">
            <w:pPr>
              <w:rPr>
                <w:b/>
                <w:bCs/>
                <w:rtl/>
                <w:lang w:bidi="ar-SY"/>
              </w:rPr>
            </w:pPr>
            <w:r w:rsidRPr="00FE327F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FE327F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5ECBBC9" w14:textId="36029E1C" w:rsidR="00783A69" w:rsidRPr="00FE327F" w:rsidRDefault="00015D3E" w:rsidP="00015D3E">
            <w:pPr>
              <w:rPr>
                <w:rtl/>
                <w:lang w:bidi="ar-EG"/>
              </w:rPr>
            </w:pPr>
            <w:r w:rsidRPr="00FE327F">
              <w:rPr>
                <w:rtl/>
                <w:lang w:bidi="ar-EG"/>
              </w:rPr>
              <w:t>يدعى الفريق الاستشاري لتنمية الاتصالات إلى الإحاطة علماً بهذه الوثيقة وتقديم أي توجيهات يراها مناسبة.</w:t>
            </w:r>
          </w:p>
          <w:p w14:paraId="55ECD799" w14:textId="77777777" w:rsidR="00783A69" w:rsidRPr="00FE327F" w:rsidRDefault="00783A69" w:rsidP="00EE5CF2">
            <w:pPr>
              <w:rPr>
                <w:b/>
                <w:bCs/>
                <w:rtl/>
                <w:lang w:bidi="ar-SY"/>
              </w:rPr>
            </w:pPr>
            <w:r w:rsidRPr="00FE327F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FE327F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C635965" w14:textId="77777777" w:rsidR="006B1B96" w:rsidRDefault="006B1B96" w:rsidP="00FC0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الوثائق الختامية لمؤتمر المندوبين المفوضين لعام 2022: المقررات والقرارات والتوصيات التي ألغاها مؤتمر المندوبين المفوضين (بوخارست، 2022) أو اعتمدها أو راجعها:</w:t>
            </w:r>
          </w:p>
          <w:p w14:paraId="7A17F0A7" w14:textId="605F2AA9" w:rsidR="00783A69" w:rsidRPr="006B1B96" w:rsidRDefault="00C94EC7" w:rsidP="00FC08CC">
            <w:pPr>
              <w:spacing w:before="0" w:after="120"/>
              <w:rPr>
                <w:color w:val="0000FF"/>
                <w:u w:val="single"/>
                <w:rtl/>
              </w:rPr>
            </w:pPr>
            <w:hyperlink r:id="rId9" w:history="1">
              <w:bookmarkStart w:id="1" w:name="lt_pId026"/>
              <w:r w:rsidR="005C59F0">
                <w:rPr>
                  <w:rStyle w:val="Hyperlink"/>
                  <w:rFonts w:hint="cs"/>
                  <w:rtl/>
                </w:rPr>
                <w:t xml:space="preserve">الوثائق الختامية لمؤتمر المندوبين المفوضين </w:t>
              </w:r>
              <w:r w:rsidR="006B1B96" w:rsidRPr="00301F89">
                <w:rPr>
                  <w:rStyle w:val="Hyperlink"/>
                </w:rPr>
                <w:t>(itu.int)</w:t>
              </w:r>
              <w:bookmarkEnd w:id="1"/>
            </w:hyperlink>
          </w:p>
        </w:tc>
      </w:tr>
    </w:tbl>
    <w:p w14:paraId="77DCC3E5" w14:textId="0DDC599B" w:rsidR="0006468A" w:rsidRPr="00FE327F" w:rsidRDefault="00015D3E" w:rsidP="00015D3E">
      <w:pPr>
        <w:pStyle w:val="Headingb"/>
        <w:rPr>
          <w:rtl/>
          <w:lang w:bidi="ar-EG"/>
        </w:rPr>
      </w:pPr>
      <w:r w:rsidRPr="00FE327F">
        <w:rPr>
          <w:rFonts w:hint="cs"/>
          <w:rtl/>
          <w:lang w:bidi="ar-EG"/>
        </w:rPr>
        <w:t>مقدمة</w:t>
      </w:r>
    </w:p>
    <w:p w14:paraId="59663632" w14:textId="7B5B5996" w:rsidR="00015D3E" w:rsidRDefault="006B1B96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>يتضمن الجدول المرفق عرضاً عاماً للقرارات المعتمدة في مؤتمر المندوبين المفوضين لعام 2022 ذات الصلة بقطاع تنمية الاتصالات بالاتحاد.</w:t>
      </w:r>
    </w:p>
    <w:p w14:paraId="6BDA0553" w14:textId="5B7DDEE3" w:rsidR="006B1B96" w:rsidRPr="00FE327F" w:rsidRDefault="006B1B96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ولا يتضمن الجدول سوى القرارات التي اتخذ </w:t>
      </w:r>
      <w:r w:rsidR="00F26082">
        <w:rPr>
          <w:rFonts w:hint="cs"/>
          <w:rtl/>
          <w:lang w:bidi="ar-EG"/>
        </w:rPr>
        <w:t>مؤتمر المندوبين المفوضين قراراً بشأنها. أما القرارات الأخرى التي ظلت بدون تغيير فهي غير مدرجة في الجدول.</w:t>
      </w:r>
    </w:p>
    <w:p w14:paraId="1A9B9B1D" w14:textId="4613F446" w:rsidR="00015D3E" w:rsidRPr="00FE327F" w:rsidRDefault="00015D3E" w:rsidP="0006468A">
      <w:pPr>
        <w:rPr>
          <w:rtl/>
          <w:lang w:bidi="ar-EG"/>
        </w:rPr>
      </w:pPr>
    </w:p>
    <w:p w14:paraId="63EB395E" w14:textId="77777777" w:rsidR="00015D3E" w:rsidRPr="00FE327F" w:rsidRDefault="00015D3E" w:rsidP="0006468A">
      <w:pPr>
        <w:rPr>
          <w:rtl/>
          <w:lang w:bidi="ar-EG"/>
        </w:rPr>
        <w:sectPr w:rsidR="00015D3E" w:rsidRPr="00FE327F" w:rsidSect="006C3242">
          <w:headerReference w:type="default" r:id="rId10"/>
          <w:footerReference w:type="defaul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68F0C0E" w14:textId="1CFCBC4B" w:rsidR="00015D3E" w:rsidRPr="00FE327F" w:rsidRDefault="00F26082" w:rsidP="00F15B70">
      <w:pPr>
        <w:pStyle w:val="Heading1"/>
        <w:spacing w:after="24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قائمة بقرارات مؤتمر المندوبين المفوضين لعام 2022 ذات الصلة بقطاع تنمية الاتصالات بالاتحاد</w:t>
      </w:r>
    </w:p>
    <w:tbl>
      <w:tblPr>
        <w:bidiVisual/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5953"/>
        <w:gridCol w:w="6659"/>
      </w:tblGrid>
      <w:tr w:rsidR="002A0761" w:rsidRPr="002A0761" w14:paraId="4B23F93B" w14:textId="77777777" w:rsidTr="008C4753">
        <w:trPr>
          <w:trHeight w:val="534"/>
          <w:tblHeader/>
          <w:jc w:val="center"/>
        </w:trPr>
        <w:tc>
          <w:tcPr>
            <w:tcW w:w="3122" w:type="dxa"/>
            <w:shd w:val="clear" w:color="auto" w:fill="auto"/>
            <w:vAlign w:val="center"/>
            <w:hideMark/>
          </w:tcPr>
          <w:p w14:paraId="5CC395CD" w14:textId="5A924397" w:rsidR="00595F24" w:rsidRPr="002A0761" w:rsidRDefault="00B70FF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fr-CH"/>
              </w:rPr>
              <w:t>المرجع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656CA3D" w14:textId="382B0703" w:rsidR="00595F24" w:rsidRPr="002A0761" w:rsidRDefault="00B70FF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fr-CH"/>
              </w:rPr>
              <w:t>العنوان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5A996E29" w14:textId="550A8804" w:rsidR="00595F24" w:rsidRPr="002A0761" w:rsidRDefault="00B70FF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jc w:val="center"/>
              <w:rPr>
                <w:rFonts w:eastAsia="Times New Roman"/>
                <w:b/>
                <w:bCs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eastAsia="fr-CH"/>
              </w:rPr>
              <w:t>التكليف</w:t>
            </w:r>
          </w:p>
        </w:tc>
      </w:tr>
      <w:tr w:rsidR="002A0761" w:rsidRPr="002A0761" w14:paraId="13593A53" w14:textId="77777777" w:rsidTr="008C4753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3E1D1A36" w14:textId="3D8100F5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المقرر 5 (المراجَع في بوخارست، 2022)</w:t>
            </w:r>
          </w:p>
        </w:tc>
        <w:tc>
          <w:tcPr>
            <w:tcW w:w="5953" w:type="dxa"/>
            <w:shd w:val="clear" w:color="auto" w:fill="auto"/>
            <w:hideMark/>
          </w:tcPr>
          <w:p w14:paraId="7D8351EB" w14:textId="1531F368" w:rsidR="00595F24" w:rsidRPr="002A0761" w:rsidRDefault="00B70FF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b/>
                <w:position w:val="2"/>
                <w:sz w:val="20"/>
                <w:szCs w:val="20"/>
                <w:lang w:eastAsia="fr-CH"/>
              </w:rPr>
            </w:pPr>
            <w:bookmarkStart w:id="3" w:name="_Toc408328006"/>
            <w:bookmarkStart w:id="4" w:name="_Toc414894832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>إيرادات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الاتحاد ونفقاته للفترة 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t>2027-2024</w:t>
            </w:r>
            <w:bookmarkEnd w:id="3"/>
            <w:bookmarkEnd w:id="4"/>
          </w:p>
        </w:tc>
        <w:tc>
          <w:tcPr>
            <w:tcW w:w="6659" w:type="dxa"/>
            <w:shd w:val="clear" w:color="auto" w:fill="auto"/>
          </w:tcPr>
          <w:p w14:paraId="31EAAF70" w14:textId="050180DC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الأمين العام ومديري المكاتب</w:t>
            </w:r>
          </w:p>
        </w:tc>
      </w:tr>
      <w:tr w:rsidR="002A0761" w:rsidRPr="002A0761" w14:paraId="15482A88" w14:textId="77777777" w:rsidTr="008C4753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611F4570" w14:textId="114953C9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21 (المراجَع في بوخارست، 2022)</w:t>
            </w:r>
          </w:p>
        </w:tc>
        <w:tc>
          <w:tcPr>
            <w:tcW w:w="5953" w:type="dxa"/>
            <w:shd w:val="clear" w:color="auto" w:fill="auto"/>
            <w:hideMark/>
          </w:tcPr>
          <w:p w14:paraId="07B7B7E0" w14:textId="54328E6D" w:rsidR="00595F24" w:rsidRPr="002A0761" w:rsidRDefault="00B70FF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spacing w:val="2"/>
                <w:position w:val="2"/>
                <w:sz w:val="20"/>
                <w:szCs w:val="20"/>
                <w:lang w:eastAsia="fr-CH"/>
              </w:rPr>
            </w:pPr>
            <w:bookmarkStart w:id="5" w:name="_Toc408328021"/>
            <w:bookmarkStart w:id="6" w:name="_Toc414526647"/>
            <w:bookmarkStart w:id="7" w:name="_Toc415560067"/>
            <w:bookmarkStart w:id="8" w:name="_Toc536090457"/>
            <w:r w:rsidRPr="002A0761">
              <w:rPr>
                <w:rFonts w:eastAsia="Times New Roman"/>
                <w:spacing w:val="2"/>
                <w:position w:val="2"/>
                <w:sz w:val="20"/>
                <w:szCs w:val="20"/>
                <w:rtl/>
                <w:lang w:eastAsia="fr-CH" w:bidi="ar-EG"/>
              </w:rPr>
              <w:t>التدابير الواجب اتخاذها عند استعمال</w:t>
            </w:r>
            <w:r w:rsidRPr="002A0761">
              <w:rPr>
                <w:rFonts w:eastAsia="Times New Roman" w:hint="cs"/>
                <w:spacing w:val="2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spacing w:val="2"/>
                <w:position w:val="2"/>
                <w:sz w:val="20"/>
                <w:szCs w:val="20"/>
                <w:rtl/>
                <w:lang w:eastAsia="fr-CH" w:bidi="ar-EG"/>
              </w:rPr>
              <w:t>إجراءات النداء البديلة</w:t>
            </w:r>
            <w:r w:rsidRPr="002A0761">
              <w:rPr>
                <w:rFonts w:eastAsia="Times New Roman" w:hint="cs"/>
                <w:spacing w:val="2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spacing w:val="2"/>
                <w:position w:val="2"/>
                <w:sz w:val="20"/>
                <w:szCs w:val="20"/>
                <w:rtl/>
                <w:lang w:eastAsia="fr-CH" w:bidi="ar-EG"/>
              </w:rPr>
              <w:t>على شبكات الاتصالات الدولية</w:t>
            </w:r>
            <w:bookmarkEnd w:id="5"/>
            <w:bookmarkEnd w:id="6"/>
            <w:bookmarkEnd w:id="7"/>
            <w:bookmarkEnd w:id="8"/>
          </w:p>
        </w:tc>
        <w:tc>
          <w:tcPr>
            <w:tcW w:w="6659" w:type="dxa"/>
            <w:shd w:val="clear" w:color="auto" w:fill="auto"/>
          </w:tcPr>
          <w:p w14:paraId="2E15CC37" w14:textId="07F2AA11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 xml:space="preserve">يكلف 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>مدير</w:t>
            </w:r>
            <w:r w:rsidR="00B70FF6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ي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 xml:space="preserve"> مكتب</w:t>
            </w:r>
            <w:r w:rsidR="00B70FF6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ي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 xml:space="preserve"> </w:t>
            </w:r>
            <w:r w:rsidR="00B70FF6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تنمية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 xml:space="preserve"> الاتصالات و</w:t>
            </w:r>
            <w:r w:rsidR="00B70FF6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تقييس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 xml:space="preserve"> الاتصالات</w:t>
            </w:r>
          </w:p>
        </w:tc>
      </w:tr>
      <w:tr w:rsidR="002A0761" w:rsidRPr="002A0761" w14:paraId="1007A49B" w14:textId="77777777" w:rsidTr="008C4753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0C946100" w14:textId="5DE6B105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25 (المراجَع في بوخارست، 2022)</w:t>
            </w:r>
          </w:p>
        </w:tc>
        <w:tc>
          <w:tcPr>
            <w:tcW w:w="5953" w:type="dxa"/>
            <w:shd w:val="clear" w:color="auto" w:fill="auto"/>
            <w:hideMark/>
          </w:tcPr>
          <w:p w14:paraId="3359FC51" w14:textId="7247EF6E" w:rsidR="00595F24" w:rsidRPr="002A0761" w:rsidRDefault="00B70FF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rtl/>
                <w:lang w:eastAsia="fr-CH"/>
              </w:rPr>
            </w:pPr>
            <w:bookmarkStart w:id="9" w:name="_Toc408328023"/>
            <w:bookmarkStart w:id="10" w:name="_Toc414526651"/>
            <w:bookmarkStart w:id="11" w:name="_Toc415560071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تقوية الحضور الإقليمي</w:t>
            </w:r>
            <w:bookmarkEnd w:id="9"/>
            <w:bookmarkEnd w:id="10"/>
            <w:bookmarkEnd w:id="11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للاتحاد</w:t>
            </w:r>
          </w:p>
        </w:tc>
        <w:tc>
          <w:tcPr>
            <w:tcW w:w="6659" w:type="dxa"/>
            <w:shd w:val="clear" w:color="auto" w:fill="auto"/>
          </w:tcPr>
          <w:p w14:paraId="1E317590" w14:textId="0005E8C8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="00B70FF6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الأمين العام، بالتشاور الوثيق مع مديري المكاتب الثلاثة</w:t>
            </w:r>
          </w:p>
          <w:p w14:paraId="6A77C963" w14:textId="3D7C113A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="00B70FF6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 مكتب تنمية الاتصالات</w:t>
            </w:r>
          </w:p>
          <w:p w14:paraId="1075BE06" w14:textId="3BA8B907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تنمية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الاتصالات،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بالتشاور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الوثيق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مع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الأمين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العام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ومديرَي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مكتبي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الراديوية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وتقييس</w:t>
            </w:r>
            <w:r w:rsidR="00B70FF6"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="00B70FF6"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</w:p>
        </w:tc>
      </w:tr>
      <w:tr w:rsidR="002A0761" w:rsidRPr="002A0761" w14:paraId="0641C536" w14:textId="77777777" w:rsidTr="008C4753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1042792C" w14:textId="01202C1A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30 (المراجَع في بوخارست، 2022)</w:t>
            </w:r>
          </w:p>
        </w:tc>
        <w:tc>
          <w:tcPr>
            <w:tcW w:w="5953" w:type="dxa"/>
            <w:shd w:val="clear" w:color="auto" w:fill="auto"/>
            <w:hideMark/>
          </w:tcPr>
          <w:p w14:paraId="612F3C90" w14:textId="404EF97E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2" w:name="_Toc280260240"/>
            <w:bookmarkStart w:id="13" w:name="_Toc414526653"/>
            <w:bookmarkStart w:id="14" w:name="_Toc415560073"/>
            <w:bookmarkStart w:id="15" w:name="_Toc536090461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تدابير خاصة لصالح أقل البلدان نمواً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والدول الجزرية الصغيرة النامية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والبلدان النامية غير الساحلية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و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البلدان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التي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تمر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اقتصاداتها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بمرحلة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انتقالية</w:t>
            </w:r>
            <w:bookmarkEnd w:id="12"/>
            <w:bookmarkEnd w:id="13"/>
            <w:bookmarkEnd w:id="14"/>
            <w:bookmarkEnd w:id="15"/>
          </w:p>
        </w:tc>
        <w:tc>
          <w:tcPr>
            <w:tcW w:w="6659" w:type="dxa"/>
            <w:shd w:val="clear" w:color="auto" w:fill="auto"/>
          </w:tcPr>
          <w:p w14:paraId="6C334743" w14:textId="560722E4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 مكتب تنمية الاتصالات</w:t>
            </w:r>
          </w:p>
        </w:tc>
      </w:tr>
      <w:tr w:rsidR="002A0761" w:rsidRPr="002A0761" w14:paraId="50297853" w14:textId="77777777" w:rsidTr="008C4753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24376370" w14:textId="2F0EB356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64 (المراجَع في بوخارست، 2022)</w:t>
            </w:r>
          </w:p>
        </w:tc>
        <w:tc>
          <w:tcPr>
            <w:tcW w:w="5953" w:type="dxa"/>
            <w:shd w:val="clear" w:color="auto" w:fill="auto"/>
            <w:hideMark/>
          </w:tcPr>
          <w:p w14:paraId="7BEE89B7" w14:textId="5D1DC2EF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النفاذ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على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أساس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غير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تمييزي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إلى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مرافق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/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تكنولوجيا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المعلومات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والاتصالات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وخدماتها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وتطبيقاتها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بما في ذلك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البحوث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التطبيقية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ونقل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التكنولوجيا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، والاجتماعات الإلكترونية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على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أساس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شروط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متفق عليها</w:t>
            </w:r>
          </w:p>
        </w:tc>
        <w:tc>
          <w:tcPr>
            <w:tcW w:w="6659" w:type="dxa"/>
            <w:shd w:val="clear" w:color="auto" w:fill="auto"/>
          </w:tcPr>
          <w:p w14:paraId="09261D02" w14:textId="69E9A436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مديري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المكاتب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الثلاثة</w:t>
            </w:r>
          </w:p>
          <w:p w14:paraId="16337C05" w14:textId="39D16312" w:rsidR="00595F24" w:rsidRPr="002A0761" w:rsidRDefault="00DA170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الأمين العام، بالتعاون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الوثيق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مع مديري المكاتب الثلاثة</w:t>
            </w:r>
          </w:p>
        </w:tc>
      </w:tr>
      <w:tr w:rsidR="002A0761" w:rsidRPr="002A0761" w14:paraId="72DE2A9C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61F9DDF2" w14:textId="072C92FC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66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49C465EE" w14:textId="424C50AE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6" w:name="_Toc280260255"/>
            <w:bookmarkStart w:id="17" w:name="_Toc414526693"/>
            <w:bookmarkStart w:id="18" w:name="_Toc415560113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ثائـق الاتحـاد ومنشوراتـه</w:t>
            </w:r>
            <w:bookmarkEnd w:id="16"/>
            <w:bookmarkEnd w:id="17"/>
            <w:bookmarkEnd w:id="18"/>
            <w:r w:rsidR="004F7318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</w:p>
        </w:tc>
        <w:tc>
          <w:tcPr>
            <w:tcW w:w="6659" w:type="dxa"/>
            <w:shd w:val="clear" w:color="auto" w:fill="auto"/>
          </w:tcPr>
          <w:p w14:paraId="0E872D36" w14:textId="48C3E54A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15E20C4A" w14:textId="77777777" w:rsidTr="00921A50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50159323" w14:textId="6683F056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70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66BA9847" w14:textId="603F31F3" w:rsidR="00595F24" w:rsidRPr="002A0761" w:rsidRDefault="005F6DE3" w:rsidP="005C59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9" w:name="_Toc280260259"/>
            <w:bookmarkStart w:id="20" w:name="_Toc414526699"/>
            <w:bookmarkStart w:id="21" w:name="_Toc415560119"/>
            <w:bookmarkStart w:id="22" w:name="_Toc536090473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/>
              </w:rPr>
              <w:t>تعميم مبدأ المساواة بين الجنسين في الاتحاد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 xml:space="preserve"> و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/>
              </w:rPr>
              <w:t>ترويج المساواة بين الجنسين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/>
              </w:rPr>
              <w:t xml:space="preserve">وتمكين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 xml:space="preserve">النساء والفتيات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/>
              </w:rPr>
              <w:t xml:space="preserve">من خلال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/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/>
              </w:rPr>
              <w:t>تكنولوجيا المعلومات والاتصالات</w:t>
            </w:r>
            <w:bookmarkEnd w:id="19"/>
            <w:bookmarkEnd w:id="20"/>
            <w:bookmarkEnd w:id="21"/>
            <w:bookmarkEnd w:id="22"/>
          </w:p>
        </w:tc>
        <w:tc>
          <w:tcPr>
            <w:tcW w:w="6659" w:type="dxa"/>
            <w:shd w:val="clear" w:color="auto" w:fill="auto"/>
          </w:tcPr>
          <w:p w14:paraId="11B32634" w14:textId="20CD4FAA" w:rsidR="005F6DE3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rtl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</w:t>
            </w:r>
            <w:bookmarkStart w:id="23" w:name="lt_pId061"/>
          </w:p>
          <w:p w14:paraId="46250949" w14:textId="30115D9F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تنمية الاتصالات</w:t>
            </w:r>
            <w:bookmarkEnd w:id="23"/>
          </w:p>
        </w:tc>
      </w:tr>
      <w:tr w:rsidR="002A0761" w:rsidRPr="002A0761" w14:paraId="1BCE5EAF" w14:textId="77777777" w:rsidTr="008C4753">
        <w:trPr>
          <w:jc w:val="center"/>
        </w:trPr>
        <w:tc>
          <w:tcPr>
            <w:tcW w:w="3122" w:type="dxa"/>
            <w:shd w:val="clear" w:color="auto" w:fill="auto"/>
            <w:noWrap/>
          </w:tcPr>
          <w:p w14:paraId="1BFE3366" w14:textId="71C477D0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71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02069298" w14:textId="2BACD5AD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الخطة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الاستراتيجية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للاتحاد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للفترة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t>2027-2024</w:t>
            </w:r>
          </w:p>
        </w:tc>
        <w:tc>
          <w:tcPr>
            <w:tcW w:w="6659" w:type="dxa"/>
            <w:shd w:val="clear" w:color="auto" w:fill="auto"/>
          </w:tcPr>
          <w:p w14:paraId="51329015" w14:textId="39C002B7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ومديري المكاتب</w:t>
            </w:r>
          </w:p>
        </w:tc>
      </w:tr>
      <w:tr w:rsidR="002A0761" w:rsidRPr="002A0761" w14:paraId="76CB6DD2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57131D04" w14:textId="425D52DF" w:rsidR="00595F24" w:rsidRPr="002A0761" w:rsidRDefault="00F15B70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101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134CFA32" w14:textId="0DF0852E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24" w:name="_Toc280260273"/>
            <w:bookmarkStart w:id="25" w:name="_Toc414526727"/>
            <w:bookmarkStart w:id="26" w:name="_Toc415560147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الشبكات القائمة على بروتوكول الإنترنت</w:t>
            </w:r>
            <w:bookmarkEnd w:id="24"/>
            <w:bookmarkEnd w:id="25"/>
            <w:bookmarkEnd w:id="26"/>
          </w:p>
        </w:tc>
        <w:tc>
          <w:tcPr>
            <w:tcW w:w="6659" w:type="dxa"/>
            <w:shd w:val="clear" w:color="auto" w:fill="auto"/>
          </w:tcPr>
          <w:p w14:paraId="0B271E8B" w14:textId="7F18CE15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122B849B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7540FB62" w14:textId="35156A81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102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58F8E698" w14:textId="2B014F2A" w:rsidR="00595F24" w:rsidRPr="002A0761" w:rsidRDefault="005F6DE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27" w:name="_Toc280260275"/>
            <w:bookmarkStart w:id="28" w:name="_Toc408328051"/>
            <w:bookmarkStart w:id="29" w:name="_Toc414526729"/>
            <w:bookmarkStart w:id="30" w:name="_Toc415560149"/>
            <w:bookmarkStart w:id="31" w:name="_Toc536090485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دور الاتحاد الدولي للاتصالات فيما يتعلق بقضايا السياسة العامة الدولية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المتصلة بالإنترنت وبإدارة موارد الإنترنت، بما في ذلك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إدارة أسماء الميادين والعناوين</w:t>
            </w:r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6659" w:type="dxa"/>
            <w:shd w:val="clear" w:color="auto" w:fill="auto"/>
          </w:tcPr>
          <w:p w14:paraId="5FB34922" w14:textId="2EE4C3A8" w:rsidR="00595F24" w:rsidRPr="002A0761" w:rsidRDefault="003334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مديري المكاتب</w:t>
            </w:r>
          </w:p>
          <w:p w14:paraId="7C09771D" w14:textId="58B240E3" w:rsidR="00595F24" w:rsidRPr="002A0761" w:rsidRDefault="003334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54DB56AA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2A8AE588" w14:textId="26722A1A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123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2D94673A" w14:textId="5E3228B1" w:rsidR="00595F24" w:rsidRPr="002A0761" w:rsidRDefault="003334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سد الفجوة التقييسية بين البلدان النامية والبلدان المتقدمة</w:t>
            </w:r>
          </w:p>
        </w:tc>
        <w:tc>
          <w:tcPr>
            <w:tcW w:w="6659" w:type="dxa"/>
            <w:shd w:val="clear" w:color="auto" w:fill="auto"/>
          </w:tcPr>
          <w:p w14:paraId="3148E73A" w14:textId="3C888D9C" w:rsidR="00595F24" w:rsidRPr="002A0761" w:rsidRDefault="003334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الأمين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العام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ومديري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المكاتب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الثلاثة</w:t>
            </w:r>
          </w:p>
        </w:tc>
      </w:tr>
      <w:tr w:rsidR="002A0761" w:rsidRPr="002A0761" w14:paraId="7191800C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7D98933E" w14:textId="1651EADA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125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6155A968" w14:textId="1971EB68" w:rsidR="00595F24" w:rsidRPr="002A0761" w:rsidRDefault="003334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تقديم المساعدة والدعم إلى فلسطين لتطوير البنية التحتية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وبناء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القدرات في قطاع الاتصالات وتكنولوجيا المعلومات</w:t>
            </w:r>
          </w:p>
        </w:tc>
        <w:tc>
          <w:tcPr>
            <w:tcW w:w="6659" w:type="dxa"/>
            <w:shd w:val="clear" w:color="auto" w:fill="auto"/>
          </w:tcPr>
          <w:p w14:paraId="2E50EC99" w14:textId="45B74164" w:rsidR="00595F24" w:rsidRPr="002A0761" w:rsidRDefault="004F059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3C33FE7D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75EA3DB9" w14:textId="1A436F45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lastRenderedPageBreak/>
              <w:t>القرار 130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64EDBAB" w14:textId="26257A66" w:rsidR="00595F24" w:rsidRPr="002A0761" w:rsidRDefault="004F059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/>
              </w:rPr>
            </w:pPr>
            <w:bookmarkStart w:id="32" w:name="_Toc280260285"/>
            <w:bookmarkStart w:id="33" w:name="_Toc408328059"/>
            <w:bookmarkStart w:id="34" w:name="_Toc414526753"/>
            <w:bookmarkStart w:id="35" w:name="_Toc415560173"/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تعزيز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دور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الاتحاد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في 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مجال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بناء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الثقة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والأمن</w:t>
            </w:r>
            <w:r w:rsidRPr="002A0761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في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استخدام</w:t>
            </w:r>
            <w:r w:rsidRPr="002A0761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تكنولوجيا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المعلومات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والاتصالات</w:t>
            </w:r>
            <w:bookmarkEnd w:id="32"/>
            <w:bookmarkEnd w:id="33"/>
            <w:bookmarkEnd w:id="34"/>
            <w:bookmarkEnd w:id="35"/>
          </w:p>
        </w:tc>
        <w:tc>
          <w:tcPr>
            <w:tcW w:w="6659" w:type="dxa"/>
            <w:shd w:val="clear" w:color="auto" w:fill="auto"/>
          </w:tcPr>
          <w:p w14:paraId="0A4DF389" w14:textId="6EAE392A" w:rsidR="00595F24" w:rsidRPr="002A0761" w:rsidRDefault="004F059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</w:t>
            </w:r>
          </w:p>
          <w:p w14:paraId="6B847C06" w14:textId="3261D099" w:rsidR="00595F24" w:rsidRPr="002A0761" w:rsidRDefault="004F059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  <w:p w14:paraId="5496E74B" w14:textId="4A3E7FD5" w:rsidR="00595F24" w:rsidRPr="002A0761" w:rsidRDefault="004F059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كذلك مدير مكتب تقييس الاتصالات ومدير مكتب تنمية الاتصالات بأن يقوم كل منهما في نطاق مسؤولياته</w:t>
            </w:r>
          </w:p>
        </w:tc>
      </w:tr>
      <w:tr w:rsidR="002A0761" w:rsidRPr="002A0761" w14:paraId="38D17FDD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31B6DDDF" w14:textId="768EEC45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131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4F6A9365" w14:textId="1D4F5D34" w:rsidR="00595F24" w:rsidRPr="002A0761" w:rsidRDefault="004F059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spacing w:val="-6"/>
                <w:position w:val="2"/>
                <w:sz w:val="20"/>
                <w:szCs w:val="20"/>
                <w:lang w:eastAsia="fr-CH"/>
              </w:rPr>
            </w:pPr>
            <w:bookmarkStart w:id="36" w:name="_Toc415560175"/>
            <w:bookmarkStart w:id="37" w:name="_Toc414526755"/>
            <w:bookmarkStart w:id="38" w:name="_Toc408328061"/>
            <w:bookmarkStart w:id="39" w:name="_Toc536090493"/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قياس تكنولوجيا المعلومات والاتصالات</w:t>
            </w:r>
            <w:r w:rsidRPr="002A0761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SY"/>
              </w:rPr>
              <w:t>لبناء مجتمع معلومات جامع وشامل للجميع</w:t>
            </w:r>
            <w:bookmarkEnd w:id="36"/>
            <w:bookmarkEnd w:id="37"/>
            <w:bookmarkEnd w:id="38"/>
            <w:bookmarkEnd w:id="39"/>
          </w:p>
        </w:tc>
        <w:tc>
          <w:tcPr>
            <w:tcW w:w="6659" w:type="dxa"/>
            <w:shd w:val="clear" w:color="auto" w:fill="auto"/>
          </w:tcPr>
          <w:p w14:paraId="46A56C4C" w14:textId="06C625F6" w:rsidR="00595F24" w:rsidRPr="002A0761" w:rsidRDefault="00EC271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 مكتب تنمية الاتصالات</w:t>
            </w:r>
          </w:p>
          <w:p w14:paraId="53387AF2" w14:textId="2A8162EB" w:rsidR="00595F24" w:rsidRPr="002A0761" w:rsidRDefault="00EC271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096257B8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582314FB" w14:textId="304B6EC3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133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54E8B6E7" w14:textId="007F250B" w:rsidR="00595F24" w:rsidRPr="002A0761" w:rsidRDefault="0016798E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40" w:name="_Toc280260289"/>
            <w:bookmarkStart w:id="41" w:name="_Toc408328063"/>
            <w:bookmarkStart w:id="42" w:name="_Toc414526757"/>
            <w:bookmarkStart w:id="43" w:name="_Toc415560177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دور إدارات الدول الأعضاء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في إدارة أسماء الميادين الدولية الطابع (المتعددة اللغات)</w:t>
            </w:r>
            <w:bookmarkEnd w:id="40"/>
            <w:bookmarkEnd w:id="41"/>
            <w:bookmarkEnd w:id="42"/>
            <w:bookmarkEnd w:id="43"/>
          </w:p>
        </w:tc>
        <w:tc>
          <w:tcPr>
            <w:tcW w:w="6659" w:type="dxa"/>
            <w:shd w:val="clear" w:color="auto" w:fill="auto"/>
          </w:tcPr>
          <w:p w14:paraId="37100C71" w14:textId="77777777" w:rsidR="0016798E" w:rsidRPr="002A0761" w:rsidRDefault="0016798E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</w:t>
            </w:r>
          </w:p>
          <w:p w14:paraId="48FC1299" w14:textId="74D04C77" w:rsidR="00595F24" w:rsidRPr="002A0761" w:rsidRDefault="0016798E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 بالتعاون الوثيق مع مدير مكتب تقييس الاتصالات</w:t>
            </w:r>
          </w:p>
        </w:tc>
      </w:tr>
      <w:tr w:rsidR="002A0761" w:rsidRPr="002A0761" w14:paraId="08A1E6DE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1CCBE30C" w14:textId="02E1C13E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135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54D1F57C" w14:textId="46B0208D" w:rsidR="00595F24" w:rsidRPr="002A0761" w:rsidRDefault="0016798E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44" w:name="_Toc408328065"/>
            <w:bookmarkStart w:id="45" w:name="_Toc414526759"/>
            <w:bookmarkStart w:id="46" w:name="_Toc415560179"/>
            <w:bookmarkStart w:id="47" w:name="_Toc536090497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دور الاتحاد الدولي للاتصالات في 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تنمية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الدائمة والمستدامة للاتصالات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/تكنولوجيا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المعلومات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وتقديم المساعدة التقنية والمشورة للبلدان النامية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وتنفيذ المشاريع الوطنية والإقليمية والأقاليمية ذات الصلة</w:t>
            </w:r>
            <w:bookmarkEnd w:id="44"/>
            <w:bookmarkEnd w:id="45"/>
            <w:bookmarkEnd w:id="46"/>
            <w:bookmarkEnd w:id="47"/>
          </w:p>
        </w:tc>
        <w:tc>
          <w:tcPr>
            <w:tcW w:w="6659" w:type="dxa"/>
            <w:shd w:val="clear" w:color="auto" w:fill="auto"/>
          </w:tcPr>
          <w:p w14:paraId="15C383BF" w14:textId="09B5280B" w:rsidR="00595F24" w:rsidRPr="002A0761" w:rsidRDefault="0016798E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 بالتعاون الوثيق مع مديري المكاتب الثلاثة</w:t>
            </w:r>
          </w:p>
        </w:tc>
      </w:tr>
      <w:tr w:rsidR="002A0761" w:rsidRPr="002A0761" w14:paraId="2A9A805E" w14:textId="77777777" w:rsidTr="00921A50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46229A21" w14:textId="36929056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136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87FC8C5" w14:textId="3E7AD4D4" w:rsidR="00595F24" w:rsidRPr="002A0761" w:rsidRDefault="0016798E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48" w:name="_Toc536090499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استخدام الاتصالات/تكنولوجيا المعلومات والاتصالات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في المساعدات الإنسانية و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في عمليات الرصد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والإدارة الخاصة بحالات الطوارئ والكوارث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بما في ذلك الطوارئ المتعلقة بالصحة،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من أجل الإنذار المبكر بها والوقاية منها والتخفيف من آثارها والإغاثة</w:t>
            </w:r>
            <w:bookmarkEnd w:id="48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عند وقوعها</w:t>
            </w:r>
          </w:p>
        </w:tc>
        <w:tc>
          <w:tcPr>
            <w:tcW w:w="6659" w:type="dxa"/>
            <w:shd w:val="clear" w:color="auto" w:fill="auto"/>
          </w:tcPr>
          <w:p w14:paraId="1945ECCF" w14:textId="44CEF4AE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مديري المكاتب</w:t>
            </w:r>
          </w:p>
        </w:tc>
      </w:tr>
      <w:tr w:rsidR="002A0761" w:rsidRPr="002A0761" w14:paraId="14EFCA93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043B4E59" w14:textId="165B4518" w:rsidR="008C4753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137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723968A6" w14:textId="1E1A95D3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49" w:name="_Toc408328069"/>
            <w:bookmarkStart w:id="50" w:name="_Toc414526763"/>
            <w:bookmarkStart w:id="51" w:name="_Toc415560183"/>
            <w:bookmarkStart w:id="52" w:name="_Toc536090501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نشر شبكات المستقبل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في البلدان النامية</w:t>
            </w:r>
            <w:bookmarkEnd w:id="49"/>
            <w:bookmarkEnd w:id="50"/>
            <w:bookmarkEnd w:id="51"/>
            <w:bookmarkEnd w:id="52"/>
          </w:p>
        </w:tc>
        <w:tc>
          <w:tcPr>
            <w:tcW w:w="6659" w:type="dxa"/>
            <w:shd w:val="clear" w:color="auto" w:fill="auto"/>
          </w:tcPr>
          <w:p w14:paraId="1F708A9D" w14:textId="03593053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مديري المكاتب الثلاثة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تماشياً مع ولايات قطاعاتهم</w:t>
            </w:r>
          </w:p>
          <w:p w14:paraId="3B826880" w14:textId="3AA16046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 مكتب تنمية الاتصالات</w:t>
            </w:r>
          </w:p>
        </w:tc>
      </w:tr>
      <w:tr w:rsidR="002A0761" w:rsidRPr="002A0761" w14:paraId="14EF9F51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4E3B153C" w14:textId="1B6E9034" w:rsidR="00595F24" w:rsidRPr="002A0761" w:rsidRDefault="008C4753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138 (</w:t>
            </w:r>
            <w:r w:rsidR="00D40506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4BAA829A" w14:textId="23C14275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53" w:name="_Toc414526765"/>
            <w:bookmarkStart w:id="54" w:name="_Toc415560185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الندوة العالمية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لمنظمي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الاتصالات</w:t>
            </w:r>
            <w:bookmarkEnd w:id="53"/>
            <w:bookmarkEnd w:id="54"/>
          </w:p>
        </w:tc>
        <w:tc>
          <w:tcPr>
            <w:tcW w:w="6659" w:type="dxa"/>
            <w:shd w:val="clear" w:color="auto" w:fill="auto"/>
          </w:tcPr>
          <w:p w14:paraId="676125AF" w14:textId="2B0F3587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ل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ف مدير مكتب تنمية الاتصالات</w:t>
            </w:r>
          </w:p>
        </w:tc>
      </w:tr>
      <w:tr w:rsidR="002A0761" w:rsidRPr="002A0761" w14:paraId="2FF88E0C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47BF99C0" w14:textId="28DA06E7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139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1C7A44DA" w14:textId="74CBE6A6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استخدام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الاتصالات/تكنولوجيا المعلومات والاتصالات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من أجل سد الفجوة الرقمية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وبناء مجتمع معلومات شامل للجميع</w:t>
            </w:r>
          </w:p>
        </w:tc>
        <w:tc>
          <w:tcPr>
            <w:tcW w:w="6659" w:type="dxa"/>
            <w:shd w:val="clear" w:color="auto" w:fill="auto"/>
          </w:tcPr>
          <w:p w14:paraId="19B01A77" w14:textId="4FD040FB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الأمين العام و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مديري المكاتب الثلاثة، بما يتماشى مع ولايات قطاعاتهم</w:t>
            </w:r>
          </w:p>
          <w:p w14:paraId="15CB368D" w14:textId="08AC350D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 xml:space="preserve">يكلف مدير مكتب تنمية الاتصالات بالتنسيق مع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مديرَي المكتبين الآخرين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>،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 xml:space="preserve"> كل في إطار ولايته</w:t>
            </w:r>
          </w:p>
        </w:tc>
      </w:tr>
      <w:tr w:rsidR="002A0761" w:rsidRPr="002A0761" w14:paraId="76755002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6D6E3F7E" w14:textId="35C23283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140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986BC82" w14:textId="74423443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55" w:name="_Toc536090505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دور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الاتحاد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في تنفيذ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نتائج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القمة العالمية لمجتمع المعلومات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وخطة التنمية المستدامة لعام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t>2030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وفي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عمليات المتابعة والاستعراض ذات الصلة</w:t>
            </w:r>
            <w:bookmarkEnd w:id="55"/>
          </w:p>
        </w:tc>
        <w:tc>
          <w:tcPr>
            <w:tcW w:w="6659" w:type="dxa"/>
            <w:shd w:val="clear" w:color="auto" w:fill="auto"/>
          </w:tcPr>
          <w:p w14:paraId="00FAAB43" w14:textId="22B7373D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</w:t>
            </w:r>
          </w:p>
          <w:p w14:paraId="2B88C943" w14:textId="59DE55DA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يكلف مديري المكاتب</w:t>
            </w:r>
          </w:p>
          <w:p w14:paraId="399DD15B" w14:textId="457289AD" w:rsidR="00595F24" w:rsidRPr="002A0761" w:rsidRDefault="00BA7C9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يكلف مدير مكتب تنمية الاتصالات</w:t>
            </w:r>
          </w:p>
        </w:tc>
      </w:tr>
      <w:tr w:rsidR="002A0761" w:rsidRPr="002A0761" w14:paraId="7C5F4F29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0D8B4AE0" w14:textId="2E5C59D2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146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3C42774" w14:textId="4556CD2E" w:rsidR="00595F24" w:rsidRPr="002A0761" w:rsidRDefault="00DA4F0B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56" w:name="_Toc408328077"/>
            <w:bookmarkStart w:id="57" w:name="_Toc414526777"/>
            <w:bookmarkStart w:id="58" w:name="_Toc415560197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استعراض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لوائح الاتصالات الدولية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دورياً</w:t>
            </w:r>
            <w:bookmarkEnd w:id="56"/>
            <w:bookmarkEnd w:id="57"/>
            <w:bookmarkEnd w:id="58"/>
          </w:p>
        </w:tc>
        <w:tc>
          <w:tcPr>
            <w:tcW w:w="6659" w:type="dxa"/>
            <w:shd w:val="clear" w:color="auto" w:fill="auto"/>
          </w:tcPr>
          <w:p w14:paraId="072A49D6" w14:textId="20E04F08" w:rsidR="00595F24" w:rsidRPr="002A0761" w:rsidRDefault="00DA4F0B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يكلف مديري المكاتب</w:t>
            </w:r>
          </w:p>
        </w:tc>
      </w:tr>
      <w:tr w:rsidR="002A0761" w:rsidRPr="002A0761" w14:paraId="5976D4A4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6F6CCF7A" w14:textId="275A2BDF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151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C6077A0" w14:textId="0AC446C6" w:rsidR="00595F24" w:rsidRPr="002A0761" w:rsidRDefault="00DA4F0B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59" w:name="_Toc280260304"/>
            <w:bookmarkStart w:id="60" w:name="_Toc408328081"/>
            <w:bookmarkStart w:id="61" w:name="_Toc414526783"/>
            <w:bookmarkStart w:id="62" w:name="_Toc415560203"/>
            <w:bookmarkStart w:id="63" w:name="_Toc536090511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تحسين الإدارة على أساس النتائج في الاتحاد الدولي للاتصالات</w:t>
            </w:r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6659" w:type="dxa"/>
            <w:shd w:val="clear" w:color="auto" w:fill="auto"/>
          </w:tcPr>
          <w:p w14:paraId="5BDA1C26" w14:textId="6C18ECDC" w:rsidR="00595F24" w:rsidRPr="002A0761" w:rsidRDefault="00A6088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الأمين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العام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ومديري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المكاتب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الثلاثة</w:t>
            </w:r>
          </w:p>
        </w:tc>
      </w:tr>
      <w:tr w:rsidR="002A0761" w:rsidRPr="002A0761" w14:paraId="32693335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3EC87491" w14:textId="4B6CF272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lastRenderedPageBreak/>
              <w:t>القرار 154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2B2CA21D" w14:textId="629AE1AE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64" w:name="_Toc280260310"/>
            <w:bookmarkStart w:id="65" w:name="_Toc408328085"/>
            <w:bookmarkStart w:id="66" w:name="_Toc414526787"/>
            <w:bookmarkStart w:id="67" w:name="_Toc415560207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استعمال اللغات الرسمية الست في الاتحاد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على قدم المساواة</w:t>
            </w:r>
            <w:bookmarkEnd w:id="64"/>
            <w:bookmarkEnd w:id="65"/>
            <w:bookmarkEnd w:id="66"/>
            <w:bookmarkEnd w:id="67"/>
          </w:p>
        </w:tc>
        <w:tc>
          <w:tcPr>
            <w:tcW w:w="6659" w:type="dxa"/>
            <w:shd w:val="clear" w:color="auto" w:fill="auto"/>
          </w:tcPr>
          <w:p w14:paraId="6A53F84B" w14:textId="7D79BF75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الأمين العام بالتعاون الوثيق مع مديري المكاتب</w:t>
            </w:r>
          </w:p>
        </w:tc>
      </w:tr>
      <w:tr w:rsidR="002A0761" w:rsidRPr="002A0761" w14:paraId="0473DEF5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08DE498E" w14:textId="7101E44A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157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52B88322" w14:textId="0AD7048F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68" w:name="_Toc280260312"/>
            <w:bookmarkStart w:id="69" w:name="_Toc408328087"/>
            <w:bookmarkStart w:id="70" w:name="_Toc414526789"/>
            <w:bookmarkStart w:id="71" w:name="_Toc415560209"/>
            <w:bookmarkStart w:id="72" w:name="_Toc536090515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تعزيز وظيفة تنفيذ المشاريع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ووظيفة مراقبة المشاريع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في 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الاتحاد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الدولي للاتصالات</w:t>
            </w:r>
            <w:bookmarkEnd w:id="68"/>
            <w:bookmarkEnd w:id="69"/>
            <w:bookmarkEnd w:id="70"/>
            <w:bookmarkEnd w:id="71"/>
            <w:bookmarkEnd w:id="72"/>
          </w:p>
        </w:tc>
        <w:tc>
          <w:tcPr>
            <w:tcW w:w="6659" w:type="dxa"/>
            <w:shd w:val="clear" w:color="auto" w:fill="auto"/>
          </w:tcPr>
          <w:p w14:paraId="0B8B922F" w14:textId="788B1579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يقرر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أن يكلف الأمين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العام،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بالتعاون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الوثيق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مع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تنمية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</w:p>
        </w:tc>
      </w:tr>
      <w:tr w:rsidR="002A0761" w:rsidRPr="002A0761" w14:paraId="26875038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6C3D1439" w14:textId="7B0735FC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162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7E3DC9E3" w14:textId="434AACB2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73" w:name="_Toc280260318"/>
            <w:bookmarkStart w:id="74" w:name="_Toc408328093"/>
            <w:bookmarkStart w:id="75" w:name="_Toc414526799"/>
            <w:bookmarkStart w:id="76" w:name="_Toc415560219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ل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ل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جنة الاستشارية المستقلة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للإدارة</w:t>
            </w:r>
            <w:bookmarkEnd w:id="73"/>
            <w:bookmarkEnd w:id="74"/>
            <w:bookmarkEnd w:id="75"/>
            <w:bookmarkEnd w:id="76"/>
          </w:p>
        </w:tc>
        <w:tc>
          <w:tcPr>
            <w:tcW w:w="6659" w:type="dxa"/>
            <w:shd w:val="clear" w:color="auto" w:fill="auto"/>
          </w:tcPr>
          <w:p w14:paraId="2376FAFC" w14:textId="579B9F36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الأمين العام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بالتعاون مع مديري المكاتب</w:t>
            </w:r>
          </w:p>
        </w:tc>
      </w:tr>
      <w:tr w:rsidR="002A0761" w:rsidRPr="002A0761" w14:paraId="33391A05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301D3070" w14:textId="0E149348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167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6AD80616" w14:textId="402B1EFC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77" w:name="_Toc408328097"/>
            <w:bookmarkStart w:id="78" w:name="_Toc414526807"/>
            <w:bookmarkStart w:id="79" w:name="_Toc415560227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تعزيز وتنمية قدرات الاتحاد الدولي للاتصالات فيما يتعلق بالاجتماعات الافتراضية بالكامل والاجتماعات الحضورية التي </w:t>
            </w:r>
            <w:r w:rsidR="008C7F04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تتاح فيها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المشاركة عن بُعد، والوسائل الإلكترونية اللازمة لإحراز التقدم في أعمال الاتحاد</w:t>
            </w:r>
            <w:bookmarkEnd w:id="77"/>
            <w:bookmarkEnd w:id="78"/>
            <w:bookmarkEnd w:id="79"/>
          </w:p>
        </w:tc>
        <w:tc>
          <w:tcPr>
            <w:tcW w:w="6659" w:type="dxa"/>
            <w:shd w:val="clear" w:color="auto" w:fill="auto"/>
          </w:tcPr>
          <w:p w14:paraId="7C6E6C2E" w14:textId="10F6D218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الأمين العام، بالتشاور والتعاون مع مديري المكاتب الثلاثة</w:t>
            </w:r>
          </w:p>
        </w:tc>
      </w:tr>
      <w:tr w:rsidR="002A0761" w:rsidRPr="002A0761" w14:paraId="11F53DFF" w14:textId="77777777" w:rsidTr="00921A50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30A80EA7" w14:textId="78294D28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169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A46F888" w14:textId="28F0515E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80" w:name="_Toc408328099"/>
            <w:bookmarkStart w:id="81" w:name="_Toc414526811"/>
            <w:bookmarkStart w:id="82" w:name="_Toc415560231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السماح للهيئات الأكاديمية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بالمشاركة في أعمال الاتحاد</w:t>
            </w:r>
            <w:bookmarkEnd w:id="80"/>
            <w:bookmarkEnd w:id="81"/>
            <w:bookmarkEnd w:id="82"/>
          </w:p>
        </w:tc>
        <w:tc>
          <w:tcPr>
            <w:tcW w:w="6659" w:type="dxa"/>
            <w:shd w:val="clear" w:color="auto" w:fill="auto"/>
          </w:tcPr>
          <w:p w14:paraId="4FB94768" w14:textId="04D6C0B0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 الثلاثة</w:t>
            </w:r>
          </w:p>
        </w:tc>
      </w:tr>
      <w:tr w:rsidR="002A0761" w:rsidRPr="002A0761" w14:paraId="29C4FF1D" w14:textId="77777777" w:rsidTr="00921A50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0858119E" w14:textId="27553A22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175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5A893CB" w14:textId="750E0DC4" w:rsidR="00595F24" w:rsidRPr="00D07ED2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spacing w:val="6"/>
                <w:position w:val="2"/>
                <w:sz w:val="20"/>
                <w:szCs w:val="20"/>
                <w:lang w:eastAsia="fr-CH"/>
              </w:rPr>
            </w:pPr>
            <w:bookmarkStart w:id="83" w:name="_Toc408328105"/>
            <w:bookmarkStart w:id="84" w:name="_Toc414526819"/>
            <w:bookmarkStart w:id="85" w:name="_Toc415560239"/>
            <w:r w:rsidRPr="00D07ED2">
              <w:rPr>
                <w:rFonts w:eastAsia="Times New Roman" w:hint="cs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>نفاذ الأشخاص ذوي الإعاقة والأشخاص</w:t>
            </w:r>
            <w:r w:rsidRPr="00D07ED2">
              <w:rPr>
                <w:rFonts w:eastAsia="Times New Roman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D07ED2">
              <w:rPr>
                <w:rFonts w:eastAsia="Times New Roman" w:hint="cs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>ذوي</w:t>
            </w:r>
            <w:r w:rsidRPr="00D07ED2">
              <w:rPr>
                <w:rFonts w:eastAsia="Times New Roman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D07ED2">
              <w:rPr>
                <w:rFonts w:eastAsia="Times New Roman" w:hint="cs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>الاحتياجات</w:t>
            </w:r>
            <w:r w:rsidRPr="00D07ED2">
              <w:rPr>
                <w:rFonts w:eastAsia="Times New Roman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D07ED2">
              <w:rPr>
                <w:rFonts w:eastAsia="Times New Roman" w:hint="cs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>المحددة إلى</w:t>
            </w:r>
            <w:r w:rsidR="00D07ED2" w:rsidRPr="00D07ED2">
              <w:rPr>
                <w:rFonts w:eastAsia="Times New Roman" w:hint="cs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D07ED2">
              <w:rPr>
                <w:rFonts w:eastAsia="Times New Roman" w:hint="cs"/>
                <w:spacing w:val="6"/>
                <w:position w:val="2"/>
                <w:sz w:val="20"/>
                <w:szCs w:val="20"/>
                <w:rtl/>
                <w:lang w:eastAsia="fr-CH" w:bidi="ar-EG"/>
              </w:rPr>
              <w:t>الاتصالات/تكنولوجيا المعلومات والاتصالات</w:t>
            </w:r>
            <w:bookmarkEnd w:id="83"/>
            <w:bookmarkEnd w:id="84"/>
            <w:bookmarkEnd w:id="85"/>
          </w:p>
        </w:tc>
        <w:tc>
          <w:tcPr>
            <w:tcW w:w="6659" w:type="dxa"/>
            <w:shd w:val="clear" w:color="auto" w:fill="auto"/>
          </w:tcPr>
          <w:p w14:paraId="1F3AB1D5" w14:textId="43F34D4C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الأمين العام، بالتشاور مع مديري المكاتب</w:t>
            </w:r>
          </w:p>
        </w:tc>
      </w:tr>
      <w:tr w:rsidR="002A0761" w:rsidRPr="002A0761" w14:paraId="58AF6EB3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057BC0FF" w14:textId="4FC8CFBE" w:rsidR="00595F24" w:rsidRPr="002A0761" w:rsidRDefault="00D40506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176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77A7B8B8" w14:textId="2DB7551B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86" w:name="_Toc536090527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مشاكل القياس والتقييم المتعلقة بالتعرض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البشري للمجالات الكهرمغنطيسية</w:t>
            </w:r>
            <w:bookmarkEnd w:id="86"/>
          </w:p>
        </w:tc>
        <w:tc>
          <w:tcPr>
            <w:tcW w:w="6659" w:type="dxa"/>
            <w:shd w:val="clear" w:color="auto" w:fill="auto"/>
          </w:tcPr>
          <w:p w14:paraId="786672FC" w14:textId="29AF1C3B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يقرر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أن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المكاتب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الثلاثة</w:t>
            </w:r>
          </w:p>
          <w:p w14:paraId="0D562F67" w14:textId="498CA242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تنمية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بالتعاون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مع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الراديوية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ومدير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تقييس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</w:p>
          <w:p w14:paraId="3E652DA7" w14:textId="7C07AB55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تقييس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بالتعاون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مع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الراديوية ومدير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تنمية الاتصالات</w:t>
            </w:r>
          </w:p>
          <w:p w14:paraId="4A953217" w14:textId="543A6DD5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الأمين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العام،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بالتشاور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مع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المكاتب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الثلاثة</w:t>
            </w:r>
          </w:p>
        </w:tc>
      </w:tr>
      <w:tr w:rsidR="002A0761" w:rsidRPr="002A0761" w14:paraId="188DCA9F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5D36BAC4" w14:textId="51A58D08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177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17A7E711" w14:textId="2572E1F5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87" w:name="_Toc408328109"/>
            <w:bookmarkStart w:id="88" w:name="_Toc414526823"/>
            <w:bookmarkStart w:id="89" w:name="_Toc415560243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المطابقة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وقابلية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التشغيل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البيني</w:t>
            </w:r>
            <w:bookmarkEnd w:id="87"/>
            <w:bookmarkEnd w:id="88"/>
            <w:bookmarkEnd w:id="89"/>
          </w:p>
        </w:tc>
        <w:tc>
          <w:tcPr>
            <w:tcW w:w="6659" w:type="dxa"/>
            <w:shd w:val="clear" w:color="auto" w:fill="auto"/>
          </w:tcPr>
          <w:p w14:paraId="1F58464D" w14:textId="6E224124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تنمية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 بما يلي،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بالتعاون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الوثيق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مع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 مكتب تقييس الاتصالات ومدير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مكتب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الاتصالات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الراديوية</w:t>
            </w:r>
          </w:p>
        </w:tc>
      </w:tr>
      <w:tr w:rsidR="002A0761" w:rsidRPr="002A0761" w14:paraId="03C2DB8E" w14:textId="77777777" w:rsidTr="00921A50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12A2F6A7" w14:textId="3652587F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179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10DD23B0" w14:textId="07A6E5DD" w:rsidR="00595F24" w:rsidRPr="002A0761" w:rsidRDefault="006368CD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90" w:name="_Toc280260355"/>
            <w:bookmarkStart w:id="91" w:name="_Toc408328111"/>
            <w:bookmarkStart w:id="92" w:name="_Toc414526827"/>
            <w:bookmarkStart w:id="93" w:name="_Toc415560247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دور الاتحاد الدولي للاتصالات في حماية الأطفال على</w:t>
            </w:r>
            <w:bookmarkEnd w:id="90"/>
            <w:bookmarkEnd w:id="91"/>
            <w:bookmarkEnd w:id="92"/>
            <w:bookmarkEnd w:id="93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الإنترنت</w:t>
            </w:r>
          </w:p>
        </w:tc>
        <w:tc>
          <w:tcPr>
            <w:tcW w:w="6659" w:type="dxa"/>
            <w:shd w:val="clear" w:color="auto" w:fill="auto"/>
          </w:tcPr>
          <w:p w14:paraId="0EAEC133" w14:textId="5AA9E369" w:rsidR="00595F24" w:rsidRPr="002A0761" w:rsidRDefault="00DB1DC1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</w:t>
            </w:r>
          </w:p>
          <w:p w14:paraId="61368616" w14:textId="44B7A4C7" w:rsidR="00595F24" w:rsidRPr="002A0761" w:rsidRDefault="00DB1DC1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1D74999A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656D76BA" w14:textId="3605F890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180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370BADA" w14:textId="0A4B59B9" w:rsidR="00595F24" w:rsidRPr="002A0761" w:rsidRDefault="00DB1DC1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94" w:name="_Toc536090533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تعزيز نشر الإصدار السادس لبروتوكول الإنترنت 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t>(IPv6)</w:t>
            </w:r>
            <w:bookmarkEnd w:id="94"/>
          </w:p>
        </w:tc>
        <w:tc>
          <w:tcPr>
            <w:tcW w:w="6659" w:type="dxa"/>
            <w:shd w:val="clear" w:color="auto" w:fill="auto"/>
          </w:tcPr>
          <w:p w14:paraId="06BD0BA6" w14:textId="338CD3D6" w:rsidR="00595F24" w:rsidRPr="002A0761" w:rsidRDefault="00DB1DC1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بالتنسيق مع مدير مكتب تقييس الاتصالات</w:t>
            </w:r>
          </w:p>
        </w:tc>
      </w:tr>
      <w:tr w:rsidR="002A0761" w:rsidRPr="002A0761" w14:paraId="25C042D6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1D356890" w14:textId="438ACF79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182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24F917F5" w14:textId="41B7A452" w:rsidR="00595F24" w:rsidRPr="002A0761" w:rsidRDefault="00DB1DC1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دور الاتصالات/تكنولوجيا المعلومات والاتصالات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فيما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يتعلق بتغير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المناخ وحماية</w:t>
            </w:r>
            <w:r w:rsidR="005C59F0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البيئة</w:t>
            </w:r>
          </w:p>
        </w:tc>
        <w:tc>
          <w:tcPr>
            <w:tcW w:w="6659" w:type="dxa"/>
            <w:shd w:val="clear" w:color="auto" w:fill="auto"/>
          </w:tcPr>
          <w:p w14:paraId="0318DBF6" w14:textId="276726BE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بالتعاون مع مديري المكاتب الثلاثة</w:t>
            </w:r>
          </w:p>
          <w:p w14:paraId="6BBB2A8E" w14:textId="59F71834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مديري المكاتب الثلاثة، في إطار ولايتهم</w:t>
            </w:r>
          </w:p>
          <w:p w14:paraId="065C80A7" w14:textId="464B7BAB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يكلف مدير مكتب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تنمية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الاتصالات</w:t>
            </w:r>
          </w:p>
        </w:tc>
      </w:tr>
      <w:tr w:rsidR="002A0761" w:rsidRPr="002A0761" w14:paraId="19AA40B6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5BD0E01C" w14:textId="746A47F1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184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7732803D" w14:textId="4B8455D1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95" w:name="_Toc280260364"/>
            <w:bookmarkStart w:id="96" w:name="_Toc414526837"/>
            <w:bookmarkStart w:id="97" w:name="_Toc415560257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تيسير مبادرات الشمول الرقمي من أجل السكان الأصليين</w:t>
            </w:r>
            <w:bookmarkEnd w:id="95"/>
            <w:bookmarkEnd w:id="96"/>
            <w:bookmarkEnd w:id="97"/>
          </w:p>
        </w:tc>
        <w:tc>
          <w:tcPr>
            <w:tcW w:w="6659" w:type="dxa"/>
            <w:shd w:val="clear" w:color="auto" w:fill="auto"/>
          </w:tcPr>
          <w:p w14:paraId="676E9DD7" w14:textId="128638FC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18F3AE3F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33814668" w14:textId="5AC4B485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lastRenderedPageBreak/>
              <w:t>القرار 186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0176D7C8" w14:textId="0B205BDC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98" w:name="_Toc408328121"/>
            <w:bookmarkStart w:id="99" w:name="_Toc414526841"/>
            <w:bookmarkStart w:id="100" w:name="_Toc415560261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تعزيز دور الاتحاد الدولي للاتصالات فيما يتعلق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ب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تدابير كفالة الشفافية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وبناء الثقة في أنشطة الفضاء الخارجي</w:t>
            </w:r>
            <w:bookmarkEnd w:id="98"/>
            <w:bookmarkEnd w:id="99"/>
            <w:bookmarkEnd w:id="100"/>
          </w:p>
        </w:tc>
        <w:tc>
          <w:tcPr>
            <w:tcW w:w="6659" w:type="dxa"/>
            <w:shd w:val="clear" w:color="auto" w:fill="auto"/>
          </w:tcPr>
          <w:p w14:paraId="4740B885" w14:textId="596D3ADF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04EE73E8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5770635A" w14:textId="7184237F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188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0DA063F1" w14:textId="07D726D4" w:rsidR="00595F24" w:rsidRPr="002A0761" w:rsidRDefault="00E11B5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01" w:name="_Toc408328125"/>
            <w:bookmarkStart w:id="102" w:name="_Toc414526845"/>
            <w:bookmarkStart w:id="103" w:name="_Toc415560265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 xml:space="preserve">مكافحة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أجهزة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 xml:space="preserve"> الاتصالات/تكنولوجيا المعلومات والاتصالات</w:t>
            </w:r>
            <w:bookmarkEnd w:id="101"/>
            <w:bookmarkEnd w:id="102"/>
            <w:bookmarkEnd w:id="103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 xml:space="preserve"> المزيفة والمغشوشة</w:t>
            </w:r>
          </w:p>
        </w:tc>
        <w:tc>
          <w:tcPr>
            <w:tcW w:w="6659" w:type="dxa"/>
            <w:shd w:val="clear" w:color="auto" w:fill="auto"/>
          </w:tcPr>
          <w:p w14:paraId="5D26CBC5" w14:textId="31103DD4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مديري المكاتب الثلاثة</w:t>
            </w:r>
          </w:p>
          <w:p w14:paraId="34643FC0" w14:textId="46A83607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 بالتعاون مع مدير مكتب تقييس الاتصالات</w:t>
            </w:r>
          </w:p>
        </w:tc>
      </w:tr>
      <w:tr w:rsidR="002A0761" w:rsidRPr="002A0761" w14:paraId="50D2C8A7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4AE145E0" w14:textId="25E36394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189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F427DDD" w14:textId="2A14B20B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04" w:name="_Toc408328127"/>
            <w:bookmarkStart w:id="105" w:name="_Toc414526847"/>
            <w:bookmarkStart w:id="106" w:name="_Toc415560267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مساعدة الدول الأعضاء في مكافحة سرقة الأجهزة المتنقلة و</w:t>
            </w:r>
            <w:bookmarkEnd w:id="104"/>
            <w:bookmarkEnd w:id="105"/>
            <w:bookmarkEnd w:id="106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ردعها</w:t>
            </w:r>
          </w:p>
        </w:tc>
        <w:tc>
          <w:tcPr>
            <w:tcW w:w="6659" w:type="dxa"/>
            <w:shd w:val="clear" w:color="auto" w:fill="auto"/>
          </w:tcPr>
          <w:p w14:paraId="74E358CE" w14:textId="3A6D7D24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الاتصالات، بالتعاون مع مدير مكتب الاتصالات الراديوية ومدير مكتب تقييس الاتصالات</w:t>
            </w:r>
          </w:p>
        </w:tc>
      </w:tr>
      <w:tr w:rsidR="002A0761" w:rsidRPr="002A0761" w14:paraId="51E5AD37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41688536" w14:textId="783FF16D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191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61CB3A96" w14:textId="317FD8F5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07" w:name="_Toc408328131"/>
            <w:bookmarkStart w:id="108" w:name="_Toc414526851"/>
            <w:bookmarkStart w:id="109" w:name="_Toc415560271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استراتيجية تنسيق الجهود بين قطاعات الاتحاد الثلاثة</w:t>
            </w:r>
            <w:bookmarkEnd w:id="107"/>
            <w:bookmarkEnd w:id="108"/>
            <w:bookmarkEnd w:id="109"/>
          </w:p>
        </w:tc>
        <w:tc>
          <w:tcPr>
            <w:tcW w:w="6659" w:type="dxa"/>
            <w:shd w:val="clear" w:color="auto" w:fill="auto"/>
          </w:tcPr>
          <w:p w14:paraId="4C9381C1" w14:textId="3E702296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يكلف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الأمين العام و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مدير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المكاتب الثلاثة</w:t>
            </w:r>
          </w:p>
        </w:tc>
      </w:tr>
      <w:tr w:rsidR="002A0761" w:rsidRPr="002A0761" w14:paraId="25F78532" w14:textId="77777777" w:rsidTr="00921A50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73330A98" w14:textId="7DEA4A2C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196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082A4D7A" w14:textId="65611CB5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10" w:name="_Toc408328141"/>
            <w:bookmarkStart w:id="111" w:name="_Toc414526861"/>
            <w:bookmarkStart w:id="112" w:name="_Toc415560281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حماية مستعملي/مستهلكي خدمات الاتصالات</w:t>
            </w:r>
            <w:bookmarkEnd w:id="110"/>
            <w:bookmarkEnd w:id="111"/>
            <w:bookmarkEnd w:id="112"/>
          </w:p>
        </w:tc>
        <w:tc>
          <w:tcPr>
            <w:tcW w:w="6659" w:type="dxa"/>
            <w:shd w:val="clear" w:color="auto" w:fill="auto"/>
          </w:tcPr>
          <w:p w14:paraId="59EAF64B" w14:textId="014650B0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5C675FAF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23BDA2DC" w14:textId="2FE04008" w:rsidR="00595F24" w:rsidRPr="002A0761" w:rsidRDefault="001A0A7C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197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D1DA7A4" w14:textId="0FDEED1B" w:rsidR="00595F24" w:rsidRPr="002A0761" w:rsidRDefault="00655277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13" w:name="_Toc408328143"/>
            <w:bookmarkStart w:id="114" w:name="_Toc414526863"/>
            <w:bookmarkStart w:id="115" w:name="_Toc415560283"/>
            <w:bookmarkStart w:id="116" w:name="_Toc536090545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تيسير إنترنت الأشياء والمدن والمجتمعات الذكية المستدامة</w:t>
            </w:r>
            <w:bookmarkEnd w:id="113"/>
            <w:bookmarkEnd w:id="114"/>
            <w:bookmarkEnd w:id="115"/>
            <w:bookmarkEnd w:id="116"/>
          </w:p>
        </w:tc>
        <w:tc>
          <w:tcPr>
            <w:tcW w:w="6659" w:type="dxa"/>
            <w:shd w:val="clear" w:color="auto" w:fill="auto"/>
          </w:tcPr>
          <w:p w14:paraId="15071B75" w14:textId="77777777" w:rsidR="00F4479A" w:rsidRPr="002A0761" w:rsidRDefault="00F4479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الأمين العام، بالتشاور والتعاون مع مديري المكاتب الثلاثة</w:t>
            </w:r>
          </w:p>
          <w:p w14:paraId="592B0894" w14:textId="139853BA" w:rsidR="00F4479A" w:rsidRPr="002A0761" w:rsidRDefault="00F4479A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مدير مكتب تقييس الاتصالات، بالتعاون مع مدير مكتب تنمية الاتصالات ومدير مكتب الاتصالات</w:t>
            </w:r>
            <w:r w:rsidRPr="002A0761">
              <w:rPr>
                <w:rFonts w:eastAsia="Times New Roman" w:hint="eastAsia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الراديوية</w:t>
            </w:r>
          </w:p>
          <w:p w14:paraId="6F8BAC8C" w14:textId="6143F6B3" w:rsidR="00F4479A" w:rsidRPr="002A0761" w:rsidRDefault="00F4479A" w:rsidP="008C7F04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 w:bidi="ar-EG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، بالتعاون الوثيق مع مدير مكتب تقييس الاتصالات ومدير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مكتب 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 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الراديوية </w:t>
            </w:r>
          </w:p>
        </w:tc>
      </w:tr>
      <w:tr w:rsidR="002A0761" w:rsidRPr="002A0761" w14:paraId="2B743B61" w14:textId="77777777" w:rsidTr="00921A50">
        <w:trPr>
          <w:jc w:val="center"/>
        </w:trPr>
        <w:tc>
          <w:tcPr>
            <w:tcW w:w="3122" w:type="dxa"/>
            <w:shd w:val="clear" w:color="auto" w:fill="auto"/>
            <w:noWrap/>
            <w:hideMark/>
          </w:tcPr>
          <w:p w14:paraId="04CE9AEA" w14:textId="294DA2D6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198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0519AA6D" w14:textId="69DF89AB" w:rsidR="00595F24" w:rsidRPr="002A0761" w:rsidRDefault="00BD034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17" w:name="_Toc408328145"/>
            <w:bookmarkStart w:id="118" w:name="_Toc414526865"/>
            <w:bookmarkStart w:id="119" w:name="_Toc415560285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تمكين الشباب من خلال الاتصالات/تكنولوجيا المعلومات والاتصالات</w:t>
            </w:r>
            <w:bookmarkEnd w:id="117"/>
            <w:bookmarkEnd w:id="118"/>
            <w:bookmarkEnd w:id="119"/>
          </w:p>
        </w:tc>
        <w:tc>
          <w:tcPr>
            <w:tcW w:w="6659" w:type="dxa"/>
            <w:shd w:val="clear" w:color="auto" w:fill="auto"/>
          </w:tcPr>
          <w:p w14:paraId="44ABB98A" w14:textId="14DFE824" w:rsidR="00595F24" w:rsidRPr="002A0761" w:rsidRDefault="00BD034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يكلف مدير مكتب تنمية الاتصالات</w:t>
            </w:r>
          </w:p>
          <w:p w14:paraId="0AF9C7D7" w14:textId="1A68B3E4" w:rsidR="00595F24" w:rsidRPr="002A0761" w:rsidRDefault="00BD034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يكلف مديري المكاتب الثلاثة</w:t>
            </w:r>
          </w:p>
        </w:tc>
      </w:tr>
      <w:tr w:rsidR="002A0761" w:rsidRPr="002A0761" w14:paraId="77DEA2F5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2516BB87" w14:textId="103B9A53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200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7424E1DD" w14:textId="020223B0" w:rsidR="00595F24" w:rsidRPr="002A0761" w:rsidRDefault="00BD034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20" w:name="_Toc408328149"/>
            <w:bookmarkStart w:id="121" w:name="_Toc414526869"/>
            <w:bookmarkStart w:id="122" w:name="_Toc415560289"/>
            <w:bookmarkStart w:id="123" w:name="_Toc536090549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برنامج التوصيل في 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t>2030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من أجل التنمية العالمية للاتصالات/تكنولوجيا المعلومات والاتصالات</w:t>
            </w:r>
            <w:bookmarkEnd w:id="120"/>
            <w:bookmarkEnd w:id="121"/>
            <w:bookmarkEnd w:id="122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، بما في ذلك النطاق العريض، لصالح التنمية المستدامة</w:t>
            </w:r>
            <w:bookmarkEnd w:id="123"/>
          </w:p>
        </w:tc>
        <w:tc>
          <w:tcPr>
            <w:tcW w:w="6659" w:type="dxa"/>
            <w:shd w:val="clear" w:color="auto" w:fill="auto"/>
          </w:tcPr>
          <w:p w14:paraId="45F9C17D" w14:textId="5977CC25" w:rsidR="00595F24" w:rsidRPr="002A0761" w:rsidRDefault="00BD034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مديري المكاتب</w:t>
            </w:r>
          </w:p>
          <w:p w14:paraId="1980A8F6" w14:textId="6445C55E" w:rsidR="00595F24" w:rsidRPr="002A0761" w:rsidRDefault="00BD034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 مكتب تنمية الاتصالات</w:t>
            </w:r>
          </w:p>
        </w:tc>
      </w:tr>
      <w:tr w:rsidR="002A0761" w:rsidRPr="002A0761" w14:paraId="40A5FBBF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331E76AF" w14:textId="1551F3D8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203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2BBDDC8" w14:textId="49861816" w:rsidR="00595F24" w:rsidRPr="002A0761" w:rsidRDefault="00BD034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24" w:name="_Toc408328155"/>
            <w:bookmarkStart w:id="125" w:name="_Toc414526875"/>
            <w:bookmarkStart w:id="126" w:name="_Toc415560295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التوصيلية بشبكات النطاق العريض</w:t>
            </w:r>
            <w:bookmarkEnd w:id="124"/>
            <w:bookmarkEnd w:id="125"/>
            <w:bookmarkEnd w:id="126"/>
          </w:p>
        </w:tc>
        <w:tc>
          <w:tcPr>
            <w:tcW w:w="6659" w:type="dxa"/>
            <w:shd w:val="clear" w:color="auto" w:fill="auto"/>
          </w:tcPr>
          <w:p w14:paraId="6C382310" w14:textId="1A435A8C" w:rsidR="00595F24" w:rsidRPr="002A0761" w:rsidRDefault="001B5B7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يكلف مدير مكتب تنمية الاتصالات</w:t>
            </w:r>
          </w:p>
        </w:tc>
      </w:tr>
      <w:tr w:rsidR="002A0761" w:rsidRPr="002A0761" w14:paraId="44756355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3AB7AD9F" w14:textId="6F089244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204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338C816F" w14:textId="096146E4" w:rsidR="00595F24" w:rsidRPr="002A0761" w:rsidRDefault="001B5B7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استخدام تكنولوجيات المعلومات والاتصالات لسد فجوة الشمول المالي</w:t>
            </w:r>
          </w:p>
        </w:tc>
        <w:tc>
          <w:tcPr>
            <w:tcW w:w="6659" w:type="dxa"/>
            <w:shd w:val="clear" w:color="auto" w:fill="auto"/>
          </w:tcPr>
          <w:p w14:paraId="304E3C8B" w14:textId="17A9930B" w:rsidR="00595F24" w:rsidRPr="002A0761" w:rsidRDefault="001B5B7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مديري مكتبي تقييس الاتصالات وتنمية الاتصالات</w:t>
            </w:r>
          </w:p>
        </w:tc>
      </w:tr>
      <w:tr w:rsidR="002A0761" w:rsidRPr="002A0761" w14:paraId="5B5382A0" w14:textId="77777777" w:rsidTr="00921A50">
        <w:trPr>
          <w:jc w:val="center"/>
        </w:trPr>
        <w:tc>
          <w:tcPr>
            <w:tcW w:w="3122" w:type="dxa"/>
            <w:shd w:val="clear" w:color="auto" w:fill="auto"/>
            <w:hideMark/>
          </w:tcPr>
          <w:p w14:paraId="66708E9D" w14:textId="511464A4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205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071C1BF8" w14:textId="54BCB121" w:rsidR="00595F24" w:rsidRPr="002A0761" w:rsidRDefault="001B5B7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27" w:name="_Toc536090557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دور الاتحاد في تشجيع الابتكار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القائم على الاتصالات/تكنولوجيا المعلومات والاتصالات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لدعم الاقتصاد والمجتمع الرقميين</w:t>
            </w:r>
            <w:bookmarkEnd w:id="127"/>
          </w:p>
        </w:tc>
        <w:tc>
          <w:tcPr>
            <w:tcW w:w="6659" w:type="dxa"/>
            <w:shd w:val="clear" w:color="auto" w:fill="auto"/>
          </w:tcPr>
          <w:p w14:paraId="5C69A107" w14:textId="054E887C" w:rsidR="00595F24" w:rsidRPr="002A0761" w:rsidRDefault="001B5B79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SY"/>
              </w:rPr>
              <w:t>يكلف مدير مكتب تنمية الاتصالات</w:t>
            </w:r>
          </w:p>
        </w:tc>
      </w:tr>
      <w:tr w:rsidR="002A0761" w:rsidRPr="002A0761" w14:paraId="55A3B093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2DC72259" w14:textId="32DE6D22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208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4B7D6B3A" w14:textId="1F17A822" w:rsidR="00595F24" w:rsidRPr="002A0761" w:rsidRDefault="00A164A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28" w:name="_Toc536090563"/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تعيين رؤساء الأفرقة الاستشارية ولجان الدراسات والأفرقة الأخرى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التابعة للقطاعات ونوابهم، والمدة القصوى لولاياتهم</w:t>
            </w:r>
            <w:bookmarkEnd w:id="128"/>
          </w:p>
        </w:tc>
        <w:tc>
          <w:tcPr>
            <w:tcW w:w="6659" w:type="dxa"/>
            <w:shd w:val="clear" w:color="auto" w:fill="auto"/>
          </w:tcPr>
          <w:p w14:paraId="25876112" w14:textId="0B5F6CFA" w:rsidR="00595F24" w:rsidRPr="002A0761" w:rsidRDefault="00A164A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SY"/>
              </w:rPr>
              <w:t>يكلف مديري المكاتب</w:t>
            </w:r>
          </w:p>
        </w:tc>
      </w:tr>
      <w:tr w:rsidR="002A0761" w:rsidRPr="002A0761" w14:paraId="53BB46C0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03B9EAB9" w14:textId="73EA7DBC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209 (المراجَع في بوخارست، 2022)</w:t>
            </w:r>
          </w:p>
        </w:tc>
        <w:tc>
          <w:tcPr>
            <w:tcW w:w="5953" w:type="dxa"/>
            <w:shd w:val="clear" w:color="auto" w:fill="auto"/>
          </w:tcPr>
          <w:p w14:paraId="0E6E5D3A" w14:textId="22094AC3" w:rsidR="00595F24" w:rsidRPr="002A0761" w:rsidRDefault="00A164A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bookmarkStart w:id="129" w:name="_Toc536090565"/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تشجيع مشاركة الشركات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 xml:space="preserve"> الصغيرة والمتوسطة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في أعمال الاتحاد</w:t>
            </w:r>
            <w:bookmarkEnd w:id="129"/>
          </w:p>
        </w:tc>
        <w:tc>
          <w:tcPr>
            <w:tcW w:w="6659" w:type="dxa"/>
            <w:shd w:val="clear" w:color="auto" w:fill="auto"/>
          </w:tcPr>
          <w:p w14:paraId="3AFB3F61" w14:textId="4C433779" w:rsidR="00595F24" w:rsidRPr="002A0761" w:rsidRDefault="00A164A2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 الثلاثة</w:t>
            </w:r>
          </w:p>
        </w:tc>
      </w:tr>
      <w:tr w:rsidR="002A0761" w:rsidRPr="002A0761" w14:paraId="2A62DFAE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52961DC6" w14:textId="4D72DDE6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lastRenderedPageBreak/>
              <w:t>القرار 214 (بوخارست، 2022)</w:t>
            </w:r>
          </w:p>
        </w:tc>
        <w:tc>
          <w:tcPr>
            <w:tcW w:w="5953" w:type="dxa"/>
            <w:shd w:val="clear" w:color="auto" w:fill="auto"/>
          </w:tcPr>
          <w:p w14:paraId="64010F97" w14:textId="7CAE01E2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 w:bidi="ar-EG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تكنولوجيات الذكاء الاصطناعي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 و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الاتصالات/تكنولوجيا المعلومات والاتصالات</w:t>
            </w:r>
          </w:p>
        </w:tc>
        <w:tc>
          <w:tcPr>
            <w:tcW w:w="6659" w:type="dxa"/>
            <w:shd w:val="clear" w:color="auto" w:fill="auto"/>
          </w:tcPr>
          <w:p w14:paraId="31C45B5B" w14:textId="77777777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العام، بالتشاور مع مديري المكاتب الثلاثة</w:t>
            </w:r>
          </w:p>
          <w:p w14:paraId="3D922359" w14:textId="4E1DC9BD" w:rsidR="00CA1308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مديري المكاتب الثلاثة</w:t>
            </w:r>
          </w:p>
        </w:tc>
      </w:tr>
      <w:tr w:rsidR="002A0761" w:rsidRPr="002A0761" w14:paraId="0AC19CB9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2E2BE197" w14:textId="6249ACAD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215 (بوخارست، 2022)</w:t>
            </w:r>
          </w:p>
        </w:tc>
        <w:tc>
          <w:tcPr>
            <w:tcW w:w="5953" w:type="dxa"/>
            <w:shd w:val="clear" w:color="auto" w:fill="auto"/>
          </w:tcPr>
          <w:p w14:paraId="647A2D5A" w14:textId="7EAA8D62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b/>
                <w:spacing w:val="-6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دور </w:t>
            </w:r>
            <w:r w:rsidRPr="002A0761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الاتصالات/</w:t>
            </w:r>
            <w:r w:rsidRPr="002A0761">
              <w:rPr>
                <w:rFonts w:eastAsia="Times New Roman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>تكنولوجيا المعلومات والاتصالات</w:t>
            </w:r>
            <w:r w:rsidRPr="002A0761">
              <w:rPr>
                <w:rFonts w:eastAsia="Times New Roman" w:hint="cs"/>
                <w:spacing w:val="-6"/>
                <w:position w:val="2"/>
                <w:sz w:val="20"/>
                <w:szCs w:val="20"/>
                <w:rtl/>
                <w:lang w:eastAsia="fr-CH" w:bidi="ar-EG"/>
              </w:rPr>
              <w:t xml:space="preserve"> في التخفيف من آثار الجوائح العالمية</w:t>
            </w:r>
          </w:p>
        </w:tc>
        <w:tc>
          <w:tcPr>
            <w:tcW w:w="6659" w:type="dxa"/>
            <w:shd w:val="clear" w:color="auto" w:fill="auto"/>
          </w:tcPr>
          <w:p w14:paraId="3E2ACB2F" w14:textId="144F334B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مديري المكاتب الثلاثة</w:t>
            </w:r>
          </w:p>
        </w:tc>
      </w:tr>
      <w:tr w:rsidR="002A0761" w:rsidRPr="002A0761" w14:paraId="374D8350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40A62618" w14:textId="57FA7A79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217 (بوخارست، 2022)</w:t>
            </w:r>
          </w:p>
        </w:tc>
        <w:tc>
          <w:tcPr>
            <w:tcW w:w="5953" w:type="dxa"/>
            <w:shd w:val="clear" w:color="auto" w:fill="auto"/>
          </w:tcPr>
          <w:p w14:paraId="41104C19" w14:textId="53FBB8AD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إدارة استمرارية الأعمال في الاتحاد الدولي للاتصالات للفترة 202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3</w:t>
            </w: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-2026</w:t>
            </w:r>
          </w:p>
        </w:tc>
        <w:tc>
          <w:tcPr>
            <w:tcW w:w="6659" w:type="dxa"/>
            <w:shd w:val="clear" w:color="auto" w:fill="auto"/>
          </w:tcPr>
          <w:p w14:paraId="29442BB5" w14:textId="1EA96350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يكلف مديري المكاتب</w:t>
            </w:r>
          </w:p>
        </w:tc>
      </w:tr>
      <w:tr w:rsidR="002A0761" w:rsidRPr="002A0761" w14:paraId="43A41DFF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33B3759F" w14:textId="2C31B224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218 (بوخارست، 2022)</w:t>
            </w:r>
          </w:p>
        </w:tc>
        <w:tc>
          <w:tcPr>
            <w:tcW w:w="5953" w:type="dxa"/>
            <w:shd w:val="clear" w:color="auto" w:fill="auto"/>
          </w:tcPr>
          <w:p w14:paraId="06B41B46" w14:textId="369CFA18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دور الاتحاد الدولي للاتصالات في تنفيذ خطة "الفضاء 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t>2030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": الفضاء باعتباره</w:t>
            </w:r>
            <w:r w:rsidR="005C59F0" w:rsidRPr="002A0761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fr-CH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محركاً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t xml:space="preserve">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للتنمية المستدامة، وفي عملية متابعة تنفيذها واستعراضه</w:t>
            </w:r>
          </w:p>
        </w:tc>
        <w:tc>
          <w:tcPr>
            <w:tcW w:w="6659" w:type="dxa"/>
            <w:shd w:val="clear" w:color="auto" w:fill="auto"/>
          </w:tcPr>
          <w:p w14:paraId="4686FCFC" w14:textId="2D033069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/>
                <w:position w:val="2"/>
                <w:sz w:val="20"/>
                <w:szCs w:val="20"/>
                <w:rtl/>
                <w:lang w:eastAsia="fr-CH" w:bidi="ar-EG"/>
              </w:rPr>
              <w:t>يكلف الأمين العام ومديري المكاتب</w:t>
            </w:r>
          </w:p>
        </w:tc>
      </w:tr>
      <w:tr w:rsidR="002A0761" w:rsidRPr="002A0761" w14:paraId="1C610D70" w14:textId="77777777" w:rsidTr="008C4753">
        <w:trPr>
          <w:jc w:val="center"/>
        </w:trPr>
        <w:tc>
          <w:tcPr>
            <w:tcW w:w="3122" w:type="dxa"/>
            <w:shd w:val="clear" w:color="auto" w:fill="auto"/>
          </w:tcPr>
          <w:p w14:paraId="0A1FA04C" w14:textId="4797C1EC" w:rsidR="00595F24" w:rsidRPr="002A0761" w:rsidRDefault="00BE5445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القرار 219 (بوخارست، 2022)</w:t>
            </w:r>
          </w:p>
        </w:tc>
        <w:tc>
          <w:tcPr>
            <w:tcW w:w="5953" w:type="dxa"/>
            <w:shd w:val="clear" w:color="auto" w:fill="auto"/>
          </w:tcPr>
          <w:p w14:paraId="7A554338" w14:textId="1B625F8F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استدامة طيف الترددات الراديوية وما يرتبط به </w:t>
            </w:r>
            <w:r w:rsidR="00967FC9"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 xml:space="preserve">من </w:t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موارد المدارات الساتلية</w:t>
            </w:r>
            <w:r w:rsidRPr="002A0761">
              <w:rPr>
                <w:rFonts w:eastAsia="Times New Roman"/>
                <w:position w:val="2"/>
                <w:sz w:val="20"/>
                <w:szCs w:val="20"/>
                <w:lang w:val="en-GB" w:eastAsia="fr-CH"/>
              </w:rPr>
              <w:br/>
            </w: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 w:bidi="ar-EG"/>
              </w:rPr>
              <w:t>التي تستخدمها الخدمات الفضائية</w:t>
            </w:r>
          </w:p>
        </w:tc>
        <w:tc>
          <w:tcPr>
            <w:tcW w:w="6659" w:type="dxa"/>
            <w:shd w:val="clear" w:color="auto" w:fill="auto"/>
          </w:tcPr>
          <w:p w14:paraId="3400C3B7" w14:textId="49A7E0E7" w:rsidR="00595F24" w:rsidRPr="002A0761" w:rsidRDefault="00CA1308" w:rsidP="00FE327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80" w:lineRule="exact"/>
              <w:rPr>
                <w:rFonts w:eastAsia="Times New Roman"/>
                <w:position w:val="2"/>
                <w:sz w:val="20"/>
                <w:szCs w:val="20"/>
                <w:lang w:eastAsia="fr-CH"/>
              </w:rPr>
            </w:pPr>
            <w:r w:rsidRPr="002A0761">
              <w:rPr>
                <w:rFonts w:eastAsia="Times New Roman" w:hint="cs"/>
                <w:position w:val="2"/>
                <w:sz w:val="20"/>
                <w:szCs w:val="20"/>
                <w:rtl/>
                <w:lang w:eastAsia="fr-CH"/>
              </w:rPr>
              <w:t>يكلف مدير مكتب تنمية الاتصالات</w:t>
            </w:r>
          </w:p>
        </w:tc>
      </w:tr>
    </w:tbl>
    <w:p w14:paraId="7C9479FB" w14:textId="1748C157" w:rsidR="00595F24" w:rsidRPr="00FE327F" w:rsidRDefault="00FE327F" w:rsidP="00FE327F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FE327F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595F24" w:rsidRPr="00FE327F" w:rsidSect="005C59F0">
      <w:headerReference w:type="default" r:id="rId13"/>
      <w:headerReference w:type="first" r:id="rId14"/>
      <w:footerReference w:type="first" r:id="rId15"/>
      <w:pgSz w:w="16840" w:h="11907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E85F" w14:textId="77777777" w:rsidR="00015D3E" w:rsidRDefault="00015D3E" w:rsidP="006C3242">
      <w:pPr>
        <w:spacing w:before="0" w:line="240" w:lineRule="auto"/>
      </w:pPr>
      <w:r>
        <w:separator/>
      </w:r>
    </w:p>
  </w:endnote>
  <w:endnote w:type="continuationSeparator" w:id="0">
    <w:p w14:paraId="6D045FAC" w14:textId="77777777" w:rsidR="00015D3E" w:rsidRDefault="00015D3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5FA7" w14:textId="3D863F36" w:rsidR="00FE327F" w:rsidRPr="00983DA5" w:rsidRDefault="00FE327F" w:rsidP="00FE327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C59F0">
      <w:rPr>
        <w:noProof/>
        <w:sz w:val="16"/>
        <w:szCs w:val="16"/>
        <w:lang w:val="pt-PT"/>
      </w:rPr>
      <w:t>P:\ARA\ITU-D\CONF-D\TDAG23\TDAG23-30\000\012A.docx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Pr="00595F24">
      <w:rPr>
        <w:sz w:val="16"/>
        <w:szCs w:val="16"/>
        <w:lang w:val="pt-PT"/>
      </w:rPr>
      <w:t>520124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17719CD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14A9C0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64FAD5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9B936C6" w14:textId="245F051C" w:rsidR="00882A17" w:rsidRPr="005C59F0" w:rsidRDefault="00015D3E" w:rsidP="00FC08CC">
          <w:pPr>
            <w:spacing w:before="60" w:after="40" w:line="260" w:lineRule="exact"/>
            <w:jc w:val="left"/>
            <w:rPr>
              <w:spacing w:val="2"/>
              <w:position w:val="2"/>
              <w:sz w:val="18"/>
              <w:szCs w:val="18"/>
              <w:rtl/>
              <w:lang w:val="en-GB" w:bidi="ar-EG"/>
            </w:rPr>
          </w:pPr>
          <w:r w:rsidRPr="005C59F0">
            <w:rPr>
              <w:rFonts w:hint="cs"/>
              <w:spacing w:val="2"/>
              <w:position w:val="2"/>
              <w:sz w:val="18"/>
              <w:szCs w:val="18"/>
              <w:rtl/>
              <w:lang w:bidi="ar-EG"/>
            </w:rPr>
            <w:t xml:space="preserve">السيد </w:t>
          </w:r>
          <w:r w:rsidRPr="005C59F0">
            <w:rPr>
              <w:spacing w:val="2"/>
              <w:position w:val="2"/>
              <w:sz w:val="18"/>
              <w:szCs w:val="18"/>
              <w:lang w:bidi="ar-EG"/>
            </w:rPr>
            <w:t>Marco Obiso</w:t>
          </w:r>
          <w:r w:rsidRPr="005C59F0">
            <w:rPr>
              <w:rFonts w:hint="cs"/>
              <w:spacing w:val="2"/>
              <w:position w:val="2"/>
              <w:sz w:val="18"/>
              <w:szCs w:val="18"/>
              <w:rtl/>
              <w:lang w:bidi="ar-EG"/>
            </w:rPr>
            <w:t xml:space="preserve">، </w:t>
          </w:r>
          <w:r w:rsidR="00967FC9" w:rsidRPr="005C59F0">
            <w:rPr>
              <w:rFonts w:hint="cs"/>
              <w:spacing w:val="2"/>
              <w:position w:val="2"/>
              <w:sz w:val="18"/>
              <w:szCs w:val="18"/>
              <w:rtl/>
              <w:lang w:bidi="ar-EG"/>
            </w:rPr>
            <w:t xml:space="preserve">القائم بأعمال </w:t>
          </w:r>
          <w:r w:rsidRPr="005C59F0">
            <w:rPr>
              <w:spacing w:val="2"/>
              <w:position w:val="2"/>
              <w:sz w:val="18"/>
              <w:szCs w:val="18"/>
              <w:rtl/>
            </w:rPr>
            <w:t>رئيس دائرة الشراكات من أجل التنمية الرقمية</w:t>
          </w:r>
          <w:r w:rsidR="00967FC9" w:rsidRPr="005C59F0">
            <w:rPr>
              <w:rFonts w:hint="cs"/>
              <w:spacing w:val="2"/>
              <w:position w:val="2"/>
              <w:sz w:val="18"/>
              <w:szCs w:val="18"/>
              <w:rtl/>
            </w:rPr>
            <w:t>،</w:t>
          </w:r>
          <w:r w:rsidRPr="005C59F0">
            <w:rPr>
              <w:spacing w:val="2"/>
              <w:position w:val="2"/>
              <w:sz w:val="18"/>
              <w:szCs w:val="18"/>
              <w:rtl/>
            </w:rPr>
            <w:t xml:space="preserve"> </w:t>
          </w:r>
          <w:r w:rsidR="00FC08CC">
            <w:rPr>
              <w:spacing w:val="2"/>
              <w:position w:val="2"/>
              <w:sz w:val="18"/>
              <w:szCs w:val="18"/>
              <w:rtl/>
            </w:rPr>
            <w:br/>
          </w:r>
          <w:r w:rsidRPr="005C59F0">
            <w:rPr>
              <w:spacing w:val="2"/>
              <w:position w:val="2"/>
              <w:sz w:val="18"/>
              <w:szCs w:val="18"/>
              <w:rtl/>
            </w:rPr>
            <w:t>مكتب تنمية الاتصالات</w:t>
          </w:r>
        </w:p>
      </w:tc>
    </w:tr>
    <w:tr w:rsidR="00882A17" w:rsidRPr="005874F2" w14:paraId="038CE175" w14:textId="77777777" w:rsidTr="00F03E94">
      <w:tc>
        <w:tcPr>
          <w:tcW w:w="991" w:type="dxa"/>
        </w:tcPr>
        <w:p w14:paraId="3125BF71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02E101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22C2B7B" w14:textId="445569BE" w:rsidR="00882A17" w:rsidRPr="005874F2" w:rsidRDefault="00015D3E" w:rsidP="00015D3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015D3E">
            <w:rPr>
              <w:position w:val="2"/>
              <w:sz w:val="18"/>
              <w:szCs w:val="18"/>
            </w:rPr>
            <w:t>+41 22 730 6760</w:t>
          </w:r>
        </w:p>
      </w:tc>
    </w:tr>
    <w:tr w:rsidR="00882A17" w:rsidRPr="005874F2" w14:paraId="62601835" w14:textId="77777777" w:rsidTr="00F03E94">
      <w:tc>
        <w:tcPr>
          <w:tcW w:w="991" w:type="dxa"/>
        </w:tcPr>
        <w:p w14:paraId="4EB1FBD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D16C1F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D1B10CC" w14:textId="2D13C33B" w:rsidR="00882A17" w:rsidRPr="005874F2" w:rsidRDefault="00C94EC7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015D3E" w:rsidRPr="00301F89">
              <w:rPr>
                <w:rStyle w:val="Hyperlink"/>
                <w:sz w:val="18"/>
                <w:szCs w:val="18"/>
              </w:rPr>
              <w:t>marco.obiso@itu.int</w:t>
            </w:r>
          </w:hyperlink>
        </w:p>
      </w:tc>
    </w:tr>
  </w:tbl>
  <w:p w14:paraId="1B8D88A4" w14:textId="77777777" w:rsidR="0006468A" w:rsidRPr="003971E3" w:rsidRDefault="00C94EC7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02A1" w14:textId="78AF8694" w:rsidR="00595F24" w:rsidRPr="00983DA5" w:rsidRDefault="00595F24" w:rsidP="00595F2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C59F0">
      <w:rPr>
        <w:noProof/>
        <w:sz w:val="16"/>
        <w:szCs w:val="16"/>
        <w:lang w:val="pt-PT"/>
      </w:rPr>
      <w:t>P:\ARA\ITU-D\CONF-D\TDAG23\TDAG23-30\000\012A.docx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Pr="00595F24">
      <w:rPr>
        <w:sz w:val="16"/>
        <w:szCs w:val="16"/>
        <w:lang w:val="pt-PT"/>
      </w:rPr>
      <w:t>520124</w:t>
    </w:r>
    <w:r w:rsidRPr="00983DA5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9221" w14:textId="77777777" w:rsidR="00015D3E" w:rsidRDefault="00015D3E" w:rsidP="006C3242">
      <w:pPr>
        <w:spacing w:before="0" w:line="240" w:lineRule="auto"/>
      </w:pPr>
      <w:r>
        <w:separator/>
      </w:r>
    </w:p>
  </w:footnote>
  <w:footnote w:type="continuationSeparator" w:id="0">
    <w:p w14:paraId="3DAA6383" w14:textId="77777777" w:rsidR="00015D3E" w:rsidRDefault="00015D3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C0D83E0" w14:textId="4AB38D7E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2" w:name="DocNo2"/>
        <w:bookmarkEnd w:id="2"/>
        <w:r w:rsidR="00D8311F">
          <w:rPr>
            <w:sz w:val="20"/>
            <w:szCs w:val="20"/>
            <w:lang w:val="es-ES_tradnl"/>
          </w:rPr>
          <w:t>/</w:t>
        </w:r>
        <w:r w:rsidR="00015D3E">
          <w:rPr>
            <w:sz w:val="20"/>
            <w:szCs w:val="20"/>
            <w:lang w:val="es-ES_tradnl"/>
          </w:rPr>
          <w:t>12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817866507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FA207EC" w14:textId="77777777" w:rsidR="004F059C" w:rsidRPr="00FC3D2F" w:rsidRDefault="004F059C" w:rsidP="004F059C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12444"/>
          </w:tabs>
          <w:spacing w:before="120" w:after="240" w:line="192" w:lineRule="auto"/>
          <w:jc w:val="right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TDAG-23/12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15453122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55E0B4B" w14:textId="60698D14" w:rsidR="00595F24" w:rsidRPr="00FC3D2F" w:rsidRDefault="00595F24" w:rsidP="00595F24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12444"/>
          </w:tabs>
          <w:spacing w:before="120" w:after="240" w:line="192" w:lineRule="auto"/>
          <w:jc w:val="right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TDAG-23/12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3E"/>
    <w:rsid w:val="00015D3E"/>
    <w:rsid w:val="00026D7C"/>
    <w:rsid w:val="0006468A"/>
    <w:rsid w:val="000738EE"/>
    <w:rsid w:val="00090574"/>
    <w:rsid w:val="000C1C0E"/>
    <w:rsid w:val="000C548A"/>
    <w:rsid w:val="00142FBA"/>
    <w:rsid w:val="00153471"/>
    <w:rsid w:val="0016798E"/>
    <w:rsid w:val="0019128D"/>
    <w:rsid w:val="001A0A7C"/>
    <w:rsid w:val="001B5B79"/>
    <w:rsid w:val="001C0169"/>
    <w:rsid w:val="001D1D50"/>
    <w:rsid w:val="001D6745"/>
    <w:rsid w:val="001E446E"/>
    <w:rsid w:val="0021016E"/>
    <w:rsid w:val="002154EE"/>
    <w:rsid w:val="002276D2"/>
    <w:rsid w:val="0023283D"/>
    <w:rsid w:val="0026373E"/>
    <w:rsid w:val="00271C43"/>
    <w:rsid w:val="00287A64"/>
    <w:rsid w:val="00290728"/>
    <w:rsid w:val="002978F4"/>
    <w:rsid w:val="002A0761"/>
    <w:rsid w:val="002B028D"/>
    <w:rsid w:val="002C7663"/>
    <w:rsid w:val="002E6541"/>
    <w:rsid w:val="00317741"/>
    <w:rsid w:val="00333477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E11DC"/>
    <w:rsid w:val="004F059C"/>
    <w:rsid w:val="004F3C48"/>
    <w:rsid w:val="004F7318"/>
    <w:rsid w:val="00506E94"/>
    <w:rsid w:val="00525DDD"/>
    <w:rsid w:val="005409AC"/>
    <w:rsid w:val="0055516A"/>
    <w:rsid w:val="005731B7"/>
    <w:rsid w:val="0058491B"/>
    <w:rsid w:val="005874F2"/>
    <w:rsid w:val="00592EA5"/>
    <w:rsid w:val="00595F24"/>
    <w:rsid w:val="005A3170"/>
    <w:rsid w:val="005B2C89"/>
    <w:rsid w:val="005C59F0"/>
    <w:rsid w:val="005D610E"/>
    <w:rsid w:val="005E1E6D"/>
    <w:rsid w:val="005F6DE3"/>
    <w:rsid w:val="006128FC"/>
    <w:rsid w:val="006368CD"/>
    <w:rsid w:val="00655277"/>
    <w:rsid w:val="00677396"/>
    <w:rsid w:val="0068636E"/>
    <w:rsid w:val="0069200F"/>
    <w:rsid w:val="006A65CB"/>
    <w:rsid w:val="006B1B96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923D9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407"/>
    <w:rsid w:val="00874F08"/>
    <w:rsid w:val="00882A17"/>
    <w:rsid w:val="008A7F84"/>
    <w:rsid w:val="008C4753"/>
    <w:rsid w:val="008C7F04"/>
    <w:rsid w:val="0091702E"/>
    <w:rsid w:val="00921A50"/>
    <w:rsid w:val="00923B0C"/>
    <w:rsid w:val="0094021C"/>
    <w:rsid w:val="0094065A"/>
    <w:rsid w:val="00952F86"/>
    <w:rsid w:val="00967FC9"/>
    <w:rsid w:val="00982B28"/>
    <w:rsid w:val="00983DA5"/>
    <w:rsid w:val="009B1EBE"/>
    <w:rsid w:val="009D313F"/>
    <w:rsid w:val="00A164A2"/>
    <w:rsid w:val="00A23B22"/>
    <w:rsid w:val="00A24359"/>
    <w:rsid w:val="00A47A5A"/>
    <w:rsid w:val="00A6088D"/>
    <w:rsid w:val="00A6683B"/>
    <w:rsid w:val="00A97F94"/>
    <w:rsid w:val="00AA7EA2"/>
    <w:rsid w:val="00AF1D3C"/>
    <w:rsid w:val="00B03099"/>
    <w:rsid w:val="00B05BC8"/>
    <w:rsid w:val="00B4242B"/>
    <w:rsid w:val="00B64B47"/>
    <w:rsid w:val="00B70FF6"/>
    <w:rsid w:val="00B93B7B"/>
    <w:rsid w:val="00BA7C99"/>
    <w:rsid w:val="00BD0342"/>
    <w:rsid w:val="00BD1FCF"/>
    <w:rsid w:val="00BE5445"/>
    <w:rsid w:val="00C002DE"/>
    <w:rsid w:val="00C01C59"/>
    <w:rsid w:val="00C53BF8"/>
    <w:rsid w:val="00C56B5F"/>
    <w:rsid w:val="00C66157"/>
    <w:rsid w:val="00C674FE"/>
    <w:rsid w:val="00C67501"/>
    <w:rsid w:val="00C75633"/>
    <w:rsid w:val="00C85CB5"/>
    <w:rsid w:val="00C94EC7"/>
    <w:rsid w:val="00CA08BA"/>
    <w:rsid w:val="00CA1308"/>
    <w:rsid w:val="00CC6483"/>
    <w:rsid w:val="00CE2EE1"/>
    <w:rsid w:val="00CE3349"/>
    <w:rsid w:val="00CE36E5"/>
    <w:rsid w:val="00CF27F5"/>
    <w:rsid w:val="00CF3FFD"/>
    <w:rsid w:val="00D07ED2"/>
    <w:rsid w:val="00D10CCF"/>
    <w:rsid w:val="00D40506"/>
    <w:rsid w:val="00D77D0F"/>
    <w:rsid w:val="00D8311F"/>
    <w:rsid w:val="00DA1702"/>
    <w:rsid w:val="00DA1CF0"/>
    <w:rsid w:val="00DA4F0B"/>
    <w:rsid w:val="00DB1DC1"/>
    <w:rsid w:val="00DC1E02"/>
    <w:rsid w:val="00DC24B4"/>
    <w:rsid w:val="00DC5FB0"/>
    <w:rsid w:val="00DF16DC"/>
    <w:rsid w:val="00E11B5A"/>
    <w:rsid w:val="00E45211"/>
    <w:rsid w:val="00E473C5"/>
    <w:rsid w:val="00E92863"/>
    <w:rsid w:val="00EB796D"/>
    <w:rsid w:val="00EC2715"/>
    <w:rsid w:val="00EC3E28"/>
    <w:rsid w:val="00EE5CF2"/>
    <w:rsid w:val="00F058DC"/>
    <w:rsid w:val="00F15B70"/>
    <w:rsid w:val="00F24FC4"/>
    <w:rsid w:val="00F26082"/>
    <w:rsid w:val="00F2676C"/>
    <w:rsid w:val="00F43D01"/>
    <w:rsid w:val="00F4479A"/>
    <w:rsid w:val="00F77022"/>
    <w:rsid w:val="00F84366"/>
    <w:rsid w:val="00F85089"/>
    <w:rsid w:val="00F974C5"/>
    <w:rsid w:val="00FA6F46"/>
    <w:rsid w:val="00FC08CC"/>
    <w:rsid w:val="00FE3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3E99"/>
  <w15:chartTrackingRefBased/>
  <w15:docId w15:val="{2093AAF7-2E39-4310-B827-7FBC58DC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ACTF-202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Arabic-IR</cp:lastModifiedBy>
  <cp:revision>15</cp:revision>
  <dcterms:created xsi:type="dcterms:W3CDTF">2023-05-15T15:43:00Z</dcterms:created>
  <dcterms:modified xsi:type="dcterms:W3CDTF">2023-05-16T08:37:00Z</dcterms:modified>
</cp:coreProperties>
</file>