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85D46" w:rsidTr="70802C9B" w14:paraId="3D1F146B" w14:textId="77777777">
        <w:trPr>
          <w:cantSplit/>
          <w:trHeight w:val="1134"/>
        </w:trPr>
        <w:tc>
          <w:tcPr>
            <w:tcW w:w="6379" w:type="dxa"/>
            <w:tcMar/>
          </w:tcPr>
          <w:p w:rsidR="00D85D46" w:rsidP="00D85D46" w:rsidRDefault="00D85D46" w14:paraId="06A6531F" w14:textId="77777777">
            <w:pPr>
              <w:ind w:left="34"/>
              <w:rPr>
                <w:b/>
                <w:bCs/>
                <w:sz w:val="32"/>
                <w:szCs w:val="32"/>
                <w:lang w:val="es-ES_tradnl"/>
              </w:rPr>
            </w:pPr>
            <w:r>
              <w:rPr>
                <w:b/>
                <w:bCs/>
                <w:sz w:val="32"/>
                <w:szCs w:val="32"/>
                <w:lang w:val="es-ES_tradnl"/>
              </w:rPr>
              <w:t>Grupo Asesor de Desarrollo de las Telecomunicaciones (GADT)</w:t>
            </w:r>
          </w:p>
          <w:p w:rsidRPr="00844A56" w:rsidR="00D85D46" w:rsidP="00D85D46" w:rsidRDefault="00D85D46" w14:paraId="2CE8EBAC" w14:textId="35CF85E2">
            <w:pPr>
              <w:tabs>
                <w:tab w:val="clear" w:pos="1191"/>
                <w:tab w:val="clear" w:pos="1588"/>
                <w:tab w:val="clear" w:pos="1985"/>
              </w:tabs>
              <w:spacing w:before="100" w:after="120"/>
              <w:ind w:left="34"/>
              <w:rPr>
                <w:rFonts w:ascii="Verdana" w:hAnsi="Verdana"/>
                <w:sz w:val="28"/>
                <w:szCs w:val="28"/>
              </w:rPr>
            </w:pPr>
            <w:r>
              <w:rPr>
                <w:b/>
                <w:bCs/>
                <w:sz w:val="26"/>
                <w:szCs w:val="26"/>
                <w:lang w:val="es-ES_tradnl"/>
              </w:rPr>
              <w:t>30ª reunión, Ginebra, Suiza, 19-23 de junio de 2023</w:t>
            </w:r>
          </w:p>
        </w:tc>
        <w:tc>
          <w:tcPr>
            <w:tcW w:w="3509" w:type="dxa"/>
            <w:tcMar/>
          </w:tcPr>
          <w:p w:rsidRPr="00683C32" w:rsidR="00D85D46" w:rsidP="00D85D46" w:rsidRDefault="007D416E" w14:paraId="7EA5E3BF" w14:textId="323F12FF">
            <w:pPr>
              <w:spacing w:after="120"/>
              <w:ind w:right="142"/>
              <w:jc w:val="right"/>
            </w:pPr>
            <w:r>
              <w:rPr>
                <w:noProof/>
                <w:lang w:val="es-ES_tradnl" w:eastAsia="fr-FR"/>
              </w:rPr>
              <w:pict w14:anchorId="189F4C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width:56.25pt;height:61.5pt;visibility:visible;mso-wrap-style:square" alt="A close up of a sign&#10;&#10;Description automatically generated" o:spid="_x0000_i1025" type="#_x0000_t75">
                  <v:imagedata o:title="A close up of a sign&#10;&#10;Description automatically generated" r:id="rId11"/>
                </v:shape>
              </w:pict>
            </w:r>
          </w:p>
        </w:tc>
      </w:tr>
      <w:tr w:rsidRPr="00997358" w:rsidR="0047681D" w:rsidTr="70802C9B" w14:paraId="00CB629B" w14:textId="77777777">
        <w:trPr>
          <w:cantSplit/>
        </w:trPr>
        <w:tc>
          <w:tcPr>
            <w:tcW w:w="6379" w:type="dxa"/>
            <w:tcBorders>
              <w:top w:val="single" w:color="auto" w:sz="12" w:space="0"/>
            </w:tcBorders>
            <w:tcMar/>
          </w:tcPr>
          <w:p w:rsidRPr="00997358" w:rsidR="0047681D" w:rsidP="000B3035" w:rsidRDefault="0047681D" w14:paraId="6C5F146D" w14:textId="77777777">
            <w:pPr>
              <w:spacing w:before="0"/>
              <w:rPr>
                <w:rFonts w:cs="Arial"/>
                <w:b/>
                <w:bCs/>
                <w:sz w:val="20"/>
              </w:rPr>
            </w:pPr>
          </w:p>
        </w:tc>
        <w:tc>
          <w:tcPr>
            <w:tcW w:w="3509" w:type="dxa"/>
            <w:tcBorders>
              <w:top w:val="single" w:color="auto" w:sz="12" w:space="0"/>
            </w:tcBorders>
            <w:tcMar/>
          </w:tcPr>
          <w:p w:rsidRPr="00997358" w:rsidR="0047681D" w:rsidP="000B3035" w:rsidRDefault="0047681D" w14:paraId="169F8559" w14:textId="3B1105EC">
            <w:pPr>
              <w:spacing w:before="0"/>
              <w:rPr>
                <w:b/>
                <w:bCs/>
                <w:sz w:val="20"/>
              </w:rPr>
            </w:pPr>
          </w:p>
        </w:tc>
      </w:tr>
      <w:tr w:rsidRPr="00002716" w:rsidR="0047681D" w:rsidTr="70802C9B" w14:paraId="1CB55A3C" w14:textId="77777777">
        <w:trPr>
          <w:cantSplit/>
        </w:trPr>
        <w:tc>
          <w:tcPr>
            <w:tcW w:w="6379" w:type="dxa"/>
            <w:tcMar/>
          </w:tcPr>
          <w:p w:rsidRPr="007F1CC7" w:rsidR="0047681D" w:rsidP="000B3035" w:rsidRDefault="0047681D" w14:paraId="15927B6D" w14:textId="77777777">
            <w:pPr>
              <w:pStyle w:val="Committee"/>
              <w:spacing w:before="0"/>
              <w:rPr>
                <w:b w:val="0"/>
                <w:szCs w:val="24"/>
              </w:rPr>
            </w:pPr>
          </w:p>
        </w:tc>
        <w:tc>
          <w:tcPr>
            <w:tcW w:w="3509" w:type="dxa"/>
            <w:tcMar/>
          </w:tcPr>
          <w:p w:rsidRPr="007F1CC7" w:rsidR="0047681D" w:rsidP="000B3035" w:rsidRDefault="0047681D" w14:paraId="2F95B108" w14:textId="0FC2E847">
            <w:pPr>
              <w:spacing w:before="0"/>
              <w:jc w:val="both"/>
              <w:rPr>
                <w:bCs/>
                <w:szCs w:val="24"/>
                <w:lang w:val="en-US"/>
              </w:rPr>
            </w:pPr>
            <w:r w:rsidRPr="00002716">
              <w:rPr>
                <w:b/>
                <w:bCs/>
                <w:lang w:val="en-US"/>
              </w:rPr>
              <w:t xml:space="preserve">Documento </w:t>
            </w:r>
            <w:bookmarkStart w:name="DocRef1" w:id="0"/>
            <w:bookmarkEnd w:id="0"/>
            <w:r>
              <w:rPr>
                <w:b/>
                <w:bCs/>
                <w:lang w:val="en-US"/>
              </w:rPr>
              <w:t xml:space="preserve">TDAG-2 </w:t>
            </w:r>
            <w:bookmarkStart w:name="DocNo1" w:id="1"/>
            <w:bookmarkEnd w:id="1"/>
            <w:r>
              <w:rPr>
                <w:b/>
                <w:bCs/>
                <w:lang w:val="en-US"/>
              </w:rPr>
              <w:t>3/9</w:t>
            </w:r>
            <w:r w:rsidR="007D416E">
              <w:rPr>
                <w:b/>
                <w:bCs/>
                <w:lang w:val="en-US"/>
              </w:rPr>
              <w:t>(Rev.1)</w:t>
            </w:r>
            <w:bookmarkStart w:name="_GoBack" w:id="2"/>
            <w:bookmarkEnd w:id="2"/>
            <w:r>
              <w:rPr>
                <w:b/>
                <w:bCs/>
                <w:lang w:val="en-US"/>
              </w:rPr>
              <w:t>-</w:t>
            </w:r>
            <w:r w:rsidR="00187FE4">
              <w:rPr>
                <w:b/>
                <w:bCs/>
                <w:lang w:val="en-US"/>
              </w:rPr>
              <w:t>S</w:t>
            </w:r>
          </w:p>
        </w:tc>
      </w:tr>
      <w:tr w:rsidR="0047681D" w:rsidTr="70802C9B" w14:paraId="55B23DAF" w14:textId="77777777">
        <w:trPr>
          <w:cantSplit/>
        </w:trPr>
        <w:tc>
          <w:tcPr>
            <w:tcW w:w="6379" w:type="dxa"/>
            <w:tcMar/>
          </w:tcPr>
          <w:p w:rsidRPr="007F1CC7" w:rsidR="0047681D" w:rsidP="000B3035" w:rsidRDefault="0047681D" w14:paraId="74537537" w14:textId="77777777">
            <w:pPr>
              <w:spacing w:before="0"/>
              <w:rPr>
                <w:b/>
                <w:bCs/>
                <w:smallCaps/>
                <w:szCs w:val="24"/>
                <w:lang w:val="en-US"/>
              </w:rPr>
            </w:pPr>
          </w:p>
        </w:tc>
        <w:tc>
          <w:tcPr>
            <w:tcW w:w="3509" w:type="dxa"/>
            <w:tcMar/>
          </w:tcPr>
          <w:p w:rsidRPr="007F1CC7" w:rsidR="0047681D" w:rsidP="000B3035" w:rsidRDefault="0047681D" w14:paraId="40C4B721" w14:textId="0F41A621">
            <w:pPr>
              <w:spacing w:before="0"/>
              <w:rPr>
                <w:b/>
                <w:szCs w:val="24"/>
              </w:rPr>
            </w:pPr>
            <w:bookmarkStart w:name="CreationDate" w:id="3"/>
            <w:bookmarkEnd w:id="3"/>
            <w:r>
              <w:rPr>
                <w:b/>
                <w:bCs/>
                <w:szCs w:val="28"/>
              </w:rPr>
              <w:t>21 junio 2023</w:t>
            </w:r>
          </w:p>
        </w:tc>
      </w:tr>
      <w:tr w:rsidR="0047681D" w:rsidTr="70802C9B" w14:paraId="085C0502" w14:textId="77777777">
        <w:trPr>
          <w:cantSplit/>
        </w:trPr>
        <w:tc>
          <w:tcPr>
            <w:tcW w:w="6379" w:type="dxa"/>
            <w:tcMar/>
          </w:tcPr>
          <w:p w:rsidRPr="007F1CC7" w:rsidR="0047681D" w:rsidP="000B3035" w:rsidRDefault="0047681D" w14:paraId="31F55477" w14:textId="77777777">
            <w:pPr>
              <w:spacing w:before="0"/>
              <w:rPr>
                <w:b/>
                <w:bCs/>
                <w:smallCaps/>
                <w:szCs w:val="24"/>
              </w:rPr>
            </w:pPr>
          </w:p>
        </w:tc>
        <w:tc>
          <w:tcPr>
            <w:tcW w:w="3509" w:type="dxa"/>
            <w:tcMar/>
          </w:tcPr>
          <w:p w:rsidRPr="007F1CC7" w:rsidR="0047681D" w:rsidP="000B3035" w:rsidRDefault="0047681D" w14:paraId="2BB636AB" w14:textId="77777777">
            <w:pPr>
              <w:spacing w:before="0"/>
              <w:rPr>
                <w:szCs w:val="24"/>
              </w:rPr>
            </w:pPr>
            <w:r>
              <w:rPr>
                <w:b/>
              </w:rPr>
              <w:t xml:space="preserve">Original: </w:t>
            </w:r>
            <w:bookmarkStart w:name="Original" w:id="4"/>
            <w:bookmarkEnd w:id="4"/>
            <w:r>
              <w:rPr>
                <w:b/>
              </w:rPr>
              <w:t>inglés</w:t>
            </w:r>
          </w:p>
        </w:tc>
      </w:tr>
      <w:tr w:rsidR="00180196" w:rsidTr="70802C9B" w14:paraId="16C754B0" w14:textId="77777777">
        <w:trPr>
          <w:cantSplit/>
          <w:trHeight w:val="852"/>
        </w:trPr>
        <w:tc>
          <w:tcPr>
            <w:tcW w:w="9888" w:type="dxa"/>
            <w:gridSpan w:val="2"/>
            <w:tcMar/>
          </w:tcPr>
          <w:p w:rsidRPr="00BA55BA" w:rsidR="00180196" w:rsidP="00180196" w:rsidRDefault="00180196" w14:paraId="4D38CAC2" w14:textId="784CAE5D">
            <w:pPr>
              <w:pStyle w:val="Source"/>
            </w:pPr>
            <w:bookmarkStart w:name="Source" w:id="5"/>
            <w:bookmarkEnd w:id="5"/>
            <w:r w:rsidRPr="00941F6B">
              <w:rPr>
                <w:lang w:val="es-ES"/>
              </w:rPr>
              <w:t>Presidente del Grupo de Coordinación Intersectorial</w:t>
            </w:r>
          </w:p>
        </w:tc>
      </w:tr>
      <w:tr w:rsidRPr="002E6963" w:rsidR="00180196" w:rsidTr="70802C9B" w14:paraId="7DF3002D" w14:textId="77777777">
        <w:trPr>
          <w:cantSplit/>
        </w:trPr>
        <w:tc>
          <w:tcPr>
            <w:tcW w:w="9888" w:type="dxa"/>
            <w:gridSpan w:val="2"/>
            <w:tcMar/>
          </w:tcPr>
          <w:p w:rsidRPr="00BA55BA" w:rsidR="00180196" w:rsidP="00180196" w:rsidRDefault="00180196" w14:paraId="7808A01A" w14:textId="559632DD">
            <w:pPr>
              <w:pStyle w:val="Title1"/>
            </w:pPr>
            <w:bookmarkStart w:name="Title" w:id="6"/>
            <w:bookmarkEnd w:id="6"/>
            <w:r w:rsidRPr="00941F6B">
              <w:rPr>
                <w:lang w:val="es-ES"/>
              </w:rPr>
              <w:t xml:space="preserve">Informe del Grupo de Coordinación Intersectorial (GCIS) </w:t>
            </w:r>
            <w:r w:rsidRPr="00941F6B">
              <w:rPr>
                <w:lang w:val="es-ES"/>
              </w:rPr>
              <w:br/>
            </w:r>
            <w:r w:rsidRPr="00941F6B">
              <w:rPr>
                <w:color w:val="000000"/>
                <w:lang w:val="es-ES"/>
              </w:rPr>
              <w:t>sobre asuntos de interés mutuo</w:t>
            </w:r>
          </w:p>
        </w:tc>
      </w:tr>
      <w:tr w:rsidRPr="002E6963" w:rsidR="0047681D" w:rsidTr="70802C9B" w14:paraId="279B1802" w14:textId="77777777">
        <w:trPr>
          <w:cantSplit/>
        </w:trPr>
        <w:tc>
          <w:tcPr>
            <w:tcW w:w="9888" w:type="dxa"/>
            <w:gridSpan w:val="2"/>
            <w:tcBorders>
              <w:bottom w:val="single" w:color="auto" w:sz="4" w:space="0"/>
            </w:tcBorders>
            <w:tcMar/>
          </w:tcPr>
          <w:p w:rsidRPr="00A721F4" w:rsidR="0047681D" w:rsidP="000B3035" w:rsidRDefault="0047681D" w14:paraId="6E5AAC91" w14:textId="77777777"/>
        </w:tc>
      </w:tr>
      <w:tr w:rsidRPr="002E6963" w:rsidR="00180196" w:rsidTr="70802C9B" w14:paraId="26F590DA" w14:textId="77777777">
        <w:trPr>
          <w:cantSplit/>
        </w:trPr>
        <w:tc>
          <w:tcPr>
            <w:tcW w:w="9888" w:type="dxa"/>
            <w:gridSpan w:val="2"/>
            <w:tcBorders>
              <w:top w:val="single" w:color="auto" w:sz="4" w:space="0"/>
              <w:left w:val="single" w:color="auto" w:sz="4" w:space="0"/>
              <w:bottom w:val="single" w:color="auto" w:sz="4" w:space="0"/>
              <w:right w:val="single" w:color="auto" w:sz="4" w:space="0"/>
            </w:tcBorders>
            <w:tcMar/>
          </w:tcPr>
          <w:p w:rsidRPr="00D8041C" w:rsidR="00180196" w:rsidP="00180196" w:rsidRDefault="00180196" w14:paraId="72F1D2AF" w14:textId="77777777">
            <w:pPr>
              <w:spacing w:after="120"/>
              <w:rPr>
                <w:b/>
                <w:bCs/>
                <w:szCs w:val="24"/>
                <w:lang w:val="es-ES_tradnl"/>
              </w:rPr>
            </w:pPr>
            <w:r w:rsidRPr="00D8041C">
              <w:rPr>
                <w:b/>
                <w:bCs/>
                <w:szCs w:val="24"/>
                <w:lang w:val="es-ES_tradnl"/>
              </w:rPr>
              <w:t>Resumen:</w:t>
            </w:r>
          </w:p>
          <w:p w:rsidRPr="00D8041C" w:rsidR="00180196" w:rsidP="70802C9B" w:rsidRDefault="00180196" w14:paraId="422C76E4" w14:textId="606BE971">
            <w:pPr>
              <w:spacing w:after="120"/>
              <w:rPr>
                <w:lang w:val="es-ES"/>
              </w:rPr>
            </w:pPr>
            <w:r w:rsidRPr="70802C9B" w:rsidR="2D65A5C6">
              <w:rPr>
                <w:lang w:val="es-ES"/>
              </w:rPr>
              <w:t xml:space="preserve">En </w:t>
            </w:r>
            <w:r w:rsidRPr="70802C9B" w:rsidR="2D65A5C6">
              <w:rPr>
                <w:color w:val="000000" w:themeColor="text1" w:themeTint="FF" w:themeShade="FF"/>
                <w:lang w:val="es-ES"/>
              </w:rPr>
              <w:t>este documento se presenta un informe sobre la marcha de los trabajos del Grupo de Coordinación Intersectorial (</w:t>
            </w:r>
            <w:r w:rsidRPr="70802C9B" w:rsidR="4AA9166A">
              <w:rPr>
                <w:color w:val="000000" w:themeColor="text1" w:themeTint="FF" w:themeShade="FF"/>
                <w:lang w:val="es-ES"/>
              </w:rPr>
              <w:t>ISCG, en sus siglas en inglés</w:t>
            </w:r>
            <w:r w:rsidRPr="70802C9B" w:rsidR="2D65A5C6">
              <w:rPr>
                <w:color w:val="000000" w:themeColor="text1" w:themeTint="FF" w:themeShade="FF"/>
                <w:lang w:val="es-ES"/>
              </w:rPr>
              <w:t xml:space="preserve">) sobre asuntos de interés mutuo, en el que se destacan las conclusiones de su última reunión, celebrada </w:t>
            </w:r>
            <w:r w:rsidRPr="70802C9B" w:rsidR="2D65A5C6">
              <w:rPr>
                <w:lang w:val="es-ES"/>
              </w:rPr>
              <w:t>el 2 de mayo de 2023.</w:t>
            </w:r>
          </w:p>
          <w:p w:rsidRPr="00D8041C" w:rsidR="00180196" w:rsidP="00180196" w:rsidRDefault="00180196" w14:paraId="3ED9D149" w14:textId="77777777">
            <w:pPr>
              <w:spacing w:after="120"/>
              <w:rPr>
                <w:b/>
                <w:bCs/>
                <w:szCs w:val="24"/>
                <w:lang w:val="es-ES_tradnl"/>
              </w:rPr>
            </w:pPr>
            <w:r w:rsidRPr="00D8041C">
              <w:rPr>
                <w:b/>
                <w:bCs/>
                <w:lang w:val="es-ES_tradnl"/>
              </w:rPr>
              <w:t>Acción solicitada:</w:t>
            </w:r>
          </w:p>
          <w:p w:rsidRPr="00D8041C" w:rsidR="00180196" w:rsidP="00180196" w:rsidRDefault="00180196" w14:paraId="453EA9CC" w14:textId="77777777">
            <w:pPr>
              <w:spacing w:after="120"/>
              <w:rPr>
                <w:szCs w:val="24"/>
                <w:lang w:val="es-ES_tradnl"/>
              </w:rPr>
            </w:pPr>
            <w:r w:rsidRPr="00941F6B">
              <w:rPr>
                <w:color w:val="000000"/>
                <w:lang w:val="es-ES"/>
              </w:rPr>
              <w:t xml:space="preserve">Se invita al GADT a </w:t>
            </w:r>
            <w:r w:rsidRPr="00941F6B">
              <w:rPr>
                <w:b/>
                <w:color w:val="000000"/>
                <w:lang w:val="es-ES"/>
              </w:rPr>
              <w:t>tomar nota</w:t>
            </w:r>
            <w:r w:rsidRPr="00941F6B">
              <w:rPr>
                <w:color w:val="000000"/>
                <w:lang w:val="es-ES"/>
              </w:rPr>
              <w:t xml:space="preserve"> del presente documento y a formular los comentarios que estime convenientes</w:t>
            </w:r>
            <w:r w:rsidRPr="00941F6B">
              <w:rPr>
                <w:lang w:val="es-ES"/>
              </w:rPr>
              <w:t>.</w:t>
            </w:r>
          </w:p>
          <w:p w:rsidRPr="00D8041C" w:rsidR="00180196" w:rsidP="00180196" w:rsidRDefault="00180196" w14:paraId="1004CD81" w14:textId="77777777">
            <w:pPr>
              <w:spacing w:after="120"/>
              <w:rPr>
                <w:b/>
                <w:bCs/>
                <w:szCs w:val="24"/>
                <w:lang w:val="es-ES_tradnl"/>
              </w:rPr>
            </w:pPr>
            <w:r w:rsidRPr="00D8041C">
              <w:rPr>
                <w:b/>
                <w:bCs/>
                <w:szCs w:val="24"/>
                <w:lang w:val="es-ES_tradnl"/>
              </w:rPr>
              <w:t>Referencias:</w:t>
            </w:r>
          </w:p>
          <w:p w:rsidRPr="00D9621A" w:rsidR="00180196" w:rsidP="00180196" w:rsidRDefault="007D416E" w14:paraId="2878377D" w14:textId="234C91E6">
            <w:pPr>
              <w:spacing w:after="120"/>
            </w:pPr>
            <w:hyperlink w:history="1" r:id="rId12">
              <w:r w:rsidRPr="00941F6B" w:rsidR="00180196">
                <w:rPr>
                  <w:rStyle w:val="Hyperlink"/>
                  <w:lang w:val="es-ES"/>
                </w:rPr>
                <w:t>Resolución 191</w:t>
              </w:r>
            </w:hyperlink>
            <w:r w:rsidRPr="00941F6B" w:rsidR="00180196">
              <w:rPr>
                <w:lang w:val="es-ES"/>
              </w:rPr>
              <w:t xml:space="preserve"> (Rev. Bucarest, 2022); y </w:t>
            </w:r>
            <w:hyperlink w:history="1" r:id="rId13">
              <w:r w:rsidRPr="00941F6B" w:rsidR="00180196">
                <w:rPr>
                  <w:rStyle w:val="Hyperlink"/>
                  <w:lang w:val="es-ES"/>
                </w:rPr>
                <w:t>Decisión 5</w:t>
              </w:r>
            </w:hyperlink>
            <w:r w:rsidRPr="00941F6B" w:rsidR="00180196">
              <w:rPr>
                <w:rFonts w:ascii="Calibri" w:hAnsi="Calibri"/>
                <w:i/>
                <w:iCs/>
                <w:sz w:val="22"/>
                <w:szCs w:val="22"/>
                <w:lang w:val="es-ES"/>
              </w:rPr>
              <w:t xml:space="preserve"> </w:t>
            </w:r>
            <w:r w:rsidRPr="00941F6B" w:rsidR="00180196">
              <w:rPr>
                <w:lang w:val="es-ES"/>
              </w:rPr>
              <w:t>(Rev. Bucarest, 2022) de la</w:t>
            </w:r>
            <w:r w:rsidRPr="00941F6B" w:rsidR="00180196">
              <w:rPr>
                <w:rFonts w:ascii="Calibri" w:hAnsi="Calibri"/>
                <w:iCs/>
                <w:sz w:val="22"/>
                <w:szCs w:val="22"/>
                <w:lang w:val="es-ES"/>
              </w:rPr>
              <w:t xml:space="preserve"> </w:t>
            </w:r>
            <w:r w:rsidRPr="00941F6B" w:rsidR="00180196">
              <w:rPr>
                <w:lang w:val="es-ES"/>
              </w:rPr>
              <w:t>Conferencia de Plenipotenciarios</w:t>
            </w:r>
          </w:p>
        </w:tc>
      </w:tr>
    </w:tbl>
    <w:p w:rsidRPr="000D5936" w:rsidR="00337C85" w:rsidP="00337C85" w:rsidRDefault="00337C85" w14:paraId="24AF291A" w14:textId="77777777">
      <w:pPr>
        <w:spacing w:after="120"/>
        <w:rPr>
          <w:rFonts w:cstheme="minorHAnsi"/>
          <w:b/>
          <w:bCs/>
          <w:szCs w:val="24"/>
        </w:rPr>
      </w:pPr>
    </w:p>
    <w:p w:rsidRPr="00337C85" w:rsidR="00337C85" w:rsidP="00337C85" w:rsidRDefault="00337C85" w14:paraId="47D4144B" w14:textId="7607CF78">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rPr>
          <w:rFonts w:cstheme="minorHAnsi"/>
          <w:b/>
          <w:bCs/>
          <w:szCs w:val="24"/>
          <w:lang w:val="fr-FR"/>
        </w:rPr>
      </w:pPr>
      <w:r w:rsidRPr="00337C85">
        <w:rPr>
          <w:rFonts w:cstheme="minorHAnsi"/>
          <w:b/>
          <w:bCs/>
          <w:szCs w:val="24"/>
          <w:lang w:val="fr-FR"/>
        </w:rPr>
        <w:t>Introducción</w:t>
      </w:r>
    </w:p>
    <w:p w:rsidRPr="00337C85" w:rsidR="00337C85" w:rsidP="70802C9B" w:rsidRDefault="00337C85" w14:paraId="2E1B6F2B" w14:textId="53D1D0AF">
      <w:pPr>
        <w:pStyle w:val="Normal"/>
        <w:spacing w:after="120"/>
        <w:rPr>
          <w:rFonts w:cs="Calibri" w:cstheme="minorAscii"/>
        </w:rPr>
      </w:pPr>
      <w:r w:rsidRPr="70802C9B" w:rsidR="00337C85">
        <w:rPr>
          <w:rFonts w:cs="Calibri" w:cstheme="minorAscii"/>
        </w:rPr>
        <w:t>La primera reunión en 2023 del Grupo de Coordinación Intersectorial (ISCG</w:t>
      </w:r>
      <w:r w:rsidRPr="70802C9B" w:rsidR="722FB306">
        <w:rPr>
          <w:color w:val="000000" w:themeColor="text1" w:themeTint="FF" w:themeShade="FF"/>
          <w:lang w:val="es-ES"/>
        </w:rPr>
        <w:t>, en sus siglas en inglés</w:t>
      </w:r>
      <w:r w:rsidRPr="70802C9B" w:rsidR="00337C85">
        <w:rPr>
          <w:rFonts w:cs="Calibri" w:cstheme="minorAscii"/>
        </w:rPr>
        <w:t>) sobre temas de interés mutuo, tuvo lugar el 2 de</w:t>
      </w:r>
      <w:r w:rsidRPr="70802C9B" w:rsidR="0595F5BD">
        <w:rPr>
          <w:rFonts w:cs="Calibri" w:cstheme="minorAscii"/>
        </w:rPr>
        <w:t xml:space="preserve"> mayo</w:t>
      </w:r>
      <w:r w:rsidRPr="70802C9B" w:rsidR="00337C85">
        <w:rPr>
          <w:rFonts w:cs="Calibri" w:cstheme="minorAscii"/>
          <w:vertAlign w:val="superscript"/>
        </w:rPr>
        <w:t xml:space="preserve"> </w:t>
      </w:r>
      <w:r w:rsidRPr="70802C9B" w:rsidR="00337C85">
        <w:rPr>
          <w:rFonts w:cs="Calibri" w:cstheme="minorAscii"/>
        </w:rPr>
        <w:t>de 2023, en la Sede de la UIT, de 12:30 a 14:00 (CE</w:t>
      </w:r>
      <w:r w:rsidRPr="70802C9B" w:rsidR="68DE5C52">
        <w:rPr>
          <w:rFonts w:cs="Calibri" w:cstheme="minorAscii"/>
        </w:rPr>
        <w:t>S</w:t>
      </w:r>
      <w:r w:rsidRPr="70802C9B" w:rsidR="00337C85">
        <w:rPr>
          <w:rFonts w:cs="Calibri" w:cstheme="minorAscii"/>
        </w:rPr>
        <w:t>T), en conjunto con el Comité de Radiocomunicaciones Reunión del Grupo Asesor (GAR). El encuentro permitió la participación remota a través de la plataforma Zoom.</w:t>
      </w:r>
    </w:p>
    <w:p w:rsidRPr="00337C85" w:rsidR="00337C85" w:rsidP="00337C85" w:rsidRDefault="00337C85" w14:paraId="6D848A01" w14:textId="77777777">
      <w:pPr>
        <w:spacing w:after="120"/>
        <w:rPr>
          <w:rFonts w:cstheme="minorHAnsi"/>
          <w:szCs w:val="24"/>
        </w:rPr>
      </w:pPr>
      <w:r w:rsidRPr="00337C85">
        <w:rPr>
          <w:rFonts w:cstheme="minorHAnsi"/>
          <w:szCs w:val="24"/>
        </w:rPr>
        <w:t xml:space="preserve">La reunión estuvo presidida por el Sr. Fabio Bigi (Italia), presidente del ISCG, quien dio la bienvenida a los miembros del grupo y a otros participantes a la primera reunión del ISCG que se realizará en persona desde que se anunció la pandemia de COVID-19 en 2020. Sr. Bigi también dio la bienvenida al Secretario General Adjunto de la UIT, el Sr. Tomas Lamanauskas , quien se unió a la reunión para pronunciar un discurso de apertura. Tanto el Presidente del ISCG como el Vicesecretario General de la UIT coincidieron en la importancia de fortalecer la coordinación intersectorial dentro de la Unión, incluso entre los miembros y la secretaría, y alentar a los </w:t>
      </w:r>
      <w:r w:rsidRPr="00337C85">
        <w:rPr>
          <w:rFonts w:cstheme="minorHAnsi"/>
          <w:szCs w:val="24"/>
        </w:rPr>
        <w:lastRenderedPageBreak/>
        <w:t>miembros del ISCG a presentar contribuciones para mejorar los procesos de cooperación y colaboración entre los tres Sectores y la Secretaría General.</w:t>
      </w:r>
    </w:p>
    <w:p w:rsidRPr="00337C85" w:rsidR="00337C85" w:rsidP="00337C85" w:rsidRDefault="00337C85" w14:paraId="10AF29D9" w14:textId="216756D1">
      <w:pPr>
        <w:spacing w:after="120"/>
        <w:rPr>
          <w:rFonts w:cstheme="minorHAnsi"/>
          <w:szCs w:val="24"/>
        </w:rPr>
      </w:pPr>
      <w:r w:rsidRPr="00337C85">
        <w:rPr>
          <w:rFonts w:cstheme="minorHAnsi"/>
          <w:szCs w:val="24"/>
        </w:rPr>
        <w:t>El Presidente de ISCG presentó la Agenda (</w:t>
      </w:r>
      <w:hyperlink w:history="1" r:id="rId14">
        <w:r w:rsidRPr="00337C85">
          <w:rPr>
            <w:rStyle w:val="Hyperlink"/>
            <w:rFonts w:cstheme="minorHAnsi"/>
            <w:szCs w:val="24"/>
          </w:rPr>
          <w:t>ISCG/23-1/01-R1</w:t>
        </w:r>
      </w:hyperlink>
      <w:r w:rsidRPr="00337C85">
        <w:rPr>
          <w:rFonts w:cstheme="minorHAnsi"/>
          <w:szCs w:val="24"/>
        </w:rPr>
        <w:t>) que fue aprobada por la reunión.</w:t>
      </w:r>
    </w:p>
    <w:p w:rsidRPr="00337C85" w:rsidR="00337C85" w:rsidP="70802C9B" w:rsidRDefault="00337C85" w14:paraId="2AE52973" w14:textId="7C928651">
      <w:pPr>
        <w:spacing w:after="120"/>
        <w:rPr>
          <w:rFonts w:cs="Calibri" w:cstheme="minorAscii"/>
        </w:rPr>
      </w:pPr>
      <w:r w:rsidRPr="70802C9B" w:rsidR="00337C85">
        <w:rPr>
          <w:rFonts w:cs="Calibri" w:cstheme="minorAscii"/>
        </w:rPr>
        <w:t xml:space="preserve">El Presidente informó que todos los documentos presentados y discutidos durante la reunión, incluyendo la Agenda y la </w:t>
      </w:r>
      <w:bookmarkStart w:name="_Hlk96717086" w:id="7"/>
      <w:r w:rsidRPr="70802C9B" w:rsidR="00337C85">
        <w:rPr>
          <w:rFonts w:cs="Calibri" w:cstheme="minorAscii"/>
        </w:rPr>
        <w:t xml:space="preserve">lista de participantes </w:t>
      </w:r>
      <w:bookmarkEnd w:id="7"/>
      <w:r w:rsidRPr="70802C9B" w:rsidR="00337C85">
        <w:rPr>
          <w:rFonts w:cs="Calibri" w:cstheme="minorAscii"/>
        </w:rPr>
        <w:t xml:space="preserve">(ver </w:t>
      </w:r>
      <w:hyperlink r:id="Rca5e70aeac084f01">
        <w:r w:rsidRPr="70802C9B" w:rsidR="00337C85">
          <w:rPr>
            <w:rStyle w:val="Hyperlink"/>
            <w:rFonts w:cs="Calibri" w:cstheme="minorAscii"/>
          </w:rPr>
          <w:t>aquí</w:t>
        </w:r>
      </w:hyperlink>
      <w:r w:rsidRPr="70802C9B" w:rsidR="00337C85">
        <w:rPr>
          <w:rFonts w:cs="Calibri" w:cstheme="minorAscii"/>
        </w:rPr>
        <w:t xml:space="preserve">), se puede acceder a través de la </w:t>
      </w:r>
      <w:hyperlink r:id="Rdafc0e5dbd4b4e49">
        <w:r w:rsidRPr="70802C9B" w:rsidR="00337C85">
          <w:rPr>
            <w:rFonts w:cs="Calibri" w:cstheme="minorAscii"/>
            <w:color w:val="0000FF"/>
            <w:u w:val="single"/>
          </w:rPr>
          <w:t>página web de</w:t>
        </w:r>
        <w:r w:rsidRPr="70802C9B" w:rsidR="46778F80">
          <w:rPr>
            <w:rFonts w:cs="Calibri" w:cstheme="minorAscii"/>
            <w:color w:val="0000FF"/>
            <w:u w:val="single"/>
          </w:rPr>
          <w:t>l</w:t>
        </w:r>
        <w:r w:rsidRPr="70802C9B" w:rsidR="00337C85">
          <w:rPr>
            <w:rFonts w:cs="Calibri" w:cstheme="minorAscii"/>
            <w:color w:val="0000FF"/>
            <w:u w:val="single"/>
          </w:rPr>
          <w:t xml:space="preserve"> ISCG </w:t>
        </w:r>
      </w:hyperlink>
      <w:r w:rsidRPr="70802C9B" w:rsidR="00337C85">
        <w:rPr>
          <w:rFonts w:cs="Calibri" w:cstheme="minorAscii"/>
        </w:rPr>
        <w:t>.</w:t>
      </w:r>
    </w:p>
    <w:p w:rsidRPr="00337C85" w:rsidR="00337C85" w:rsidP="00337C85" w:rsidRDefault="00337C85" w14:paraId="3473DC6C" w14:textId="77777777">
      <w:pPr>
        <w:spacing w:after="120"/>
        <w:rPr>
          <w:rFonts w:cstheme="minorHAnsi"/>
          <w:szCs w:val="24"/>
        </w:rPr>
      </w:pPr>
      <w:r w:rsidRPr="00337C85">
        <w:rPr>
          <w:rFonts w:cstheme="minorHAnsi"/>
          <w:szCs w:val="24"/>
        </w:rPr>
        <w:t>En relación con la página web, la secretaría informó que se instaló la herramienta ITU Translate, por lo que el sitio ahora está disponible en los seis idiomas oficiales.</w:t>
      </w:r>
    </w:p>
    <w:p w:rsidRPr="00337C85" w:rsidR="00337C85" w:rsidP="70802C9B" w:rsidRDefault="00337C85" w14:paraId="1DF446FE" w14:textId="0539F409">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rPr>
          <w:rFonts w:cs="Calibri" w:cstheme="minorAscii"/>
          <w:b w:val="1"/>
          <w:bCs w:val="1"/>
          <w:lang w:val="fr-FR"/>
        </w:rPr>
      </w:pPr>
      <w:r w:rsidRPr="70802C9B" w:rsidR="58F528F4">
        <w:rPr>
          <w:rFonts w:cs="Calibri" w:cstheme="minorAscii"/>
          <w:b w:val="1"/>
          <w:bCs w:val="1"/>
          <w:lang w:val="fr-FR"/>
        </w:rPr>
        <w:t xml:space="preserve">Debates </w:t>
      </w:r>
      <w:r w:rsidRPr="70802C9B" w:rsidR="00337C85">
        <w:rPr>
          <w:rFonts w:cs="Calibri" w:cstheme="minorAscii"/>
          <w:b w:val="1"/>
          <w:bCs w:val="1"/>
          <w:lang w:val="fr-FR"/>
        </w:rPr>
        <w:t>principales</w:t>
      </w:r>
    </w:p>
    <w:p w:rsidRPr="00337C85" w:rsidR="00337C85" w:rsidP="00337C85" w:rsidRDefault="00337C85" w14:paraId="3F544EF9" w14:textId="7211A530">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 xml:space="preserve">Informe sobre PP-Resolución 191 </w:t>
      </w:r>
      <w:r w:rsidR="00116033">
        <w:rPr>
          <w:rFonts w:cstheme="minorHAnsi"/>
          <w:b/>
          <w:bCs/>
          <w:szCs w:val="24"/>
        </w:rPr>
        <w:t>(</w:t>
      </w:r>
      <w:r w:rsidRPr="00337C85">
        <w:rPr>
          <w:rFonts w:cstheme="minorHAnsi"/>
          <w:b/>
          <w:bCs/>
          <w:szCs w:val="24"/>
        </w:rPr>
        <w:t>Rev. Buc</w:t>
      </w:r>
      <w:r w:rsidR="00116033">
        <w:rPr>
          <w:rFonts w:cstheme="minorHAnsi"/>
          <w:b/>
          <w:bCs/>
          <w:szCs w:val="24"/>
        </w:rPr>
        <w:t>arest</w:t>
      </w:r>
      <w:r w:rsidRPr="00337C85">
        <w:rPr>
          <w:rFonts w:cstheme="minorHAnsi"/>
          <w:b/>
          <w:bCs/>
          <w:szCs w:val="24"/>
        </w:rPr>
        <w:t>, 2022)</w:t>
      </w:r>
    </w:p>
    <w:p w:rsidRPr="00337C85" w:rsidR="00337C85" w:rsidP="00337C85" w:rsidRDefault="00337C85" w14:paraId="206671FD" w14:textId="77777777">
      <w:pPr>
        <w:spacing w:after="120"/>
        <w:rPr>
          <w:rFonts w:cstheme="minorHAnsi"/>
          <w:szCs w:val="24"/>
        </w:rPr>
      </w:pPr>
      <w:r w:rsidRPr="00337C85">
        <w:rPr>
          <w:rFonts w:cstheme="minorHAnsi"/>
          <w:szCs w:val="24"/>
        </w:rPr>
        <w:t xml:space="preserve">La Secretaría de la UIT presentó el documento </w:t>
      </w:r>
      <w:hyperlink w:history="1" r:id="rId17">
        <w:r w:rsidRPr="00337C85">
          <w:rPr>
            <w:rStyle w:val="Hyperlink"/>
            <w:rFonts w:cstheme="minorHAnsi"/>
            <w:szCs w:val="24"/>
          </w:rPr>
          <w:t xml:space="preserve">ISCG/23-1/02 </w:t>
        </w:r>
      </w:hyperlink>
      <w:r w:rsidRPr="00337C85">
        <w:rPr>
          <w:rFonts w:cstheme="minorHAnsi"/>
          <w:szCs w:val="24"/>
        </w:rPr>
        <w:t>que contiene el texto final de la Resolución 191 (Rev. Bucarest, 2022) revisada por la Conferencia de Plenipotenciarios de 2022; así como una tabla con los principales cambios realizados, destacando las acciones a realizar por parte del ISCG.</w:t>
      </w:r>
    </w:p>
    <w:p w:rsidRPr="00337C85" w:rsidR="00337C85" w:rsidP="70802C9B" w:rsidRDefault="00337C85" w14:paraId="152FADFC" w14:textId="3CA824FD">
      <w:pPr>
        <w:spacing w:after="120"/>
        <w:rPr>
          <w:rFonts w:cs="Calibri" w:cstheme="minorAscii"/>
        </w:rPr>
      </w:pPr>
      <w:r w:rsidRPr="70802C9B" w:rsidR="00337C85">
        <w:rPr>
          <w:rFonts w:cs="Calibri" w:cstheme="minorAscii"/>
        </w:rPr>
        <w:t>La secretaría también informó sobre el nuevo Mecanismo de Coordinación Intersectorial (ISCM) que se presentará al Consejo 2023 en julio. Este mecanismo interno se impulsará a través de tres vías, según la naturaleza de los temas a coordinar (estratégicos, programáticos, operativos), para cubrir todos los temas que requieran coordinación intersectorial, así como para facilitar el seguimiento y la evaluación de los avances en la implementación.. Cada categoría tendrá diferentes líneas de informes (internos), y la secretaría continuará informando anualmente al Consejo y en enlace con los grupos asesores de los Sectores y el ISCG. Asimismo, se implementará un mecanismo más ligero para compartir información entre los tres Sectores y la Secretaría General sobre todas las actividades que requieran coordinación intersectorial.</w:t>
      </w:r>
    </w:p>
    <w:p w:rsidRPr="00337C85" w:rsidR="00337C85" w:rsidP="00337C85" w:rsidRDefault="00337C85" w14:paraId="6132636D" w14:textId="77777777">
      <w:pPr>
        <w:spacing w:after="120"/>
        <w:rPr>
          <w:rFonts w:cstheme="minorHAnsi"/>
          <w:szCs w:val="24"/>
        </w:rPr>
      </w:pPr>
      <w:r w:rsidRPr="00337C85">
        <w:rPr>
          <w:rFonts w:cstheme="minorHAnsi"/>
          <w:szCs w:val="24"/>
        </w:rPr>
        <w:t>El presidente del ISCG destacó la importancia de que este nuevo mecanismo continúe informando al ISCG regularmente, como lo hizo el Grupo de Trabajo de Coordinación Intersectorial (ISC-TF).</w:t>
      </w:r>
    </w:p>
    <w:p w:rsidRPr="00337C85" w:rsidR="00337C85" w:rsidP="00337C85" w:rsidRDefault="00337C85" w14:paraId="651D465B" w14:textId="747B36B7">
      <w:pPr>
        <w:spacing w:after="120"/>
        <w:rPr>
          <w:rFonts w:cstheme="minorHAnsi"/>
          <w:szCs w:val="24"/>
        </w:rPr>
      </w:pPr>
      <w:r w:rsidRPr="00337C85">
        <w:rPr>
          <w:rFonts w:cstheme="minorHAnsi"/>
          <w:szCs w:val="24"/>
        </w:rPr>
        <w:t xml:space="preserve">Se señaló que el concepto de Una UIT necesita mayor aclaración, considerando la necesidad de los miembros de tener un Plan Operativo detallado de cada Sector, mientras que, por otro lado, existe la necesidad de mejorar los mecanismos de coordinación en toda la UIT, como la simplificación de las resoluciones por aplicando el mapeo disponible en línea (ver </w:t>
      </w:r>
      <w:hyperlink w:history="1" r:id="rId18">
        <w:r w:rsidRPr="00337C85">
          <w:rPr>
            <w:rStyle w:val="Hyperlink"/>
            <w:rFonts w:cstheme="minorHAnsi"/>
            <w:szCs w:val="24"/>
          </w:rPr>
          <w:t>aquí</w:t>
        </w:r>
      </w:hyperlink>
      <w:r w:rsidRPr="00337C85">
        <w:rPr>
          <w:rFonts w:cstheme="minorHAnsi"/>
          <w:szCs w:val="24"/>
        </w:rPr>
        <w:t>), o aplicando los mismos procedimientos relacionados con la accesibilidad al organizar reuniones, solo por mencionar algunos.</w:t>
      </w:r>
    </w:p>
    <w:p w:rsidRPr="00337C85" w:rsidR="00337C85" w:rsidP="00337C85" w:rsidRDefault="00337C85" w14:paraId="2F20F145" w14:textId="77777777">
      <w:pPr>
        <w:spacing w:after="120"/>
        <w:rPr>
          <w:rFonts w:cstheme="minorHAnsi"/>
          <w:szCs w:val="24"/>
        </w:rPr>
      </w:pPr>
      <w:r w:rsidRPr="00337C85">
        <w:rPr>
          <w:rFonts w:cstheme="minorHAnsi"/>
          <w:szCs w:val="24"/>
        </w:rPr>
        <w:t>La reunión acordó y acogió con beneplácito los esfuerzos de la secretaría para mejorar y mejorar el mecanismo de coordinación intersectorial y solicitó a la secretaría que continúe informando sobre el proceso.</w:t>
      </w:r>
    </w:p>
    <w:p w:rsidRPr="00337C85" w:rsidR="00337C85" w:rsidP="70802C9B" w:rsidRDefault="00337C85" w14:paraId="1DD4A03C" w14:textId="33A83CDA">
      <w:pPr>
        <w:pStyle w:val="ListParagraph"/>
        <w:keepNext w:val="1"/>
        <w:numPr>
          <w:ilvl w:val="1"/>
          <w:numId w:val="11"/>
        </w:numPr>
        <w:tabs>
          <w:tab w:val="clear" w:pos="1134"/>
          <w:tab w:val="clear" w:pos="1871"/>
          <w:tab w:val="clear" w:pos="2268"/>
          <w:tab w:val="left" w:pos="794"/>
          <w:tab w:val="left" w:pos="1191"/>
          <w:tab w:val="left" w:pos="1588"/>
          <w:tab w:val="left" w:pos="1985"/>
        </w:tabs>
        <w:spacing w:after="120"/>
        <w:ind w:left="539" w:hanging="539"/>
        <w:rPr>
          <w:rFonts w:cs="Calibri" w:cstheme="minorAscii"/>
          <w:b w:val="1"/>
          <w:bCs w:val="1"/>
        </w:rPr>
      </w:pPr>
      <w:r w:rsidRPr="70802C9B" w:rsidR="00337C85">
        <w:rPr>
          <w:rFonts w:cs="Calibri" w:cstheme="minorAscii"/>
          <w:b w:val="1"/>
          <w:bCs w:val="1"/>
        </w:rPr>
        <w:t>Informes por Temas</w:t>
      </w:r>
    </w:p>
    <w:p w:rsidRPr="00337C85" w:rsidR="00337C85" w:rsidP="00337C85" w:rsidRDefault="00337C85" w14:paraId="0113F22C" w14:textId="77777777">
      <w:pPr>
        <w:tabs>
          <w:tab w:val="clear" w:pos="794"/>
          <w:tab w:val="left" w:pos="567"/>
        </w:tabs>
        <w:spacing w:after="120"/>
        <w:ind w:left="720" w:hanging="720"/>
        <w:rPr>
          <w:rFonts w:cstheme="minorHAnsi"/>
          <w:b/>
          <w:bCs/>
          <w:szCs w:val="24"/>
        </w:rPr>
      </w:pPr>
      <w:r w:rsidRPr="00337C85">
        <w:rPr>
          <w:rFonts w:cstheme="minorHAnsi"/>
          <w:b/>
          <w:bCs/>
          <w:szCs w:val="24"/>
        </w:rPr>
        <w:t xml:space="preserve">2.2.1 </w:t>
      </w:r>
      <w:r w:rsidRPr="00337C85">
        <w:rPr>
          <w:rFonts w:cstheme="minorHAnsi"/>
          <w:b/>
          <w:bCs/>
          <w:szCs w:val="24"/>
        </w:rPr>
        <w:tab/>
      </w:r>
      <w:r w:rsidRPr="00337C85">
        <w:rPr>
          <w:rFonts w:cstheme="minorHAnsi"/>
          <w:b/>
          <w:bCs/>
          <w:szCs w:val="24"/>
        </w:rPr>
        <w:t>“Cambio climático”</w:t>
      </w:r>
    </w:p>
    <w:p w:rsidRPr="00337C85" w:rsidR="00337C85" w:rsidP="00337C85" w:rsidRDefault="00337C85" w14:paraId="753E2353" w14:textId="09B005E3">
      <w:pPr>
        <w:spacing w:after="120"/>
        <w:rPr>
          <w:rFonts w:cstheme="minorHAnsi"/>
          <w:szCs w:val="24"/>
        </w:rPr>
      </w:pPr>
      <w:r w:rsidRPr="00337C85">
        <w:rPr>
          <w:rFonts w:cstheme="minorHAnsi"/>
          <w:szCs w:val="24"/>
        </w:rPr>
        <w:t xml:space="preserve">La Secretaría presentó un informe con los últimos avances en el avance del trabajo interno sobre las actividades relacionadas con el cambio climático de la UIT (véase </w:t>
      </w:r>
      <w:hyperlink w:history="1" r:id="rId19">
        <w:r w:rsidRPr="00337C85">
          <w:rPr>
            <w:rStyle w:val="Hyperlink"/>
            <w:rFonts w:cstheme="minorHAnsi"/>
            <w:szCs w:val="24"/>
          </w:rPr>
          <w:t>ISCG/23-1/05b</w:t>
        </w:r>
      </w:hyperlink>
      <w:r w:rsidRPr="00337C85">
        <w:rPr>
          <w:rStyle w:val="Hyperlink"/>
          <w:rFonts w:cstheme="minorHAnsi"/>
          <w:szCs w:val="24"/>
        </w:rPr>
        <w:t>)</w:t>
      </w:r>
      <w:r w:rsidRPr="00337C85">
        <w:rPr>
          <w:rFonts w:cstheme="minorHAnsi"/>
          <w:szCs w:val="24"/>
        </w:rPr>
        <w:t>.</w:t>
      </w:r>
    </w:p>
    <w:p w:rsidRPr="00337C85" w:rsidR="00337C85" w:rsidP="70802C9B" w:rsidRDefault="00337C85" w14:paraId="6BDE20D6" w14:textId="71B84592">
      <w:pPr>
        <w:spacing w:after="120"/>
        <w:rPr>
          <w:rFonts w:cs="Calibri" w:cstheme="minorAscii"/>
        </w:rPr>
      </w:pPr>
      <w:r w:rsidRPr="70802C9B" w:rsidR="00337C85">
        <w:rPr>
          <w:rFonts w:cs="Calibri" w:cstheme="minorAscii"/>
        </w:rPr>
        <w:t>El informe presenta las actividades realizadas por los Sectores y destaca los planes para organizar un 'Día Digital Verde' en la COP28, con el objetivo de reunir al ecosistema de las TIC para generar impulso, orientado al impacto, para garantizar que el día conduzca a resultados positivos medibles</w:t>
      </w:r>
      <w:r w:rsidRPr="70802C9B" w:rsidR="782C9A4A">
        <w:rPr>
          <w:rFonts w:cs="Calibri" w:cstheme="minorAscii"/>
        </w:rPr>
        <w:t xml:space="preserve"> para el</w:t>
      </w:r>
      <w:r w:rsidRPr="70802C9B" w:rsidR="00337C85">
        <w:rPr>
          <w:rFonts w:cs="Calibri" w:cstheme="minorAscii"/>
        </w:rPr>
        <w:t xml:space="preserve"> </w:t>
      </w:r>
      <w:r w:rsidRPr="70802C9B" w:rsidR="00337C85">
        <w:rPr>
          <w:rFonts w:cs="Calibri" w:cstheme="minorAscii"/>
        </w:rPr>
        <w:t>impacto para el clima.</w:t>
      </w:r>
    </w:p>
    <w:p w:rsidRPr="00337C85" w:rsidR="00337C85" w:rsidP="00337C85" w:rsidRDefault="00337C85" w14:paraId="439E9685" w14:textId="77777777">
      <w:pPr>
        <w:spacing w:after="120"/>
        <w:rPr>
          <w:rFonts w:cstheme="minorHAnsi"/>
          <w:szCs w:val="24"/>
        </w:rPr>
      </w:pPr>
      <w:r w:rsidRPr="00337C85">
        <w:rPr>
          <w:rFonts w:cstheme="minorHAnsi"/>
          <w:szCs w:val="24"/>
        </w:rPr>
        <w:lastRenderedPageBreak/>
        <w:t xml:space="preserve">El Punto Focal del Sector de Radiocomunicaciones de la UIT (UIT-R) también presentó el documento </w:t>
      </w:r>
      <w:hyperlink w:history="1" r:id="rId20">
        <w:r w:rsidRPr="00337C85">
          <w:rPr>
            <w:rStyle w:val="Hyperlink"/>
            <w:rFonts w:cstheme="minorHAnsi"/>
            <w:szCs w:val="24"/>
          </w:rPr>
          <w:t xml:space="preserve">ISCG/23-1/06 </w:t>
        </w:r>
      </w:hyperlink>
      <w:r w:rsidRPr="00337C85">
        <w:rPr>
          <w:rFonts w:cstheme="minorHAnsi"/>
          <w:szCs w:val="24"/>
        </w:rPr>
        <w:t>que contiene el trabajo que realiza el Sector en relación con el cambio climático, cómo el UIT-R observa la industria y la industria de los medios de comunicación sobre el tema, y pidió la coordinación con el Sector de Normalización de las Telecomunicaciones (UIT-T) para el desarrollo de normas.</w:t>
      </w:r>
    </w:p>
    <w:p w:rsidRPr="00337C85" w:rsidR="00337C85" w:rsidP="00337C85" w:rsidRDefault="00337C85" w14:paraId="360151FF" w14:textId="77777777">
      <w:pPr>
        <w:spacing w:after="120"/>
        <w:rPr>
          <w:rFonts w:cstheme="minorHAnsi"/>
          <w:szCs w:val="24"/>
        </w:rPr>
      </w:pPr>
      <w:r w:rsidRPr="00337C85">
        <w:rPr>
          <w:rFonts w:cstheme="minorHAnsi"/>
          <w:szCs w:val="24"/>
        </w:rPr>
        <w:t>El Presidente del ISCG agradeció la información y solicitó al Coordinador de Cambio Climático, el Sr. Paolo Gemma, que presente un informe completo en la próxima reunión, incluida la evaluación de las emisiones del Sector TIC, Alcance 3, ya que es un tema de interés para los tres Sectores. .</w:t>
      </w:r>
    </w:p>
    <w:p w:rsidRPr="00337C85" w:rsidR="00337C85" w:rsidP="00337C85" w:rsidRDefault="00337C85" w14:paraId="6BB369C4" w14:textId="77777777">
      <w:pPr>
        <w:tabs>
          <w:tab w:val="clear" w:pos="794"/>
          <w:tab w:val="left" w:pos="567"/>
        </w:tabs>
        <w:spacing w:after="120"/>
        <w:ind w:left="720" w:hanging="720"/>
        <w:rPr>
          <w:rFonts w:cstheme="minorHAnsi"/>
          <w:b/>
          <w:bCs/>
          <w:szCs w:val="24"/>
        </w:rPr>
      </w:pPr>
      <w:r w:rsidRPr="00337C85">
        <w:rPr>
          <w:rFonts w:cstheme="minorHAnsi"/>
          <w:b/>
          <w:bCs/>
          <w:szCs w:val="24"/>
        </w:rPr>
        <w:t xml:space="preserve">2.2.2 </w:t>
      </w:r>
      <w:r w:rsidRPr="00337C85">
        <w:rPr>
          <w:rFonts w:cstheme="minorHAnsi"/>
          <w:b/>
          <w:bCs/>
          <w:szCs w:val="24"/>
        </w:rPr>
        <w:tab/>
      </w:r>
      <w:r w:rsidRPr="00337C85">
        <w:rPr>
          <w:rFonts w:cstheme="minorHAnsi"/>
          <w:b/>
          <w:bCs/>
          <w:szCs w:val="24"/>
        </w:rPr>
        <w:t>“Accesibilidad”</w:t>
      </w:r>
    </w:p>
    <w:p w:rsidRPr="00337C85" w:rsidR="00337C85" w:rsidP="00337C85" w:rsidRDefault="00337C85" w14:paraId="5CED8501" w14:textId="77777777">
      <w:pPr>
        <w:spacing w:after="120"/>
        <w:rPr>
          <w:rFonts w:cstheme="minorHAnsi"/>
          <w:szCs w:val="24"/>
        </w:rPr>
      </w:pPr>
      <w:r w:rsidRPr="00337C85">
        <w:rPr>
          <w:rFonts w:cstheme="minorHAnsi"/>
          <w:szCs w:val="24"/>
        </w:rPr>
        <w:t>El Presidente de ISCG invitó a la Coordinadora de Accesibilidad, la Sra. Andrea Saks, a hacer un informe oral. El coordinador se centró en la necesidad de que la UIT utilice los estándares que está desarrollando la Comisión de Estudio 16 del UIT-T sobre reuniones accesibles y participación remota, así como para establecer procedimientos estándar para las reuniones de la UIT.</w:t>
      </w:r>
    </w:p>
    <w:p w:rsidRPr="00337C85" w:rsidR="00337C85" w:rsidP="00337C85" w:rsidRDefault="00337C85" w14:paraId="1F145A7F" w14:textId="40DE83C5">
      <w:pPr>
        <w:spacing w:after="120"/>
        <w:rPr>
          <w:rFonts w:cstheme="minorHAnsi"/>
          <w:szCs w:val="24"/>
        </w:rPr>
      </w:pPr>
      <w:r w:rsidRPr="00337C85">
        <w:rPr>
          <w:rFonts w:cstheme="minorHAnsi"/>
          <w:szCs w:val="24"/>
        </w:rPr>
        <w:t xml:space="preserve">El Punto Focal del UIT-R también presentó información actualizada sobre el trabajo que realiza la Comisión de Estudio 6 del UIT-R sobre servicios de radiodifusión, más específica sobre cómo personalizar los medios para cualquier discapacidad (ver </w:t>
      </w:r>
      <w:hyperlink w:history="1" r:id="rId21">
        <w:r w:rsidRPr="00337C85">
          <w:rPr>
            <w:rStyle w:val="Hyperlink"/>
            <w:rFonts w:cstheme="minorHAnsi"/>
            <w:szCs w:val="24"/>
          </w:rPr>
          <w:t>ISCG/23-1/06</w:t>
        </w:r>
      </w:hyperlink>
      <w:r w:rsidRPr="00337C85">
        <w:rPr>
          <w:rFonts w:cstheme="minorHAnsi"/>
          <w:szCs w:val="24"/>
        </w:rPr>
        <w:t>).</w:t>
      </w:r>
    </w:p>
    <w:p w:rsidRPr="00337C85" w:rsidR="00337C85" w:rsidP="00337C85" w:rsidRDefault="00337C85" w14:paraId="6AE07986" w14:textId="33720026">
      <w:pPr>
        <w:spacing w:after="120"/>
        <w:rPr>
          <w:rFonts w:cstheme="minorHAnsi"/>
          <w:szCs w:val="24"/>
        </w:rPr>
      </w:pPr>
      <w:r w:rsidRPr="00337C85">
        <w:rPr>
          <w:rFonts w:cstheme="minorHAnsi"/>
          <w:szCs w:val="24"/>
        </w:rPr>
        <w:t xml:space="preserve">La secretaría presentó un informe con los últimos avances en el avance del trabajo interno sobre las actividades relacionadas con la accesibilidad de la UIT (véase </w:t>
      </w:r>
      <w:hyperlink w:history="1" r:id="rId22">
        <w:r w:rsidRPr="00337C85">
          <w:rPr>
            <w:rStyle w:val="Hyperlink"/>
            <w:rFonts w:cstheme="minorHAnsi"/>
            <w:szCs w:val="24"/>
          </w:rPr>
          <w:t>ISCG/23-1/05a</w:t>
        </w:r>
      </w:hyperlink>
      <w:r w:rsidRPr="00337C85">
        <w:rPr>
          <w:rFonts w:cstheme="minorHAnsi"/>
          <w:szCs w:val="24"/>
        </w:rPr>
        <w:t>). El Punto Focal para Accesibilidad también destacó que el proyecto de presupuesto de la Unión para 2024-2025 incluye, por primera vez, la cantidad de 100 000 francos suizos/año para actividades de accesibilidad que permitan hacer accesible la UIT (p. ej., proporcionar subtítulos, etc.).</w:t>
      </w:r>
    </w:p>
    <w:p w:rsidRPr="00337C85" w:rsidR="00337C85" w:rsidP="00337C85" w:rsidRDefault="00337C85" w14:paraId="40A2FD25" w14:textId="77777777">
      <w:pPr>
        <w:spacing w:after="120"/>
        <w:rPr>
          <w:rFonts w:cstheme="minorHAnsi"/>
          <w:szCs w:val="24"/>
        </w:rPr>
      </w:pPr>
      <w:r w:rsidRPr="00337C85">
        <w:rPr>
          <w:rFonts w:cstheme="minorHAnsi"/>
          <w:szCs w:val="24"/>
        </w:rPr>
        <w:t>El presidente del ISCG alentó al coordinador a presentar un informe completo sobre todos los aspectos discutidos. Los miembros de ISCG también solicitaron participar en el nuevo proyecto de construcción para garantizar que se contemplan todos los asuntos de accesibilidad.</w:t>
      </w:r>
    </w:p>
    <w:p w:rsidRPr="00337C85" w:rsidR="00337C85" w:rsidP="70802C9B" w:rsidRDefault="00337C85" w14:paraId="47D64AD5" w14:textId="77777777">
      <w:pPr>
        <w:pStyle w:val="ListParagraph"/>
        <w:keepNext w:val="1"/>
        <w:numPr>
          <w:ilvl w:val="2"/>
          <w:numId w:val="8"/>
        </w:numPr>
        <w:tabs>
          <w:tab w:val="clear" w:pos="1134"/>
          <w:tab w:val="clear" w:pos="1871"/>
          <w:tab w:val="clear" w:pos="2268"/>
          <w:tab w:val="left" w:pos="567"/>
          <w:tab w:val="left" w:pos="1191"/>
          <w:tab w:val="left" w:pos="1588"/>
          <w:tab w:val="left" w:pos="1985"/>
        </w:tabs>
        <w:spacing w:after="120"/>
        <w:rPr>
          <w:rFonts w:cs="Calibri" w:cstheme="minorAscii"/>
          <w:b w:val="1"/>
          <w:bCs w:val="1"/>
        </w:rPr>
      </w:pPr>
      <w:r w:rsidRPr="70802C9B" w:rsidR="00337C85">
        <w:rPr>
          <w:rFonts w:cs="Calibri" w:cstheme="minorAscii"/>
          <w:b w:val="1"/>
          <w:bCs w:val="1"/>
        </w:rPr>
        <w:t>Participación remota</w:t>
      </w:r>
    </w:p>
    <w:p w:rsidRPr="00337C85" w:rsidR="00337C85" w:rsidP="00337C85" w:rsidRDefault="00337C85" w14:paraId="0301B7C8" w14:textId="377C74A4">
      <w:pPr>
        <w:spacing w:after="120"/>
        <w:rPr>
          <w:rFonts w:cstheme="minorHAnsi"/>
          <w:szCs w:val="24"/>
        </w:rPr>
      </w:pPr>
      <w:r w:rsidRPr="00337C85">
        <w:rPr>
          <w:rFonts w:cstheme="minorHAnsi"/>
          <w:szCs w:val="24"/>
        </w:rPr>
        <w:t xml:space="preserve">El representante del Grupo Asesor de Normalización de las Telecomunicaciones (TSAG) sobre participación remota presentó un documento </w:t>
      </w:r>
      <w:hyperlink w:history="1" r:id="rId23">
        <w:r w:rsidRPr="00337C85">
          <w:rPr>
            <w:rStyle w:val="Hyperlink"/>
            <w:rFonts w:cstheme="minorHAnsi"/>
            <w:szCs w:val="24"/>
          </w:rPr>
          <w:t xml:space="preserve">ISCG/23-1/04 </w:t>
        </w:r>
      </w:hyperlink>
      <w:r w:rsidRPr="00337C85">
        <w:rPr>
          <w:rFonts w:cstheme="minorHAnsi"/>
          <w:szCs w:val="24"/>
        </w:rPr>
        <w:t xml:space="preserve">sobre actualizaciones del año pasado. El documento informa que se ha revisado el Suplemento 4 de la serie de Recomendaciones ITU T A, que detalla la orientación sobre la participación remota. El texto completo se puede encontrar en la Declaración de enlace presentada por TSAG a la reunión (ver </w:t>
      </w:r>
      <w:hyperlink w:history="1" r:id="rId24">
        <w:r w:rsidRPr="00337C85">
          <w:rPr>
            <w:rStyle w:val="Hyperlink"/>
            <w:rFonts w:cstheme="minorHAnsi"/>
            <w:szCs w:val="24"/>
          </w:rPr>
          <w:t>TSAG-LS03</w:t>
        </w:r>
      </w:hyperlink>
      <w:r w:rsidRPr="00337C85">
        <w:rPr>
          <w:rFonts w:cstheme="minorHAnsi"/>
          <w:szCs w:val="24"/>
        </w:rPr>
        <w:t>).</w:t>
      </w:r>
    </w:p>
    <w:p w:rsidRPr="00337C85" w:rsidR="00337C85" w:rsidP="00337C85" w:rsidRDefault="00337C85" w14:paraId="73F4246F" w14:textId="77777777">
      <w:pPr>
        <w:spacing w:after="120"/>
        <w:rPr>
          <w:rFonts w:cstheme="minorHAnsi"/>
          <w:szCs w:val="24"/>
        </w:rPr>
      </w:pPr>
      <w:r w:rsidRPr="00337C85">
        <w:rPr>
          <w:rFonts w:cstheme="minorHAnsi"/>
          <w:szCs w:val="24"/>
        </w:rPr>
        <w:t>La reunión acordó que el ISCG envió una Declaración de Enlace a los Sectores invitando a compartir las reglas que tienen sobre gobernanza y gestión de reuniones virtuales para tratar de identificar una mejor práctica común acordada a corto plazo y que dicha información se proporcione al Consejo. para ayudarlos en sus deliberaciones, como se establece en la Resolución PP 167 (Rev. Bucarest, 2022) para desarrollar un enfoque común para toda la Unión a largo plazo. También se acordó nombrar al Sr. Philip Rushton como persona de contacto.</w:t>
      </w:r>
    </w:p>
    <w:p w:rsidRPr="00337C85" w:rsidR="00337C85" w:rsidP="00337C85" w:rsidRDefault="00337C85" w14:paraId="782699AE" w14:textId="77777777">
      <w:pPr>
        <w:spacing w:after="120"/>
        <w:rPr>
          <w:rFonts w:cstheme="minorHAnsi"/>
          <w:szCs w:val="24"/>
        </w:rPr>
      </w:pPr>
      <w:r w:rsidRPr="00337C85">
        <w:rPr>
          <w:rFonts w:cstheme="minorHAnsi"/>
          <w:szCs w:val="24"/>
        </w:rPr>
        <w:t>La Declaración de enlace que debe presentar el ISCG se presenta como Anexo 1 de este informe.</w:t>
      </w:r>
    </w:p>
    <w:p w:rsidRPr="00337C85" w:rsidR="00337C85" w:rsidP="00337C85" w:rsidRDefault="00337C85" w14:paraId="7BE29394" w14:textId="77777777">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Contribuciones recibidas</w:t>
      </w:r>
    </w:p>
    <w:p w:rsidRPr="00337C85" w:rsidR="00337C85" w:rsidP="00337C85" w:rsidRDefault="00337C85" w14:paraId="3E44A035" w14:textId="77777777">
      <w:pPr>
        <w:spacing w:after="120"/>
        <w:rPr>
          <w:rFonts w:cstheme="minorHAnsi"/>
          <w:szCs w:val="24"/>
        </w:rPr>
      </w:pPr>
      <w:r w:rsidRPr="00337C85">
        <w:rPr>
          <w:rFonts w:cstheme="minorHAnsi"/>
          <w:szCs w:val="24"/>
        </w:rPr>
        <w:t xml:space="preserve">La Federación Rusa presentó el documento </w:t>
      </w:r>
      <w:hyperlink w:history="1" r:id="rId25">
        <w:r w:rsidRPr="00337C85">
          <w:rPr>
            <w:rStyle w:val="Hyperlink"/>
            <w:rFonts w:cstheme="minorHAnsi"/>
            <w:szCs w:val="24"/>
          </w:rPr>
          <w:t xml:space="preserve">ISCG/23-1/03 </w:t>
        </w:r>
      </w:hyperlink>
      <w:r w:rsidRPr="00337C85">
        <w:rPr>
          <w:rFonts w:cstheme="minorHAnsi"/>
          <w:szCs w:val="24"/>
        </w:rPr>
        <w:t>con la siguiente propuesta:</w:t>
      </w:r>
    </w:p>
    <w:p w:rsidRPr="00337C85" w:rsidR="00337C85" w:rsidP="00337C85" w:rsidRDefault="00337C85" w14:paraId="69C2EC70"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Alentar a la secretaría a que acelere la labor de armonización de los sitios web de los Sectores de la UIT para garantizar la claridad, la facilidad de navegación y una imagen de Una UIT, utilizando los seis idiomas oficiales de la Unión en pie de igualdad;</w:t>
      </w:r>
    </w:p>
    <w:p w:rsidRPr="00337C85" w:rsidR="00337C85" w:rsidP="00337C85" w:rsidRDefault="00337C85" w14:paraId="75F5870F"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Agregar el enlace del sitio web de ISCG a la página de inicio de la UIT;</w:t>
      </w:r>
    </w:p>
    <w:p w:rsidRPr="00337C85" w:rsidR="00337C85" w:rsidP="00337C85" w:rsidRDefault="00337C85" w14:paraId="674B4CBF"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Señalar a la atención del Comité de Coordinación y del Mecanismo de Coordinación Intersectorial la preocupación sobre el sistema de búsqueda de la UIT;</w:t>
      </w:r>
    </w:p>
    <w:p w:rsidRPr="00337C85" w:rsidR="00337C85" w:rsidP="00337C85" w:rsidRDefault="00337C85" w14:paraId="4ECC36CB"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Solicitar a la secretaría que presente información sobre la armonización de los sitios web y sobre el sistema de búsqueda de la UIT a la siguiente reunión del ISCG.</w:t>
      </w:r>
    </w:p>
    <w:p w:rsidRPr="00337C85" w:rsidR="00337C85" w:rsidP="00337C85" w:rsidRDefault="00337C85" w14:paraId="0B5EE9CF" w14:textId="77777777">
      <w:pPr>
        <w:spacing w:after="120"/>
        <w:rPr>
          <w:rFonts w:cstheme="minorHAnsi"/>
          <w:szCs w:val="24"/>
        </w:rPr>
      </w:pPr>
      <w:r w:rsidRPr="00337C85">
        <w:rPr>
          <w:rFonts w:cstheme="minorHAnsi"/>
          <w:szCs w:val="24"/>
        </w:rPr>
        <w:t>El ISCG estuvo de acuerdo con la propuesta que se incluirá en el informe y solicitó a la secretaría de la UIT que informe a la próxima reunión del ISCG.</w:t>
      </w:r>
    </w:p>
    <w:p w:rsidRPr="00337C85" w:rsidR="00337C85" w:rsidP="00337C85" w:rsidRDefault="00337C85" w14:paraId="533C586E" w14:textId="3C939251">
      <w:pPr>
        <w:spacing w:after="120"/>
        <w:rPr>
          <w:rFonts w:cstheme="minorHAnsi"/>
          <w:szCs w:val="24"/>
        </w:rPr>
      </w:pPr>
      <w:r w:rsidRPr="00337C85">
        <w:rPr>
          <w:rFonts w:cstheme="minorHAnsi"/>
          <w:szCs w:val="24"/>
        </w:rPr>
        <w:t xml:space="preserve">Kenia y ATDI presentaron otra contribución (documento </w:t>
      </w:r>
      <w:hyperlink w:history="1" r:id="rId26">
        <w:r w:rsidRPr="00337C85">
          <w:rPr>
            <w:rStyle w:val="Hyperlink"/>
            <w:rFonts w:cstheme="minorHAnsi"/>
            <w:szCs w:val="24"/>
          </w:rPr>
          <w:t>ISCG/23-1/08</w:t>
        </w:r>
      </w:hyperlink>
      <w:r w:rsidRPr="00337C85">
        <w:rPr>
          <w:rFonts w:cstheme="minorHAnsi"/>
          <w:szCs w:val="24"/>
        </w:rPr>
        <w:t>), sobre la implementación de la Resolución 9 de la CMDT y la colaboración necesaria entre el UIT-R y el UIT-D. Este documento también fue presentado al GAR, TDAG y los Grupos de Relator sobre las Cuestiones 1/1, 2/1, 4/1, 5/1, 1/2 y 7/2 del UIT-D.</w:t>
      </w:r>
    </w:p>
    <w:p w:rsidRPr="00337C85" w:rsidR="00337C85" w:rsidP="00337C85" w:rsidRDefault="00337C85" w14:paraId="4D195092" w14:textId="77777777">
      <w:pPr>
        <w:spacing w:after="120"/>
        <w:rPr>
          <w:rFonts w:cstheme="minorHAnsi"/>
          <w:szCs w:val="24"/>
        </w:rPr>
      </w:pPr>
      <w:r w:rsidRPr="00337C85">
        <w:rPr>
          <w:rFonts w:cstheme="minorHAnsi"/>
          <w:szCs w:val="24"/>
        </w:rPr>
        <w:t>El ISCG tomó nota de la propuesta y solicitó a los proponentes realizar más consultas con otras partes interesadas y presentar una contribución que proponga directrices sobre el camino a seguir para la próxima reunión del ISCG.</w:t>
      </w:r>
    </w:p>
    <w:p w:rsidRPr="00337C85" w:rsidR="00337C85" w:rsidP="00337C85" w:rsidRDefault="00337C85" w14:paraId="5F34DE5C" w14:textId="77777777">
      <w:pPr>
        <w:pStyle w:val="ListParagraph"/>
        <w:keepNext/>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Posibles temas futuros</w:t>
      </w:r>
    </w:p>
    <w:p w:rsidRPr="00337C85" w:rsidR="00337C85" w:rsidP="70802C9B" w:rsidRDefault="00337C85" w14:paraId="0A4349CA" w14:textId="77777777">
      <w:pPr>
        <w:keepNext w:val="1"/>
        <w:spacing w:after="120"/>
        <w:rPr>
          <w:rFonts w:cs="Calibri" w:cstheme="minorAscii"/>
        </w:rPr>
      </w:pPr>
      <w:r w:rsidRPr="70802C9B" w:rsidR="00337C85">
        <w:rPr>
          <w:rFonts w:cs="Calibri" w:cstheme="minorAscii"/>
        </w:rPr>
        <w:t>Se mencionaron dos temas para ser considerados por el ISCG:</w:t>
      </w:r>
    </w:p>
    <w:p w:rsidRPr="00337C85" w:rsidR="00337C85" w:rsidP="00337C85" w:rsidRDefault="00337C85" w14:paraId="5272801B"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Cerrar la brecha digital</w:t>
      </w:r>
    </w:p>
    <w:p w:rsidRPr="00337C85" w:rsidR="00337C85" w:rsidP="00337C85" w:rsidRDefault="00337C85" w14:paraId="0DA96EB8" w14:textId="77777777">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Armonización del sitio web de la UIT</w:t>
      </w:r>
    </w:p>
    <w:p w:rsidRPr="00337C85" w:rsidR="00337C85" w:rsidP="00337C85" w:rsidRDefault="00337C85" w14:paraId="38093354" w14:textId="77777777">
      <w:pPr>
        <w:spacing w:after="120"/>
        <w:rPr>
          <w:rFonts w:cstheme="minorHAnsi"/>
          <w:szCs w:val="24"/>
        </w:rPr>
      </w:pPr>
      <w:r w:rsidRPr="00337C85">
        <w:rPr>
          <w:rFonts w:cstheme="minorHAnsi"/>
          <w:szCs w:val="24"/>
        </w:rPr>
        <w:t>El Presidente del ISCG invitó a los miembros a enviar contribuciones a la próxima reunión sobre todos los temas que les gustaría que el ISCG discutiera, y presentar propuestas para mejorar la coordinación y colaboración entre los tres Sectores y la Secretaría General.</w:t>
      </w:r>
    </w:p>
    <w:p w:rsidRPr="00337C85" w:rsidR="00337C85" w:rsidP="00337C85" w:rsidRDefault="00337C85" w14:paraId="10C9D061" w14:textId="77777777">
      <w:pPr>
        <w:pStyle w:val="ListParagraph"/>
        <w:numPr>
          <w:ilvl w:val="2"/>
          <w:numId w:val="8"/>
        </w:numPr>
        <w:tabs>
          <w:tab w:val="clear" w:pos="1134"/>
          <w:tab w:val="clear" w:pos="1871"/>
          <w:tab w:val="clear" w:pos="2268"/>
          <w:tab w:val="left" w:pos="567"/>
          <w:tab w:val="left" w:pos="1191"/>
          <w:tab w:val="left" w:pos="1588"/>
          <w:tab w:val="left" w:pos="1985"/>
        </w:tabs>
        <w:spacing w:after="120"/>
        <w:rPr>
          <w:rFonts w:cstheme="minorHAnsi"/>
          <w:b/>
          <w:bCs/>
          <w:szCs w:val="24"/>
        </w:rPr>
      </w:pPr>
      <w:r w:rsidRPr="00337C85">
        <w:rPr>
          <w:rFonts w:cstheme="minorHAnsi"/>
          <w:b/>
          <w:bCs/>
          <w:szCs w:val="24"/>
        </w:rPr>
        <w:t>Términos de referencia del ISCG</w:t>
      </w:r>
    </w:p>
    <w:p w:rsidRPr="00337C85" w:rsidR="00337C85" w:rsidP="00337C85" w:rsidRDefault="00337C85" w14:paraId="294BE0DF" w14:textId="77777777">
      <w:pPr>
        <w:spacing w:after="120"/>
        <w:rPr>
          <w:rFonts w:cstheme="minorHAnsi"/>
          <w:szCs w:val="24"/>
        </w:rPr>
      </w:pPr>
      <w:r w:rsidRPr="00337C85">
        <w:rPr>
          <w:rFonts w:cstheme="minorHAnsi"/>
          <w:szCs w:val="24"/>
        </w:rPr>
        <w:t xml:space="preserve">El ISCG acordó actualizar los </w:t>
      </w:r>
      <w:hyperlink w:history="1" r:id="rId27">
        <w:r w:rsidRPr="00337C85">
          <w:rPr>
            <w:rStyle w:val="Hyperlink"/>
            <w:rFonts w:cstheme="minorHAnsi"/>
            <w:szCs w:val="24"/>
          </w:rPr>
          <w:t xml:space="preserve">Términos de Referencia </w:t>
        </w:r>
      </w:hyperlink>
      <w:r w:rsidRPr="00337C85">
        <w:rPr>
          <w:rFonts w:cstheme="minorHAnsi"/>
          <w:szCs w:val="24"/>
        </w:rPr>
        <w:t>con los nuevos representantes designados por TSAG y TDAG, así como con las Resoluciones revisadas de la Conferencia de Plenipotenciarios (PP-22), WTSA-22 y WTDC-22.</w:t>
      </w:r>
    </w:p>
    <w:p w:rsidRPr="00337C85" w:rsidR="00337C85" w:rsidP="00337C85" w:rsidRDefault="00337C85" w14:paraId="5EFE975D" w14:textId="77777777">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bookmarkStart w:name="_Toc22116965" w:id="8"/>
      <w:r w:rsidRPr="00337C85">
        <w:rPr>
          <w:rFonts w:cstheme="minorHAnsi"/>
          <w:b/>
          <w:bCs/>
          <w:szCs w:val="24"/>
          <w:lang w:val="fr-FR"/>
        </w:rPr>
        <w:t>Tablas de mapeo</w:t>
      </w:r>
    </w:p>
    <w:p w:rsidRPr="00337C85" w:rsidR="00337C85" w:rsidP="00337C85" w:rsidRDefault="00337C85" w14:paraId="6801A825" w14:textId="77777777">
      <w:pPr>
        <w:spacing w:after="120"/>
        <w:rPr>
          <w:rFonts w:cstheme="minorHAnsi"/>
          <w:szCs w:val="24"/>
        </w:rPr>
      </w:pPr>
      <w:r w:rsidRPr="00337C85">
        <w:rPr>
          <w:rFonts w:cstheme="minorHAnsi"/>
          <w:szCs w:val="24"/>
        </w:rPr>
        <w:t xml:space="preserve">La Secretaría informó que el </w:t>
      </w:r>
      <w:hyperlink w:history="1" r:id="rId28">
        <w:r w:rsidRPr="00337C85">
          <w:rPr>
            <w:rStyle w:val="Hyperlink"/>
            <w:rFonts w:cstheme="minorHAnsi"/>
            <w:szCs w:val="24"/>
          </w:rPr>
          <w:t xml:space="preserve">Mapeo de Resoluciones </w:t>
        </w:r>
      </w:hyperlink>
      <w:r w:rsidRPr="00337C85">
        <w:rPr>
          <w:rFonts w:cstheme="minorHAnsi"/>
          <w:szCs w:val="24"/>
        </w:rPr>
        <w:t>se actualizó después de la PP-22 y se puede encontrar en el sitio web de ISCG.</w:t>
      </w:r>
    </w:p>
    <w:p w:rsidRPr="00337C85" w:rsidR="00337C85" w:rsidP="00337C85" w:rsidRDefault="007D416E" w14:paraId="229C79B8" w14:textId="77777777">
      <w:pPr>
        <w:spacing w:after="120"/>
        <w:rPr>
          <w:rFonts w:cstheme="minorHAnsi"/>
          <w:szCs w:val="24"/>
        </w:rPr>
      </w:pPr>
      <w:hyperlink w:history="1" r:id="rId29">
        <w:r w:rsidRPr="00337C85" w:rsidR="00337C85">
          <w:rPr>
            <w:rStyle w:val="Hyperlink"/>
            <w:rFonts w:cstheme="minorHAnsi"/>
            <w:szCs w:val="24"/>
          </w:rPr>
          <w:t xml:space="preserve">El Cuadro 1 </w:t>
        </w:r>
      </w:hyperlink>
      <w:r w:rsidRPr="00337C85" w:rsidR="00337C85">
        <w:rPr>
          <w:rFonts w:cstheme="minorHAnsi"/>
          <w:szCs w:val="24"/>
        </w:rPr>
        <w:t xml:space="preserve">(correspondencia del UIT-R y el UIT-D) y </w:t>
      </w:r>
      <w:hyperlink w:history="1" r:id="rId30">
        <w:r w:rsidRPr="00337C85" w:rsidR="00337C85">
          <w:rPr>
            <w:rStyle w:val="Hyperlink"/>
            <w:rFonts w:cstheme="minorHAnsi"/>
            <w:szCs w:val="24"/>
          </w:rPr>
          <w:t xml:space="preserve">el Cuadro 2 </w:t>
        </w:r>
      </w:hyperlink>
      <w:r w:rsidRPr="00337C85" w:rsidR="00337C85">
        <w:rPr>
          <w:rFonts w:cstheme="minorHAnsi"/>
          <w:szCs w:val="24"/>
        </w:rPr>
        <w:t>(correspondencia del UIT-R y el UIT-T) fueron revisados por el UIT-T y el UIT-D y se publicarán en el sitio web, señalando que el UIT-R necesidad de revisar ambas tablas una vez que la Conferencia Mundial de Radiocomunicaciones concluya a finales de 2023.</w:t>
      </w:r>
    </w:p>
    <w:p w:rsidRPr="00337C85" w:rsidR="00337C85" w:rsidP="00337C85" w:rsidRDefault="00337C85" w14:paraId="67F65F5C" w14:textId="77777777">
      <w:pPr>
        <w:spacing w:after="120"/>
        <w:rPr>
          <w:rFonts w:cstheme="minorHAnsi"/>
          <w:szCs w:val="24"/>
        </w:rPr>
      </w:pPr>
      <w:r w:rsidRPr="00337C85">
        <w:rPr>
          <w:rFonts w:cstheme="minorHAnsi"/>
          <w:szCs w:val="24"/>
        </w:rPr>
        <w:t>Los Sectores seguirán discutiendo la Tabla 3 (mapeo de UIT-T y UIT-D) y se presentará una versión acordada en la próxima reunión de ISCG.</w:t>
      </w:r>
    </w:p>
    <w:p w:rsidRPr="00337C85" w:rsidR="00337C85" w:rsidP="00337C85" w:rsidRDefault="00337C85" w14:paraId="71B52C41" w14:textId="77777777">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Actividades futuras</w:t>
      </w:r>
    </w:p>
    <w:p w:rsidRPr="00337C85" w:rsidR="00337C85" w:rsidP="00337C85" w:rsidRDefault="00337C85" w14:paraId="4E6F9FAA" w14:textId="77777777">
      <w:pPr>
        <w:spacing w:after="120"/>
        <w:rPr>
          <w:rFonts w:cstheme="minorHAnsi"/>
          <w:szCs w:val="24"/>
        </w:rPr>
      </w:pPr>
      <w:bookmarkStart w:name="_Hlk96717466" w:id="9"/>
      <w:r w:rsidRPr="00337C85">
        <w:rPr>
          <w:rFonts w:cstheme="minorHAnsi"/>
          <w:szCs w:val="24"/>
        </w:rPr>
        <w:t xml:space="preserve">El presidente del ISCG proporcionará un informe oral al RAG, incluidos los temas relevantes discutidos durante esta reunión del ISCG </w:t>
      </w:r>
      <w:bookmarkEnd w:id="9"/>
      <w:r w:rsidRPr="00337C85">
        <w:rPr>
          <w:rFonts w:cstheme="minorHAnsi"/>
          <w:szCs w:val="24"/>
        </w:rPr>
        <w:t>.</w:t>
      </w:r>
    </w:p>
    <w:p w:rsidRPr="00337C85" w:rsidR="00337C85" w:rsidP="00337C85" w:rsidRDefault="00337C85" w14:paraId="2B4D25E2" w14:textId="77777777">
      <w:pPr>
        <w:spacing w:after="120"/>
        <w:rPr>
          <w:rFonts w:cstheme="minorHAnsi"/>
          <w:szCs w:val="24"/>
        </w:rPr>
      </w:pPr>
      <w:r w:rsidRPr="00337C85">
        <w:rPr>
          <w:rFonts w:cstheme="minorHAnsi"/>
          <w:szCs w:val="24"/>
        </w:rPr>
        <w:t>Los informes se presentarán al TSAG y al TDAG durante sus respectivas reuniones en junio de 2023.</w:t>
      </w:r>
    </w:p>
    <w:p w:rsidRPr="00337C85" w:rsidR="00337C85" w:rsidP="00337C85" w:rsidRDefault="00337C85" w14:paraId="49B322DF" w14:textId="77777777">
      <w:pPr>
        <w:spacing w:after="120"/>
        <w:rPr>
          <w:rFonts w:cstheme="minorHAnsi"/>
          <w:szCs w:val="24"/>
        </w:rPr>
      </w:pPr>
      <w:r w:rsidRPr="00337C85">
        <w:rPr>
          <w:rFonts w:cstheme="minorHAnsi"/>
          <w:szCs w:val="24"/>
        </w:rPr>
        <w:t>Las actualizaciones de ISCG también se presentarán al Consejo 2023 en el marco de la implementación de la Resolución PP-191 (Rev. Bucarest, 2022).</w:t>
      </w:r>
    </w:p>
    <w:p w:rsidRPr="00337C85" w:rsidR="00337C85" w:rsidP="00337C85" w:rsidRDefault="00337C85" w14:paraId="784DA1B2" w14:textId="77777777">
      <w:pPr>
        <w:pStyle w:val="default-style"/>
        <w:spacing w:before="120" w:beforeAutospacing="0" w:after="120" w:afterAutospacing="0"/>
        <w:rPr>
          <w:rFonts w:eastAsia="Times New Roman" w:asciiTheme="minorHAnsi" w:hAnsiTheme="minorHAnsi" w:cstheme="minorHAnsi"/>
          <w:sz w:val="24"/>
          <w:szCs w:val="24"/>
          <w:lang w:eastAsia="en-US"/>
        </w:rPr>
      </w:pPr>
      <w:r w:rsidRPr="00337C85">
        <w:rPr>
          <w:rFonts w:eastAsia="Times New Roman" w:asciiTheme="minorHAnsi" w:hAnsiTheme="minorHAnsi" w:cstheme="minorHAnsi"/>
          <w:sz w:val="24"/>
          <w:szCs w:val="24"/>
          <w:lang w:eastAsia="en-US"/>
        </w:rPr>
        <w:t>El ISCG decidió que se programará una reunión para la segunda mitad de 2023, en octubre. Fecha por confirmar después de consultas con el equipo de gestión de ISCG.</w:t>
      </w:r>
    </w:p>
    <w:p w:rsidRPr="00337C85" w:rsidR="00337C85" w:rsidP="70802C9B" w:rsidRDefault="00337C85" w14:paraId="55411DF4" w14:textId="77777777">
      <w:pPr>
        <w:pStyle w:val="ListParagraph"/>
        <w:keepNext w:val="1"/>
        <w:numPr>
          <w:ilvl w:val="0"/>
          <w:numId w:val="7"/>
        </w:numPr>
        <w:tabs>
          <w:tab w:val="clear" w:pos="1134"/>
          <w:tab w:val="clear" w:pos="1871"/>
          <w:tab w:val="clear" w:pos="2268"/>
          <w:tab w:val="left" w:pos="794"/>
          <w:tab w:val="left" w:pos="1191"/>
          <w:tab w:val="left" w:pos="1588"/>
          <w:tab w:val="left" w:pos="1985"/>
        </w:tabs>
        <w:spacing w:after="120"/>
        <w:ind w:left="357" w:hanging="357"/>
        <w:rPr>
          <w:rFonts w:cs="Calibri" w:cstheme="minorAscii"/>
          <w:b w:val="1"/>
          <w:bCs w:val="1"/>
          <w:lang w:val="fr-FR"/>
        </w:rPr>
      </w:pPr>
      <w:r w:rsidRPr="70802C9B" w:rsidR="00337C85">
        <w:rPr>
          <w:rFonts w:cs="Calibri" w:cstheme="minorAscii"/>
          <w:b w:val="1"/>
          <w:bCs w:val="1"/>
          <w:lang w:val="fr-FR"/>
        </w:rPr>
        <w:t>Clausura</w:t>
      </w:r>
      <w:r w:rsidRPr="70802C9B" w:rsidR="00337C85">
        <w:rPr>
          <w:rFonts w:cs="Calibri" w:cstheme="minorAscii"/>
          <w:b w:val="1"/>
          <w:bCs w:val="1"/>
          <w:lang w:val="fr-FR"/>
        </w:rPr>
        <w:t xml:space="preserve"> de la </w:t>
      </w:r>
      <w:r w:rsidRPr="70802C9B" w:rsidR="00337C85">
        <w:rPr>
          <w:rFonts w:cs="Calibri" w:cstheme="minorAscii"/>
          <w:b w:val="1"/>
          <w:bCs w:val="1"/>
          <w:lang w:val="fr-FR"/>
        </w:rPr>
        <w:t>reunión</w:t>
      </w:r>
      <w:bookmarkEnd w:id="8"/>
    </w:p>
    <w:p w:rsidRPr="00337C85" w:rsidR="00337C85" w:rsidP="70802C9B" w:rsidRDefault="00337C85" w14:paraId="3E26EFE2" w14:textId="2C6E54CB">
      <w:pPr>
        <w:keepNext w:val="1"/>
        <w:spacing w:after="120"/>
        <w:rPr>
          <w:rFonts w:cs="Calibri" w:cstheme="minorAscii"/>
        </w:rPr>
      </w:pPr>
      <w:r w:rsidRPr="70802C9B" w:rsidR="00337C85">
        <w:rPr>
          <w:rFonts w:cs="Calibri" w:cstheme="minorAscii"/>
        </w:rPr>
        <w:t>El Sr. Fabio Bigi, Presidente del ISCG, agradeció al Presidente del GAR, a los representantes de los tres Sectores ya todos los participantes por su apoyo.</w:t>
      </w:r>
    </w:p>
    <w:p w:rsidRPr="00337C85" w:rsidR="00337C85" w:rsidP="70802C9B" w:rsidRDefault="00337C85" w14:paraId="76CD8D8F" w14:textId="77777777">
      <w:pPr>
        <w:widowControl w:val="0"/>
        <w:spacing w:after="120"/>
        <w:rPr>
          <w:rFonts w:cs="Calibri" w:cstheme="minorAscii"/>
        </w:rPr>
      </w:pPr>
      <w:r w:rsidRPr="70802C9B" w:rsidR="00337C85">
        <w:rPr>
          <w:rFonts w:cs="Calibri" w:cstheme="minorAscii"/>
        </w:rPr>
        <w:t>El Presidente también expresó su agradecimiento a la Secretaría por la asistencia en la preparación de la reunión.</w:t>
      </w:r>
    </w:p>
    <w:p w:rsidR="00337C85" w:rsidRDefault="00337C85" w14:paraId="7A64A27E" w14:textId="77777777">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rsidRPr="00337C85" w:rsidR="00337C85" w:rsidP="00337C85" w:rsidRDefault="00337C85" w14:paraId="3A2BDA3C" w14:textId="00C400F0">
      <w:pPr>
        <w:spacing w:after="120"/>
        <w:jc w:val="center"/>
        <w:rPr>
          <w:rFonts w:cstheme="minorHAnsi"/>
          <w:b/>
          <w:bCs/>
          <w:szCs w:val="24"/>
        </w:rPr>
      </w:pPr>
      <w:r w:rsidRPr="00337C85">
        <w:rPr>
          <w:rFonts w:cstheme="minorHAnsi"/>
          <w:b/>
          <w:bCs/>
          <w:szCs w:val="24"/>
        </w:rPr>
        <w:t>ANEXO 1</w:t>
      </w:r>
    </w:p>
    <w:p w:rsidRPr="00337C85" w:rsidR="00337C85" w:rsidP="00337C85" w:rsidRDefault="00337C85" w14:paraId="3F5FF089" w14:textId="77777777">
      <w:pPr>
        <w:tabs>
          <w:tab w:val="center" w:pos="7371"/>
        </w:tabs>
        <w:spacing w:after="120"/>
        <w:jc w:val="center"/>
        <w:rPr>
          <w:rFonts w:cstheme="minorHAnsi"/>
          <w:szCs w:val="24"/>
        </w:rPr>
      </w:pPr>
      <w:r w:rsidRPr="00337C85">
        <w:rPr>
          <w:rFonts w:cstheme="minorHAnsi"/>
          <w:b/>
          <w:bCs/>
          <w:szCs w:val="24"/>
        </w:rPr>
        <w:t>DECLARACIÓN DE ENLACE</w:t>
      </w: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Pr="00337C85" w:rsidR="00337C85" w:rsidTr="00495327" w14:paraId="62C6FB89" w14:textId="77777777">
        <w:trPr>
          <w:cantSplit/>
          <w:jc w:val="center"/>
        </w:trPr>
        <w:tc>
          <w:tcPr>
            <w:tcW w:w="1418" w:type="dxa"/>
          </w:tcPr>
          <w:p w:rsidRPr="00337C85" w:rsidR="00337C85" w:rsidP="00337C85" w:rsidRDefault="00337C85" w14:paraId="42510740" w14:textId="77777777">
            <w:pPr>
              <w:spacing w:after="120"/>
              <w:rPr>
                <w:rFonts w:cstheme="minorHAnsi"/>
                <w:b/>
                <w:bCs/>
                <w:szCs w:val="24"/>
              </w:rPr>
            </w:pPr>
            <w:r w:rsidRPr="00337C85">
              <w:rPr>
                <w:rFonts w:cstheme="minorHAnsi"/>
                <w:b/>
                <w:bCs/>
                <w:szCs w:val="24"/>
              </w:rPr>
              <w:t>Fuente:</w:t>
            </w:r>
          </w:p>
        </w:tc>
        <w:sdt>
          <w:sdtPr>
            <w:rPr>
              <w:rFonts w:cstheme="minorHAnsi"/>
              <w:szCs w:val="24"/>
            </w:rPr>
            <w:alias w:val="DocumentSource"/>
            <w:tag w:val="DocumentSource"/>
            <w:id w:val="770514636"/>
            <w:placeholder>
              <w:docPart w:val="C0FAC383865E47BE840F392BFA449D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rsidRPr="00337C85" w:rsidR="00337C85" w:rsidP="00337C85" w:rsidRDefault="00337C85" w14:paraId="398FF56C" w14:textId="77777777">
                <w:pPr>
                  <w:spacing w:after="120"/>
                  <w:rPr>
                    <w:rFonts w:cstheme="minorHAnsi"/>
                    <w:szCs w:val="24"/>
                  </w:rPr>
                </w:pPr>
                <w:r w:rsidRPr="00337C85">
                  <w:rPr>
                    <w:rFonts w:cstheme="minorHAnsi"/>
                    <w:szCs w:val="24"/>
                  </w:rPr>
                  <w:t>ISCG</w:t>
                </w:r>
              </w:p>
            </w:tc>
          </w:sdtContent>
        </w:sdt>
      </w:tr>
      <w:tr w:rsidRPr="00337C85" w:rsidR="00337C85" w:rsidTr="00495327" w14:paraId="75C37EA2" w14:textId="77777777">
        <w:trPr>
          <w:cantSplit/>
          <w:jc w:val="center"/>
        </w:trPr>
        <w:tc>
          <w:tcPr>
            <w:tcW w:w="1418" w:type="dxa"/>
          </w:tcPr>
          <w:p w:rsidRPr="00337C85" w:rsidR="00337C85" w:rsidP="00337C85" w:rsidRDefault="00337C85" w14:paraId="06ACA5AB" w14:textId="77777777">
            <w:pPr>
              <w:spacing w:after="120"/>
              <w:rPr>
                <w:rFonts w:cstheme="minorHAnsi"/>
                <w:szCs w:val="24"/>
              </w:rPr>
            </w:pPr>
            <w:r w:rsidRPr="00337C85">
              <w:rPr>
                <w:rFonts w:cstheme="minorHAnsi"/>
                <w:b/>
                <w:bCs/>
                <w:szCs w:val="24"/>
              </w:rPr>
              <w:t>Título:</w:t>
            </w:r>
          </w:p>
        </w:tc>
        <w:tc>
          <w:tcPr>
            <w:tcW w:w="8222" w:type="dxa"/>
          </w:tcPr>
          <w:p w:rsidRPr="00337C85" w:rsidR="00337C85" w:rsidP="00337C85" w:rsidRDefault="00337C85" w14:paraId="285C3E01" w14:textId="77777777">
            <w:pPr>
              <w:spacing w:after="120"/>
              <w:rPr>
                <w:rFonts w:cstheme="minorHAnsi"/>
                <w:szCs w:val="24"/>
              </w:rPr>
            </w:pPr>
            <w:r w:rsidRPr="00337C85">
              <w:rPr>
                <w:rFonts w:cstheme="minorHAnsi"/>
                <w:szCs w:val="24"/>
              </w:rPr>
              <w:t>LS sobre Gobernanza y gestión de reuniones virtuales</w:t>
            </w:r>
          </w:p>
        </w:tc>
      </w:tr>
      <w:tr w:rsidRPr="00337C85" w:rsidR="00337C85" w:rsidTr="00495327" w14:paraId="239AB602" w14:textId="77777777">
        <w:trPr>
          <w:cantSplit/>
          <w:jc w:val="center"/>
        </w:trPr>
        <w:tc>
          <w:tcPr>
            <w:tcW w:w="1418" w:type="dxa"/>
          </w:tcPr>
          <w:p w:rsidRPr="00337C85" w:rsidR="00337C85" w:rsidP="00337C85" w:rsidRDefault="00337C85" w14:paraId="67DDF79F" w14:textId="77777777">
            <w:pPr>
              <w:spacing w:after="120"/>
              <w:rPr>
                <w:rFonts w:cstheme="minorHAnsi"/>
                <w:b/>
                <w:bCs/>
                <w:szCs w:val="24"/>
              </w:rPr>
            </w:pPr>
            <w:r w:rsidRPr="00337C85">
              <w:rPr>
                <w:rFonts w:cstheme="minorHAnsi"/>
                <w:b/>
                <w:bCs/>
                <w:szCs w:val="24"/>
              </w:rPr>
              <w:t>Objetivo:</w:t>
            </w:r>
          </w:p>
        </w:tc>
        <w:tc>
          <w:tcPr>
            <w:tcW w:w="8222" w:type="dxa"/>
          </w:tcPr>
          <w:p w:rsidRPr="00337C85" w:rsidR="00337C85" w:rsidP="00337C85" w:rsidRDefault="00337C85" w14:paraId="497188D2" w14:textId="77777777">
            <w:pPr>
              <w:spacing w:after="120"/>
              <w:rPr>
                <w:rFonts w:cstheme="minorHAnsi"/>
                <w:szCs w:val="24"/>
              </w:rPr>
            </w:pPr>
            <w:r w:rsidRPr="00337C85">
              <w:rPr>
                <w:rFonts w:cstheme="minorHAnsi"/>
                <w:szCs w:val="24"/>
              </w:rPr>
              <w:t>Acción</w:t>
            </w:r>
          </w:p>
        </w:tc>
      </w:tr>
    </w:tbl>
    <w:p w:rsidRPr="00337C85" w:rsidR="00337C85" w:rsidP="0097220C" w:rsidRDefault="00337C85" w14:paraId="01453CC7" w14:textId="78D3C5D2">
      <w:pPr>
        <w:pBdr>
          <w:top w:val="single" w:color="auto" w:sz="4" w:space="1"/>
        </w:pBd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Para la acción a: </w:t>
      </w:r>
      <w:r w:rsidRPr="00337C85">
        <w:rPr>
          <w:rFonts w:cstheme="minorHAnsi"/>
          <w:b/>
          <w:bCs/>
          <w:szCs w:val="24"/>
        </w:rPr>
        <w:tab/>
      </w:r>
      <w:r w:rsidRPr="00337C85">
        <w:rPr>
          <w:rFonts w:cstheme="minorHAnsi"/>
          <w:szCs w:val="24"/>
        </w:rPr>
        <w:t>RAG, TDAG</w:t>
      </w:r>
    </w:p>
    <w:p w:rsidRPr="00337C85" w:rsidR="00337C85" w:rsidP="0097220C" w:rsidRDefault="00337C85" w14:paraId="58394DCC" w14:textId="7F5FF9C5">
      <w:pPr>
        <w:tabs>
          <w:tab w:val="clear" w:pos="794"/>
          <w:tab w:val="clear" w:pos="1191"/>
          <w:tab w:val="clear" w:pos="1588"/>
          <w:tab w:val="clear" w:pos="1985"/>
          <w:tab w:val="left" w:pos="2552"/>
        </w:tabs>
        <w:spacing w:after="120"/>
        <w:rPr>
          <w:rFonts w:cstheme="minorHAnsi"/>
          <w:b/>
          <w:bCs/>
          <w:szCs w:val="24"/>
        </w:rPr>
      </w:pPr>
      <w:r w:rsidRPr="00337C85">
        <w:rPr>
          <w:rFonts w:cstheme="minorHAnsi"/>
          <w:b/>
          <w:bCs/>
          <w:szCs w:val="24"/>
        </w:rPr>
        <w:t xml:space="preserve">Para comentarios a: </w:t>
      </w:r>
      <w:r w:rsidRPr="00337C85">
        <w:rPr>
          <w:rFonts w:cstheme="minorHAnsi"/>
          <w:b/>
          <w:bCs/>
          <w:szCs w:val="24"/>
        </w:rPr>
        <w:tab/>
      </w:r>
      <w:r w:rsidRPr="00337C85">
        <w:rPr>
          <w:rFonts w:cstheme="minorHAnsi"/>
          <w:szCs w:val="24"/>
        </w:rPr>
        <w:t>-</w:t>
      </w:r>
    </w:p>
    <w:p w:rsidRPr="00337C85" w:rsidR="00337C85" w:rsidP="0097220C" w:rsidRDefault="00337C85" w14:paraId="296A6B18" w14:textId="4485CB4A">
      <w:pPr>
        <w:tabs>
          <w:tab w:val="left" w:pos="2552"/>
        </w:tabs>
        <w:spacing w:after="120"/>
        <w:rPr>
          <w:rFonts w:cstheme="minorHAnsi"/>
          <w:b/>
          <w:bCs/>
          <w:szCs w:val="24"/>
        </w:rPr>
      </w:pPr>
      <w:r w:rsidRPr="00337C85">
        <w:rPr>
          <w:rFonts w:cstheme="minorHAnsi"/>
          <w:b/>
          <w:bCs/>
          <w:szCs w:val="24"/>
        </w:rPr>
        <w:t xml:space="preserve">Para información a: </w:t>
      </w:r>
      <w:r w:rsidR="0097220C">
        <w:rPr>
          <w:rFonts w:cstheme="minorHAnsi"/>
          <w:b/>
          <w:bCs/>
          <w:szCs w:val="24"/>
        </w:rPr>
        <w:tab/>
      </w:r>
      <w:r w:rsidRPr="00337C85">
        <w:rPr>
          <w:rFonts w:cstheme="minorHAnsi"/>
          <w:szCs w:val="24"/>
        </w:rPr>
        <w:t>TSAG</w:t>
      </w:r>
    </w:p>
    <w:p w:rsidRPr="00337C85" w:rsidR="00337C85" w:rsidP="0097220C" w:rsidRDefault="00337C85" w14:paraId="729B50CE" w14:textId="4EEF832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Aprobación: </w:t>
      </w:r>
      <w:r w:rsidRPr="00337C85">
        <w:rPr>
          <w:rFonts w:cstheme="minorHAnsi"/>
          <w:b/>
          <w:bCs/>
          <w:szCs w:val="24"/>
        </w:rPr>
        <w:tab/>
      </w:r>
      <w:r w:rsidRPr="00337C85">
        <w:rPr>
          <w:rFonts w:cstheme="minorHAnsi"/>
          <w:szCs w:val="24"/>
        </w:rPr>
        <w:t>reunión ISCG (2 de mayo de 2023)</w:t>
      </w:r>
    </w:p>
    <w:p w:rsidRPr="00337C85" w:rsidR="00337C85" w:rsidP="0097220C" w:rsidRDefault="00337C85" w14:paraId="4B77EDEA" w14:textId="55880620">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Fecha límite: </w:t>
      </w:r>
      <w:r w:rsidRPr="00337C85">
        <w:rPr>
          <w:rFonts w:cstheme="minorHAnsi"/>
          <w:b/>
          <w:bCs/>
          <w:szCs w:val="24"/>
        </w:rPr>
        <w:tab/>
      </w:r>
      <w:r w:rsidRPr="00337C85">
        <w:rPr>
          <w:rFonts w:cstheme="minorHAnsi"/>
          <w:szCs w:val="24"/>
        </w:rPr>
        <w:t>30 de septiembre de 2023</w:t>
      </w:r>
    </w:p>
    <w:tbl>
      <w:tblPr>
        <w:tblW w:w="9935" w:type="dxa"/>
        <w:tblLayout w:type="fixed"/>
        <w:tblCellMar>
          <w:left w:w="57" w:type="dxa"/>
          <w:right w:w="57" w:type="dxa"/>
        </w:tblCellMar>
        <w:tblLook w:val="0000" w:firstRow="0" w:lastRow="0" w:firstColumn="0" w:lastColumn="0" w:noHBand="0" w:noVBand="0"/>
      </w:tblPr>
      <w:tblGrid>
        <w:gridCol w:w="1643"/>
        <w:gridCol w:w="9"/>
        <w:gridCol w:w="4359"/>
        <w:gridCol w:w="3912"/>
        <w:gridCol w:w="12"/>
      </w:tblGrid>
      <w:tr w:rsidRPr="0047681D" w:rsidR="00337C85" w:rsidTr="00337C85" w14:paraId="13BDADAB" w14:textId="77777777">
        <w:trPr>
          <w:gridAfter w:val="1"/>
          <w:wAfter w:w="12" w:type="dxa"/>
          <w:cantSplit/>
          <w:trHeight w:val="204"/>
        </w:trPr>
        <w:tc>
          <w:tcPr>
            <w:tcW w:w="1652" w:type="dxa"/>
            <w:gridSpan w:val="2"/>
            <w:tcBorders>
              <w:top w:val="single" w:color="auto" w:sz="12" w:space="0"/>
              <w:bottom w:val="single" w:color="auto" w:sz="4" w:space="0"/>
            </w:tcBorders>
          </w:tcPr>
          <w:p w:rsidRPr="00337C85" w:rsidR="00337C85" w:rsidP="00337C85" w:rsidRDefault="00337C85" w14:paraId="52EF063E" w14:textId="77777777">
            <w:pPr>
              <w:spacing w:after="120"/>
              <w:rPr>
                <w:rFonts w:cstheme="minorHAnsi"/>
                <w:b/>
                <w:bCs/>
                <w:szCs w:val="24"/>
              </w:rPr>
            </w:pPr>
            <w:r w:rsidRPr="00337C85">
              <w:rPr>
                <w:rFonts w:cstheme="minorHAnsi"/>
                <w:b/>
                <w:bCs/>
                <w:szCs w:val="24"/>
              </w:rPr>
              <w:t>Contacto:</w:t>
            </w:r>
          </w:p>
        </w:tc>
        <w:tc>
          <w:tcPr>
            <w:tcW w:w="4359" w:type="dxa"/>
            <w:tcBorders>
              <w:top w:val="single" w:color="auto" w:sz="12" w:space="0"/>
              <w:bottom w:val="single" w:color="auto" w:sz="4" w:space="0"/>
            </w:tcBorders>
          </w:tcPr>
          <w:p w:rsidRPr="00337C85" w:rsidR="00337C85" w:rsidP="00337C85" w:rsidRDefault="00337C85" w14:paraId="36CF695E" w14:textId="77777777">
            <w:pPr>
              <w:spacing w:after="120"/>
              <w:rPr>
                <w:rFonts w:cstheme="minorHAnsi"/>
                <w:b/>
                <w:bCs/>
                <w:szCs w:val="24"/>
              </w:rPr>
            </w:pPr>
            <w:r w:rsidRPr="00337C85">
              <w:rPr>
                <w:rFonts w:cstheme="minorHAnsi"/>
                <w:szCs w:val="24"/>
              </w:rPr>
              <w:t xml:space="preserve">Phil Rushton </w:t>
            </w:r>
            <w:r w:rsidRPr="00337C85">
              <w:rPr>
                <w:rFonts w:cstheme="minorHAnsi"/>
                <w:b/>
                <w:bCs/>
                <w:szCs w:val="24"/>
              </w:rPr>
              <w:br/>
            </w:r>
            <w:r w:rsidRPr="00337C85">
              <w:rPr>
                <w:rFonts w:cstheme="minorHAnsi"/>
                <w:szCs w:val="24"/>
                <w:lang w:val="en-AU"/>
              </w:rPr>
              <w:t>Representante del TSAG sobre participación remota</w:t>
            </w:r>
          </w:p>
        </w:tc>
        <w:tc>
          <w:tcPr>
            <w:tcW w:w="3912" w:type="dxa"/>
            <w:tcBorders>
              <w:top w:val="single" w:color="auto" w:sz="12" w:space="0"/>
              <w:bottom w:val="single" w:color="auto" w:sz="4" w:space="0"/>
            </w:tcBorders>
          </w:tcPr>
          <w:p w:rsidRPr="00337C85" w:rsidR="00337C85" w:rsidP="00337C85" w:rsidRDefault="00337C85" w14:paraId="713EDD53" w14:textId="31B967A9">
            <w:pPr>
              <w:spacing w:after="120"/>
              <w:rPr>
                <w:rFonts w:cstheme="minorHAnsi"/>
                <w:szCs w:val="24"/>
                <w:lang w:val="de-DE"/>
              </w:rPr>
            </w:pPr>
            <w:r w:rsidRPr="00337C85">
              <w:rPr>
                <w:rFonts w:cstheme="minorHAnsi"/>
                <w:b/>
                <w:bCs/>
                <w:szCs w:val="24"/>
                <w:lang w:val="de-DE"/>
              </w:rPr>
              <w:t xml:space="preserve">Correo electrónico: </w:t>
            </w:r>
            <w:hyperlink w:history="1" r:id="rId31">
              <w:r w:rsidRPr="00337C85">
                <w:rPr>
                  <w:rStyle w:val="Hyperlink"/>
                  <w:rFonts w:cstheme="minorHAnsi"/>
                  <w:szCs w:val="24"/>
                  <w:lang w:val="de-DE"/>
                </w:rPr>
                <w:t>philrushton@rcc-uk.uk</w:t>
              </w:r>
            </w:hyperlink>
            <w:r w:rsidRPr="000E0D90">
              <w:rPr>
                <w:rFonts w:cstheme="minorHAnsi"/>
                <w:szCs w:val="24"/>
                <w:lang w:val="en-GB"/>
              </w:rPr>
              <w:t xml:space="preserve"> </w:t>
            </w:r>
            <w:hyperlink w:history="1" r:id="rId32">
              <w:r w:rsidRPr="000E0D90">
                <w:rPr>
                  <w:rStyle w:val="Hyperlink"/>
                  <w:rFonts w:cstheme="minorHAnsi"/>
                  <w:szCs w:val="24"/>
                  <w:lang w:val="en-GB"/>
                </w:rPr>
                <w:t xml:space="preserve">bruce.gracie@ericsson.com </w:t>
              </w:r>
            </w:hyperlink>
            <w:r w:rsidRPr="000E0D90">
              <w:rPr>
                <w:rFonts w:cstheme="minorHAnsi"/>
                <w:szCs w:val="24"/>
                <w:lang w:val="en-GB"/>
              </w:rPr>
              <w:br/>
            </w:r>
            <w:hyperlink w:history="1" r:id="rId33">
              <w:r w:rsidRPr="00337C85">
                <w:rPr>
                  <w:rStyle w:val="Hyperlink"/>
                  <w:rFonts w:cstheme="minorHAnsi"/>
                  <w:szCs w:val="24"/>
                  <w:lang w:val="de-DE"/>
                </w:rPr>
                <w:t>iscg@itu.int</w:t>
              </w:r>
            </w:hyperlink>
            <w:r w:rsidRPr="00337C85">
              <w:rPr>
                <w:rFonts w:cstheme="minorHAnsi"/>
                <w:szCs w:val="24"/>
                <w:lang w:val="de-DE"/>
              </w:rPr>
              <w:t xml:space="preserve"> </w:t>
            </w:r>
          </w:p>
        </w:tc>
      </w:tr>
      <w:tr w:rsidRPr="00337C85" w:rsidR="00337C85" w:rsidTr="00495327" w14:paraId="67777CC9" w14:textId="77777777">
        <w:trPr>
          <w:cantSplit/>
          <w:trHeight w:val="489"/>
        </w:trPr>
        <w:tc>
          <w:tcPr>
            <w:tcW w:w="1643" w:type="dxa"/>
          </w:tcPr>
          <w:p w:rsidRPr="00337C85" w:rsidR="00337C85" w:rsidP="00337C85" w:rsidRDefault="00337C85" w14:paraId="6EBC3DFA" w14:textId="77777777">
            <w:pPr>
              <w:spacing w:after="120"/>
              <w:rPr>
                <w:rFonts w:cstheme="minorHAnsi"/>
                <w:b/>
                <w:bCs/>
                <w:szCs w:val="24"/>
              </w:rPr>
            </w:pPr>
            <w:r w:rsidRPr="00337C85">
              <w:rPr>
                <w:rFonts w:cstheme="minorHAnsi"/>
                <w:b/>
                <w:bCs/>
                <w:szCs w:val="24"/>
              </w:rPr>
              <w:t>Palabras clave:</w:t>
            </w:r>
          </w:p>
        </w:tc>
        <w:tc>
          <w:tcPr>
            <w:tcW w:w="8292" w:type="dxa"/>
            <w:gridSpan w:val="4"/>
          </w:tcPr>
          <w:p w:rsidRPr="00337C85" w:rsidR="00337C85" w:rsidP="00337C85" w:rsidRDefault="00337C85" w14:paraId="46A29D40" w14:textId="77777777">
            <w:pPr>
              <w:spacing w:after="120"/>
              <w:rPr>
                <w:rFonts w:cstheme="minorHAnsi"/>
                <w:szCs w:val="24"/>
              </w:rPr>
            </w:pPr>
            <w:r w:rsidRPr="00337C85">
              <w:rPr>
                <w:rFonts w:cstheme="minorHAnsi"/>
                <w:szCs w:val="24"/>
              </w:rPr>
              <w:t>Coordinación Intersectorial; ISCG, Reuniones virtuales, Participación remota.</w:t>
            </w:r>
          </w:p>
        </w:tc>
      </w:tr>
      <w:tr w:rsidRPr="00337C85" w:rsidR="00337C85" w:rsidTr="00495327" w14:paraId="5E94DD6C" w14:textId="77777777">
        <w:trPr>
          <w:cantSplit/>
          <w:trHeight w:val="1094"/>
        </w:trPr>
        <w:tc>
          <w:tcPr>
            <w:tcW w:w="1643" w:type="dxa"/>
          </w:tcPr>
          <w:p w:rsidRPr="00337C85" w:rsidR="00337C85" w:rsidP="00337C85" w:rsidRDefault="00337C85" w14:paraId="6DFB115E" w14:textId="77777777">
            <w:pPr>
              <w:spacing w:after="120"/>
              <w:rPr>
                <w:rFonts w:cstheme="minorHAnsi"/>
                <w:b/>
                <w:bCs/>
                <w:szCs w:val="24"/>
              </w:rPr>
            </w:pPr>
            <w:r w:rsidRPr="00337C85">
              <w:rPr>
                <w:rFonts w:cstheme="minorHAnsi"/>
                <w:b/>
                <w:bCs/>
                <w:szCs w:val="24"/>
              </w:rPr>
              <w:t>Abstracto:</w:t>
            </w:r>
          </w:p>
        </w:tc>
        <w:tc>
          <w:tcPr>
            <w:tcW w:w="8292" w:type="dxa"/>
            <w:gridSpan w:val="4"/>
          </w:tcPr>
          <w:p w:rsidRPr="00337C85" w:rsidR="00337C85" w:rsidP="00337C85" w:rsidRDefault="00337C85" w14:paraId="53D647FF" w14:textId="77777777">
            <w:pPr>
              <w:spacing w:after="120"/>
              <w:rPr>
                <w:rFonts w:cstheme="minorHAnsi"/>
                <w:szCs w:val="24"/>
              </w:rPr>
            </w:pPr>
            <w:r w:rsidRPr="00337C85">
              <w:rPr>
                <w:rFonts w:cstheme="minorHAnsi"/>
                <w:szCs w:val="24"/>
              </w:rPr>
              <w:t>El ISCG presenta información sobre reuniones virtuales y solicita a los grupos asesores de los Sectores que compartan sus procedimientos para la gestión de dichas reuniones.</w:t>
            </w:r>
          </w:p>
        </w:tc>
      </w:tr>
    </w:tbl>
    <w:p w:rsidRPr="00337C85" w:rsidR="00337C85" w:rsidP="00337C85" w:rsidRDefault="00337C85" w14:paraId="53EAB2D2" w14:textId="77777777">
      <w:pPr>
        <w:spacing w:after="120"/>
        <w:rPr>
          <w:rFonts w:cstheme="minorHAnsi"/>
          <w:szCs w:val="24"/>
        </w:rPr>
      </w:pPr>
      <w:r w:rsidRPr="00337C85">
        <w:rPr>
          <w:rFonts w:cstheme="minorHAnsi"/>
          <w:szCs w:val="24"/>
        </w:rPr>
        <w:t xml:space="preserve">El Grupo de Coordinación Intersectorial (ISCG) sobre temas de interés mutuo quisiera presentar a la atención de los Grupos Asesores de Radiocomunicaciones (RAG) y el Grupo Asesor de Desarrollo de las Telecomunicaciones (TDAG) el documento ISCG/23-1/04 presentado, </w:t>
      </w:r>
      <w:hyperlink w:history="1" r:id="rId34">
        <w:r w:rsidRPr="00337C85">
          <w:rPr>
            <w:rStyle w:val="Hyperlink"/>
            <w:rFonts w:cstheme="minorHAnsi"/>
            <w:szCs w:val="24"/>
          </w:rPr>
          <w:t xml:space="preserve">por </w:t>
        </w:r>
      </w:hyperlink>
      <w:r w:rsidRPr="00337C85">
        <w:rPr>
          <w:rFonts w:cstheme="minorHAnsi"/>
          <w:szCs w:val="24"/>
        </w:rPr>
        <w:t>el Representante del Grupo Asesor de Normalización de las Telecomunicaciones (TSAG) sobre participación remota, en la reunión del ISCG el 2 de mayo de 2023.</w:t>
      </w:r>
    </w:p>
    <w:p w:rsidRPr="00337C85" w:rsidR="00337C85" w:rsidP="00337C85" w:rsidRDefault="00337C85" w14:paraId="6DDAFA41" w14:textId="77777777">
      <w:pPr>
        <w:spacing w:after="120"/>
        <w:rPr>
          <w:rFonts w:cstheme="minorHAnsi"/>
          <w:szCs w:val="24"/>
        </w:rPr>
      </w:pPr>
      <w:r w:rsidRPr="00337C85">
        <w:rPr>
          <w:rFonts w:cstheme="minorHAnsi"/>
          <w:szCs w:val="24"/>
        </w:rPr>
        <w:t xml:space="preserve">El ISCG también quisiera compartir con RAG y TDAG el Suplemento 4 revisado de la serie A de Recomendaciones del UIT-T, </w:t>
      </w:r>
      <w:hyperlink w:history="1" r:id="rId35">
        <w:r w:rsidRPr="00337C85">
          <w:rPr>
            <w:rStyle w:val="Hyperlink"/>
            <w:rFonts w:cstheme="minorHAnsi"/>
            <w:szCs w:val="24"/>
          </w:rPr>
          <w:t xml:space="preserve">Suplemento sobre Directrices para la participación remota </w:t>
        </w:r>
      </w:hyperlink>
      <w:r w:rsidRPr="00337C85">
        <w:rPr>
          <w:rFonts w:cstheme="minorHAnsi"/>
          <w:szCs w:val="24"/>
        </w:rPr>
        <w:t>.</w:t>
      </w:r>
    </w:p>
    <w:p w:rsidRPr="00337C85" w:rsidR="00337C85" w:rsidP="00337C85" w:rsidRDefault="00337C85" w14:paraId="04BF72E6" w14:textId="77777777">
      <w:pPr>
        <w:spacing w:after="120"/>
        <w:rPr>
          <w:rFonts w:cstheme="minorHAnsi"/>
          <w:szCs w:val="24"/>
        </w:rPr>
      </w:pPr>
      <w:r w:rsidRPr="00337C85">
        <w:rPr>
          <w:rFonts w:cstheme="minorHAnsi"/>
          <w:szCs w:val="24"/>
        </w:rPr>
        <w:t>El ISCG invita a RAG y TDAG a compartir las reglas que tienen sobre la gobernanza y la gestión de reuniones virtuales para tratar de identificar una mejor práctica común acordada que se proporcionará al Consejo de la UIT para ayudarlos en sus deliberaciones como se establece en la Resolución PP-167 ( Rev. Bucarest, 2022), para desarrollar un enfoque común en toda la Unión a largo plazo.</w:t>
      </w:r>
    </w:p>
    <w:p w:rsidRPr="00337C85" w:rsidR="00337C85" w:rsidP="00337C85" w:rsidRDefault="00337C85" w14:paraId="3FA78898" w14:textId="77777777">
      <w:pPr>
        <w:tabs>
          <w:tab w:val="left" w:pos="0"/>
        </w:tabs>
        <w:spacing w:after="120"/>
        <w:rPr>
          <w:rFonts w:cstheme="minorHAnsi"/>
          <w:szCs w:val="24"/>
        </w:rPr>
      </w:pPr>
      <w:r w:rsidRPr="00337C85">
        <w:rPr>
          <w:rFonts w:cstheme="minorHAnsi"/>
          <w:szCs w:val="24"/>
        </w:rPr>
        <w:t>Esperando recibir sus comentarios, ISCG agradece a RAG y TDAG por su colaboración y contribuciones.</w:t>
      </w:r>
    </w:p>
    <w:p w:rsidR="00821996" w:rsidP="00C053DE" w:rsidRDefault="003C58BF" w14:paraId="7759C759" w14:textId="11008BBA">
      <w:pPr>
        <w:tabs>
          <w:tab w:val="clear" w:pos="794"/>
          <w:tab w:val="clear" w:pos="1191"/>
          <w:tab w:val="clear" w:pos="1588"/>
          <w:tab w:val="clear" w:pos="1985"/>
        </w:tabs>
        <w:spacing w:after="120"/>
        <w:jc w:val="center"/>
      </w:pPr>
      <w:r>
        <w:t>_______________</w:t>
      </w:r>
    </w:p>
    <w:sectPr w:rsidR="00821996" w:rsidSect="00473791">
      <w:headerReference w:type="default" r:id="rId36"/>
      <w:footerReference w:type="first" r:id="rId37"/>
      <w:pgSz w:w="11907" w:h="16834" w:orient="portrait"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25D2" w:rsidRDefault="00DA25D2" w14:paraId="3C44497A" w14:textId="77777777">
      <w:r>
        <w:separator/>
      </w:r>
    </w:p>
  </w:endnote>
  <w:endnote w:type="continuationSeparator" w:id="0">
    <w:p w:rsidR="00DA25D2" w:rsidRDefault="00DA25D2" w14:paraId="47E7D6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37C85" w:rsidR="00337C85" w:rsidP="00337C85" w:rsidRDefault="00337C85" w14:paraId="386B6DF2" w14:textId="77777777">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Pr="004D495C" w:rsidR="0059420B" w:rsidTr="004E3CF5" w14:paraId="695D1810" w14:textId="77777777">
      <w:tc>
        <w:tcPr>
          <w:tcW w:w="1526" w:type="dxa"/>
          <w:tcBorders>
            <w:top w:val="single" w:color="000000" w:sz="4" w:space="0"/>
          </w:tcBorders>
          <w:shd w:val="clear" w:color="auto" w:fill="auto"/>
        </w:tcPr>
        <w:p w:rsidRPr="004D495C" w:rsidR="0059420B" w:rsidP="0059420B" w:rsidRDefault="0059420B" w14:paraId="746E5A61" w14:textId="77777777">
          <w:pPr>
            <w:pStyle w:val="FirstFooter"/>
            <w:tabs>
              <w:tab w:val="left" w:pos="1559"/>
              <w:tab w:val="left" w:pos="3828"/>
            </w:tabs>
            <w:rPr>
              <w:sz w:val="18"/>
              <w:szCs w:val="18"/>
            </w:rPr>
          </w:pPr>
          <w:r w:rsidRPr="004D495C">
            <w:rPr>
              <w:sz w:val="18"/>
              <w:szCs w:val="18"/>
              <w:lang w:val="en-US"/>
            </w:rPr>
            <w:t>Contacto:</w:t>
          </w:r>
        </w:p>
      </w:tc>
      <w:tc>
        <w:tcPr>
          <w:tcW w:w="2410" w:type="dxa"/>
          <w:tcBorders>
            <w:top w:val="single" w:color="000000" w:sz="4" w:space="0"/>
          </w:tcBorders>
          <w:shd w:val="clear" w:color="auto" w:fill="auto"/>
        </w:tcPr>
        <w:p w:rsidRPr="004D495C" w:rsidR="0059420B" w:rsidP="0059420B" w:rsidRDefault="0059420B" w14:paraId="488E41E2" w14:textId="77777777">
          <w:pPr>
            <w:pStyle w:val="FirstFooter"/>
            <w:tabs>
              <w:tab w:val="left" w:pos="2302"/>
            </w:tabs>
            <w:ind w:left="2302" w:hanging="2302"/>
            <w:rPr>
              <w:sz w:val="18"/>
              <w:szCs w:val="18"/>
              <w:lang w:val="en-US"/>
            </w:rPr>
          </w:pPr>
          <w:r w:rsidRPr="004D495C">
            <w:rPr>
              <w:sz w:val="18"/>
              <w:szCs w:val="18"/>
              <w:lang w:val="en-US"/>
            </w:rPr>
            <w:t>Nombre/Organización/Entidad:</w:t>
          </w:r>
        </w:p>
      </w:tc>
      <w:tc>
        <w:tcPr>
          <w:tcW w:w="5987" w:type="dxa"/>
          <w:tcBorders>
            <w:top w:val="single" w:color="000000" w:sz="4" w:space="0"/>
          </w:tcBorders>
        </w:tcPr>
        <w:p w:rsidRPr="00AF7A97" w:rsidR="0059420B" w:rsidP="0059420B" w:rsidRDefault="00077DC0" w14:paraId="148264AE" w14:textId="67DF8ABB">
          <w:pPr>
            <w:pStyle w:val="FirstFooter"/>
            <w:tabs>
              <w:tab w:val="left" w:pos="2302"/>
            </w:tabs>
            <w:rPr>
              <w:sz w:val="18"/>
              <w:szCs w:val="18"/>
              <w:lang w:val="en-US"/>
            </w:rPr>
          </w:pPr>
          <w:r>
            <w:rPr>
              <w:sz w:val="18"/>
              <w:szCs w:val="18"/>
              <w:lang w:val="en-US"/>
            </w:rPr>
            <w:t>Sr. Fabio Bigi , Presidente de ISCG, Italia</w:t>
          </w:r>
        </w:p>
      </w:tc>
      <w:bookmarkStart w:name="OrgName" w:id="10"/>
      <w:bookmarkEnd w:id="10"/>
    </w:tr>
    <w:tr w:rsidRPr="004D495C" w:rsidR="0059420B" w:rsidTr="004E3CF5" w14:paraId="61167678" w14:textId="77777777">
      <w:tc>
        <w:tcPr>
          <w:tcW w:w="1526" w:type="dxa"/>
          <w:shd w:val="clear" w:color="auto" w:fill="auto"/>
        </w:tcPr>
        <w:p w:rsidRPr="004D495C" w:rsidR="0059420B" w:rsidP="0059420B" w:rsidRDefault="0059420B" w14:paraId="33710823" w14:textId="77777777">
          <w:pPr>
            <w:pStyle w:val="FirstFooter"/>
            <w:tabs>
              <w:tab w:val="left" w:pos="1559"/>
              <w:tab w:val="left" w:pos="3828"/>
            </w:tabs>
            <w:rPr>
              <w:sz w:val="20"/>
              <w:lang w:val="en-US"/>
            </w:rPr>
          </w:pPr>
        </w:p>
      </w:tc>
      <w:tc>
        <w:tcPr>
          <w:tcW w:w="2410" w:type="dxa"/>
          <w:shd w:val="clear" w:color="auto" w:fill="auto"/>
        </w:tcPr>
        <w:p w:rsidRPr="004D495C" w:rsidR="0059420B" w:rsidP="0059420B" w:rsidRDefault="0059420B" w14:paraId="1251F6E4" w14:textId="77777777">
          <w:pPr>
            <w:pStyle w:val="FirstFooter"/>
            <w:tabs>
              <w:tab w:val="left" w:pos="2302"/>
            </w:tabs>
            <w:rPr>
              <w:sz w:val="18"/>
              <w:szCs w:val="18"/>
              <w:lang w:val="en-US"/>
            </w:rPr>
          </w:pPr>
          <w:r w:rsidRPr="004D495C">
            <w:rPr>
              <w:sz w:val="18"/>
              <w:szCs w:val="18"/>
              <w:lang w:val="en-US"/>
            </w:rPr>
            <w:t>Número de teléfono:</w:t>
          </w:r>
        </w:p>
      </w:tc>
      <w:tc>
        <w:tcPr>
          <w:tcW w:w="5987" w:type="dxa"/>
        </w:tcPr>
        <w:p w:rsidRPr="00AF7A97" w:rsidR="0059420B" w:rsidP="0059420B" w:rsidRDefault="00077DC0" w14:paraId="6D7949F0" w14:textId="2CE7DD78">
          <w:pPr>
            <w:pStyle w:val="FirstFooter"/>
            <w:tabs>
              <w:tab w:val="left" w:pos="2302"/>
            </w:tabs>
            <w:rPr>
              <w:sz w:val="18"/>
              <w:szCs w:val="18"/>
              <w:lang w:val="en-US"/>
            </w:rPr>
          </w:pPr>
          <w:r>
            <w:rPr>
              <w:sz w:val="18"/>
              <w:szCs w:val="18"/>
              <w:lang w:val="en-US"/>
            </w:rPr>
            <w:t>n / A</w:t>
          </w:r>
        </w:p>
      </w:tc>
      <w:bookmarkStart w:name="PhoneNo" w:id="11"/>
      <w:bookmarkEnd w:id="11"/>
    </w:tr>
    <w:tr w:rsidRPr="004D495C" w:rsidR="0059420B" w:rsidTr="004E3CF5" w14:paraId="0299A231" w14:textId="77777777">
      <w:tc>
        <w:tcPr>
          <w:tcW w:w="1526" w:type="dxa"/>
          <w:shd w:val="clear" w:color="auto" w:fill="auto"/>
        </w:tcPr>
        <w:p w:rsidRPr="004D495C" w:rsidR="0059420B" w:rsidP="0059420B" w:rsidRDefault="0059420B" w14:paraId="35CBC438" w14:textId="77777777">
          <w:pPr>
            <w:pStyle w:val="FirstFooter"/>
            <w:tabs>
              <w:tab w:val="left" w:pos="1559"/>
              <w:tab w:val="left" w:pos="3828"/>
            </w:tabs>
            <w:rPr>
              <w:sz w:val="20"/>
              <w:lang w:val="en-US"/>
            </w:rPr>
          </w:pPr>
        </w:p>
      </w:tc>
      <w:tc>
        <w:tcPr>
          <w:tcW w:w="2410" w:type="dxa"/>
          <w:shd w:val="clear" w:color="auto" w:fill="auto"/>
        </w:tcPr>
        <w:p w:rsidRPr="004D495C" w:rsidR="0059420B" w:rsidP="0059420B" w:rsidRDefault="0059420B" w14:paraId="65335E06" w14:textId="77777777">
          <w:pPr>
            <w:pStyle w:val="FirstFooter"/>
            <w:tabs>
              <w:tab w:val="left" w:pos="2302"/>
            </w:tabs>
            <w:rPr>
              <w:sz w:val="18"/>
              <w:szCs w:val="18"/>
              <w:lang w:val="en-US"/>
            </w:rPr>
          </w:pPr>
          <w:r w:rsidRPr="004D495C">
            <w:rPr>
              <w:sz w:val="18"/>
              <w:szCs w:val="18"/>
              <w:lang w:val="en-US"/>
            </w:rPr>
            <w:t>Correo electrónico:</w:t>
          </w:r>
        </w:p>
      </w:tc>
      <w:tc>
        <w:tcPr>
          <w:tcW w:w="5987" w:type="dxa"/>
        </w:tcPr>
        <w:p w:rsidRPr="00AF7A97" w:rsidR="0059420B" w:rsidP="0059420B" w:rsidRDefault="007D416E" w14:paraId="7EAB0988" w14:textId="7A2D2770">
          <w:pPr>
            <w:pStyle w:val="FirstFooter"/>
            <w:tabs>
              <w:tab w:val="left" w:pos="2302"/>
            </w:tabs>
            <w:rPr>
              <w:sz w:val="18"/>
              <w:szCs w:val="18"/>
              <w:lang w:val="en-US"/>
            </w:rPr>
          </w:pPr>
          <w:hyperlink w:history="1" r:id="rId1">
            <w:r w:rsidRPr="00D87DB8" w:rsidR="00C053DE">
              <w:rPr>
                <w:rStyle w:val="Hyperlink"/>
                <w:sz w:val="18"/>
                <w:szCs w:val="18"/>
                <w:lang w:val="en-US"/>
              </w:rPr>
              <w:t>fabio.bigi@virgilio.it</w:t>
            </w:r>
          </w:hyperlink>
          <w:r w:rsidR="00C053DE">
            <w:rPr>
              <w:sz w:val="18"/>
              <w:szCs w:val="18"/>
              <w:lang w:val="en-US"/>
            </w:rPr>
            <w:t xml:space="preserve"> </w:t>
          </w:r>
        </w:p>
      </w:tc>
      <w:bookmarkStart w:name="Email" w:id="12"/>
      <w:bookmarkEnd w:id="12"/>
    </w:tr>
  </w:tbl>
  <w:p w:rsidR="0059420B" w:rsidP="00B80157" w:rsidRDefault="0059420B" w14:paraId="5AEFE7F9" w14:textId="77777777">
    <w:pPr>
      <w:pStyle w:val="Footer"/>
      <w:jc w:val="center"/>
      <w:rPr>
        <w:lang w:val="en-GB"/>
      </w:rPr>
    </w:pPr>
  </w:p>
  <w:p w:rsidRPr="0059420B" w:rsidR="00721657" w:rsidP="00B80157" w:rsidRDefault="007D416E" w14:paraId="40A321D0" w14:textId="77777777">
    <w:pPr>
      <w:pStyle w:val="Footer"/>
      <w:jc w:val="center"/>
      <w:rPr>
        <w:lang w:val="en-GB"/>
      </w:rPr>
    </w:pPr>
    <w:hyperlink w:history="1" r:id="rId2">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25D2" w:rsidRDefault="00DA25D2" w14:paraId="29DF1DA4" w14:textId="77777777">
      <w:r>
        <w:t>____________________</w:t>
      </w:r>
    </w:p>
  </w:footnote>
  <w:footnote w:type="continuationSeparator" w:id="0">
    <w:p w:rsidR="00DA25D2" w:rsidRDefault="00DA25D2" w14:paraId="400A49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7681D" w:rsidR="00721657" w:rsidP="0047681D" w:rsidRDefault="0047681D" w14:paraId="13F4FE77" w14:textId="036DABE0">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TDAG-23/9(Rev.1)-S</w:t>
    </w:r>
    <w:r w:rsidRPr="006D271A">
      <w:rPr>
        <w:sz w:val="22"/>
        <w:szCs w:val="22"/>
        <w:lang w:val="de-CH"/>
      </w:rPr>
      <w:tab/>
    </w:r>
    <w:r w:rsidRPr="006D271A">
      <w:rPr>
        <w:sz w:val="22"/>
        <w:szCs w:val="22"/>
        <w:lang w:val="de-CH"/>
      </w:rPr>
      <w:t xml:space="preserve">Página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hint="default" w:ascii="Calibri" w:hAnsi="Calibri" w:eastAsia="Times New Roman" w:cs="Times New Roman"/>
      </w:rPr>
    </w:lvl>
    <w:lvl w:ilvl="1" w:tplc="08090003" w:tentative="1">
      <w:start w:val="1"/>
      <w:numFmt w:val="bullet"/>
      <w:lvlText w:val="o"/>
      <w:lvlJc w:val="left"/>
      <w:pPr>
        <w:ind w:left="3060" w:hanging="360"/>
      </w:pPr>
      <w:rPr>
        <w:rFonts w:hint="default" w:ascii="Courier New" w:hAnsi="Courier New" w:cs="Courier New"/>
      </w:rPr>
    </w:lvl>
    <w:lvl w:ilvl="2" w:tplc="08090005" w:tentative="1">
      <w:start w:val="1"/>
      <w:numFmt w:val="bullet"/>
      <w:lvlText w:val=""/>
      <w:lvlJc w:val="left"/>
      <w:pPr>
        <w:ind w:left="3780" w:hanging="360"/>
      </w:pPr>
      <w:rPr>
        <w:rFonts w:hint="default" w:ascii="Wingdings" w:hAnsi="Wingdings"/>
      </w:rPr>
    </w:lvl>
    <w:lvl w:ilvl="3" w:tplc="08090001" w:tentative="1">
      <w:start w:val="1"/>
      <w:numFmt w:val="bullet"/>
      <w:lvlText w:val=""/>
      <w:lvlJc w:val="left"/>
      <w:pPr>
        <w:ind w:left="4500" w:hanging="360"/>
      </w:pPr>
      <w:rPr>
        <w:rFonts w:hint="default" w:ascii="Symbol" w:hAnsi="Symbol"/>
      </w:rPr>
    </w:lvl>
    <w:lvl w:ilvl="4" w:tplc="08090003" w:tentative="1">
      <w:start w:val="1"/>
      <w:numFmt w:val="bullet"/>
      <w:lvlText w:val="o"/>
      <w:lvlJc w:val="left"/>
      <w:pPr>
        <w:ind w:left="5220" w:hanging="360"/>
      </w:pPr>
      <w:rPr>
        <w:rFonts w:hint="default" w:ascii="Courier New" w:hAnsi="Courier New" w:cs="Courier New"/>
      </w:rPr>
    </w:lvl>
    <w:lvl w:ilvl="5" w:tplc="08090005" w:tentative="1">
      <w:start w:val="1"/>
      <w:numFmt w:val="bullet"/>
      <w:lvlText w:val=""/>
      <w:lvlJc w:val="left"/>
      <w:pPr>
        <w:ind w:left="5940" w:hanging="360"/>
      </w:pPr>
      <w:rPr>
        <w:rFonts w:hint="default" w:ascii="Wingdings" w:hAnsi="Wingdings"/>
      </w:rPr>
    </w:lvl>
    <w:lvl w:ilvl="6" w:tplc="08090001" w:tentative="1">
      <w:start w:val="1"/>
      <w:numFmt w:val="bullet"/>
      <w:lvlText w:val=""/>
      <w:lvlJc w:val="left"/>
      <w:pPr>
        <w:ind w:left="6660" w:hanging="360"/>
      </w:pPr>
      <w:rPr>
        <w:rFonts w:hint="default" w:ascii="Symbol" w:hAnsi="Symbol"/>
      </w:rPr>
    </w:lvl>
    <w:lvl w:ilvl="7" w:tplc="08090003" w:tentative="1">
      <w:start w:val="1"/>
      <w:numFmt w:val="bullet"/>
      <w:lvlText w:val="o"/>
      <w:lvlJc w:val="left"/>
      <w:pPr>
        <w:ind w:left="7380" w:hanging="360"/>
      </w:pPr>
      <w:rPr>
        <w:rFonts w:hint="default" w:ascii="Courier New" w:hAnsi="Courier New" w:cs="Courier New"/>
      </w:rPr>
    </w:lvl>
    <w:lvl w:ilvl="8" w:tplc="08090005" w:tentative="1">
      <w:start w:val="1"/>
      <w:numFmt w:val="bullet"/>
      <w:lvlText w:val=""/>
      <w:lvlJc w:val="left"/>
      <w:pPr>
        <w:ind w:left="8100" w:hanging="360"/>
      </w:pPr>
      <w:rPr>
        <w:rFonts w:hint="default" w:ascii="Wingdings" w:hAnsi="Wingdings"/>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 w:numId="11">
    <w:abstractNumId w:val="7"/>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C7B84"/>
    <w:rsid w:val="000D261B"/>
    <w:rsid w:val="000D58A3"/>
    <w:rsid w:val="000D5936"/>
    <w:rsid w:val="000E0D90"/>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16033"/>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0196"/>
    <w:rsid w:val="001828DB"/>
    <w:rsid w:val="001850FE"/>
    <w:rsid w:val="00185135"/>
    <w:rsid w:val="00187FE4"/>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81D"/>
    <w:rsid w:val="00476E48"/>
    <w:rsid w:val="004779D8"/>
    <w:rsid w:val="00481DE9"/>
    <w:rsid w:val="0049128B"/>
    <w:rsid w:val="00493B49"/>
    <w:rsid w:val="00495501"/>
    <w:rsid w:val="004A070A"/>
    <w:rsid w:val="004A320E"/>
    <w:rsid w:val="004A4E9C"/>
    <w:rsid w:val="004B1A3C"/>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3D93"/>
    <w:rsid w:val="006F521F"/>
    <w:rsid w:val="007019B1"/>
    <w:rsid w:val="00706778"/>
    <w:rsid w:val="00711AF4"/>
    <w:rsid w:val="00721657"/>
    <w:rsid w:val="007279A8"/>
    <w:rsid w:val="00727B1A"/>
    <w:rsid w:val="00735E3E"/>
    <w:rsid w:val="00741337"/>
    <w:rsid w:val="0075083D"/>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0717"/>
    <w:rsid w:val="007C27FC"/>
    <w:rsid w:val="007C51FF"/>
    <w:rsid w:val="007D416E"/>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772"/>
    <w:rsid w:val="00AD324F"/>
    <w:rsid w:val="00AD4677"/>
    <w:rsid w:val="00AE1057"/>
    <w:rsid w:val="00AE5961"/>
    <w:rsid w:val="00AF0745"/>
    <w:rsid w:val="00AF4971"/>
    <w:rsid w:val="00AF5276"/>
    <w:rsid w:val="00AF7C86"/>
    <w:rsid w:val="00B01046"/>
    <w:rsid w:val="00B13942"/>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63006"/>
    <w:rsid w:val="00D65F3E"/>
    <w:rsid w:val="00D71F6D"/>
    <w:rsid w:val="00D72301"/>
    <w:rsid w:val="00D85D46"/>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287F"/>
    <w:rsid w:val="00FF74A8"/>
    <w:rsid w:val="0595F5BD"/>
    <w:rsid w:val="0C0CBF25"/>
    <w:rsid w:val="1B0999C1"/>
    <w:rsid w:val="1F7F94A8"/>
    <w:rsid w:val="211B6509"/>
    <w:rsid w:val="2D65A5C6"/>
    <w:rsid w:val="42D7D0D2"/>
    <w:rsid w:val="46778F80"/>
    <w:rsid w:val="4AA9166A"/>
    <w:rsid w:val="4E1AE91B"/>
    <w:rsid w:val="562D82E4"/>
    <w:rsid w:val="58F528F4"/>
    <w:rsid w:val="5FBB3CCD"/>
    <w:rsid w:val="68DE5C52"/>
    <w:rsid w:val="70802C9B"/>
    <w:rsid w:val="722FB306"/>
    <w:rsid w:val="782C9A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FAF29E"/>
  <w15:docId w15:val="{DDEE480D-52BF-4038-9942-1B7C16C257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hAnsi="CG Times" w:eastAsia="Times New Roman" w:cs="Times New Roman"/>
        <w:lang w:val="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styleId="enumlev1" w:customStyle="1">
    <w:name w:val="enumlev1"/>
    <w:basedOn w:val="Normal"/>
    <w:rsid w:val="00B37866"/>
    <w:pPr>
      <w:spacing w:before="80"/>
      <w:ind w:left="794" w:hanging="794"/>
    </w:pPr>
  </w:style>
  <w:style w:type="paragraph" w:styleId="enumlev2" w:customStyle="1">
    <w:name w:val="enumlev2"/>
    <w:basedOn w:val="enumlev1"/>
    <w:rsid w:val="00B37866"/>
    <w:pPr>
      <w:ind w:left="1191" w:hanging="397"/>
    </w:pPr>
  </w:style>
  <w:style w:type="paragraph" w:styleId="enumlev3" w:customStyle="1">
    <w:name w:val="enumlev3"/>
    <w:basedOn w:val="enumlev2"/>
    <w:rsid w:val="00B37866"/>
    <w:pPr>
      <w:ind w:left="1588"/>
    </w:pPr>
  </w:style>
  <w:style w:type="paragraph" w:styleId="Normalaftertitle" w:customStyle="1">
    <w:name w:val="Normal after title"/>
    <w:basedOn w:val="Normal"/>
    <w:next w:val="Normal"/>
    <w:rsid w:val="00B37866"/>
    <w:pPr>
      <w:spacing w:before="280"/>
    </w:pPr>
  </w:style>
  <w:style w:type="paragraph" w:styleId="Equation" w:customStyle="1">
    <w:name w:val="Equation"/>
    <w:basedOn w:val="Normal"/>
    <w:rsid w:val="00B37866"/>
    <w:pPr>
      <w:tabs>
        <w:tab w:val="clear" w:pos="1191"/>
        <w:tab w:val="clear" w:pos="1588"/>
        <w:tab w:val="clear" w:pos="1985"/>
        <w:tab w:val="center" w:pos="4820"/>
        <w:tab w:val="right" w:pos="9639"/>
      </w:tabs>
    </w:pPr>
  </w:style>
  <w:style w:type="paragraph" w:styleId="toc0" w:customStyle="1">
    <w:name w:val="toc 0"/>
    <w:basedOn w:val="Normal"/>
    <w:next w:val="TOC1"/>
    <w:rsid w:val="00B37866"/>
    <w:pPr>
      <w:tabs>
        <w:tab w:val="clear" w:pos="794"/>
        <w:tab w:val="clear" w:pos="1191"/>
        <w:tab w:val="clear" w:pos="1588"/>
        <w:tab w:val="clear" w:pos="1985"/>
        <w:tab w:val="right" w:pos="9781"/>
      </w:tabs>
    </w:pPr>
    <w:rPr>
      <w:b/>
    </w:rPr>
  </w:style>
  <w:style w:type="paragraph" w:styleId="AnnexNo" w:customStyle="1">
    <w:name w:val="Annex_No"/>
    <w:basedOn w:val="Normal"/>
    <w:next w:val="Annexref"/>
    <w:rsid w:val="00B37866"/>
    <w:pPr>
      <w:keepNext/>
      <w:keepLines/>
      <w:spacing w:before="480" w:after="80"/>
      <w:jc w:val="center"/>
    </w:pPr>
    <w:rPr>
      <w:caps/>
      <w:sz w:val="28"/>
    </w:rPr>
  </w:style>
  <w:style w:type="paragraph" w:styleId="ASN1" w:customStyle="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Note" w:customStyle="1">
    <w:name w:val="Note"/>
    <w:basedOn w:val="Normal"/>
    <w:rsid w:val="00B37866"/>
    <w:pPr>
      <w:spacing w:before="80"/>
    </w:pPr>
  </w:style>
  <w:style w:type="paragraph" w:styleId="TOC9">
    <w:name w:val="toc 9"/>
    <w:basedOn w:val="TOC3"/>
    <w:next w:val="Normal"/>
    <w:semiHidden/>
    <w:rsid w:val="00B37866"/>
  </w:style>
  <w:style w:type="paragraph" w:styleId="Source" w:customStyle="1">
    <w:name w:val="Source"/>
    <w:basedOn w:val="Normal"/>
    <w:next w:val="Normalaftertitle"/>
    <w:rsid w:val="00EC6FED"/>
    <w:pPr>
      <w:spacing w:before="240" w:after="240"/>
      <w:jc w:val="center"/>
    </w:pPr>
    <w:rPr>
      <w:b/>
      <w:sz w:val="28"/>
    </w:rPr>
  </w:style>
  <w:style w:type="paragraph" w:styleId="Title1" w:customSty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styleId="Title2" w:customStyle="1">
    <w:name w:val="Title 2"/>
    <w:basedOn w:val="Title1"/>
    <w:next w:val="Title3"/>
    <w:rsid w:val="00B37866"/>
  </w:style>
  <w:style w:type="paragraph" w:styleId="Title3" w:customStyle="1">
    <w:name w:val="Title 3"/>
    <w:basedOn w:val="Title2"/>
    <w:next w:val="Title4"/>
    <w:rsid w:val="00B37866"/>
  </w:style>
  <w:style w:type="paragraph" w:styleId="Title4" w:customStyle="1">
    <w:name w:val="Title 4"/>
    <w:basedOn w:val="Title3"/>
    <w:next w:val="Heading1"/>
    <w:rsid w:val="00B37866"/>
  </w:style>
  <w:style w:type="paragraph" w:styleId="FirstFooter" w:customStyle="1">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styleId="Annexref" w:customStyle="1">
    <w:name w:val="Annex_ref"/>
    <w:basedOn w:val="Normal"/>
    <w:next w:val="Annextitle"/>
    <w:rsid w:val="00B37866"/>
    <w:pPr>
      <w:keepNext/>
      <w:keepLines/>
      <w:spacing w:after="280"/>
      <w:jc w:val="center"/>
    </w:pPr>
  </w:style>
  <w:style w:type="paragraph" w:styleId="Annextitle" w:customStyle="1">
    <w:name w:val="Annex_title"/>
    <w:basedOn w:val="Normal"/>
    <w:next w:val="Normalaftertitle"/>
    <w:rsid w:val="00F52741"/>
    <w:pPr>
      <w:keepNext/>
      <w:keepLines/>
      <w:spacing w:before="240" w:after="280"/>
      <w:jc w:val="center"/>
    </w:pPr>
    <w:rPr>
      <w:b/>
      <w:sz w:val="28"/>
    </w:rPr>
  </w:style>
  <w:style w:type="character" w:styleId="Appdef" w:customStyle="1">
    <w:name w:val="App_def"/>
    <w:basedOn w:val="DefaultParagraphFont"/>
    <w:rsid w:val="00F52741"/>
    <w:rPr>
      <w:rFonts w:asciiTheme="minorHAnsi" w:hAnsiTheme="minorHAnsi"/>
      <w:b/>
    </w:rPr>
  </w:style>
  <w:style w:type="character" w:styleId="Appref" w:customStyle="1">
    <w:name w:val="App_ref"/>
    <w:basedOn w:val="DefaultParagraphFont"/>
    <w:rsid w:val="00F52741"/>
    <w:rPr>
      <w:rFonts w:asciiTheme="minorHAnsi" w:hAnsiTheme="minorHAnsi"/>
    </w:rPr>
  </w:style>
  <w:style w:type="paragraph" w:styleId="AppendixNo" w:customStyle="1">
    <w:name w:val="Appendix_No"/>
    <w:basedOn w:val="AnnexNo"/>
    <w:next w:val="Annexref"/>
    <w:rsid w:val="00B37866"/>
  </w:style>
  <w:style w:type="paragraph" w:styleId="Appendixref" w:customStyle="1">
    <w:name w:val="Appendix_ref"/>
    <w:basedOn w:val="Annexref"/>
    <w:next w:val="Annextitle"/>
    <w:rsid w:val="00B37866"/>
  </w:style>
  <w:style w:type="paragraph" w:styleId="Appendixtitle" w:customStyle="1">
    <w:name w:val="Appendix_title"/>
    <w:basedOn w:val="Annextitle"/>
    <w:next w:val="Normalaftertitle"/>
    <w:rsid w:val="00B37866"/>
  </w:style>
  <w:style w:type="character" w:styleId="Artdef" w:customStyle="1">
    <w:name w:val="Art_def"/>
    <w:basedOn w:val="DefaultParagraphFont"/>
    <w:rsid w:val="00F52741"/>
    <w:rPr>
      <w:rFonts w:asciiTheme="minorHAnsi" w:hAnsiTheme="minorHAnsi"/>
      <w:b/>
    </w:rPr>
  </w:style>
  <w:style w:type="paragraph" w:styleId="Artheading" w:customStyle="1">
    <w:name w:val="Art_heading"/>
    <w:basedOn w:val="Normal"/>
    <w:next w:val="Normalaftertitle"/>
    <w:rsid w:val="00F52741"/>
    <w:pPr>
      <w:spacing w:before="480"/>
      <w:jc w:val="center"/>
    </w:pPr>
    <w:rPr>
      <w:b/>
      <w:sz w:val="28"/>
    </w:rPr>
  </w:style>
  <w:style w:type="paragraph" w:styleId="ArtNo" w:customStyle="1">
    <w:name w:val="Art_No"/>
    <w:basedOn w:val="Normal"/>
    <w:next w:val="Arttitle"/>
    <w:rsid w:val="00B37866"/>
    <w:pPr>
      <w:keepNext/>
      <w:keepLines/>
      <w:spacing w:before="480"/>
      <w:jc w:val="center"/>
    </w:pPr>
    <w:rPr>
      <w:caps/>
      <w:sz w:val="28"/>
    </w:rPr>
  </w:style>
  <w:style w:type="paragraph" w:styleId="Arttitle" w:customStyle="1">
    <w:name w:val="Art_title"/>
    <w:basedOn w:val="Normal"/>
    <w:next w:val="Normalaftertitle"/>
    <w:rsid w:val="00B37866"/>
    <w:pPr>
      <w:keepNext/>
      <w:keepLines/>
      <w:spacing w:before="240"/>
      <w:jc w:val="center"/>
    </w:pPr>
    <w:rPr>
      <w:b/>
      <w:sz w:val="28"/>
    </w:rPr>
  </w:style>
  <w:style w:type="character" w:styleId="Artref" w:customStyle="1">
    <w:name w:val="Art_ref"/>
    <w:basedOn w:val="DefaultParagraphFont"/>
    <w:rsid w:val="00B37866"/>
  </w:style>
  <w:style w:type="paragraph" w:styleId="Call" w:customStyle="1">
    <w:name w:val="Call"/>
    <w:basedOn w:val="Normal"/>
    <w:next w:val="Normal"/>
    <w:rsid w:val="00B37866"/>
    <w:pPr>
      <w:keepNext/>
      <w:keepLines/>
      <w:spacing w:before="160"/>
      <w:ind w:left="794"/>
    </w:pPr>
    <w:rPr>
      <w:i/>
    </w:rPr>
  </w:style>
  <w:style w:type="paragraph" w:styleId="ChapNo" w:customStyle="1">
    <w:name w:val="Chap_No"/>
    <w:basedOn w:val="ArtNo"/>
    <w:next w:val="Chaptitle"/>
    <w:rsid w:val="00F52741"/>
    <w:rPr>
      <w:b/>
    </w:rPr>
  </w:style>
  <w:style w:type="paragraph" w:styleId="Chaptitle" w:customStyle="1">
    <w:name w:val="Chap_title"/>
    <w:basedOn w:val="Arttitle"/>
    <w:next w:val="Normalaftertitle"/>
    <w:rsid w:val="00B37866"/>
  </w:style>
  <w:style w:type="paragraph" w:styleId="ddate" w:customStyle="1">
    <w:name w:val="ddate"/>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dnum" w:customStyle="1">
    <w:name w:val="dnum"/>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dorlang" w:customStyle="1">
    <w:name w:val="dorlang"/>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styleId="Equationlegend" w:customStyle="1">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styleId="Figurelegend" w:customStyle="1">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rsid w:val="00B37866"/>
    <w:pPr>
      <w:keepNext/>
      <w:keepLines/>
      <w:spacing w:before="480" w:after="120"/>
      <w:jc w:val="center"/>
    </w:pPr>
    <w:rPr>
      <w:caps/>
    </w:rPr>
  </w:style>
  <w:style w:type="paragraph" w:styleId="Figuretitle" w:customStyle="1">
    <w:name w:val="Figure_title"/>
    <w:basedOn w:val="Tabletitle"/>
    <w:next w:val="Normal"/>
    <w:rsid w:val="00F52741"/>
    <w:pPr>
      <w:keepNext w:val="0"/>
      <w:spacing w:after="480"/>
    </w:pPr>
  </w:style>
  <w:style w:type="paragraph" w:styleId="Tabletitle" w:customStyle="1">
    <w:name w:val="Table_title"/>
    <w:basedOn w:val="Normal"/>
    <w:next w:val="Tabletext"/>
    <w:rsid w:val="00F52741"/>
    <w:pPr>
      <w:keepNext/>
      <w:keepLines/>
      <w:spacing w:before="0" w:after="120"/>
      <w:jc w:val="center"/>
    </w:pPr>
    <w:rPr>
      <w:b/>
    </w:rPr>
  </w:style>
  <w:style w:type="paragraph" w:styleId="Tabletext" w:customStyle="1">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igurewithouttitle" w:customStyle="1">
    <w:name w:val="Figure_without_title"/>
    <w:basedOn w:val="FigureNo"/>
    <w:next w:val="Normal"/>
    <w:rsid w:val="00B37866"/>
    <w:pPr>
      <w:keepNext w:val="0"/>
    </w:pPr>
  </w:style>
  <w:style w:type="paragraph" w:styleId="Headingb" w:customStyle="1">
    <w:name w:val="Heading_b"/>
    <w:basedOn w:val="Normal"/>
    <w:next w:val="Normal"/>
    <w:rsid w:val="00F52741"/>
    <w:pPr>
      <w:keepNext/>
      <w:spacing w:before="160"/>
    </w:pPr>
    <w:rPr>
      <w:b/>
    </w:rPr>
  </w:style>
  <w:style w:type="paragraph" w:styleId="Headingi" w:customStyle="1">
    <w:name w:val="Heading_i"/>
    <w:basedOn w:val="Normal"/>
    <w:next w:val="Normal"/>
    <w:rsid w:val="00F52741"/>
    <w:pPr>
      <w:keepNext/>
      <w:spacing w:before="160"/>
    </w:pPr>
    <w:rPr>
      <w:i/>
    </w:rPr>
  </w:style>
  <w:style w:type="paragraph" w:styleId="PartNo" w:customStyle="1">
    <w:name w:val="Part_No"/>
    <w:basedOn w:val="AnnexNo"/>
    <w:next w:val="Partref"/>
    <w:rsid w:val="00B37866"/>
  </w:style>
  <w:style w:type="paragraph" w:styleId="Partref" w:customStyle="1">
    <w:name w:val="Part_ref"/>
    <w:basedOn w:val="Annexref"/>
    <w:next w:val="Parttitle"/>
    <w:rsid w:val="00B37866"/>
  </w:style>
  <w:style w:type="paragraph" w:styleId="Parttitle" w:customStyle="1">
    <w:name w:val="Part_title"/>
    <w:basedOn w:val="Annextitle"/>
    <w:next w:val="Normalaftertitle"/>
    <w:rsid w:val="00B37866"/>
  </w:style>
  <w:style w:type="paragraph" w:styleId="RecNo" w:customStyle="1">
    <w:name w:val="Rec_No"/>
    <w:basedOn w:val="Normal"/>
    <w:next w:val="Rectitle"/>
    <w:rsid w:val="00B37866"/>
    <w:pPr>
      <w:keepNext/>
      <w:keepLines/>
      <w:spacing w:before="480"/>
      <w:jc w:val="center"/>
    </w:pPr>
    <w:rPr>
      <w:caps/>
      <w:sz w:val="28"/>
    </w:rPr>
  </w:style>
  <w:style w:type="paragraph" w:styleId="Rectitle" w:customStyle="1">
    <w:name w:val="Rec_title"/>
    <w:basedOn w:val="RecNo"/>
    <w:next w:val="Recref"/>
    <w:rsid w:val="00F52741"/>
    <w:pPr>
      <w:spacing w:before="240"/>
    </w:pPr>
    <w:rPr>
      <w:b/>
      <w:caps w:val="0"/>
    </w:rPr>
  </w:style>
  <w:style w:type="paragraph" w:styleId="Recref" w:customStyle="1">
    <w:name w:val="Rec_ref"/>
    <w:basedOn w:val="Rectitle"/>
    <w:next w:val="Recdate"/>
    <w:rsid w:val="00F52741"/>
    <w:pPr>
      <w:tabs>
        <w:tab w:val="clear" w:pos="794"/>
        <w:tab w:val="clear" w:pos="1191"/>
        <w:tab w:val="clear" w:pos="1588"/>
        <w:tab w:val="clear" w:pos="1985"/>
      </w:tabs>
      <w:spacing w:before="120"/>
    </w:pPr>
    <w:rPr>
      <w:b w:val="0"/>
      <w:i/>
      <w:sz w:val="24"/>
    </w:rPr>
  </w:style>
  <w:style w:type="paragraph" w:styleId="Recdate" w:customStyle="1">
    <w:name w:val="Rec_date"/>
    <w:basedOn w:val="Recref"/>
    <w:next w:val="Normalaftertitle"/>
    <w:rsid w:val="00B37866"/>
    <w:pPr>
      <w:jc w:val="right"/>
    </w:pPr>
    <w:rPr>
      <w:sz w:val="22"/>
    </w:rPr>
  </w:style>
  <w:style w:type="paragraph" w:styleId="Questiondate" w:customStyle="1">
    <w:name w:val="Question_date"/>
    <w:basedOn w:val="Recdate"/>
    <w:next w:val="Normalaftertitle"/>
    <w:rsid w:val="00F52741"/>
  </w:style>
  <w:style w:type="paragraph" w:styleId="QuestionNo" w:customStyle="1">
    <w:name w:val="Question_No"/>
    <w:basedOn w:val="RecNo"/>
    <w:next w:val="Questiontitle"/>
    <w:rsid w:val="00B37866"/>
  </w:style>
  <w:style w:type="paragraph" w:styleId="Questiontitle" w:customStyle="1">
    <w:name w:val="Question_title"/>
    <w:basedOn w:val="Rectitle"/>
    <w:next w:val="Questionref"/>
    <w:rsid w:val="00F52741"/>
  </w:style>
  <w:style w:type="paragraph" w:styleId="Questionref" w:customStyle="1">
    <w:name w:val="Question_ref"/>
    <w:basedOn w:val="Recref"/>
    <w:next w:val="Questiondate"/>
    <w:rsid w:val="00F52741"/>
  </w:style>
  <w:style w:type="character" w:styleId="Recdef" w:customStyle="1">
    <w:name w:val="Rec_def"/>
    <w:basedOn w:val="DefaultParagraphFont"/>
    <w:rsid w:val="00F52741"/>
    <w:rPr>
      <w:rFonts w:asciiTheme="minorHAnsi" w:hAnsiTheme="minorHAnsi"/>
      <w:b/>
    </w:rPr>
  </w:style>
  <w:style w:type="paragraph" w:styleId="Reftext" w:customStyle="1">
    <w:name w:val="Ref_text"/>
    <w:basedOn w:val="Normal"/>
    <w:rsid w:val="00B37866"/>
    <w:pPr>
      <w:ind w:left="794" w:hanging="794"/>
    </w:pPr>
  </w:style>
  <w:style w:type="paragraph" w:styleId="Reftitle" w:customStyle="1">
    <w:name w:val="Ref_title"/>
    <w:basedOn w:val="Normal"/>
    <w:next w:val="Reftext"/>
    <w:rsid w:val="00B37866"/>
    <w:pPr>
      <w:spacing w:before="480"/>
      <w:jc w:val="center"/>
    </w:pPr>
    <w:rPr>
      <w:caps/>
    </w:rPr>
  </w:style>
  <w:style w:type="paragraph" w:styleId="Repdate" w:customStyle="1">
    <w:name w:val="Rep_date"/>
    <w:basedOn w:val="Recdate"/>
    <w:next w:val="Normalaftertitle"/>
    <w:rsid w:val="00B37866"/>
  </w:style>
  <w:style w:type="paragraph" w:styleId="RepNo" w:customStyle="1">
    <w:name w:val="Rep_No"/>
    <w:basedOn w:val="RecNo"/>
    <w:next w:val="Reptitle"/>
    <w:rsid w:val="00B37866"/>
  </w:style>
  <w:style w:type="paragraph" w:styleId="Reptitle" w:customStyle="1">
    <w:name w:val="Rep_title"/>
    <w:basedOn w:val="Rectitle"/>
    <w:next w:val="Repref"/>
    <w:rsid w:val="00B37866"/>
  </w:style>
  <w:style w:type="paragraph" w:styleId="Repref" w:customStyle="1">
    <w:name w:val="Rep_ref"/>
    <w:basedOn w:val="Recref"/>
    <w:next w:val="Repdate"/>
    <w:rsid w:val="00B37866"/>
  </w:style>
  <w:style w:type="paragraph" w:styleId="Resdate" w:customStyle="1">
    <w:name w:val="Res_date"/>
    <w:basedOn w:val="Recdate"/>
    <w:next w:val="Normalaftertitle"/>
    <w:rsid w:val="00B37866"/>
  </w:style>
  <w:style w:type="character" w:styleId="Resdef" w:customStyle="1">
    <w:name w:val="Res_def"/>
    <w:basedOn w:val="DefaultParagraphFont"/>
    <w:rsid w:val="00F52741"/>
    <w:rPr>
      <w:rFonts w:asciiTheme="minorHAnsi" w:hAnsiTheme="minorHAnsi"/>
      <w:b/>
    </w:rPr>
  </w:style>
  <w:style w:type="paragraph" w:styleId="ResNo" w:customStyle="1">
    <w:name w:val="Res_No"/>
    <w:basedOn w:val="RecNo"/>
    <w:next w:val="Restitle"/>
    <w:rsid w:val="00B37866"/>
  </w:style>
  <w:style w:type="paragraph" w:styleId="Restitle" w:customStyle="1">
    <w:name w:val="Res_title"/>
    <w:basedOn w:val="Rectitle"/>
    <w:next w:val="Resref"/>
    <w:rsid w:val="00B37866"/>
  </w:style>
  <w:style w:type="paragraph" w:styleId="Resref" w:customStyle="1">
    <w:name w:val="Res_ref"/>
    <w:basedOn w:val="Recref"/>
    <w:next w:val="Resdate"/>
    <w:rsid w:val="00B37866"/>
  </w:style>
  <w:style w:type="paragraph" w:styleId="SectionNo" w:customStyle="1">
    <w:name w:val="Section_No"/>
    <w:basedOn w:val="AnnexNo"/>
    <w:next w:val="Sectiontitle"/>
    <w:rsid w:val="00B37866"/>
  </w:style>
  <w:style w:type="paragraph" w:styleId="Sectiontitle" w:customStyle="1">
    <w:name w:val="Section_title"/>
    <w:basedOn w:val="Annextitle"/>
    <w:next w:val="Normalaftertitle"/>
    <w:rsid w:val="00B37866"/>
  </w:style>
  <w:style w:type="paragraph" w:styleId="SpecialFooter" w:customStyle="1">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styleId="Tablefreq" w:customStyle="1">
    <w:name w:val="Table_freq"/>
    <w:basedOn w:val="DefaultParagraphFont"/>
    <w:rsid w:val="00F52741"/>
    <w:rPr>
      <w:rFonts w:asciiTheme="minorHAnsi" w:hAnsiTheme="minorHAnsi"/>
      <w:b/>
      <w:color w:val="auto"/>
    </w:rPr>
  </w:style>
  <w:style w:type="paragraph" w:styleId="Tablehead" w:customStyle="1">
    <w:name w:val="Table_head"/>
    <w:basedOn w:val="Tabletext"/>
    <w:next w:val="Tabletext"/>
    <w:rsid w:val="00B37866"/>
    <w:pPr>
      <w:keepNext/>
      <w:spacing w:before="80" w:after="80"/>
      <w:jc w:val="center"/>
    </w:pPr>
    <w:rPr>
      <w:b/>
    </w:rPr>
  </w:style>
  <w:style w:type="paragraph" w:styleId="Tablelegend" w:customStyle="1">
    <w:name w:val="Table_legend"/>
    <w:basedOn w:val="Tabletext"/>
    <w:rsid w:val="00B37866"/>
    <w:pPr>
      <w:spacing w:before="120"/>
    </w:pPr>
  </w:style>
  <w:style w:type="paragraph" w:styleId="TableNo" w:customStyle="1">
    <w:name w:val="Table_No"/>
    <w:basedOn w:val="Normal"/>
    <w:next w:val="Tabletitle"/>
    <w:rsid w:val="00B37866"/>
    <w:pPr>
      <w:keepNext/>
      <w:spacing w:before="560" w:after="120"/>
      <w:jc w:val="center"/>
    </w:pPr>
    <w:rPr>
      <w:caps/>
    </w:rPr>
  </w:style>
  <w:style w:type="paragraph" w:styleId="Tableref" w:customStyle="1">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styleId="HeaderChar" w:customStyle="1">
    <w:name w:val="Header Char"/>
    <w:basedOn w:val="DefaultParagraphFont"/>
    <w:link w:val="Header"/>
    <w:uiPriority w:val="99"/>
    <w:rsid w:val="00005791"/>
    <w:rPr>
      <w:rFonts w:ascii="Times New Roman" w:hAnsi="Times New Roman"/>
      <w:sz w:val="18"/>
      <w:lang w:val="es" w:eastAsia="en-US"/>
    </w:rPr>
  </w:style>
  <w:style w:type="character" w:styleId="FooterChar" w:customStyle="1">
    <w:name w:val="Footer Char"/>
    <w:basedOn w:val="DefaultParagraphFont"/>
    <w:link w:val="Footer"/>
    <w:rsid w:val="0056423B"/>
    <w:rPr>
      <w:rFonts w:ascii="Times New Roman" w:hAnsi="Times New Roman"/>
      <w:caps/>
      <w:noProof/>
      <w:sz w:val="16"/>
      <w:lang w:val="es" w:eastAsia="en-US"/>
    </w:rPr>
  </w:style>
  <w:style w:type="table" w:styleId="TableGrid">
    <w:name w:val="Table Grid"/>
    <w:basedOn w:val="TableNormal"/>
    <w:uiPriority w:val="5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ittee" w:customStyle="1">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styleId="BDTLogo" w:customStyle="1">
    <w:name w:val="BDT_Logo"/>
    <w:uiPriority w:val="99"/>
    <w:rsid w:val="00C72713"/>
    <w:pPr>
      <w:jc w:val="center"/>
    </w:pPr>
    <w:rPr>
      <w:rFonts w:ascii="Calibri" w:hAnsi="Calibri" w:eastAsia="SimHei" w:cs="Simplified Arabic"/>
      <w:sz w:val="22"/>
      <w:szCs w:val="28"/>
      <w:lang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AppArtNo" w:customStyle="1">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styleId="AppArttitle" w:customStyle="1">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styleId="ApptoAnnex" w:customStyle="1">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styleId="Volumetitle" w:customStyle="1">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styleId="Proposal" w:customStyle="1">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Reasons" w:customStyle="1">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ListParagraphChar" w:customStyle="1">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es"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styleId="BalloonTextChar" w:customStyle="1">
    <w:name w:val="Balloon Text Char"/>
    <w:basedOn w:val="DefaultParagraphFont"/>
    <w:link w:val="BalloonText"/>
    <w:semiHidden/>
    <w:rsid w:val="00337C85"/>
    <w:rPr>
      <w:rFonts w:ascii="Segoe UI" w:hAnsi="Segoe UI" w:cs="Segoe UI"/>
      <w:sz w:val="18"/>
      <w:szCs w:val="18"/>
      <w:lang w:val="es" w:eastAsia="en-US"/>
    </w:rPr>
  </w:style>
  <w:style w:type="character" w:styleId="Title1Char" w:customStyle="1">
    <w:name w:val="Title 1 Char"/>
    <w:link w:val="Title1"/>
    <w:qFormat/>
    <w:locked/>
    <w:rsid w:val="00337C85"/>
    <w:rPr>
      <w:rFonts w:cs="Times New Roman Bold" w:asciiTheme="minorHAnsi" w:hAnsiTheme="minorHAnsi"/>
      <w:sz w:val="28"/>
      <w:lang w:val="es" w:eastAsia="en-US"/>
    </w:rPr>
  </w:style>
  <w:style w:type="paragraph" w:styleId="default-style" w:customStyle="1">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yperlink" Target="https://www.itu.int/en/council/Documents/basic-texts-2023/DEC-005-E.pdf" TargetMode="External" Id="rId13" /><Relationship Type="http://schemas.openxmlformats.org/officeDocument/2006/relationships/hyperlink" Target="https://www.itu.int/en/general-secretariat/ties/ISCGDocumentLibrary/1st%20Meeting%202023/Mapping-of-resolutions-Updated%20Oct2022.pdf" TargetMode="External" Id="rId18" /><Relationship Type="http://schemas.openxmlformats.org/officeDocument/2006/relationships/hyperlink" Target="https://www.itu.int/en/general-secretariat/ties/ISCGDocumentLibrary/1st%20Meeting%202023/Kenya-ATDI-Contribution%20ISCG%2023-1.docx" TargetMode="External" Id="rId26" /><Relationship Type="http://schemas.openxmlformats.org/officeDocument/2006/relationships/glossaryDocument" Target="glossary/document.xml" Id="rId39" /><Relationship Type="http://schemas.openxmlformats.org/officeDocument/2006/relationships/hyperlink" Target="https://www.itu.int/en/general-secretariat/ties/ISCGDocumentLibrary/1st%20Meeting%202023/ITU-R%20Focal%20Point-Contribution%20ISCG%2023-1.docx" TargetMode="External" Id="rId21" /><Relationship Type="http://schemas.openxmlformats.org/officeDocument/2006/relationships/hyperlink" Target="https://www.itu.int/en/general-secretariat/ties/ISCGDocumentLibrary/1st%20Meeting%202023/Virtual%20meetings-Contribution%20ISCG%2023-1.docx" TargetMode="External" Id="rId34" /><Relationship Type="http://schemas.openxmlformats.org/officeDocument/2006/relationships/settings" Target="settings.xml" Id="rId7" /><Relationship Type="http://schemas.openxmlformats.org/officeDocument/2006/relationships/hyperlink" Target="https://www.itu.int/en/council/Documents/basic-texts-2023/RES-191-E.pdf" TargetMode="External" Id="rId12" /><Relationship Type="http://schemas.openxmlformats.org/officeDocument/2006/relationships/hyperlink" Target="https://www.itu.int/en/general-secretariat/ties/ISCGDocumentLibrary/1st%20Meeting%202023/Resolution%20191-Rev%20Bucharest%202022-E.pdf" TargetMode="External" Id="rId17" /><Relationship Type="http://schemas.openxmlformats.org/officeDocument/2006/relationships/hyperlink" Target="https://www.itu.int/en/general-secretariat/ties/ISCGDocumentLibrary/1st%20Meeting%202023/Russian%20Fed-Contribution%20ISCG%2023-1-R1.docx" TargetMode="External" Id="rId25" /><Relationship Type="http://schemas.openxmlformats.org/officeDocument/2006/relationships/hyperlink" Target="mailto:iscg@itu.int"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itu.int/en/general-secretariat/ties/ISCGDocumentLibrary/1st%20Meeting%202023/ITU-R%20Focal%20Point-Contribution%20ISCG%2023-1.docx" TargetMode="External" Id="rId20" /><Relationship Type="http://schemas.openxmlformats.org/officeDocument/2006/relationships/hyperlink" Target="https://www.itu.int/en/general-secretariat/ties/ISCGDocumentLibrary/Liaisons%20Statements%20on%20Inter-Sectoral%20Coordination%20Activities/Table%201.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itu.int/en/general-secretariat/ties/ISCGDocumentLibrary/1st%20Meeting%202023/sp17-tsag-oLS-00003.docx" TargetMode="External" Id="rId24" /><Relationship Type="http://schemas.openxmlformats.org/officeDocument/2006/relationships/hyperlink" Target="mailto:bruce.gracie@ericsson.com"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www.itu.int/en/general-secretariat/ties/ISCGDocumentLibrary/1st%20Meeting%202023/Virtual%20meetings-Contribution%20ISCG%2023-1.docx" TargetMode="External" Id="rId23" /><Relationship Type="http://schemas.openxmlformats.org/officeDocument/2006/relationships/hyperlink" Target="https://www.itu.int/en/general-secretariat/ties/ISCGDocumentLibrary/1st%20Meeting%202023/Mapping-of-resolutions-Updated%20Oct2022.pdf"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www.itu.int/en/general-secretariat/ties/ISCGDocumentLibrary/1st%20Meeting%202023/Climate%20change.docx" TargetMode="External" Id="rId19" /><Relationship Type="http://schemas.openxmlformats.org/officeDocument/2006/relationships/hyperlink" Target="mailto:philrushton@rcc-uk.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en/general-secretariat/ties/ISCGDocumentLibrary/1st%20Meeting%202023/ISCG-23-1-01-E-Agenda-R1.docx" TargetMode="External" Id="rId14" /><Relationship Type="http://schemas.openxmlformats.org/officeDocument/2006/relationships/hyperlink" Target="https://www.itu.int/en/general-secretariat/ties/ISCGDocumentLibrary/1st%20Meeting%202023/Accessibility.docx" TargetMode="External" Id="rId22" /><Relationship Type="http://schemas.openxmlformats.org/officeDocument/2006/relationships/hyperlink" Target="https://www.itu.int/en/general-secretariat/Pages/ISCG/Terms-of-reference-for-IST.aspx" TargetMode="External" Id="rId27" /><Relationship Type="http://schemas.openxmlformats.org/officeDocument/2006/relationships/hyperlink" Target="https://www.itu.int/en/general-secretariat/ties/ISCGDocumentLibrary/Liaisons%20Statements%20on%20Inter-Sectoral%20Coordination%20Activities/Table%202.pdf" TargetMode="External" Id="rId30" /><Relationship Type="http://schemas.openxmlformats.org/officeDocument/2006/relationships/hyperlink" Target="https://www.itu.int/rec/T-REC-A.Sup4-202212-I"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itu.int/en/general-secretariat/ties/ISCGDocumentLibrary/1st%20Meeting%202023/List%20of%20Participants.docx" TargetMode="External" Id="Rca5e70aeac084f01" /><Relationship Type="http://schemas.openxmlformats.org/officeDocument/2006/relationships/hyperlink" Target="https://www.itu.int/en/general-secretariat/Pages/ISCG/default.aspx" TargetMode="External" Id="Rdafc0e5dbd4b4e49" /></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AC383865E47BE840F392BFA449D14"/>
        <w:category>
          <w:name w:val="General"/>
          <w:gallery w:val="placeholder"/>
        </w:category>
        <w:types>
          <w:type w:val="bbPlcHdr"/>
        </w:types>
        <w:behaviors>
          <w:behavior w:val="content"/>
        </w:behaviors>
        <w:guid w:val="{B5349837-B49E-4B1F-9A3D-7556646F2AFE}"/>
      </w:docPartPr>
      <w:docPartBody>
        <w:p w:rsidR="00EF0FD4" w:rsidRDefault="003F5449" w:rsidP="003F5449">
          <w:pPr>
            <w:pStyle w:val="C0FAC383865E47BE840F392BFA449D14"/>
          </w:pPr>
          <w:r w:rsidRPr="00543D41">
            <w:rPr>
              <w:rStyle w:val="PlaceholderText"/>
              <w:highlight w:val="yellow"/>
            </w:rPr>
            <w:t>Insertar fuente(s)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9"/>
    <w:rsid w:val="003F5449"/>
    <w:rsid w:val="00EF0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49"/>
    <w:rPr>
      <w:rFonts w:ascii="Times New Roman" w:hAnsi="Times New Roman"/>
      <w:color w:val="808080"/>
    </w:rPr>
  </w:style>
  <w:style w:type="paragraph" w:customStyle="1" w:styleId="C0FAC383865E47BE840F392BFA449D14">
    <w:name w:val="C0FAC383865E47BE840F392BFA449D14"/>
    <w:rsid w:val="003F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2.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3CF320-3885-49D0-8246-8BB9A6C00B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General Secretariat - Pool</ap:Manager>
  <ap:Company>International Telecommunication Union (ITU)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TDAG19</dc:title>
  <dc:creator>BDT-nd</dc:creator>
  <lastModifiedBy>Comas Barnes, Maite</lastModifiedBy>
  <revision>9</revision>
  <lastPrinted>2014-11-04T09:22:00.0000000Z</lastPrinted>
  <dcterms:created xsi:type="dcterms:W3CDTF">2023-06-22T07:54:00.0000000Z</dcterms:created>
  <dcterms:modified xsi:type="dcterms:W3CDTF">2023-06-22T08:35:16.6578185Z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