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AF43C9" w14:paraId="3D1F146B" w14:textId="77777777" w:rsidTr="000B3035">
        <w:trPr>
          <w:cantSplit/>
          <w:trHeight w:val="1134"/>
        </w:trPr>
        <w:tc>
          <w:tcPr>
            <w:tcW w:w="6379" w:type="dxa"/>
          </w:tcPr>
          <w:p w14:paraId="7BF34FB0" w14:textId="77777777" w:rsidR="00AF43C9" w:rsidRDefault="00AF43C9" w:rsidP="00AF43C9">
            <w:pPr>
              <w:tabs>
                <w:tab w:val="clear" w:pos="1191"/>
                <w:tab w:val="clear" w:pos="1588"/>
                <w:tab w:val="clear" w:pos="1985"/>
              </w:tabs>
              <w:ind w:left="34"/>
              <w:rPr>
                <w:b/>
                <w:bCs/>
                <w:sz w:val="32"/>
                <w:szCs w:val="32"/>
                <w:lang w:val="fr-FR"/>
              </w:rPr>
            </w:pPr>
            <w:r w:rsidRPr="00C121C9">
              <w:rPr>
                <w:b/>
                <w:bCs/>
                <w:sz w:val="32"/>
                <w:szCs w:val="32"/>
                <w:lang w:val="fr-FR"/>
              </w:rPr>
              <w:t xml:space="preserve">Groupe consultatif pour le développement </w:t>
            </w:r>
            <w:r>
              <w:rPr>
                <w:b/>
                <w:bCs/>
                <w:sz w:val="32"/>
                <w:szCs w:val="32"/>
                <w:lang w:val="fr-FR"/>
              </w:rPr>
              <w:br/>
            </w:r>
            <w:r w:rsidRPr="00C121C9">
              <w:rPr>
                <w:b/>
                <w:bCs/>
                <w:sz w:val="32"/>
                <w:szCs w:val="32"/>
                <w:lang w:val="fr-FR"/>
              </w:rPr>
              <w:t>des télécommunications (GCDT)</w:t>
            </w:r>
          </w:p>
          <w:p w14:paraId="2CE8EBAC" w14:textId="4045044E" w:rsidR="00AF43C9" w:rsidRPr="00844A56" w:rsidRDefault="00AF43C9" w:rsidP="00AF43C9">
            <w:pPr>
              <w:tabs>
                <w:tab w:val="clear" w:pos="1191"/>
                <w:tab w:val="clear" w:pos="1588"/>
                <w:tab w:val="clear" w:pos="1985"/>
              </w:tabs>
              <w:spacing w:before="100" w:after="120"/>
              <w:ind w:left="34"/>
              <w:rPr>
                <w:rFonts w:ascii="Verdana" w:hAnsi="Verdana"/>
                <w:sz w:val="28"/>
                <w:szCs w:val="28"/>
              </w:rPr>
            </w:pPr>
            <w:r w:rsidRPr="00C121C9">
              <w:rPr>
                <w:b/>
                <w:bCs/>
                <w:sz w:val="26"/>
                <w:szCs w:val="26"/>
                <w:lang w:val="fr-FR"/>
              </w:rPr>
              <w:t>30</w:t>
            </w:r>
            <w:r w:rsidRPr="00156283">
              <w:rPr>
                <w:b/>
                <w:bCs/>
                <w:sz w:val="26"/>
                <w:szCs w:val="26"/>
                <w:lang w:val="fr-FR"/>
              </w:rPr>
              <w:t>ème</w:t>
            </w:r>
            <w:r>
              <w:rPr>
                <w:b/>
                <w:bCs/>
                <w:sz w:val="26"/>
                <w:szCs w:val="26"/>
                <w:lang w:val="fr-FR"/>
              </w:rPr>
              <w:t xml:space="preserve"> </w:t>
            </w:r>
            <w:r w:rsidRPr="00C121C9">
              <w:rPr>
                <w:b/>
                <w:bCs/>
                <w:sz w:val="26"/>
                <w:szCs w:val="26"/>
                <w:lang w:val="fr-FR"/>
              </w:rPr>
              <w:t>réunion, Genève, Suisse, 19-23 juin 2023</w:t>
            </w:r>
          </w:p>
        </w:tc>
        <w:tc>
          <w:tcPr>
            <w:tcW w:w="3509" w:type="dxa"/>
          </w:tcPr>
          <w:p w14:paraId="7EA5E3BF" w14:textId="7C9B21A8" w:rsidR="00AF43C9" w:rsidRPr="00683C32" w:rsidRDefault="00AF43C9" w:rsidP="00AF43C9">
            <w:pPr>
              <w:spacing w:after="120"/>
              <w:ind w:right="142"/>
              <w:jc w:val="right"/>
            </w:pPr>
            <w:r>
              <w:rPr>
                <w:noProof/>
                <w:lang w:val="en-US"/>
              </w:rPr>
              <w:drawing>
                <wp:inline distT="0" distB="0" distL="0" distR="0" wp14:anchorId="66671D0B" wp14:editId="1CD2284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AF43C9" w:rsidRPr="00997358" w14:paraId="00CB629B" w14:textId="77777777" w:rsidTr="000B3035">
        <w:trPr>
          <w:cantSplit/>
        </w:trPr>
        <w:tc>
          <w:tcPr>
            <w:tcW w:w="6379" w:type="dxa"/>
            <w:tcBorders>
              <w:top w:val="single" w:sz="12" w:space="0" w:color="auto"/>
            </w:tcBorders>
          </w:tcPr>
          <w:p w14:paraId="6C5F146D" w14:textId="77777777" w:rsidR="00AF43C9" w:rsidRPr="00997358" w:rsidRDefault="00AF43C9" w:rsidP="00AF43C9">
            <w:pPr>
              <w:spacing w:before="0"/>
              <w:rPr>
                <w:rFonts w:cs="Arial"/>
                <w:b/>
                <w:bCs/>
                <w:sz w:val="20"/>
              </w:rPr>
            </w:pPr>
          </w:p>
        </w:tc>
        <w:tc>
          <w:tcPr>
            <w:tcW w:w="3509" w:type="dxa"/>
            <w:tcBorders>
              <w:top w:val="single" w:sz="12" w:space="0" w:color="auto"/>
            </w:tcBorders>
          </w:tcPr>
          <w:p w14:paraId="169F8559" w14:textId="6E85FF4E" w:rsidR="00AF43C9" w:rsidRPr="00997358" w:rsidRDefault="00AF43C9" w:rsidP="00AF43C9">
            <w:pPr>
              <w:spacing w:before="0"/>
              <w:rPr>
                <w:b/>
                <w:bCs/>
                <w:sz w:val="20"/>
              </w:rPr>
            </w:pPr>
          </w:p>
        </w:tc>
      </w:tr>
      <w:tr w:rsidR="00AF43C9" w:rsidRPr="00002716" w14:paraId="1CB55A3C" w14:textId="77777777" w:rsidTr="000B3035">
        <w:trPr>
          <w:cantSplit/>
        </w:trPr>
        <w:tc>
          <w:tcPr>
            <w:tcW w:w="6379" w:type="dxa"/>
          </w:tcPr>
          <w:p w14:paraId="15927B6D" w14:textId="77777777" w:rsidR="00AF43C9" w:rsidRPr="007F1CC7" w:rsidRDefault="00AF43C9" w:rsidP="00AF43C9">
            <w:pPr>
              <w:pStyle w:val="Committee"/>
              <w:spacing w:before="0"/>
              <w:rPr>
                <w:b w:val="0"/>
                <w:szCs w:val="24"/>
              </w:rPr>
            </w:pPr>
          </w:p>
        </w:tc>
        <w:tc>
          <w:tcPr>
            <w:tcW w:w="3509" w:type="dxa"/>
          </w:tcPr>
          <w:p w14:paraId="2F95B108" w14:textId="1DA798FB" w:rsidR="00AF43C9" w:rsidRPr="007F1CC7" w:rsidRDefault="00AF43C9" w:rsidP="00AF43C9">
            <w:pPr>
              <w:spacing w:before="0"/>
              <w:jc w:val="both"/>
              <w:rPr>
                <w:bCs/>
                <w:szCs w:val="24"/>
                <w:lang w:val="en-US"/>
              </w:rPr>
            </w:pPr>
            <w:r w:rsidRPr="00002716">
              <w:rPr>
                <w:b/>
                <w:bCs/>
                <w:lang w:val="en-US"/>
              </w:rPr>
              <w:t xml:space="preserve">Document </w:t>
            </w:r>
            <w:bookmarkStart w:id="0" w:name="DocRef1"/>
            <w:bookmarkEnd w:id="0"/>
            <w:r>
              <w:rPr>
                <w:b/>
                <w:bCs/>
                <w:lang w:val="en-US"/>
              </w:rPr>
              <w:t xml:space="preserve">TDAG-2 </w:t>
            </w:r>
            <w:bookmarkStart w:id="1" w:name="DocNo1"/>
            <w:bookmarkEnd w:id="1"/>
            <w:r>
              <w:rPr>
                <w:b/>
                <w:bCs/>
                <w:lang w:val="en-US"/>
              </w:rPr>
              <w:t>3/9</w:t>
            </w:r>
            <w:r w:rsidR="008E48D3">
              <w:rPr>
                <w:b/>
                <w:bCs/>
                <w:lang w:val="en-US"/>
              </w:rPr>
              <w:t>(R</w:t>
            </w:r>
            <w:r w:rsidR="003F4B51">
              <w:rPr>
                <w:b/>
                <w:bCs/>
                <w:lang w:val="en-US"/>
              </w:rPr>
              <w:t>é</w:t>
            </w:r>
            <w:r w:rsidR="008E48D3">
              <w:rPr>
                <w:b/>
                <w:bCs/>
                <w:lang w:val="en-US"/>
              </w:rPr>
              <w:t>v.1)</w:t>
            </w:r>
            <w:r>
              <w:rPr>
                <w:b/>
                <w:bCs/>
                <w:lang w:val="en-US"/>
              </w:rPr>
              <w:t>-F</w:t>
            </w:r>
          </w:p>
        </w:tc>
      </w:tr>
      <w:tr w:rsidR="00AF43C9" w14:paraId="55B23DAF" w14:textId="77777777" w:rsidTr="000B3035">
        <w:trPr>
          <w:cantSplit/>
        </w:trPr>
        <w:tc>
          <w:tcPr>
            <w:tcW w:w="6379" w:type="dxa"/>
          </w:tcPr>
          <w:p w14:paraId="74537537" w14:textId="77777777" w:rsidR="00AF43C9" w:rsidRPr="007F1CC7" w:rsidRDefault="00AF43C9" w:rsidP="00AF43C9">
            <w:pPr>
              <w:spacing w:before="0"/>
              <w:rPr>
                <w:b/>
                <w:bCs/>
                <w:smallCaps/>
                <w:szCs w:val="24"/>
                <w:lang w:val="en-US"/>
              </w:rPr>
            </w:pPr>
          </w:p>
        </w:tc>
        <w:tc>
          <w:tcPr>
            <w:tcW w:w="3509" w:type="dxa"/>
          </w:tcPr>
          <w:p w14:paraId="40C4B721" w14:textId="0F41A621" w:rsidR="00AF43C9" w:rsidRPr="007F1CC7" w:rsidRDefault="00AF43C9" w:rsidP="00AF43C9">
            <w:pPr>
              <w:spacing w:before="0"/>
              <w:rPr>
                <w:b/>
                <w:szCs w:val="24"/>
              </w:rPr>
            </w:pPr>
            <w:bookmarkStart w:id="2" w:name="CreationDate"/>
            <w:bookmarkEnd w:id="2"/>
            <w:r>
              <w:rPr>
                <w:b/>
                <w:bCs/>
                <w:szCs w:val="28"/>
              </w:rPr>
              <w:t>21 juin 2023</w:t>
            </w:r>
          </w:p>
        </w:tc>
      </w:tr>
      <w:tr w:rsidR="00AF43C9" w14:paraId="085C0502" w14:textId="77777777" w:rsidTr="000B3035">
        <w:trPr>
          <w:cantSplit/>
        </w:trPr>
        <w:tc>
          <w:tcPr>
            <w:tcW w:w="6379" w:type="dxa"/>
          </w:tcPr>
          <w:p w14:paraId="31F55477" w14:textId="77777777" w:rsidR="00AF43C9" w:rsidRPr="007F1CC7" w:rsidRDefault="00AF43C9" w:rsidP="00AF43C9">
            <w:pPr>
              <w:spacing w:before="0"/>
              <w:rPr>
                <w:b/>
                <w:bCs/>
                <w:smallCaps/>
                <w:szCs w:val="24"/>
              </w:rPr>
            </w:pPr>
          </w:p>
        </w:tc>
        <w:tc>
          <w:tcPr>
            <w:tcW w:w="3509" w:type="dxa"/>
          </w:tcPr>
          <w:p w14:paraId="2BB636AB" w14:textId="77777777" w:rsidR="00AF43C9" w:rsidRPr="007F1CC7" w:rsidRDefault="00AF43C9" w:rsidP="00AF43C9">
            <w:pPr>
              <w:spacing w:before="0"/>
              <w:rPr>
                <w:szCs w:val="24"/>
              </w:rPr>
            </w:pPr>
            <w:r>
              <w:rPr>
                <w:b/>
              </w:rPr>
              <w:t xml:space="preserve">Original : </w:t>
            </w:r>
            <w:bookmarkStart w:id="3" w:name="Original"/>
            <w:bookmarkEnd w:id="3"/>
            <w:r>
              <w:rPr>
                <w:b/>
              </w:rPr>
              <w:t>anglais</w:t>
            </w:r>
          </w:p>
        </w:tc>
      </w:tr>
      <w:tr w:rsidR="00AF43C9" w14:paraId="16C754B0" w14:textId="77777777" w:rsidTr="000B3035">
        <w:trPr>
          <w:cantSplit/>
          <w:trHeight w:val="852"/>
        </w:trPr>
        <w:tc>
          <w:tcPr>
            <w:tcW w:w="9888" w:type="dxa"/>
            <w:gridSpan w:val="2"/>
          </w:tcPr>
          <w:p w14:paraId="4D38CAC2" w14:textId="07F4DC2E" w:rsidR="00AF43C9" w:rsidRPr="00BA55BA" w:rsidRDefault="00AF43C9" w:rsidP="00AF43C9">
            <w:pPr>
              <w:pStyle w:val="Source"/>
            </w:pPr>
            <w:bookmarkStart w:id="4" w:name="Source"/>
            <w:bookmarkEnd w:id="4"/>
            <w:r w:rsidRPr="00C121C9">
              <w:rPr>
                <w:lang w:val="fr-FR"/>
              </w:rPr>
              <w:t xml:space="preserve">Président du </w:t>
            </w:r>
            <w:r>
              <w:rPr>
                <w:lang w:val="fr-FR"/>
              </w:rPr>
              <w:t>G</w:t>
            </w:r>
            <w:r w:rsidRPr="00C121C9">
              <w:rPr>
                <w:lang w:val="fr-FR"/>
              </w:rPr>
              <w:t>roupe de coordination intersectorielle</w:t>
            </w:r>
          </w:p>
        </w:tc>
      </w:tr>
      <w:tr w:rsidR="00AF43C9" w:rsidRPr="002E6963" w14:paraId="7DF3002D" w14:textId="77777777" w:rsidTr="000B3035">
        <w:trPr>
          <w:cantSplit/>
        </w:trPr>
        <w:tc>
          <w:tcPr>
            <w:tcW w:w="9888" w:type="dxa"/>
            <w:gridSpan w:val="2"/>
          </w:tcPr>
          <w:p w14:paraId="7808A01A" w14:textId="01B72AE6" w:rsidR="00AF43C9" w:rsidRPr="00BA55BA" w:rsidRDefault="00AF43C9" w:rsidP="00AF43C9">
            <w:pPr>
              <w:pStyle w:val="Title1"/>
            </w:pPr>
            <w:bookmarkStart w:id="5" w:name="Title"/>
            <w:bookmarkEnd w:id="5"/>
            <w:r w:rsidRPr="00C121C9">
              <w:rPr>
                <w:lang w:val="fr-FR"/>
              </w:rPr>
              <w:t xml:space="preserve">Rapport du </w:t>
            </w:r>
            <w:r>
              <w:rPr>
                <w:lang w:val="fr-FR"/>
              </w:rPr>
              <w:t>G</w:t>
            </w:r>
            <w:r w:rsidRPr="00C121C9">
              <w:rPr>
                <w:lang w:val="fr-FR"/>
              </w:rPr>
              <w:t>roupe de coordination intersectoriel</w:t>
            </w:r>
            <w:r>
              <w:rPr>
                <w:lang w:val="fr-FR"/>
              </w:rPr>
              <w:t xml:space="preserve">le </w:t>
            </w:r>
            <w:r w:rsidRPr="00C121C9">
              <w:rPr>
                <w:lang w:val="fr-FR"/>
              </w:rPr>
              <w:br/>
              <w:t>sur des questions d</w:t>
            </w:r>
            <w:r>
              <w:rPr>
                <w:lang w:val="fr-FR"/>
              </w:rPr>
              <w:t>'</w:t>
            </w:r>
            <w:r w:rsidRPr="00C121C9">
              <w:rPr>
                <w:lang w:val="fr-FR"/>
              </w:rPr>
              <w:t>intérêt mutuel</w:t>
            </w:r>
            <w:r>
              <w:rPr>
                <w:lang w:val="fr-FR"/>
              </w:rPr>
              <w:t xml:space="preserve"> </w:t>
            </w:r>
            <w:r w:rsidRPr="00C121C9">
              <w:rPr>
                <w:lang w:val="fr-FR"/>
              </w:rPr>
              <w:t>(</w:t>
            </w:r>
            <w:r>
              <w:rPr>
                <w:lang w:val="fr-FR"/>
              </w:rPr>
              <w:t>ISCG</w:t>
            </w:r>
            <w:r w:rsidRPr="00C121C9">
              <w:rPr>
                <w:lang w:val="fr-FR"/>
              </w:rPr>
              <w:t>)</w:t>
            </w:r>
          </w:p>
        </w:tc>
      </w:tr>
      <w:tr w:rsidR="00AF43C9" w:rsidRPr="002E6963" w14:paraId="279B1802" w14:textId="77777777" w:rsidTr="000B3035">
        <w:trPr>
          <w:cantSplit/>
        </w:trPr>
        <w:tc>
          <w:tcPr>
            <w:tcW w:w="9888" w:type="dxa"/>
            <w:gridSpan w:val="2"/>
            <w:tcBorders>
              <w:bottom w:val="single" w:sz="4" w:space="0" w:color="auto"/>
            </w:tcBorders>
          </w:tcPr>
          <w:p w14:paraId="6E5AAC91" w14:textId="77777777" w:rsidR="00AF43C9" w:rsidRPr="00A721F4" w:rsidRDefault="00AF43C9" w:rsidP="00AF43C9"/>
        </w:tc>
      </w:tr>
      <w:tr w:rsidR="00AF43C9" w:rsidRPr="002E6963" w14:paraId="26F590DA" w14:textId="77777777" w:rsidTr="000B3035">
        <w:trPr>
          <w:cantSplit/>
        </w:trPr>
        <w:tc>
          <w:tcPr>
            <w:tcW w:w="9888" w:type="dxa"/>
            <w:gridSpan w:val="2"/>
            <w:tcBorders>
              <w:top w:val="single" w:sz="4" w:space="0" w:color="auto"/>
              <w:left w:val="single" w:sz="4" w:space="0" w:color="auto"/>
              <w:bottom w:val="single" w:sz="4" w:space="0" w:color="auto"/>
              <w:right w:val="single" w:sz="4" w:space="0" w:color="auto"/>
            </w:tcBorders>
          </w:tcPr>
          <w:p w14:paraId="72645C96" w14:textId="77777777" w:rsidR="00AF43C9" w:rsidRPr="00C121C9" w:rsidRDefault="00AF43C9" w:rsidP="00AF43C9">
            <w:pPr>
              <w:spacing w:after="120"/>
              <w:rPr>
                <w:b/>
                <w:bCs/>
                <w:szCs w:val="24"/>
                <w:lang w:val="fr-FR"/>
              </w:rPr>
            </w:pPr>
            <w:proofErr w:type="gramStart"/>
            <w:r w:rsidRPr="00C121C9">
              <w:rPr>
                <w:b/>
                <w:bCs/>
                <w:szCs w:val="24"/>
                <w:lang w:val="fr-FR"/>
              </w:rPr>
              <w:t>Résumé</w:t>
            </w:r>
            <w:r>
              <w:rPr>
                <w:b/>
                <w:bCs/>
                <w:szCs w:val="24"/>
                <w:lang w:val="fr-FR"/>
              </w:rPr>
              <w:t>:</w:t>
            </w:r>
            <w:proofErr w:type="gramEnd"/>
          </w:p>
          <w:p w14:paraId="0F40DCCF" w14:textId="77777777" w:rsidR="00AF43C9" w:rsidRPr="00C121C9" w:rsidRDefault="00AF43C9" w:rsidP="00AF43C9">
            <w:pPr>
              <w:spacing w:after="120"/>
              <w:rPr>
                <w:szCs w:val="24"/>
                <w:lang w:val="fr-FR"/>
              </w:rPr>
            </w:pPr>
            <w:r w:rsidRPr="00CC4590">
              <w:rPr>
                <w:lang w:val="fr-FR"/>
              </w:rPr>
              <w:t>On trouvera dans le présent document un rapport d</w:t>
            </w:r>
            <w:r>
              <w:rPr>
                <w:lang w:val="fr-FR"/>
              </w:rPr>
              <w:t>'</w:t>
            </w:r>
            <w:r w:rsidRPr="00CC4590">
              <w:rPr>
                <w:lang w:val="fr-FR"/>
              </w:rPr>
              <w:t>activité du Groupe de coordination intersectorielle sur les questions d</w:t>
            </w:r>
            <w:r>
              <w:rPr>
                <w:lang w:val="fr-FR"/>
              </w:rPr>
              <w:t>'</w:t>
            </w:r>
            <w:r w:rsidRPr="00CC4590">
              <w:rPr>
                <w:lang w:val="fr-FR"/>
              </w:rPr>
              <w:t>intérêt mutuel (ISCG), qui met en avant les conclusions de la dernière réunion du Groupe,</w:t>
            </w:r>
            <w:r>
              <w:rPr>
                <w:lang w:val="fr-FR"/>
              </w:rPr>
              <w:t xml:space="preserve"> tenue le</w:t>
            </w:r>
            <w:r w:rsidRPr="00C121C9">
              <w:rPr>
                <w:lang w:val="fr-FR"/>
              </w:rPr>
              <w:t xml:space="preserve"> 2 mai 2023.</w:t>
            </w:r>
          </w:p>
          <w:p w14:paraId="46639D7B" w14:textId="77777777" w:rsidR="00AF43C9" w:rsidRPr="00C121C9" w:rsidRDefault="00AF43C9" w:rsidP="00AF43C9">
            <w:pPr>
              <w:spacing w:after="120"/>
              <w:rPr>
                <w:b/>
                <w:bCs/>
                <w:szCs w:val="24"/>
                <w:lang w:val="fr-FR"/>
              </w:rPr>
            </w:pPr>
            <w:r>
              <w:rPr>
                <w:b/>
                <w:bCs/>
                <w:lang w:val="fr-FR"/>
              </w:rPr>
              <w:t xml:space="preserve">Suite à </w:t>
            </w:r>
            <w:proofErr w:type="gramStart"/>
            <w:r>
              <w:rPr>
                <w:b/>
                <w:bCs/>
                <w:lang w:val="fr-FR"/>
              </w:rPr>
              <w:t>donner:</w:t>
            </w:r>
            <w:proofErr w:type="gramEnd"/>
          </w:p>
          <w:p w14:paraId="769D5EEF" w14:textId="77777777" w:rsidR="00AF43C9" w:rsidRPr="00C121C9" w:rsidRDefault="00AF43C9" w:rsidP="00AF43C9">
            <w:pPr>
              <w:spacing w:after="120"/>
              <w:rPr>
                <w:szCs w:val="24"/>
                <w:lang w:val="fr-FR"/>
              </w:rPr>
            </w:pPr>
            <w:r w:rsidRPr="00CC4590">
              <w:rPr>
                <w:lang w:val="fr-FR"/>
              </w:rPr>
              <w:t xml:space="preserve">Le GCDT est invité à </w:t>
            </w:r>
            <w:r w:rsidRPr="00CC4590">
              <w:rPr>
                <w:b/>
                <w:bCs/>
                <w:lang w:val="fr-FR"/>
              </w:rPr>
              <w:t>prendre note</w:t>
            </w:r>
            <w:r w:rsidRPr="00CC4590">
              <w:rPr>
                <w:lang w:val="fr-FR"/>
              </w:rPr>
              <w:t xml:space="preserve"> du présent document et à fournir les orientations qu</w:t>
            </w:r>
            <w:r>
              <w:rPr>
                <w:lang w:val="fr-FR"/>
              </w:rPr>
              <w:t>'</w:t>
            </w:r>
            <w:r w:rsidRPr="00CC4590">
              <w:rPr>
                <w:lang w:val="fr-FR"/>
              </w:rPr>
              <w:t>il jugera nécessaires.</w:t>
            </w:r>
          </w:p>
          <w:p w14:paraId="0E4FDC35" w14:textId="77777777" w:rsidR="00AF43C9" w:rsidRPr="00C121C9" w:rsidRDefault="00AF43C9" w:rsidP="00AF43C9">
            <w:pPr>
              <w:spacing w:after="120"/>
              <w:rPr>
                <w:b/>
                <w:bCs/>
                <w:szCs w:val="24"/>
                <w:lang w:val="fr-FR"/>
              </w:rPr>
            </w:pPr>
            <w:proofErr w:type="gramStart"/>
            <w:r w:rsidRPr="00C121C9">
              <w:rPr>
                <w:b/>
                <w:bCs/>
                <w:szCs w:val="24"/>
                <w:lang w:val="fr-FR"/>
              </w:rPr>
              <w:t>Références</w:t>
            </w:r>
            <w:r>
              <w:rPr>
                <w:b/>
                <w:bCs/>
                <w:szCs w:val="24"/>
                <w:lang w:val="fr-FR"/>
              </w:rPr>
              <w:t>:</w:t>
            </w:r>
            <w:proofErr w:type="gramEnd"/>
          </w:p>
          <w:p w14:paraId="2878377D" w14:textId="28BF8797" w:rsidR="00AF43C9" w:rsidRPr="00D9621A" w:rsidRDefault="007C6238" w:rsidP="00AF43C9">
            <w:pPr>
              <w:spacing w:after="120"/>
            </w:pPr>
            <w:hyperlink r:id="rId12" w:history="1">
              <w:r w:rsidR="00AF43C9" w:rsidRPr="00C121C9">
                <w:rPr>
                  <w:rStyle w:val="Hyperlink"/>
                  <w:lang w:val="fr-FR"/>
                </w:rPr>
                <w:t>Résolution 191</w:t>
              </w:r>
            </w:hyperlink>
            <w:r w:rsidR="00AF43C9" w:rsidRPr="00C121C9">
              <w:rPr>
                <w:lang w:val="fr-FR"/>
              </w:rPr>
              <w:t xml:space="preserve"> (Rév. Bucarest, 2022) et </w:t>
            </w:r>
            <w:hyperlink r:id="rId13" w:history="1">
              <w:r w:rsidR="00AF43C9" w:rsidRPr="00C121C9">
                <w:rPr>
                  <w:rStyle w:val="Hyperlink"/>
                  <w:lang w:val="fr-FR"/>
                </w:rPr>
                <w:t>Décision 5</w:t>
              </w:r>
            </w:hyperlink>
            <w:r w:rsidR="00AF43C9" w:rsidRPr="00C121C9">
              <w:rPr>
                <w:rFonts w:ascii="Calibri" w:hAnsi="Calibri"/>
                <w:i/>
                <w:iCs/>
                <w:sz w:val="22"/>
                <w:szCs w:val="22"/>
                <w:lang w:val="fr-FR"/>
              </w:rPr>
              <w:t xml:space="preserve"> </w:t>
            </w:r>
            <w:r w:rsidR="00AF43C9" w:rsidRPr="00C121C9">
              <w:rPr>
                <w:lang w:val="fr-FR"/>
              </w:rPr>
              <w:t xml:space="preserve">(Rév. </w:t>
            </w:r>
            <w:r w:rsidR="00AF43C9" w:rsidRPr="00B224D3">
              <w:rPr>
                <w:lang w:val="fr-FR"/>
              </w:rPr>
              <w:t>Bucarest, 2022) de la Conférence de plénipotentiaires</w:t>
            </w:r>
          </w:p>
        </w:tc>
      </w:tr>
    </w:tbl>
    <w:p w14:paraId="24AF291A" w14:textId="77777777" w:rsidR="00337C85" w:rsidRPr="000D5936" w:rsidRDefault="00337C85" w:rsidP="00337C85">
      <w:pPr>
        <w:spacing w:after="120"/>
        <w:rPr>
          <w:rFonts w:cstheme="minorHAnsi"/>
          <w:b/>
          <w:bCs/>
          <w:szCs w:val="24"/>
        </w:rPr>
      </w:pPr>
    </w:p>
    <w:p w14:paraId="47D4144B" w14:textId="7607CF78" w:rsidR="00337C85" w:rsidRPr="00337C85" w:rsidRDefault="00337C85" w:rsidP="00337C85">
      <w:pPr>
        <w:pStyle w:val="ListParagraph"/>
        <w:numPr>
          <w:ilvl w:val="0"/>
          <w:numId w:val="7"/>
        </w:numPr>
        <w:tabs>
          <w:tab w:val="clear" w:pos="1134"/>
          <w:tab w:val="clear" w:pos="1871"/>
          <w:tab w:val="clear" w:pos="2268"/>
          <w:tab w:val="left" w:pos="794"/>
          <w:tab w:val="left" w:pos="1191"/>
          <w:tab w:val="left" w:pos="1588"/>
          <w:tab w:val="left" w:pos="1985"/>
        </w:tabs>
        <w:spacing w:after="120"/>
        <w:ind w:left="357" w:hanging="357"/>
        <w:rPr>
          <w:rFonts w:cstheme="minorHAnsi"/>
          <w:b/>
          <w:bCs/>
          <w:szCs w:val="24"/>
          <w:lang w:val="fr-FR"/>
        </w:rPr>
      </w:pPr>
      <w:r w:rsidRPr="00337C85">
        <w:rPr>
          <w:rFonts w:cstheme="minorHAnsi"/>
          <w:b/>
          <w:bCs/>
          <w:szCs w:val="24"/>
          <w:lang w:val="fr-FR"/>
        </w:rPr>
        <w:t>Introduction</w:t>
      </w:r>
    </w:p>
    <w:p w14:paraId="2E1B6F2B" w14:textId="12A8900D" w:rsidR="00337C85" w:rsidRPr="00337C85" w:rsidRDefault="00337C85" w:rsidP="00337C85">
      <w:pPr>
        <w:spacing w:after="120"/>
        <w:rPr>
          <w:rFonts w:cstheme="minorHAnsi"/>
          <w:szCs w:val="24"/>
        </w:rPr>
      </w:pPr>
      <w:r w:rsidRPr="00337C85">
        <w:rPr>
          <w:rFonts w:cstheme="minorHAnsi"/>
          <w:szCs w:val="24"/>
        </w:rPr>
        <w:t>La première réunion en 2023 du Groupe de coordination intersectoriel (ISCG) sur les questions d'intérêt mutuel, a eu lieu le 2</w:t>
      </w:r>
      <w:r w:rsidR="00B2149F">
        <w:rPr>
          <w:rFonts w:cstheme="minorHAnsi"/>
          <w:szCs w:val="24"/>
        </w:rPr>
        <w:t xml:space="preserve"> mai </w:t>
      </w:r>
      <w:r w:rsidRPr="00337C85">
        <w:rPr>
          <w:rFonts w:cstheme="minorHAnsi"/>
          <w:szCs w:val="24"/>
        </w:rPr>
        <w:t>2023, au siège de l'UIT, de 12h30 à 14h00 (CET), en collaboration avec le Groupe des radiocommunications Réunion du Groupe consultatif (GCR). La réunion a permis une participation à distance via la plateforme Zoom.</w:t>
      </w:r>
    </w:p>
    <w:p w14:paraId="6D848A01" w14:textId="5F310664" w:rsidR="00337C85" w:rsidRPr="00337C85" w:rsidRDefault="00337C85" w:rsidP="00337C85">
      <w:pPr>
        <w:spacing w:after="120"/>
        <w:rPr>
          <w:rFonts w:cstheme="minorHAnsi"/>
          <w:szCs w:val="24"/>
        </w:rPr>
      </w:pPr>
      <w:r w:rsidRPr="00337C85">
        <w:rPr>
          <w:rFonts w:cstheme="minorHAnsi"/>
          <w:szCs w:val="24"/>
        </w:rPr>
        <w:t xml:space="preserve">La réunion était présidée par M. Fabio </w:t>
      </w:r>
      <w:proofErr w:type="spellStart"/>
      <w:r w:rsidRPr="00337C85">
        <w:rPr>
          <w:rFonts w:cstheme="minorHAnsi"/>
          <w:szCs w:val="24"/>
        </w:rPr>
        <w:t>Bigi</w:t>
      </w:r>
      <w:proofErr w:type="spellEnd"/>
      <w:r w:rsidRPr="00337C85">
        <w:rPr>
          <w:rFonts w:cstheme="minorHAnsi"/>
          <w:szCs w:val="24"/>
        </w:rPr>
        <w:t xml:space="preserve"> (Italie), président de l'ISCG, qui a souhaité la bienvenue aux membres du groupe et aux autres participants à la première réunion de l'ISCG à se tenir en personne depuis l'annonce de la pandémie de COVID-19 en 2020. M. </w:t>
      </w:r>
      <w:proofErr w:type="spellStart"/>
      <w:r w:rsidRPr="00337C85">
        <w:rPr>
          <w:rFonts w:cstheme="minorHAnsi"/>
          <w:szCs w:val="24"/>
        </w:rPr>
        <w:t>Bigi</w:t>
      </w:r>
      <w:proofErr w:type="spellEnd"/>
      <w:r w:rsidRPr="00337C85">
        <w:rPr>
          <w:rFonts w:cstheme="minorHAnsi"/>
          <w:szCs w:val="24"/>
        </w:rPr>
        <w:t xml:space="preserve"> a également souhaité la bienvenue au Vice-Secrétaire général de l'UIT, M. Tomas </w:t>
      </w:r>
      <w:proofErr w:type="spellStart"/>
      <w:r w:rsidRPr="00337C85">
        <w:rPr>
          <w:rFonts w:cstheme="minorHAnsi"/>
          <w:szCs w:val="24"/>
        </w:rPr>
        <w:t>Lamanauskas</w:t>
      </w:r>
      <w:proofErr w:type="spellEnd"/>
      <w:r w:rsidRPr="00337C85">
        <w:rPr>
          <w:rFonts w:cstheme="minorHAnsi"/>
          <w:szCs w:val="24"/>
        </w:rPr>
        <w:t>, qui s'est joint à la réunion pour prononcer une allocution d'ouverture. Le Président de l'ISCG et le Vice-Secrétaire général de l'UIT sont convenus de l'importance de renforcer la coordination intersectorielle au sein de l'Union, y compris entre les membres et le secrétariat, et encouragent les membres de l'ISCG à soumettre des contributions pour améliorer les processus de coopération et de collaboration entre les trois Secteurs et le Secrétariat général.</w:t>
      </w:r>
    </w:p>
    <w:p w14:paraId="10AF29D9" w14:textId="5CEDCB72" w:rsidR="00337C85" w:rsidRPr="00337C85" w:rsidRDefault="00337C85" w:rsidP="00337C85">
      <w:pPr>
        <w:spacing w:after="120"/>
        <w:rPr>
          <w:rFonts w:cstheme="minorHAnsi"/>
          <w:szCs w:val="24"/>
        </w:rPr>
      </w:pPr>
      <w:r w:rsidRPr="00337C85">
        <w:rPr>
          <w:rFonts w:cstheme="minorHAnsi"/>
          <w:szCs w:val="24"/>
        </w:rPr>
        <w:lastRenderedPageBreak/>
        <w:t>Le président de l'ISCG a présenté l'ordre du jour (</w:t>
      </w:r>
      <w:hyperlink r:id="rId14" w:history="1">
        <w:r w:rsidRPr="00337C85">
          <w:rPr>
            <w:rStyle w:val="Hyperlink"/>
            <w:rFonts w:cstheme="minorHAnsi"/>
            <w:szCs w:val="24"/>
          </w:rPr>
          <w:t>ISCG/23-1/01-R1</w:t>
        </w:r>
      </w:hyperlink>
      <w:r w:rsidRPr="00337C85">
        <w:rPr>
          <w:rFonts w:cstheme="minorHAnsi"/>
          <w:szCs w:val="24"/>
        </w:rPr>
        <w:t>) qui a été approuvé par la réunion.</w:t>
      </w:r>
    </w:p>
    <w:p w14:paraId="2AE52973" w14:textId="144BE8A0" w:rsidR="00337C85" w:rsidRPr="00337C85" w:rsidRDefault="00337C85" w:rsidP="00337C85">
      <w:pPr>
        <w:spacing w:after="120"/>
        <w:rPr>
          <w:rFonts w:cstheme="minorHAnsi"/>
          <w:szCs w:val="24"/>
        </w:rPr>
      </w:pPr>
      <w:r w:rsidRPr="00337C85">
        <w:rPr>
          <w:rFonts w:cstheme="minorHAnsi"/>
          <w:szCs w:val="24"/>
        </w:rPr>
        <w:t xml:space="preserve">Le président a informé que tous les documents présentés et discutés au cours de la réunion, y compris l'ordre du jour et la </w:t>
      </w:r>
      <w:bookmarkStart w:id="6" w:name="_Hlk96717086"/>
      <w:r w:rsidRPr="00337C85">
        <w:rPr>
          <w:rFonts w:cstheme="minorHAnsi"/>
          <w:szCs w:val="24"/>
        </w:rPr>
        <w:t xml:space="preserve">liste des participants </w:t>
      </w:r>
      <w:bookmarkEnd w:id="6"/>
      <w:r w:rsidRPr="00337C85">
        <w:rPr>
          <w:rFonts w:cstheme="minorHAnsi"/>
          <w:szCs w:val="24"/>
        </w:rPr>
        <w:t xml:space="preserve">(voir </w:t>
      </w:r>
      <w:hyperlink r:id="rId15" w:history="1">
        <w:r w:rsidRPr="00337C85">
          <w:rPr>
            <w:rStyle w:val="Hyperlink"/>
            <w:rFonts w:cstheme="minorHAnsi"/>
            <w:szCs w:val="24"/>
          </w:rPr>
          <w:t>ici</w:t>
        </w:r>
      </w:hyperlink>
      <w:r w:rsidRPr="00337C85">
        <w:rPr>
          <w:rFonts w:cstheme="minorHAnsi"/>
          <w:szCs w:val="24"/>
        </w:rPr>
        <w:t xml:space="preserve">), peuvent être consultés via la </w:t>
      </w:r>
      <w:hyperlink r:id="rId16" w:history="1">
        <w:r w:rsidRPr="00337C85">
          <w:rPr>
            <w:rFonts w:cstheme="minorHAnsi"/>
            <w:color w:val="0000FF"/>
            <w:szCs w:val="24"/>
            <w:u w:val="single"/>
          </w:rPr>
          <w:t xml:space="preserve">page Web de l'ISCG </w:t>
        </w:r>
      </w:hyperlink>
      <w:r w:rsidRPr="00337C85">
        <w:rPr>
          <w:rFonts w:cstheme="minorHAnsi"/>
          <w:szCs w:val="24"/>
        </w:rPr>
        <w:t>.</w:t>
      </w:r>
    </w:p>
    <w:p w14:paraId="3473DC6C" w14:textId="77777777" w:rsidR="00337C85" w:rsidRPr="00337C85" w:rsidRDefault="00337C85" w:rsidP="00337C85">
      <w:pPr>
        <w:spacing w:after="120"/>
        <w:rPr>
          <w:rFonts w:cstheme="minorHAnsi"/>
          <w:szCs w:val="24"/>
        </w:rPr>
      </w:pPr>
      <w:r w:rsidRPr="00337C85">
        <w:rPr>
          <w:rFonts w:cstheme="minorHAnsi"/>
          <w:szCs w:val="24"/>
        </w:rPr>
        <w:t>En ce qui concerne la page Web, le secrétariat a indiqué que l'outil de traduction de l'UIT avait été installé, de sorte que le site est désormais disponible dans les six langues officielles.</w:t>
      </w:r>
    </w:p>
    <w:p w14:paraId="1DF446FE" w14:textId="77777777" w:rsidR="00337C85" w:rsidRPr="00337C85" w:rsidRDefault="00337C85" w:rsidP="00337C85">
      <w:pPr>
        <w:pStyle w:val="ListParagraph"/>
        <w:numPr>
          <w:ilvl w:val="0"/>
          <w:numId w:val="7"/>
        </w:numPr>
        <w:tabs>
          <w:tab w:val="clear" w:pos="1134"/>
          <w:tab w:val="clear" w:pos="1871"/>
          <w:tab w:val="clear" w:pos="2268"/>
          <w:tab w:val="left" w:pos="794"/>
          <w:tab w:val="left" w:pos="1191"/>
          <w:tab w:val="left" w:pos="1588"/>
          <w:tab w:val="left" w:pos="1985"/>
        </w:tabs>
        <w:spacing w:after="120"/>
        <w:ind w:left="357" w:hanging="357"/>
        <w:contextualSpacing w:val="0"/>
        <w:rPr>
          <w:rFonts w:cstheme="minorHAnsi"/>
          <w:b/>
          <w:bCs/>
          <w:szCs w:val="24"/>
          <w:lang w:val="fr-FR"/>
        </w:rPr>
      </w:pPr>
      <w:r w:rsidRPr="00337C85">
        <w:rPr>
          <w:rFonts w:cstheme="minorHAnsi"/>
          <w:b/>
          <w:bCs/>
          <w:szCs w:val="24"/>
          <w:lang w:val="fr-FR"/>
        </w:rPr>
        <w:t>Discussions principales</w:t>
      </w:r>
    </w:p>
    <w:p w14:paraId="3F544EF9" w14:textId="08F14C2C" w:rsidR="00337C85" w:rsidRPr="00337C85" w:rsidRDefault="00337C85" w:rsidP="00337C85">
      <w:pPr>
        <w:pStyle w:val="ListParagraph"/>
        <w:numPr>
          <w:ilvl w:val="1"/>
          <w:numId w:val="11"/>
        </w:numPr>
        <w:tabs>
          <w:tab w:val="clear" w:pos="1134"/>
          <w:tab w:val="clear" w:pos="1871"/>
          <w:tab w:val="clear" w:pos="2268"/>
          <w:tab w:val="left" w:pos="794"/>
          <w:tab w:val="left" w:pos="1191"/>
          <w:tab w:val="left" w:pos="1588"/>
          <w:tab w:val="left" w:pos="1985"/>
        </w:tabs>
        <w:spacing w:after="120"/>
        <w:ind w:left="539" w:hanging="539"/>
        <w:contextualSpacing w:val="0"/>
        <w:rPr>
          <w:rFonts w:cstheme="minorHAnsi"/>
          <w:b/>
          <w:bCs/>
          <w:szCs w:val="24"/>
        </w:rPr>
      </w:pPr>
      <w:r w:rsidRPr="00337C85">
        <w:rPr>
          <w:rFonts w:cstheme="minorHAnsi"/>
          <w:b/>
          <w:bCs/>
          <w:szCs w:val="24"/>
        </w:rPr>
        <w:t>Rapport sur la PP-Résolution 191 (Rév. Buc</w:t>
      </w:r>
      <w:r w:rsidR="00861E97">
        <w:rPr>
          <w:rFonts w:cstheme="minorHAnsi"/>
          <w:b/>
          <w:bCs/>
          <w:szCs w:val="24"/>
        </w:rPr>
        <w:t>a</w:t>
      </w:r>
      <w:r w:rsidRPr="00337C85">
        <w:rPr>
          <w:rFonts w:cstheme="minorHAnsi"/>
          <w:b/>
          <w:bCs/>
          <w:szCs w:val="24"/>
        </w:rPr>
        <w:t>rest, 2022)</w:t>
      </w:r>
    </w:p>
    <w:p w14:paraId="206671FD" w14:textId="3F713406" w:rsidR="00337C85" w:rsidRPr="00337C85" w:rsidRDefault="00337C85" w:rsidP="00337C85">
      <w:pPr>
        <w:spacing w:after="120"/>
        <w:rPr>
          <w:rFonts w:cstheme="minorHAnsi"/>
          <w:szCs w:val="24"/>
        </w:rPr>
      </w:pPr>
      <w:r w:rsidRPr="00337C85">
        <w:rPr>
          <w:rFonts w:cstheme="minorHAnsi"/>
          <w:szCs w:val="24"/>
        </w:rPr>
        <w:t xml:space="preserve">Le secrétariat de l'UIT a présenté le document </w:t>
      </w:r>
      <w:hyperlink r:id="rId17" w:history="1">
        <w:r w:rsidRPr="00337C85">
          <w:rPr>
            <w:rStyle w:val="Hyperlink"/>
            <w:rFonts w:cstheme="minorHAnsi"/>
            <w:szCs w:val="24"/>
          </w:rPr>
          <w:t xml:space="preserve">ISCG/23-1/02 </w:t>
        </w:r>
      </w:hyperlink>
      <w:r w:rsidRPr="00337C85">
        <w:rPr>
          <w:rFonts w:cstheme="minorHAnsi"/>
          <w:szCs w:val="24"/>
        </w:rPr>
        <w:t>contenant le texte final de la Résolution 191 (Rév. Bucarest, 2022) telle que révisée par la Conférence de plénipotentiaires de 2022</w:t>
      </w:r>
      <w:r w:rsidR="007C6238">
        <w:rPr>
          <w:rFonts w:cstheme="minorHAnsi"/>
          <w:szCs w:val="24"/>
        </w:rPr>
        <w:t> </w:t>
      </w:r>
      <w:bookmarkStart w:id="7" w:name="_GoBack"/>
      <w:bookmarkEnd w:id="7"/>
      <w:r w:rsidRPr="00337C85">
        <w:rPr>
          <w:rFonts w:cstheme="minorHAnsi"/>
          <w:szCs w:val="24"/>
        </w:rPr>
        <w:t>; ainsi qu'un tableau avec les principaux changements apportés, et mettant en évidence les actions à entreprendre par l'ISCG.</w:t>
      </w:r>
    </w:p>
    <w:p w14:paraId="152FADFC" w14:textId="76CF1A0B" w:rsidR="00337C85" w:rsidRPr="00337C85" w:rsidRDefault="00337C85" w:rsidP="00337C85">
      <w:pPr>
        <w:spacing w:after="120"/>
        <w:rPr>
          <w:rFonts w:cstheme="minorHAnsi"/>
          <w:szCs w:val="24"/>
        </w:rPr>
      </w:pPr>
      <w:r w:rsidRPr="00337C85">
        <w:rPr>
          <w:rFonts w:cstheme="minorHAnsi"/>
          <w:szCs w:val="24"/>
        </w:rPr>
        <w:t>Le secrétariat a également informé du nouveau mécanisme de coordination intersectorielle (ISCM) qui sera présenté au Conseil 2023 en juillet. Ce dispositif interne sera piloté à travers trois pistes, en fonction de la nature des thèmes à coordonner (stratégique, programmatique, opérationnel), pour couvrir tous les thèmes qui appellent une coordination intersectorielle, ainsi que pour faciliter le suivi et évaluer l'avancement de la mise en œuvre. Chaque catégorie aura différentes lignes de rapport (interne), et le secrétariat continuera de faire rapport annuellement au Conseil et d'assurer la liaison avec les groupes consultatifs des secteurs et l'ISCG. En outre, un mécanisme allégé sera mis en place pour partager l'information entre les trois Secteurs et le Secrétariat général sur toutes les activités pouvant nécessiter une coordination intersectorielle.</w:t>
      </w:r>
    </w:p>
    <w:p w14:paraId="6132636D" w14:textId="77777777" w:rsidR="00337C85" w:rsidRPr="00337C85" w:rsidRDefault="00337C85" w:rsidP="00337C85">
      <w:pPr>
        <w:spacing w:after="120"/>
        <w:rPr>
          <w:rFonts w:cstheme="minorHAnsi"/>
          <w:szCs w:val="24"/>
        </w:rPr>
      </w:pPr>
      <w:r w:rsidRPr="00337C85">
        <w:rPr>
          <w:rFonts w:cstheme="minorHAnsi"/>
          <w:szCs w:val="24"/>
        </w:rPr>
        <w:t>Le président de l'ISCG a souligné l'importance que ce nouveau mécanisme continue de rendre compte régulièrement à l'ISCG, comme cela a été fait par le Groupe de travail sur la coordination intersectorielle (ISC-TF).</w:t>
      </w:r>
    </w:p>
    <w:p w14:paraId="651D465B" w14:textId="02271189" w:rsidR="00337C85" w:rsidRPr="00337C85" w:rsidRDefault="00337C85" w:rsidP="00337C85">
      <w:pPr>
        <w:spacing w:after="120"/>
        <w:rPr>
          <w:rFonts w:cstheme="minorHAnsi"/>
          <w:szCs w:val="24"/>
        </w:rPr>
      </w:pPr>
      <w:r w:rsidRPr="00337C85">
        <w:rPr>
          <w:rFonts w:cstheme="minorHAnsi"/>
          <w:szCs w:val="24"/>
        </w:rPr>
        <w:t xml:space="preserve">Il a été souligné que le concept d'une UIT unique doit être clarifié, compte tenu du fait que les membres doivent disposer d'un plan opérationnel détaillé de chaque secteur, tandis que d'autre part, il est nécessaire d'améliorer les mécanismes de coordination à l'échelle de l'UIT, tels que la rationalisation des résolutions par en appliquant la cartographie disponible en ligne (voir </w:t>
      </w:r>
      <w:hyperlink r:id="rId18" w:history="1">
        <w:r w:rsidRPr="00337C85">
          <w:rPr>
            <w:rStyle w:val="Hyperlink"/>
            <w:rFonts w:cstheme="minorHAnsi"/>
            <w:szCs w:val="24"/>
          </w:rPr>
          <w:t>ici</w:t>
        </w:r>
      </w:hyperlink>
      <w:r w:rsidRPr="00337C85">
        <w:rPr>
          <w:rFonts w:cstheme="minorHAnsi"/>
          <w:szCs w:val="24"/>
        </w:rPr>
        <w:t>), ou en appliquant les mêmes procédures liées à l'accessibilité lors de l'organisation de réunions, pour n'en citer que quelques-unes.</w:t>
      </w:r>
    </w:p>
    <w:p w14:paraId="2F20F145" w14:textId="77777777" w:rsidR="00337C85" w:rsidRPr="00337C85" w:rsidRDefault="00337C85" w:rsidP="00337C85">
      <w:pPr>
        <w:spacing w:after="120"/>
        <w:rPr>
          <w:rFonts w:cstheme="minorHAnsi"/>
          <w:szCs w:val="24"/>
        </w:rPr>
      </w:pPr>
      <w:r w:rsidRPr="00337C85">
        <w:rPr>
          <w:rFonts w:cstheme="minorHAnsi"/>
          <w:szCs w:val="24"/>
        </w:rPr>
        <w:t>La réunion a approuvé et salué les efforts déployés par le secrétariat pour renforcer et améliorer le mécanisme de coordination intersectorielle et a demandé au secrétariat de continuer à faire rapport sur le processus.</w:t>
      </w:r>
    </w:p>
    <w:p w14:paraId="1DD4A03C" w14:textId="33A83CDA" w:rsidR="00337C85" w:rsidRPr="00337C85" w:rsidRDefault="00337C85" w:rsidP="00337C85">
      <w:pPr>
        <w:pStyle w:val="ListParagraph"/>
        <w:numPr>
          <w:ilvl w:val="1"/>
          <w:numId w:val="11"/>
        </w:numPr>
        <w:tabs>
          <w:tab w:val="clear" w:pos="1134"/>
          <w:tab w:val="clear" w:pos="1871"/>
          <w:tab w:val="clear" w:pos="2268"/>
          <w:tab w:val="left" w:pos="794"/>
          <w:tab w:val="left" w:pos="1191"/>
          <w:tab w:val="left" w:pos="1588"/>
          <w:tab w:val="left" w:pos="1985"/>
        </w:tabs>
        <w:spacing w:after="120"/>
        <w:ind w:left="539" w:hanging="539"/>
        <w:contextualSpacing w:val="0"/>
        <w:rPr>
          <w:rFonts w:cstheme="minorHAnsi"/>
          <w:b/>
          <w:bCs/>
          <w:szCs w:val="24"/>
        </w:rPr>
      </w:pPr>
      <w:r w:rsidRPr="00337C85">
        <w:rPr>
          <w:rFonts w:cstheme="minorHAnsi"/>
          <w:b/>
          <w:bCs/>
          <w:szCs w:val="24"/>
        </w:rPr>
        <w:t>Rapports par thèmes</w:t>
      </w:r>
    </w:p>
    <w:p w14:paraId="0113F22C" w14:textId="77777777" w:rsidR="00337C85" w:rsidRPr="00337C85" w:rsidRDefault="00337C85" w:rsidP="00337C85">
      <w:pPr>
        <w:tabs>
          <w:tab w:val="clear" w:pos="794"/>
          <w:tab w:val="left" w:pos="567"/>
        </w:tabs>
        <w:spacing w:after="120"/>
        <w:ind w:left="720" w:hanging="720"/>
        <w:rPr>
          <w:rFonts w:cstheme="minorHAnsi"/>
          <w:b/>
          <w:bCs/>
          <w:szCs w:val="24"/>
        </w:rPr>
      </w:pPr>
      <w:r w:rsidRPr="00337C85">
        <w:rPr>
          <w:rFonts w:cstheme="minorHAnsi"/>
          <w:b/>
          <w:bCs/>
          <w:szCs w:val="24"/>
        </w:rPr>
        <w:t xml:space="preserve">2.2.1 </w:t>
      </w:r>
      <w:r w:rsidRPr="00337C85">
        <w:rPr>
          <w:rFonts w:cstheme="minorHAnsi"/>
          <w:b/>
          <w:bCs/>
          <w:szCs w:val="24"/>
        </w:rPr>
        <w:tab/>
        <w:t>« Changement climatique »</w:t>
      </w:r>
    </w:p>
    <w:p w14:paraId="753E2353" w14:textId="7D72CAAE" w:rsidR="00337C85" w:rsidRPr="00337C85" w:rsidRDefault="00337C85" w:rsidP="00337C85">
      <w:pPr>
        <w:spacing w:after="120"/>
        <w:rPr>
          <w:rFonts w:cstheme="minorHAnsi"/>
          <w:szCs w:val="24"/>
        </w:rPr>
      </w:pPr>
      <w:r w:rsidRPr="00337C85">
        <w:rPr>
          <w:rFonts w:cstheme="minorHAnsi"/>
          <w:szCs w:val="24"/>
        </w:rPr>
        <w:t xml:space="preserve">Le Secrétariat a présenté un rapport sur les derniers développements concernant l'avancement des travaux internes sur les activités de l'UIT liées au changement climatique (voir </w:t>
      </w:r>
      <w:hyperlink r:id="rId19" w:history="1">
        <w:r w:rsidRPr="00337C85">
          <w:rPr>
            <w:rStyle w:val="Hyperlink"/>
            <w:rFonts w:cstheme="minorHAnsi"/>
            <w:szCs w:val="24"/>
          </w:rPr>
          <w:t>ISCG/23-1/05b</w:t>
        </w:r>
      </w:hyperlink>
      <w:r w:rsidRPr="00337C85">
        <w:rPr>
          <w:rStyle w:val="Hyperlink"/>
          <w:rFonts w:cstheme="minorHAnsi"/>
          <w:szCs w:val="24"/>
        </w:rPr>
        <w:t>)</w:t>
      </w:r>
      <w:r w:rsidRPr="00337C85">
        <w:rPr>
          <w:rFonts w:cstheme="minorHAnsi"/>
          <w:szCs w:val="24"/>
        </w:rPr>
        <w:t>.</w:t>
      </w:r>
    </w:p>
    <w:p w14:paraId="6BDE20D6" w14:textId="2465E891" w:rsidR="00337C85" w:rsidRPr="00337C85" w:rsidRDefault="00337C85" w:rsidP="00337C85">
      <w:pPr>
        <w:spacing w:after="120"/>
        <w:rPr>
          <w:rFonts w:cstheme="minorHAnsi"/>
          <w:szCs w:val="24"/>
        </w:rPr>
      </w:pPr>
      <w:r w:rsidRPr="00337C85">
        <w:rPr>
          <w:rFonts w:cstheme="minorHAnsi"/>
          <w:szCs w:val="24"/>
        </w:rPr>
        <w:t xml:space="preserve">Le rapport présente les activités menées par les Secteurs et met en évidence les projets d'organisation d'une « Journée du numérique vert » à la COP28, visant à rassembler l'écosystème des TIC pour créer une dynamique, avec une orientation vers l'impact, pour s'assurer que la journée </w:t>
      </w:r>
      <w:r w:rsidR="00B2149F" w:rsidRPr="00B2149F">
        <w:rPr>
          <w:rFonts w:cstheme="minorHAnsi"/>
          <w:szCs w:val="24"/>
        </w:rPr>
        <w:t>mène à un impact positif mesurable pour le climat</w:t>
      </w:r>
      <w:r w:rsidRPr="00337C85">
        <w:rPr>
          <w:rFonts w:cstheme="minorHAnsi"/>
          <w:szCs w:val="24"/>
        </w:rPr>
        <w:t>.</w:t>
      </w:r>
    </w:p>
    <w:p w14:paraId="439E9685" w14:textId="77777777" w:rsidR="00337C85" w:rsidRPr="00337C85" w:rsidRDefault="00337C85" w:rsidP="00337C85">
      <w:pPr>
        <w:spacing w:after="120"/>
        <w:rPr>
          <w:rFonts w:cstheme="minorHAnsi"/>
          <w:szCs w:val="24"/>
        </w:rPr>
      </w:pPr>
      <w:r w:rsidRPr="00337C85">
        <w:rPr>
          <w:rFonts w:cstheme="minorHAnsi"/>
          <w:szCs w:val="24"/>
        </w:rPr>
        <w:lastRenderedPageBreak/>
        <w:t xml:space="preserve">Le point focal du Secteur des radiocommunications de l'UIT (UIT-R) a également présenté le document </w:t>
      </w:r>
      <w:hyperlink r:id="rId20" w:history="1">
        <w:r w:rsidRPr="00337C85">
          <w:rPr>
            <w:rStyle w:val="Hyperlink"/>
            <w:rFonts w:cstheme="minorHAnsi"/>
            <w:szCs w:val="24"/>
          </w:rPr>
          <w:t xml:space="preserve">ISCG/23-1/06 </w:t>
        </w:r>
      </w:hyperlink>
      <w:r w:rsidRPr="00337C85">
        <w:rPr>
          <w:rFonts w:cstheme="minorHAnsi"/>
          <w:szCs w:val="24"/>
        </w:rPr>
        <w:t>contenant les travaux du Secteur concernant le changement climatique, la manière dont l'UIT-R considère l'industrie et l'industrie des médias sur le sujet, et a appelé à une coordination avec le Secteur de la normalisation des télécommunications (UIT-T) pour l'élaboration de normes.</w:t>
      </w:r>
    </w:p>
    <w:p w14:paraId="360151FF" w14:textId="19FC2365" w:rsidR="00337C85" w:rsidRPr="00337C85" w:rsidRDefault="00337C85" w:rsidP="00337C85">
      <w:pPr>
        <w:spacing w:after="120"/>
        <w:rPr>
          <w:rFonts w:cstheme="minorHAnsi"/>
          <w:szCs w:val="24"/>
        </w:rPr>
      </w:pPr>
      <w:r w:rsidRPr="00337C85">
        <w:rPr>
          <w:rFonts w:cstheme="minorHAnsi"/>
          <w:szCs w:val="24"/>
        </w:rPr>
        <w:t>Le président de l'ISCG s'est félicité de l'information et a demandé au coordinateur du changement climatique, M. Paolo Gemma, de présenter un rapport complet à la prochaine réunion, y compris l'évaluation des émissions du secteur des TIC, portée 3, car il s'agit d'un sujet d'intérêt pour les trois secteurs.</w:t>
      </w:r>
    </w:p>
    <w:p w14:paraId="6BB369C4" w14:textId="77777777" w:rsidR="00337C85" w:rsidRPr="00337C85" w:rsidRDefault="00337C85" w:rsidP="00337C85">
      <w:pPr>
        <w:tabs>
          <w:tab w:val="clear" w:pos="794"/>
          <w:tab w:val="left" w:pos="567"/>
        </w:tabs>
        <w:spacing w:after="120"/>
        <w:ind w:left="720" w:hanging="720"/>
        <w:rPr>
          <w:rFonts w:cstheme="minorHAnsi"/>
          <w:b/>
          <w:bCs/>
          <w:szCs w:val="24"/>
        </w:rPr>
      </w:pPr>
      <w:r w:rsidRPr="00337C85">
        <w:rPr>
          <w:rFonts w:cstheme="minorHAnsi"/>
          <w:b/>
          <w:bCs/>
          <w:szCs w:val="24"/>
        </w:rPr>
        <w:t xml:space="preserve">2.2.2 </w:t>
      </w:r>
      <w:r w:rsidRPr="00337C85">
        <w:rPr>
          <w:rFonts w:cstheme="minorHAnsi"/>
          <w:b/>
          <w:bCs/>
          <w:szCs w:val="24"/>
        </w:rPr>
        <w:tab/>
        <w:t>"Accessibilité"</w:t>
      </w:r>
    </w:p>
    <w:p w14:paraId="5CED8501" w14:textId="77777777" w:rsidR="00337C85" w:rsidRPr="00337C85" w:rsidRDefault="00337C85" w:rsidP="00337C85">
      <w:pPr>
        <w:spacing w:after="120"/>
        <w:rPr>
          <w:rFonts w:cstheme="minorHAnsi"/>
          <w:szCs w:val="24"/>
        </w:rPr>
      </w:pPr>
      <w:r w:rsidRPr="00337C85">
        <w:rPr>
          <w:rFonts w:cstheme="minorHAnsi"/>
          <w:szCs w:val="24"/>
        </w:rPr>
        <w:t xml:space="preserve">Le président de l'ISCG a invité la coordinatrice de l'accessibilité, Mme Andrea </w:t>
      </w:r>
      <w:proofErr w:type="spellStart"/>
      <w:r w:rsidRPr="00337C85">
        <w:rPr>
          <w:rFonts w:cstheme="minorHAnsi"/>
          <w:szCs w:val="24"/>
        </w:rPr>
        <w:t>Saks</w:t>
      </w:r>
      <w:proofErr w:type="spellEnd"/>
      <w:r w:rsidRPr="00337C85">
        <w:rPr>
          <w:rFonts w:cstheme="minorHAnsi"/>
          <w:szCs w:val="24"/>
        </w:rPr>
        <w:t>, à faire un rapport oral. Le coordonnateur a insisté sur la nécessité pour l'UIT d'utiliser les normes élaborées par la Commission d'études 16 de l'UIT-T sur les réunions accessibles et la participation à distance, ainsi que d'établir des procédures normalisées pour les réunions de l'UIT.</w:t>
      </w:r>
    </w:p>
    <w:p w14:paraId="1F145A7F" w14:textId="37D66D2C" w:rsidR="00337C85" w:rsidRPr="00337C85" w:rsidRDefault="00337C85" w:rsidP="00337C85">
      <w:pPr>
        <w:spacing w:after="120"/>
        <w:rPr>
          <w:rFonts w:cstheme="minorHAnsi"/>
          <w:szCs w:val="24"/>
        </w:rPr>
      </w:pPr>
      <w:r w:rsidRPr="00337C85">
        <w:rPr>
          <w:rFonts w:cstheme="minorHAnsi"/>
          <w:szCs w:val="24"/>
        </w:rPr>
        <w:t xml:space="preserve">Le point focal de l'UIT-R a également présenté des informations actualisées sur les travaux de la Commission d'études 6 de l'UIT-R sur les services de radiodiffusion, plus spécifiques sur la manière de personnaliser les médias pour tout handicap (voir </w:t>
      </w:r>
      <w:hyperlink r:id="rId21" w:history="1">
        <w:r w:rsidRPr="00337C85">
          <w:rPr>
            <w:rStyle w:val="Hyperlink"/>
            <w:rFonts w:cstheme="minorHAnsi"/>
            <w:szCs w:val="24"/>
          </w:rPr>
          <w:t>ISCG/23-1/06</w:t>
        </w:r>
      </w:hyperlink>
      <w:r w:rsidRPr="00337C85">
        <w:rPr>
          <w:rFonts w:cstheme="minorHAnsi"/>
          <w:szCs w:val="24"/>
        </w:rPr>
        <w:t>).</w:t>
      </w:r>
    </w:p>
    <w:p w14:paraId="6AE07986" w14:textId="2FDC97CD" w:rsidR="00337C85" w:rsidRPr="00337C85" w:rsidRDefault="00337C85" w:rsidP="00337C85">
      <w:pPr>
        <w:spacing w:after="120"/>
        <w:rPr>
          <w:rFonts w:cstheme="minorHAnsi"/>
          <w:szCs w:val="24"/>
        </w:rPr>
      </w:pPr>
      <w:r w:rsidRPr="00337C85">
        <w:rPr>
          <w:rFonts w:cstheme="minorHAnsi"/>
          <w:szCs w:val="24"/>
        </w:rPr>
        <w:t xml:space="preserve">Le secrétariat a présenté un rapport sur les derniers développements concernant l'avancement des travaux internes sur les activités de l'UIT relatives à l'accessibilité (voir </w:t>
      </w:r>
      <w:hyperlink r:id="rId22" w:history="1">
        <w:r w:rsidRPr="00337C85">
          <w:rPr>
            <w:rStyle w:val="Hyperlink"/>
            <w:rFonts w:cstheme="minorHAnsi"/>
            <w:szCs w:val="24"/>
          </w:rPr>
          <w:t>ISCG/23-1/05a</w:t>
        </w:r>
      </w:hyperlink>
      <w:r w:rsidRPr="00337C85">
        <w:rPr>
          <w:rFonts w:cstheme="minorHAnsi"/>
          <w:szCs w:val="24"/>
        </w:rPr>
        <w:t>). Le point focal pour l'accessibilité a également souligné que le projet de budget de l'Union pour 2024-2025 inclut, pour la première fois, le montant de 100 000 CHF/an pour les activités d'accessibilité conduisant à rendre l'UIT accessible (par exemple, fournir du sous-titrage, etc.).</w:t>
      </w:r>
    </w:p>
    <w:p w14:paraId="40A2FD25" w14:textId="77777777" w:rsidR="00337C85" w:rsidRPr="00337C85" w:rsidRDefault="00337C85" w:rsidP="00337C85">
      <w:pPr>
        <w:spacing w:after="120"/>
        <w:rPr>
          <w:rFonts w:cstheme="minorHAnsi"/>
          <w:szCs w:val="24"/>
        </w:rPr>
      </w:pPr>
      <w:r w:rsidRPr="00337C85">
        <w:rPr>
          <w:rFonts w:cstheme="minorHAnsi"/>
          <w:szCs w:val="24"/>
        </w:rPr>
        <w:t>Le président de l'ISCG a encouragé le coordinateur à présenter un rapport complet sur tous les aspects discutés. Les membres de l'ISCG ont également demandé à être impliqués dans le nouveau projet de construction afin de s'assurer que toutes les questions d'accessibilité sont envisagées.</w:t>
      </w:r>
    </w:p>
    <w:p w14:paraId="47D64AD5" w14:textId="77777777" w:rsidR="00337C85" w:rsidRPr="00337C85" w:rsidRDefault="00337C85" w:rsidP="00337C85">
      <w:pPr>
        <w:pStyle w:val="ListParagraph"/>
        <w:numPr>
          <w:ilvl w:val="2"/>
          <w:numId w:val="8"/>
        </w:numPr>
        <w:tabs>
          <w:tab w:val="clear" w:pos="1134"/>
          <w:tab w:val="clear" w:pos="1871"/>
          <w:tab w:val="clear" w:pos="2268"/>
          <w:tab w:val="left" w:pos="567"/>
          <w:tab w:val="left" w:pos="1191"/>
          <w:tab w:val="left" w:pos="1588"/>
          <w:tab w:val="left" w:pos="1985"/>
        </w:tabs>
        <w:spacing w:after="120"/>
        <w:contextualSpacing w:val="0"/>
        <w:rPr>
          <w:rFonts w:cstheme="minorHAnsi"/>
          <w:b/>
          <w:bCs/>
          <w:szCs w:val="24"/>
        </w:rPr>
      </w:pPr>
      <w:r w:rsidRPr="00337C85">
        <w:rPr>
          <w:rFonts w:cstheme="minorHAnsi"/>
          <w:b/>
          <w:bCs/>
          <w:szCs w:val="24"/>
        </w:rPr>
        <w:t>Participation à distance</w:t>
      </w:r>
    </w:p>
    <w:p w14:paraId="0301B7C8" w14:textId="3CB85197" w:rsidR="00337C85" w:rsidRPr="00337C85" w:rsidRDefault="00337C85" w:rsidP="00337C85">
      <w:pPr>
        <w:spacing w:after="120"/>
        <w:rPr>
          <w:rFonts w:cstheme="minorHAnsi"/>
          <w:szCs w:val="24"/>
        </w:rPr>
      </w:pPr>
      <w:r w:rsidRPr="00337C85">
        <w:rPr>
          <w:rFonts w:cstheme="minorHAnsi"/>
          <w:szCs w:val="24"/>
        </w:rPr>
        <w:t xml:space="preserve">Le représentant du Groupe consultatif de la normalisation des télécommunications (GCNT) sur la participation à distance a présenté un document </w:t>
      </w:r>
      <w:hyperlink r:id="rId23" w:history="1">
        <w:r w:rsidRPr="00337C85">
          <w:rPr>
            <w:rStyle w:val="Hyperlink"/>
            <w:rFonts w:cstheme="minorHAnsi"/>
            <w:szCs w:val="24"/>
          </w:rPr>
          <w:t xml:space="preserve">ISCG/23-1/04 </w:t>
        </w:r>
      </w:hyperlink>
      <w:r w:rsidRPr="00337C85">
        <w:rPr>
          <w:rFonts w:cstheme="minorHAnsi"/>
          <w:szCs w:val="24"/>
        </w:rPr>
        <w:t xml:space="preserve">sur les mises à jour de l'année écoulée. Le document informe que le Supplément 4 aux Recommandations de la série A de l'UIT T, qui donne des indications détaillées sur la participation à distance, a été révisé. Le texte complet se trouve dans la déclaration de liaison soumise par le GCNT à la réunion (voir </w:t>
      </w:r>
      <w:hyperlink r:id="rId24" w:history="1">
        <w:r w:rsidRPr="00337C85">
          <w:rPr>
            <w:rStyle w:val="Hyperlink"/>
            <w:rFonts w:cstheme="minorHAnsi"/>
            <w:szCs w:val="24"/>
          </w:rPr>
          <w:t>TSAG-LS03</w:t>
        </w:r>
      </w:hyperlink>
      <w:r w:rsidRPr="00337C85">
        <w:rPr>
          <w:rFonts w:cstheme="minorHAnsi"/>
          <w:szCs w:val="24"/>
        </w:rPr>
        <w:t>).</w:t>
      </w:r>
    </w:p>
    <w:p w14:paraId="73F4246F" w14:textId="77777777" w:rsidR="00337C85" w:rsidRPr="00337C85" w:rsidRDefault="00337C85" w:rsidP="00337C85">
      <w:pPr>
        <w:spacing w:after="120"/>
        <w:rPr>
          <w:rFonts w:cstheme="minorHAnsi"/>
          <w:szCs w:val="24"/>
        </w:rPr>
      </w:pPr>
      <w:r w:rsidRPr="00337C85">
        <w:rPr>
          <w:rFonts w:cstheme="minorHAnsi"/>
          <w:szCs w:val="24"/>
        </w:rPr>
        <w:t>La réunion a convenu que l'ISCG a envoyé une déclaration de liaison aux secteurs invitant à partager les règles qu'ils ont sur la gouvernance et la gestion des réunions virtuelles pour essayer d'identifier une meilleure pratique commune convenue à court terme et que ces informations sont fournies au Conseil pour les aider dans leurs délibérations, comme indiqué dans la Résolution PP 167 (Rév. Bucarest, 2022) afin de développer une approche commune à l'échelle de l'Union à plus long terme. Il a également été convenu de désigner M. Philip Rushton comme personne de contact.</w:t>
      </w:r>
    </w:p>
    <w:p w14:paraId="782699AE" w14:textId="77777777" w:rsidR="00337C85" w:rsidRPr="00337C85" w:rsidRDefault="00337C85" w:rsidP="00337C85">
      <w:pPr>
        <w:spacing w:after="120"/>
        <w:rPr>
          <w:rFonts w:cstheme="minorHAnsi"/>
          <w:szCs w:val="24"/>
        </w:rPr>
      </w:pPr>
      <w:r w:rsidRPr="00337C85">
        <w:rPr>
          <w:rFonts w:cstheme="minorHAnsi"/>
          <w:szCs w:val="24"/>
        </w:rPr>
        <w:t>La déclaration de liaison devant être soumise par l'ISCG est présentée à l'annexe 1 du présent rapport.</w:t>
      </w:r>
    </w:p>
    <w:p w14:paraId="7BE29394" w14:textId="77777777" w:rsidR="00337C85" w:rsidRPr="00337C85" w:rsidRDefault="00337C85" w:rsidP="00337C85">
      <w:pPr>
        <w:pStyle w:val="ListParagraph"/>
        <w:numPr>
          <w:ilvl w:val="2"/>
          <w:numId w:val="8"/>
        </w:numPr>
        <w:tabs>
          <w:tab w:val="clear" w:pos="1134"/>
          <w:tab w:val="clear" w:pos="1871"/>
          <w:tab w:val="clear" w:pos="2268"/>
          <w:tab w:val="left" w:pos="567"/>
          <w:tab w:val="left" w:pos="1191"/>
          <w:tab w:val="left" w:pos="1588"/>
          <w:tab w:val="left" w:pos="1985"/>
        </w:tabs>
        <w:spacing w:after="120"/>
        <w:contextualSpacing w:val="0"/>
        <w:rPr>
          <w:rFonts w:cstheme="minorHAnsi"/>
          <w:b/>
          <w:bCs/>
          <w:szCs w:val="24"/>
        </w:rPr>
      </w:pPr>
      <w:r w:rsidRPr="00337C85">
        <w:rPr>
          <w:rFonts w:cstheme="minorHAnsi"/>
          <w:b/>
          <w:bCs/>
          <w:szCs w:val="24"/>
        </w:rPr>
        <w:t>Cotisations reçues</w:t>
      </w:r>
    </w:p>
    <w:p w14:paraId="3E44A035" w14:textId="77777777" w:rsidR="00337C85" w:rsidRPr="00337C85" w:rsidRDefault="00337C85" w:rsidP="00337C85">
      <w:pPr>
        <w:spacing w:after="120"/>
        <w:rPr>
          <w:rFonts w:cstheme="minorHAnsi"/>
          <w:szCs w:val="24"/>
        </w:rPr>
      </w:pPr>
      <w:r w:rsidRPr="00337C85">
        <w:rPr>
          <w:rFonts w:cstheme="minorHAnsi"/>
          <w:szCs w:val="24"/>
        </w:rPr>
        <w:t xml:space="preserve">La Fédération de Russie a présenté le document </w:t>
      </w:r>
      <w:hyperlink r:id="rId25" w:history="1">
        <w:r w:rsidRPr="00337C85">
          <w:rPr>
            <w:rStyle w:val="Hyperlink"/>
            <w:rFonts w:cstheme="minorHAnsi"/>
            <w:szCs w:val="24"/>
          </w:rPr>
          <w:t xml:space="preserve">ISCG/23-1/03 </w:t>
        </w:r>
      </w:hyperlink>
      <w:r w:rsidRPr="00337C85">
        <w:rPr>
          <w:rFonts w:cstheme="minorHAnsi"/>
          <w:szCs w:val="24"/>
        </w:rPr>
        <w:t>avec la proposition suivante :</w:t>
      </w:r>
    </w:p>
    <w:p w14:paraId="69C2EC70" w14:textId="78E69555" w:rsidR="00337C85" w:rsidRPr="00337C85" w:rsidRDefault="00337C85" w:rsidP="00337C85">
      <w:pPr>
        <w:pStyle w:val="ListParagraph"/>
        <w:numPr>
          <w:ilvl w:val="0"/>
          <w:numId w:val="12"/>
        </w:numPr>
        <w:tabs>
          <w:tab w:val="clear" w:pos="1134"/>
          <w:tab w:val="clear" w:pos="1871"/>
          <w:tab w:val="clear" w:pos="2268"/>
          <w:tab w:val="left" w:pos="794"/>
          <w:tab w:val="left" w:pos="1191"/>
          <w:tab w:val="left" w:pos="1588"/>
          <w:tab w:val="left" w:pos="1985"/>
        </w:tabs>
        <w:spacing w:before="60" w:after="60"/>
        <w:ind w:left="714" w:hanging="357"/>
        <w:contextualSpacing w:val="0"/>
        <w:rPr>
          <w:rFonts w:cstheme="minorHAnsi"/>
          <w:szCs w:val="24"/>
        </w:rPr>
      </w:pPr>
      <w:r w:rsidRPr="00337C85">
        <w:rPr>
          <w:rFonts w:cstheme="minorHAnsi"/>
          <w:szCs w:val="24"/>
        </w:rPr>
        <w:t>Encourager le secrétariat à accélérer les travaux d'harmonisation des sites Web des Secteurs de l'UIT afin d'assurer la clarté, la facilité de navigation et l'image d'une UIT unique, utilisant les six langues officielles de l'Union sur un pied d'égalité</w:t>
      </w:r>
      <w:r w:rsidR="00B24C39">
        <w:rPr>
          <w:rFonts w:cstheme="minorHAnsi"/>
          <w:szCs w:val="24"/>
        </w:rPr>
        <w:t xml:space="preserve"> </w:t>
      </w:r>
      <w:r w:rsidRPr="00337C85">
        <w:rPr>
          <w:rFonts w:cstheme="minorHAnsi"/>
          <w:szCs w:val="24"/>
        </w:rPr>
        <w:t>;</w:t>
      </w:r>
    </w:p>
    <w:p w14:paraId="75F5870F" w14:textId="77777777" w:rsidR="00337C85" w:rsidRPr="00337C85" w:rsidRDefault="00337C85" w:rsidP="00337C85">
      <w:pPr>
        <w:pStyle w:val="ListParagraph"/>
        <w:numPr>
          <w:ilvl w:val="0"/>
          <w:numId w:val="12"/>
        </w:numPr>
        <w:tabs>
          <w:tab w:val="clear" w:pos="1134"/>
          <w:tab w:val="clear" w:pos="1871"/>
          <w:tab w:val="clear" w:pos="2268"/>
          <w:tab w:val="left" w:pos="794"/>
          <w:tab w:val="left" w:pos="1191"/>
          <w:tab w:val="left" w:pos="1588"/>
          <w:tab w:val="left" w:pos="1985"/>
        </w:tabs>
        <w:spacing w:before="60" w:after="60"/>
        <w:ind w:left="714" w:hanging="357"/>
        <w:contextualSpacing w:val="0"/>
        <w:rPr>
          <w:rFonts w:cstheme="minorHAnsi"/>
          <w:szCs w:val="24"/>
        </w:rPr>
      </w:pPr>
      <w:r w:rsidRPr="00337C85">
        <w:rPr>
          <w:rFonts w:cstheme="minorHAnsi"/>
          <w:szCs w:val="24"/>
        </w:rPr>
        <w:t>Ajouter le lien du site Web de l'ISCG à la page d'accueil de l'UIT ;</w:t>
      </w:r>
    </w:p>
    <w:p w14:paraId="674B4CBF" w14:textId="77777777" w:rsidR="00337C85" w:rsidRPr="00337C85" w:rsidRDefault="00337C85" w:rsidP="00337C85">
      <w:pPr>
        <w:pStyle w:val="ListParagraph"/>
        <w:numPr>
          <w:ilvl w:val="0"/>
          <w:numId w:val="12"/>
        </w:numPr>
        <w:tabs>
          <w:tab w:val="clear" w:pos="1134"/>
          <w:tab w:val="clear" w:pos="1871"/>
          <w:tab w:val="clear" w:pos="2268"/>
          <w:tab w:val="left" w:pos="794"/>
          <w:tab w:val="left" w:pos="1191"/>
          <w:tab w:val="left" w:pos="1588"/>
          <w:tab w:val="left" w:pos="1985"/>
        </w:tabs>
        <w:spacing w:before="60" w:after="60"/>
        <w:ind w:left="714" w:hanging="357"/>
        <w:contextualSpacing w:val="0"/>
        <w:rPr>
          <w:rFonts w:cstheme="minorHAnsi"/>
          <w:szCs w:val="24"/>
        </w:rPr>
      </w:pPr>
      <w:r w:rsidRPr="00337C85">
        <w:rPr>
          <w:rFonts w:cstheme="minorHAnsi"/>
          <w:szCs w:val="24"/>
        </w:rPr>
        <w:t>Attirer l'attention du Comité de coordination et du Mécanisme de coordination intersectorielle sur la préoccupation concernant le système de recherche de l'UIT ;</w:t>
      </w:r>
    </w:p>
    <w:p w14:paraId="4ECC36CB" w14:textId="77777777" w:rsidR="00337C85" w:rsidRPr="00337C85" w:rsidRDefault="00337C85" w:rsidP="00337C85">
      <w:pPr>
        <w:pStyle w:val="ListParagraph"/>
        <w:numPr>
          <w:ilvl w:val="0"/>
          <w:numId w:val="12"/>
        </w:numPr>
        <w:tabs>
          <w:tab w:val="clear" w:pos="1134"/>
          <w:tab w:val="clear" w:pos="1871"/>
          <w:tab w:val="clear" w:pos="2268"/>
          <w:tab w:val="left" w:pos="794"/>
          <w:tab w:val="left" w:pos="1191"/>
          <w:tab w:val="left" w:pos="1588"/>
          <w:tab w:val="left" w:pos="1985"/>
        </w:tabs>
        <w:spacing w:before="60" w:after="60"/>
        <w:ind w:left="714" w:hanging="357"/>
        <w:contextualSpacing w:val="0"/>
        <w:rPr>
          <w:rFonts w:cstheme="minorHAnsi"/>
          <w:szCs w:val="24"/>
        </w:rPr>
      </w:pPr>
      <w:r w:rsidRPr="00337C85">
        <w:rPr>
          <w:rFonts w:cstheme="minorHAnsi"/>
          <w:szCs w:val="24"/>
        </w:rPr>
        <w:t>De demander au secrétariat de soumettre des informations sur l'harmonisation des sites Web et sur le système de recherche de l'UIT à la prochaine réunion du GCSI.</w:t>
      </w:r>
    </w:p>
    <w:p w14:paraId="0B5EE9CF" w14:textId="77777777" w:rsidR="00337C85" w:rsidRPr="00337C85" w:rsidRDefault="00337C85" w:rsidP="00337C85">
      <w:pPr>
        <w:spacing w:after="120"/>
        <w:rPr>
          <w:rFonts w:cstheme="minorHAnsi"/>
          <w:szCs w:val="24"/>
        </w:rPr>
      </w:pPr>
      <w:r w:rsidRPr="00337C85">
        <w:rPr>
          <w:rFonts w:cstheme="minorHAnsi"/>
          <w:szCs w:val="24"/>
        </w:rPr>
        <w:t>L'ISCG a approuvé la proposition à inclure dans le rapport et a demandé au secrétariat de l'UIT d'en informer la prochaine réunion de l'ISCG.</w:t>
      </w:r>
    </w:p>
    <w:p w14:paraId="533C586E" w14:textId="061ED797" w:rsidR="00337C85" w:rsidRPr="00337C85" w:rsidRDefault="00337C85" w:rsidP="00337C85">
      <w:pPr>
        <w:spacing w:after="120"/>
        <w:rPr>
          <w:rFonts w:cstheme="minorHAnsi"/>
          <w:szCs w:val="24"/>
        </w:rPr>
      </w:pPr>
      <w:r w:rsidRPr="00337C85">
        <w:rPr>
          <w:rFonts w:cstheme="minorHAnsi"/>
          <w:szCs w:val="24"/>
        </w:rPr>
        <w:t xml:space="preserve">Une autre contribution a été présentée par le Kenya et l'ATDI (document </w:t>
      </w:r>
      <w:hyperlink r:id="rId26" w:history="1">
        <w:r w:rsidRPr="00337C85">
          <w:rPr>
            <w:rStyle w:val="Hyperlink"/>
            <w:rFonts w:cstheme="minorHAnsi"/>
            <w:szCs w:val="24"/>
          </w:rPr>
          <w:t>ISCG/23-1/08</w:t>
        </w:r>
      </w:hyperlink>
      <w:r w:rsidRPr="00337C85">
        <w:rPr>
          <w:rFonts w:cstheme="minorHAnsi"/>
          <w:szCs w:val="24"/>
        </w:rPr>
        <w:t>), sur la mise en œuvre de la CMDT-Résolution 9 et la collaboration nécessaire entre l'UIT-R et l'UIT-D. Ce document a également été soumis au RAG, au GCDT et aux Groupes de Rapporteurs sur les Questions UIT-D 1/1, 2/1, 4/1, 5/1, 1/2 et 7/2.</w:t>
      </w:r>
    </w:p>
    <w:p w14:paraId="4D195092" w14:textId="77777777" w:rsidR="00337C85" w:rsidRPr="00337C85" w:rsidRDefault="00337C85" w:rsidP="00337C85">
      <w:pPr>
        <w:spacing w:after="120"/>
        <w:rPr>
          <w:rFonts w:cstheme="minorHAnsi"/>
          <w:szCs w:val="24"/>
        </w:rPr>
      </w:pPr>
      <w:r w:rsidRPr="00337C85">
        <w:rPr>
          <w:rFonts w:cstheme="minorHAnsi"/>
          <w:szCs w:val="24"/>
        </w:rPr>
        <w:t>L'ISCG a pris note de la proposition et a demandé aux auteurs de poursuivre les consultations avec d'autres parties prenantes et de présenter une contribution proposant des lignes directrices sur la marche à suivre jusqu'à la prochaine réunion de l'ISCG.</w:t>
      </w:r>
    </w:p>
    <w:p w14:paraId="5F34DE5C" w14:textId="77777777" w:rsidR="00337C85" w:rsidRPr="00337C85" w:rsidRDefault="00337C85" w:rsidP="00337C85">
      <w:pPr>
        <w:pStyle w:val="ListParagraph"/>
        <w:keepNext/>
        <w:numPr>
          <w:ilvl w:val="2"/>
          <w:numId w:val="8"/>
        </w:numPr>
        <w:tabs>
          <w:tab w:val="clear" w:pos="1134"/>
          <w:tab w:val="clear" w:pos="1871"/>
          <w:tab w:val="clear" w:pos="2268"/>
          <w:tab w:val="left" w:pos="567"/>
          <w:tab w:val="left" w:pos="1191"/>
          <w:tab w:val="left" w:pos="1588"/>
          <w:tab w:val="left" w:pos="1985"/>
        </w:tabs>
        <w:spacing w:after="120"/>
        <w:contextualSpacing w:val="0"/>
        <w:rPr>
          <w:rFonts w:cstheme="minorHAnsi"/>
          <w:b/>
          <w:bCs/>
          <w:szCs w:val="24"/>
        </w:rPr>
      </w:pPr>
      <w:r w:rsidRPr="00337C85">
        <w:rPr>
          <w:rFonts w:cstheme="minorHAnsi"/>
          <w:b/>
          <w:bCs/>
          <w:szCs w:val="24"/>
        </w:rPr>
        <w:t>Thèmes futurs possibles</w:t>
      </w:r>
    </w:p>
    <w:p w14:paraId="0A4349CA" w14:textId="77777777" w:rsidR="00337C85" w:rsidRPr="00337C85" w:rsidRDefault="00337C85" w:rsidP="00337C85">
      <w:pPr>
        <w:spacing w:after="120"/>
        <w:rPr>
          <w:rFonts w:cstheme="minorHAnsi"/>
          <w:szCs w:val="24"/>
        </w:rPr>
      </w:pPr>
      <w:r w:rsidRPr="00337C85">
        <w:rPr>
          <w:rFonts w:cstheme="minorHAnsi"/>
          <w:szCs w:val="24"/>
        </w:rPr>
        <w:t>Deux thèmes ont été mentionnés pour être examinés par l'ISCG :</w:t>
      </w:r>
    </w:p>
    <w:p w14:paraId="5272801B" w14:textId="77777777" w:rsidR="00337C85" w:rsidRPr="00337C85" w:rsidRDefault="00337C85" w:rsidP="00337C85">
      <w:pPr>
        <w:pStyle w:val="ListParagraph"/>
        <w:numPr>
          <w:ilvl w:val="0"/>
          <w:numId w:val="12"/>
        </w:numPr>
        <w:tabs>
          <w:tab w:val="clear" w:pos="1134"/>
          <w:tab w:val="clear" w:pos="1871"/>
          <w:tab w:val="clear" w:pos="2268"/>
          <w:tab w:val="left" w:pos="794"/>
          <w:tab w:val="left" w:pos="1191"/>
          <w:tab w:val="left" w:pos="1588"/>
          <w:tab w:val="left" w:pos="1985"/>
        </w:tabs>
        <w:spacing w:before="60" w:after="60"/>
        <w:ind w:left="714" w:hanging="357"/>
        <w:contextualSpacing w:val="0"/>
        <w:rPr>
          <w:rFonts w:cstheme="minorHAnsi"/>
          <w:szCs w:val="24"/>
        </w:rPr>
      </w:pPr>
      <w:r w:rsidRPr="00337C85">
        <w:rPr>
          <w:rFonts w:cstheme="minorHAnsi"/>
          <w:szCs w:val="24"/>
        </w:rPr>
        <w:t>Combler la fracture numérique</w:t>
      </w:r>
    </w:p>
    <w:p w14:paraId="0DA96EB8" w14:textId="77777777" w:rsidR="00337C85" w:rsidRPr="00337C85" w:rsidRDefault="00337C85" w:rsidP="00337C85">
      <w:pPr>
        <w:pStyle w:val="ListParagraph"/>
        <w:numPr>
          <w:ilvl w:val="0"/>
          <w:numId w:val="12"/>
        </w:numPr>
        <w:tabs>
          <w:tab w:val="clear" w:pos="1134"/>
          <w:tab w:val="clear" w:pos="1871"/>
          <w:tab w:val="clear" w:pos="2268"/>
          <w:tab w:val="left" w:pos="794"/>
          <w:tab w:val="left" w:pos="1191"/>
          <w:tab w:val="left" w:pos="1588"/>
          <w:tab w:val="left" w:pos="1985"/>
        </w:tabs>
        <w:spacing w:before="60" w:after="60"/>
        <w:ind w:left="714" w:hanging="357"/>
        <w:contextualSpacing w:val="0"/>
        <w:rPr>
          <w:rFonts w:cstheme="minorHAnsi"/>
          <w:szCs w:val="24"/>
        </w:rPr>
      </w:pPr>
      <w:r w:rsidRPr="00337C85">
        <w:rPr>
          <w:rFonts w:cstheme="minorHAnsi"/>
          <w:szCs w:val="24"/>
        </w:rPr>
        <w:t>Harmonisation du site Web de l'UIT</w:t>
      </w:r>
    </w:p>
    <w:p w14:paraId="38093354" w14:textId="77777777" w:rsidR="00337C85" w:rsidRPr="00337C85" w:rsidRDefault="00337C85" w:rsidP="00337C85">
      <w:pPr>
        <w:spacing w:after="120"/>
        <w:rPr>
          <w:rFonts w:cstheme="minorHAnsi"/>
          <w:szCs w:val="24"/>
        </w:rPr>
      </w:pPr>
      <w:r w:rsidRPr="00337C85">
        <w:rPr>
          <w:rFonts w:cstheme="minorHAnsi"/>
          <w:szCs w:val="24"/>
        </w:rPr>
        <w:t>Le Président de l'ISCG a invité les membres à soumettre des contributions à la prochaine réunion sur tous les thèmes qu'ils souhaiteraient que l'ISCG aborde et à présenter des propositions pour améliorer la coordination et la collaboration entre les trois Secteurs et le Secrétariat général.</w:t>
      </w:r>
    </w:p>
    <w:p w14:paraId="10C9D061" w14:textId="77777777" w:rsidR="00337C85" w:rsidRPr="00337C85" w:rsidRDefault="00337C85" w:rsidP="00337C85">
      <w:pPr>
        <w:pStyle w:val="ListParagraph"/>
        <w:numPr>
          <w:ilvl w:val="2"/>
          <w:numId w:val="8"/>
        </w:numPr>
        <w:tabs>
          <w:tab w:val="clear" w:pos="1134"/>
          <w:tab w:val="clear" w:pos="1871"/>
          <w:tab w:val="clear" w:pos="2268"/>
          <w:tab w:val="left" w:pos="567"/>
          <w:tab w:val="left" w:pos="1191"/>
          <w:tab w:val="left" w:pos="1588"/>
          <w:tab w:val="left" w:pos="1985"/>
        </w:tabs>
        <w:spacing w:after="120"/>
        <w:rPr>
          <w:rFonts w:cstheme="minorHAnsi"/>
          <w:b/>
          <w:bCs/>
          <w:szCs w:val="24"/>
        </w:rPr>
      </w:pPr>
      <w:r w:rsidRPr="00337C85">
        <w:rPr>
          <w:rFonts w:cstheme="minorHAnsi"/>
          <w:b/>
          <w:bCs/>
          <w:szCs w:val="24"/>
        </w:rPr>
        <w:t>Termes de référence de l'ISCG</w:t>
      </w:r>
    </w:p>
    <w:p w14:paraId="294BE0DF" w14:textId="77777777" w:rsidR="00337C85" w:rsidRPr="00337C85" w:rsidRDefault="00337C85" w:rsidP="00337C85">
      <w:pPr>
        <w:spacing w:after="120"/>
        <w:rPr>
          <w:rFonts w:cstheme="minorHAnsi"/>
          <w:szCs w:val="24"/>
        </w:rPr>
      </w:pPr>
      <w:r w:rsidRPr="00337C85">
        <w:rPr>
          <w:rFonts w:cstheme="minorHAnsi"/>
          <w:szCs w:val="24"/>
        </w:rPr>
        <w:t xml:space="preserve">Le GCLI est convenu de mettre à jour le </w:t>
      </w:r>
      <w:hyperlink r:id="rId27" w:history="1">
        <w:r w:rsidRPr="00337C85">
          <w:rPr>
            <w:rStyle w:val="Hyperlink"/>
            <w:rFonts w:cstheme="minorHAnsi"/>
            <w:szCs w:val="24"/>
          </w:rPr>
          <w:t xml:space="preserve">mandat </w:t>
        </w:r>
      </w:hyperlink>
      <w:r w:rsidRPr="00337C85">
        <w:rPr>
          <w:rFonts w:cstheme="minorHAnsi"/>
          <w:szCs w:val="24"/>
        </w:rPr>
        <w:t>avec les nouveaux représentants nommés par le GCNT et le GCDT, ainsi qu'avec les Résolutions révisées de la Conférence de plénipotentiaires (PP-22), AMNT-22 et CMDT-22.</w:t>
      </w:r>
    </w:p>
    <w:p w14:paraId="5EFE975D" w14:textId="77777777" w:rsidR="00337C85" w:rsidRPr="00337C85" w:rsidRDefault="00337C85" w:rsidP="00337C85">
      <w:pPr>
        <w:pStyle w:val="ListParagraph"/>
        <w:numPr>
          <w:ilvl w:val="0"/>
          <w:numId w:val="7"/>
        </w:numPr>
        <w:tabs>
          <w:tab w:val="clear" w:pos="1134"/>
          <w:tab w:val="clear" w:pos="1871"/>
          <w:tab w:val="clear" w:pos="2268"/>
          <w:tab w:val="left" w:pos="794"/>
          <w:tab w:val="left" w:pos="1191"/>
          <w:tab w:val="left" w:pos="1588"/>
          <w:tab w:val="left" w:pos="1985"/>
        </w:tabs>
        <w:spacing w:after="120"/>
        <w:ind w:left="357" w:hanging="357"/>
        <w:contextualSpacing w:val="0"/>
        <w:rPr>
          <w:rFonts w:cstheme="minorHAnsi"/>
          <w:b/>
          <w:bCs/>
          <w:szCs w:val="24"/>
          <w:lang w:val="fr-FR"/>
        </w:rPr>
      </w:pPr>
      <w:bookmarkStart w:id="8" w:name="_Toc22116965"/>
      <w:r w:rsidRPr="00337C85">
        <w:rPr>
          <w:rFonts w:cstheme="minorHAnsi"/>
          <w:b/>
          <w:bCs/>
          <w:szCs w:val="24"/>
          <w:lang w:val="fr-FR"/>
        </w:rPr>
        <w:t>Tableaux de mappage</w:t>
      </w:r>
    </w:p>
    <w:p w14:paraId="6801A825" w14:textId="77777777" w:rsidR="00337C85" w:rsidRPr="00337C85" w:rsidRDefault="00337C85" w:rsidP="00337C85">
      <w:pPr>
        <w:spacing w:after="120"/>
        <w:rPr>
          <w:rFonts w:cstheme="minorHAnsi"/>
          <w:szCs w:val="24"/>
        </w:rPr>
      </w:pPr>
      <w:r w:rsidRPr="00337C85">
        <w:rPr>
          <w:rFonts w:cstheme="minorHAnsi"/>
          <w:szCs w:val="24"/>
        </w:rPr>
        <w:t xml:space="preserve">Le Secrétariat a informé que la </w:t>
      </w:r>
      <w:hyperlink r:id="rId28" w:history="1">
        <w:r w:rsidRPr="00337C85">
          <w:rPr>
            <w:rStyle w:val="Hyperlink"/>
            <w:rFonts w:cstheme="minorHAnsi"/>
            <w:szCs w:val="24"/>
          </w:rPr>
          <w:t xml:space="preserve">cartographie des résolutions </w:t>
        </w:r>
      </w:hyperlink>
      <w:r w:rsidRPr="00337C85">
        <w:rPr>
          <w:rFonts w:cstheme="minorHAnsi"/>
          <w:szCs w:val="24"/>
        </w:rPr>
        <w:t>a été mise à jour après la PP-22 et peut être consultée sur le site Web de l'ISCG.</w:t>
      </w:r>
    </w:p>
    <w:p w14:paraId="229C79B8" w14:textId="77777777" w:rsidR="00337C85" w:rsidRPr="00337C85" w:rsidRDefault="007C6238" w:rsidP="00337C85">
      <w:pPr>
        <w:spacing w:after="120"/>
        <w:rPr>
          <w:rFonts w:cstheme="minorHAnsi"/>
          <w:szCs w:val="24"/>
        </w:rPr>
      </w:pPr>
      <w:hyperlink r:id="rId29" w:history="1">
        <w:r w:rsidR="00337C85" w:rsidRPr="00337C85">
          <w:rPr>
            <w:rStyle w:val="Hyperlink"/>
            <w:rFonts w:cstheme="minorHAnsi"/>
            <w:szCs w:val="24"/>
          </w:rPr>
          <w:t xml:space="preserve">Le Tableau 1 </w:t>
        </w:r>
      </w:hyperlink>
      <w:r w:rsidR="00337C85" w:rsidRPr="00337C85">
        <w:rPr>
          <w:rFonts w:cstheme="minorHAnsi"/>
          <w:szCs w:val="24"/>
        </w:rPr>
        <w:t xml:space="preserve">(mise en correspondance de l'UIT-R et de l'UIT-D) et </w:t>
      </w:r>
      <w:hyperlink r:id="rId30" w:history="1">
        <w:r w:rsidR="00337C85" w:rsidRPr="00337C85">
          <w:rPr>
            <w:rStyle w:val="Hyperlink"/>
            <w:rFonts w:cstheme="minorHAnsi"/>
            <w:szCs w:val="24"/>
          </w:rPr>
          <w:t xml:space="preserve">le Tableau 2 </w:t>
        </w:r>
      </w:hyperlink>
      <w:r w:rsidR="00337C85" w:rsidRPr="00337C85">
        <w:rPr>
          <w:rFonts w:cstheme="minorHAnsi"/>
          <w:szCs w:val="24"/>
        </w:rPr>
        <w:t>(mise en correspondance de l'UIT-R et de l'UIT-T) ont été révisés par l'UIT-T et l'UIT-D et seront affichés sur le site Web, en notant que l'UIT-R devront revoir les deux tableaux une fois la Conférence mondiale des radiocommunications conclue d'ici fin 2023.</w:t>
      </w:r>
    </w:p>
    <w:p w14:paraId="67F65F5C" w14:textId="77777777" w:rsidR="00337C85" w:rsidRPr="00337C85" w:rsidRDefault="00337C85" w:rsidP="00337C85">
      <w:pPr>
        <w:spacing w:after="120"/>
        <w:rPr>
          <w:rFonts w:cstheme="minorHAnsi"/>
          <w:szCs w:val="24"/>
        </w:rPr>
      </w:pPr>
      <w:r w:rsidRPr="00337C85">
        <w:rPr>
          <w:rFonts w:cstheme="minorHAnsi"/>
          <w:szCs w:val="24"/>
        </w:rPr>
        <w:t>Le Tableau 3 (mise en correspondance de l'UIT-T et de l'UIT-D) continuera d'être examiné par les Secteurs et une version convenue sera présentée à la prochaine réunion de l'ISCG.</w:t>
      </w:r>
    </w:p>
    <w:p w14:paraId="71B52C41" w14:textId="77777777" w:rsidR="00337C85" w:rsidRPr="00337C85" w:rsidRDefault="00337C85" w:rsidP="00337C85">
      <w:pPr>
        <w:pStyle w:val="ListParagraph"/>
        <w:numPr>
          <w:ilvl w:val="0"/>
          <w:numId w:val="7"/>
        </w:numPr>
        <w:tabs>
          <w:tab w:val="clear" w:pos="1134"/>
          <w:tab w:val="clear" w:pos="1871"/>
          <w:tab w:val="clear" w:pos="2268"/>
          <w:tab w:val="left" w:pos="794"/>
          <w:tab w:val="left" w:pos="1191"/>
          <w:tab w:val="left" w:pos="1588"/>
          <w:tab w:val="left" w:pos="1985"/>
        </w:tabs>
        <w:spacing w:after="120"/>
        <w:ind w:left="357" w:hanging="357"/>
        <w:contextualSpacing w:val="0"/>
        <w:rPr>
          <w:rFonts w:cstheme="minorHAnsi"/>
          <w:b/>
          <w:bCs/>
          <w:szCs w:val="24"/>
          <w:lang w:val="fr-FR"/>
        </w:rPr>
      </w:pPr>
      <w:r w:rsidRPr="00337C85">
        <w:rPr>
          <w:rFonts w:cstheme="minorHAnsi"/>
          <w:b/>
          <w:bCs/>
          <w:szCs w:val="24"/>
          <w:lang w:val="fr-FR"/>
        </w:rPr>
        <w:t>Activités futures</w:t>
      </w:r>
    </w:p>
    <w:p w14:paraId="4E6F9FAA" w14:textId="40FBCE32" w:rsidR="00337C85" w:rsidRPr="00337C85" w:rsidRDefault="00337C85" w:rsidP="00337C85">
      <w:pPr>
        <w:spacing w:after="120"/>
        <w:rPr>
          <w:rFonts w:cstheme="minorHAnsi"/>
          <w:szCs w:val="24"/>
        </w:rPr>
      </w:pPr>
      <w:bookmarkStart w:id="9" w:name="_Hlk96717466"/>
      <w:r w:rsidRPr="00337C85">
        <w:rPr>
          <w:rFonts w:cstheme="minorHAnsi"/>
          <w:szCs w:val="24"/>
        </w:rPr>
        <w:t>Le président de l'ISCG fournira un rapport oral au RAG, y compris les questions pertinentes discutées lors de cette réunion de l'ISCG</w:t>
      </w:r>
      <w:bookmarkEnd w:id="9"/>
      <w:r w:rsidRPr="00337C85">
        <w:rPr>
          <w:rFonts w:cstheme="minorHAnsi"/>
          <w:szCs w:val="24"/>
        </w:rPr>
        <w:t>.</w:t>
      </w:r>
    </w:p>
    <w:p w14:paraId="2B4D25E2" w14:textId="77777777" w:rsidR="00337C85" w:rsidRPr="00337C85" w:rsidRDefault="00337C85" w:rsidP="00337C85">
      <w:pPr>
        <w:spacing w:after="120"/>
        <w:rPr>
          <w:rFonts w:cstheme="minorHAnsi"/>
          <w:szCs w:val="24"/>
        </w:rPr>
      </w:pPr>
      <w:r w:rsidRPr="00337C85">
        <w:rPr>
          <w:rFonts w:cstheme="minorHAnsi"/>
          <w:szCs w:val="24"/>
        </w:rPr>
        <w:t>Les rapports seront présentés au GCNT et au GCDT lors de leurs réunions respectives en juin 2023.</w:t>
      </w:r>
    </w:p>
    <w:p w14:paraId="49B322DF" w14:textId="77777777" w:rsidR="00337C85" w:rsidRPr="00337C85" w:rsidRDefault="00337C85" w:rsidP="00337C85">
      <w:pPr>
        <w:spacing w:after="120"/>
        <w:rPr>
          <w:rFonts w:cstheme="minorHAnsi"/>
          <w:szCs w:val="24"/>
        </w:rPr>
      </w:pPr>
      <w:r w:rsidRPr="00337C85">
        <w:rPr>
          <w:rFonts w:cstheme="minorHAnsi"/>
          <w:szCs w:val="24"/>
        </w:rPr>
        <w:t>Les mises à jour de l'ISCG seront également soumises au Conseil 2023 dans le cadre de la mise en œuvre de la Résolution PP-191 (Rév. Bucarest, 2022).</w:t>
      </w:r>
    </w:p>
    <w:p w14:paraId="784DA1B2" w14:textId="77777777" w:rsidR="00337C85" w:rsidRPr="00337C85" w:rsidRDefault="00337C85" w:rsidP="00337C85">
      <w:pPr>
        <w:pStyle w:val="default-style"/>
        <w:spacing w:before="120" w:beforeAutospacing="0" w:after="120" w:afterAutospacing="0"/>
        <w:rPr>
          <w:rFonts w:asciiTheme="minorHAnsi" w:eastAsia="Times New Roman" w:hAnsiTheme="minorHAnsi" w:cstheme="minorHAnsi"/>
          <w:sz w:val="24"/>
          <w:szCs w:val="24"/>
          <w:lang w:eastAsia="en-US"/>
        </w:rPr>
      </w:pPr>
      <w:r w:rsidRPr="00337C85">
        <w:rPr>
          <w:rFonts w:asciiTheme="minorHAnsi" w:eastAsia="Times New Roman" w:hAnsiTheme="minorHAnsi" w:cstheme="minorHAnsi"/>
          <w:sz w:val="24"/>
          <w:szCs w:val="24"/>
          <w:lang w:eastAsia="en-US"/>
        </w:rPr>
        <w:t>L'ISCG a décidé qu'une réunion serait prévue pour le second semestre 2023, en octobre. Date à confirmer après consultations avec l'équipe de gestion de l'ISCG.</w:t>
      </w:r>
    </w:p>
    <w:p w14:paraId="55411DF4" w14:textId="77777777" w:rsidR="00337C85" w:rsidRPr="00337C85" w:rsidRDefault="00337C85" w:rsidP="00337C85">
      <w:pPr>
        <w:pStyle w:val="ListParagraph"/>
        <w:numPr>
          <w:ilvl w:val="0"/>
          <w:numId w:val="7"/>
        </w:numPr>
        <w:tabs>
          <w:tab w:val="clear" w:pos="1134"/>
          <w:tab w:val="clear" w:pos="1871"/>
          <w:tab w:val="clear" w:pos="2268"/>
          <w:tab w:val="left" w:pos="794"/>
          <w:tab w:val="left" w:pos="1191"/>
          <w:tab w:val="left" w:pos="1588"/>
          <w:tab w:val="left" w:pos="1985"/>
        </w:tabs>
        <w:spacing w:after="120"/>
        <w:ind w:left="357" w:hanging="357"/>
        <w:contextualSpacing w:val="0"/>
        <w:rPr>
          <w:rFonts w:cstheme="minorHAnsi"/>
          <w:b/>
          <w:bCs/>
          <w:szCs w:val="24"/>
          <w:lang w:val="fr-FR"/>
        </w:rPr>
      </w:pPr>
      <w:r w:rsidRPr="00337C85">
        <w:rPr>
          <w:rFonts w:cstheme="minorHAnsi"/>
          <w:b/>
          <w:bCs/>
          <w:szCs w:val="24"/>
          <w:lang w:val="fr-FR"/>
        </w:rPr>
        <w:t>Clôture de la réunion</w:t>
      </w:r>
      <w:bookmarkEnd w:id="8"/>
    </w:p>
    <w:p w14:paraId="3E26EFE2" w14:textId="172238CC" w:rsidR="00337C85" w:rsidRPr="00337C85" w:rsidRDefault="00337C85" w:rsidP="00337C85">
      <w:pPr>
        <w:spacing w:after="120"/>
        <w:rPr>
          <w:rFonts w:cstheme="minorHAnsi"/>
          <w:szCs w:val="24"/>
        </w:rPr>
      </w:pPr>
      <w:r w:rsidRPr="00337C85">
        <w:rPr>
          <w:rFonts w:cstheme="minorHAnsi"/>
          <w:szCs w:val="24"/>
        </w:rPr>
        <w:t xml:space="preserve">M. Fabio </w:t>
      </w:r>
      <w:proofErr w:type="spellStart"/>
      <w:r w:rsidRPr="00337C85">
        <w:rPr>
          <w:rFonts w:cstheme="minorHAnsi"/>
          <w:szCs w:val="24"/>
        </w:rPr>
        <w:t>Bigi</w:t>
      </w:r>
      <w:proofErr w:type="spellEnd"/>
      <w:r w:rsidRPr="00337C85">
        <w:rPr>
          <w:rFonts w:cstheme="minorHAnsi"/>
          <w:szCs w:val="24"/>
        </w:rPr>
        <w:t>, Président de l'ISCG a remercié le Président du RAG, les représentants des trois Secteurs et tous les participants pour leur soutien.</w:t>
      </w:r>
    </w:p>
    <w:p w14:paraId="76CD8D8F" w14:textId="77777777" w:rsidR="00337C85" w:rsidRPr="00337C85" w:rsidRDefault="00337C85" w:rsidP="00337C85">
      <w:pPr>
        <w:spacing w:after="120"/>
        <w:rPr>
          <w:rFonts w:cstheme="minorHAnsi"/>
          <w:szCs w:val="24"/>
        </w:rPr>
      </w:pPr>
      <w:r w:rsidRPr="00337C85">
        <w:rPr>
          <w:rFonts w:cstheme="minorHAnsi"/>
          <w:szCs w:val="24"/>
        </w:rPr>
        <w:t>Le Président a également remercié le Secrétariat pour son aide dans la préparation de la réunion.</w:t>
      </w:r>
    </w:p>
    <w:p w14:paraId="7A64A27E" w14:textId="77777777" w:rsidR="00337C85" w:rsidRDefault="00337C85">
      <w:pPr>
        <w:tabs>
          <w:tab w:val="clear" w:pos="794"/>
          <w:tab w:val="clear" w:pos="1191"/>
          <w:tab w:val="clear" w:pos="1588"/>
          <w:tab w:val="clear" w:pos="1985"/>
        </w:tabs>
        <w:overflowPunct/>
        <w:autoSpaceDE/>
        <w:autoSpaceDN/>
        <w:adjustRightInd/>
        <w:spacing w:before="0"/>
        <w:textAlignment w:val="auto"/>
        <w:rPr>
          <w:rFonts w:cstheme="minorHAnsi"/>
          <w:szCs w:val="24"/>
        </w:rPr>
      </w:pPr>
      <w:r>
        <w:rPr>
          <w:rFonts w:cstheme="minorHAnsi"/>
          <w:szCs w:val="24"/>
        </w:rPr>
        <w:br w:type="page"/>
      </w:r>
    </w:p>
    <w:p w14:paraId="3A2BDA3C" w14:textId="00C400F0" w:rsidR="00337C85" w:rsidRPr="00337C85" w:rsidRDefault="00337C85" w:rsidP="00337C85">
      <w:pPr>
        <w:spacing w:after="120"/>
        <w:jc w:val="center"/>
        <w:rPr>
          <w:rFonts w:cstheme="minorHAnsi"/>
          <w:b/>
          <w:bCs/>
          <w:szCs w:val="24"/>
        </w:rPr>
      </w:pPr>
      <w:r w:rsidRPr="00337C85">
        <w:rPr>
          <w:rFonts w:cstheme="minorHAnsi"/>
          <w:b/>
          <w:bCs/>
          <w:szCs w:val="24"/>
        </w:rPr>
        <w:t>ANNEXE 1</w:t>
      </w:r>
    </w:p>
    <w:p w14:paraId="3F5FF089" w14:textId="77777777" w:rsidR="00337C85" w:rsidRPr="00337C85" w:rsidRDefault="00337C85" w:rsidP="00337C85">
      <w:pPr>
        <w:tabs>
          <w:tab w:val="center" w:pos="7371"/>
        </w:tabs>
        <w:spacing w:after="120"/>
        <w:jc w:val="center"/>
        <w:rPr>
          <w:rFonts w:cstheme="minorHAnsi"/>
          <w:szCs w:val="24"/>
        </w:rPr>
      </w:pPr>
      <w:r w:rsidRPr="00337C85">
        <w:rPr>
          <w:rFonts w:cstheme="minorHAnsi"/>
          <w:b/>
          <w:bCs/>
          <w:szCs w:val="24"/>
        </w:rPr>
        <w:t>DÉCLARATION DE LIAISON</w:t>
      </w:r>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337C85" w:rsidRPr="00337C85" w14:paraId="62C6FB89" w14:textId="77777777" w:rsidTr="00495327">
        <w:trPr>
          <w:cantSplit/>
          <w:jc w:val="center"/>
        </w:trPr>
        <w:tc>
          <w:tcPr>
            <w:tcW w:w="1418" w:type="dxa"/>
          </w:tcPr>
          <w:p w14:paraId="42510740" w14:textId="77777777" w:rsidR="00337C85" w:rsidRPr="00337C85" w:rsidRDefault="00337C85" w:rsidP="00337C85">
            <w:pPr>
              <w:spacing w:after="120"/>
              <w:rPr>
                <w:rFonts w:cstheme="minorHAnsi"/>
                <w:b/>
                <w:bCs/>
                <w:szCs w:val="24"/>
              </w:rPr>
            </w:pPr>
            <w:proofErr w:type="gramStart"/>
            <w:r w:rsidRPr="00337C85">
              <w:rPr>
                <w:rFonts w:cstheme="minorHAnsi"/>
                <w:b/>
                <w:bCs/>
                <w:szCs w:val="24"/>
              </w:rPr>
              <w:t>Source:</w:t>
            </w:r>
            <w:proofErr w:type="gramEnd"/>
          </w:p>
        </w:tc>
        <w:sdt>
          <w:sdtPr>
            <w:rPr>
              <w:rFonts w:cstheme="minorHAnsi"/>
              <w:szCs w:val="24"/>
            </w:rPr>
            <w:alias w:val="DocumentSource"/>
            <w:tag w:val="DocumentSource"/>
            <w:id w:val="770514636"/>
            <w:placeholder>
              <w:docPart w:val="C0FAC383865E47BE840F392BFA449D14"/>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tcPr>
              <w:p w14:paraId="398FF56C" w14:textId="77777777" w:rsidR="00337C85" w:rsidRPr="00337C85" w:rsidRDefault="00337C85" w:rsidP="00337C85">
                <w:pPr>
                  <w:spacing w:after="120"/>
                  <w:rPr>
                    <w:rFonts w:cstheme="minorHAnsi"/>
                    <w:szCs w:val="24"/>
                  </w:rPr>
                </w:pPr>
                <w:r w:rsidRPr="00337C85">
                  <w:rPr>
                    <w:rFonts w:cstheme="minorHAnsi"/>
                    <w:szCs w:val="24"/>
                  </w:rPr>
                  <w:t>ISCG</w:t>
                </w:r>
              </w:p>
            </w:tc>
          </w:sdtContent>
        </w:sdt>
      </w:tr>
      <w:tr w:rsidR="00337C85" w:rsidRPr="00337C85" w14:paraId="75C37EA2" w14:textId="77777777" w:rsidTr="00495327">
        <w:trPr>
          <w:cantSplit/>
          <w:jc w:val="center"/>
        </w:trPr>
        <w:tc>
          <w:tcPr>
            <w:tcW w:w="1418" w:type="dxa"/>
          </w:tcPr>
          <w:p w14:paraId="06ACA5AB" w14:textId="77777777" w:rsidR="00337C85" w:rsidRPr="00337C85" w:rsidRDefault="00337C85" w:rsidP="00337C85">
            <w:pPr>
              <w:spacing w:after="120"/>
              <w:rPr>
                <w:rFonts w:cstheme="minorHAnsi"/>
                <w:szCs w:val="24"/>
              </w:rPr>
            </w:pPr>
            <w:proofErr w:type="gramStart"/>
            <w:r w:rsidRPr="00337C85">
              <w:rPr>
                <w:rFonts w:cstheme="minorHAnsi"/>
                <w:b/>
                <w:bCs/>
                <w:szCs w:val="24"/>
              </w:rPr>
              <w:t>Titre:</w:t>
            </w:r>
            <w:proofErr w:type="gramEnd"/>
          </w:p>
        </w:tc>
        <w:tc>
          <w:tcPr>
            <w:tcW w:w="8222" w:type="dxa"/>
          </w:tcPr>
          <w:p w14:paraId="285C3E01" w14:textId="77777777" w:rsidR="00337C85" w:rsidRPr="00337C85" w:rsidRDefault="00337C85" w:rsidP="00337C85">
            <w:pPr>
              <w:spacing w:after="120"/>
              <w:rPr>
                <w:rFonts w:cstheme="minorHAnsi"/>
                <w:szCs w:val="24"/>
              </w:rPr>
            </w:pPr>
            <w:r w:rsidRPr="00337C85">
              <w:rPr>
                <w:rFonts w:cstheme="minorHAnsi"/>
                <w:szCs w:val="24"/>
              </w:rPr>
              <w:t>LS sur la gouvernance et la gestion des réunions virtuelles</w:t>
            </w:r>
          </w:p>
        </w:tc>
      </w:tr>
      <w:tr w:rsidR="00337C85" w:rsidRPr="00337C85" w14:paraId="239AB602" w14:textId="77777777" w:rsidTr="00495327">
        <w:trPr>
          <w:cantSplit/>
          <w:jc w:val="center"/>
        </w:trPr>
        <w:tc>
          <w:tcPr>
            <w:tcW w:w="1418" w:type="dxa"/>
          </w:tcPr>
          <w:p w14:paraId="67DDF79F" w14:textId="77777777" w:rsidR="00337C85" w:rsidRPr="00337C85" w:rsidRDefault="00337C85" w:rsidP="00337C85">
            <w:pPr>
              <w:spacing w:after="120"/>
              <w:rPr>
                <w:rFonts w:cstheme="minorHAnsi"/>
                <w:b/>
                <w:bCs/>
                <w:szCs w:val="24"/>
              </w:rPr>
            </w:pPr>
            <w:proofErr w:type="gramStart"/>
            <w:r w:rsidRPr="00337C85">
              <w:rPr>
                <w:rFonts w:cstheme="minorHAnsi"/>
                <w:b/>
                <w:bCs/>
                <w:szCs w:val="24"/>
              </w:rPr>
              <w:t>But:</w:t>
            </w:r>
            <w:proofErr w:type="gramEnd"/>
          </w:p>
        </w:tc>
        <w:tc>
          <w:tcPr>
            <w:tcW w:w="8222" w:type="dxa"/>
          </w:tcPr>
          <w:p w14:paraId="497188D2" w14:textId="77777777" w:rsidR="00337C85" w:rsidRPr="00337C85" w:rsidRDefault="00337C85" w:rsidP="00337C85">
            <w:pPr>
              <w:spacing w:after="120"/>
              <w:rPr>
                <w:rFonts w:cstheme="minorHAnsi"/>
                <w:szCs w:val="24"/>
              </w:rPr>
            </w:pPr>
            <w:r w:rsidRPr="00337C85">
              <w:rPr>
                <w:rFonts w:cstheme="minorHAnsi"/>
                <w:szCs w:val="24"/>
              </w:rPr>
              <w:t>Action</w:t>
            </w:r>
          </w:p>
        </w:tc>
      </w:tr>
    </w:tbl>
    <w:p w14:paraId="01453CC7" w14:textId="78D3C5D2" w:rsidR="00337C85" w:rsidRPr="00337C85" w:rsidRDefault="00337C85" w:rsidP="0097220C">
      <w:pPr>
        <w:pBdr>
          <w:top w:val="single" w:sz="4" w:space="1" w:color="auto"/>
        </w:pBdr>
        <w:tabs>
          <w:tab w:val="clear" w:pos="794"/>
          <w:tab w:val="clear" w:pos="1191"/>
          <w:tab w:val="clear" w:pos="1588"/>
          <w:tab w:val="clear" w:pos="1985"/>
          <w:tab w:val="left" w:pos="2552"/>
        </w:tabs>
        <w:spacing w:after="120"/>
        <w:rPr>
          <w:rFonts w:cstheme="minorHAnsi"/>
          <w:szCs w:val="24"/>
        </w:rPr>
      </w:pPr>
      <w:r w:rsidRPr="00337C85">
        <w:rPr>
          <w:rFonts w:cstheme="minorHAnsi"/>
          <w:b/>
          <w:bCs/>
          <w:szCs w:val="24"/>
        </w:rPr>
        <w:t xml:space="preserve">Pour action auprès de : </w:t>
      </w:r>
      <w:r w:rsidRPr="00337C85">
        <w:rPr>
          <w:rFonts w:cstheme="minorHAnsi"/>
          <w:b/>
          <w:bCs/>
          <w:szCs w:val="24"/>
        </w:rPr>
        <w:tab/>
      </w:r>
      <w:r w:rsidRPr="00337C85">
        <w:rPr>
          <w:rFonts w:cstheme="minorHAnsi"/>
          <w:szCs w:val="24"/>
        </w:rPr>
        <w:t>RAG, TDAG</w:t>
      </w:r>
    </w:p>
    <w:p w14:paraId="58394DCC" w14:textId="7F5FF9C5" w:rsidR="00337C85" w:rsidRPr="00337C85" w:rsidRDefault="00337C85" w:rsidP="0097220C">
      <w:pPr>
        <w:tabs>
          <w:tab w:val="clear" w:pos="794"/>
          <w:tab w:val="clear" w:pos="1191"/>
          <w:tab w:val="clear" w:pos="1588"/>
          <w:tab w:val="clear" w:pos="1985"/>
          <w:tab w:val="left" w:pos="2552"/>
        </w:tabs>
        <w:spacing w:after="120"/>
        <w:rPr>
          <w:rFonts w:cstheme="minorHAnsi"/>
          <w:b/>
          <w:bCs/>
          <w:szCs w:val="24"/>
        </w:rPr>
      </w:pPr>
      <w:r w:rsidRPr="00337C85">
        <w:rPr>
          <w:rFonts w:cstheme="minorHAnsi"/>
          <w:b/>
          <w:bCs/>
          <w:szCs w:val="24"/>
        </w:rPr>
        <w:t xml:space="preserve">Pour commentaire à : </w:t>
      </w:r>
      <w:r w:rsidRPr="00337C85">
        <w:rPr>
          <w:rFonts w:cstheme="minorHAnsi"/>
          <w:b/>
          <w:bCs/>
          <w:szCs w:val="24"/>
        </w:rPr>
        <w:tab/>
      </w:r>
      <w:r w:rsidRPr="00337C85">
        <w:rPr>
          <w:rFonts w:cstheme="minorHAnsi"/>
          <w:szCs w:val="24"/>
        </w:rPr>
        <w:t>-</w:t>
      </w:r>
    </w:p>
    <w:p w14:paraId="296A6B18" w14:textId="4485CB4A" w:rsidR="00337C85" w:rsidRPr="00337C85" w:rsidRDefault="00337C85" w:rsidP="0097220C">
      <w:pPr>
        <w:tabs>
          <w:tab w:val="left" w:pos="2552"/>
        </w:tabs>
        <w:spacing w:after="120"/>
        <w:rPr>
          <w:rFonts w:cstheme="minorHAnsi"/>
          <w:b/>
          <w:bCs/>
          <w:szCs w:val="24"/>
        </w:rPr>
      </w:pPr>
      <w:r w:rsidRPr="00337C85">
        <w:rPr>
          <w:rFonts w:cstheme="minorHAnsi"/>
          <w:b/>
          <w:bCs/>
          <w:szCs w:val="24"/>
        </w:rPr>
        <w:t xml:space="preserve">Pour information à : </w:t>
      </w:r>
      <w:r w:rsidR="0097220C">
        <w:rPr>
          <w:rFonts w:cstheme="minorHAnsi"/>
          <w:b/>
          <w:bCs/>
          <w:szCs w:val="24"/>
        </w:rPr>
        <w:tab/>
      </w:r>
      <w:r w:rsidRPr="00337C85">
        <w:rPr>
          <w:rFonts w:cstheme="minorHAnsi"/>
          <w:szCs w:val="24"/>
        </w:rPr>
        <w:t>TSAG</w:t>
      </w:r>
    </w:p>
    <w:p w14:paraId="729B50CE" w14:textId="4411DD87" w:rsidR="00337C85" w:rsidRPr="00337C85" w:rsidRDefault="00337C85" w:rsidP="0097220C">
      <w:pPr>
        <w:tabs>
          <w:tab w:val="clear" w:pos="794"/>
          <w:tab w:val="clear" w:pos="1191"/>
          <w:tab w:val="clear" w:pos="1588"/>
          <w:tab w:val="clear" w:pos="1985"/>
          <w:tab w:val="left" w:pos="2552"/>
        </w:tabs>
        <w:spacing w:after="120"/>
        <w:rPr>
          <w:rFonts w:cstheme="minorHAnsi"/>
          <w:szCs w:val="24"/>
        </w:rPr>
      </w:pPr>
      <w:r w:rsidRPr="00337C85">
        <w:rPr>
          <w:rFonts w:cstheme="minorHAnsi"/>
          <w:b/>
          <w:bCs/>
          <w:szCs w:val="24"/>
        </w:rPr>
        <w:t xml:space="preserve">Approbation : </w:t>
      </w:r>
      <w:r w:rsidRPr="00337C85">
        <w:rPr>
          <w:rFonts w:cstheme="minorHAnsi"/>
          <w:b/>
          <w:bCs/>
          <w:szCs w:val="24"/>
        </w:rPr>
        <w:tab/>
      </w:r>
      <w:r w:rsidR="00B24C39">
        <w:rPr>
          <w:rFonts w:cstheme="minorHAnsi"/>
          <w:szCs w:val="24"/>
        </w:rPr>
        <w:t>R</w:t>
      </w:r>
      <w:r w:rsidRPr="00337C85">
        <w:rPr>
          <w:rFonts w:cstheme="minorHAnsi"/>
          <w:szCs w:val="24"/>
        </w:rPr>
        <w:t>éunion ISCG (2 mai 2023)</w:t>
      </w:r>
    </w:p>
    <w:p w14:paraId="4B77EDEA" w14:textId="55880620" w:rsidR="00337C85" w:rsidRPr="00337C85" w:rsidRDefault="00337C85" w:rsidP="0097220C">
      <w:pPr>
        <w:tabs>
          <w:tab w:val="clear" w:pos="794"/>
          <w:tab w:val="clear" w:pos="1191"/>
          <w:tab w:val="clear" w:pos="1588"/>
          <w:tab w:val="clear" w:pos="1985"/>
          <w:tab w:val="left" w:pos="2552"/>
        </w:tabs>
        <w:spacing w:after="120"/>
        <w:rPr>
          <w:rFonts w:cstheme="minorHAnsi"/>
          <w:szCs w:val="24"/>
        </w:rPr>
      </w:pPr>
      <w:r w:rsidRPr="00337C85">
        <w:rPr>
          <w:rFonts w:cstheme="minorHAnsi"/>
          <w:b/>
          <w:bCs/>
          <w:szCs w:val="24"/>
        </w:rPr>
        <w:t xml:space="preserve">Date limite : </w:t>
      </w:r>
      <w:r w:rsidRPr="00337C85">
        <w:rPr>
          <w:rFonts w:cstheme="minorHAnsi"/>
          <w:b/>
          <w:bCs/>
          <w:szCs w:val="24"/>
        </w:rPr>
        <w:tab/>
      </w:r>
      <w:r w:rsidRPr="00337C85">
        <w:rPr>
          <w:rFonts w:cstheme="minorHAnsi"/>
          <w:szCs w:val="24"/>
        </w:rPr>
        <w:t>30 septembre 2023</w:t>
      </w:r>
    </w:p>
    <w:tbl>
      <w:tblPr>
        <w:tblW w:w="9935" w:type="dxa"/>
        <w:tblLayout w:type="fixed"/>
        <w:tblCellMar>
          <w:left w:w="57" w:type="dxa"/>
          <w:right w:w="57" w:type="dxa"/>
        </w:tblCellMar>
        <w:tblLook w:val="0000" w:firstRow="0" w:lastRow="0" w:firstColumn="0" w:lastColumn="0" w:noHBand="0" w:noVBand="0"/>
      </w:tblPr>
      <w:tblGrid>
        <w:gridCol w:w="1643"/>
        <w:gridCol w:w="9"/>
        <w:gridCol w:w="4359"/>
        <w:gridCol w:w="3912"/>
        <w:gridCol w:w="12"/>
      </w:tblGrid>
      <w:tr w:rsidR="00337C85" w:rsidRPr="0047681D" w14:paraId="13BDADAB" w14:textId="77777777" w:rsidTr="00337C85">
        <w:trPr>
          <w:gridAfter w:val="1"/>
          <w:wAfter w:w="12" w:type="dxa"/>
          <w:cantSplit/>
          <w:trHeight w:val="204"/>
        </w:trPr>
        <w:tc>
          <w:tcPr>
            <w:tcW w:w="1652" w:type="dxa"/>
            <w:gridSpan w:val="2"/>
            <w:tcBorders>
              <w:top w:val="single" w:sz="12" w:space="0" w:color="auto"/>
              <w:bottom w:val="single" w:sz="4" w:space="0" w:color="auto"/>
            </w:tcBorders>
          </w:tcPr>
          <w:p w14:paraId="52EF063E" w14:textId="77777777" w:rsidR="00337C85" w:rsidRPr="00337C85" w:rsidRDefault="00337C85" w:rsidP="00337C85">
            <w:pPr>
              <w:spacing w:after="120"/>
              <w:rPr>
                <w:rFonts w:cstheme="minorHAnsi"/>
                <w:b/>
                <w:bCs/>
                <w:szCs w:val="24"/>
              </w:rPr>
            </w:pPr>
            <w:proofErr w:type="gramStart"/>
            <w:r w:rsidRPr="00337C85">
              <w:rPr>
                <w:rFonts w:cstheme="minorHAnsi"/>
                <w:b/>
                <w:bCs/>
                <w:szCs w:val="24"/>
              </w:rPr>
              <w:t>Contact:</w:t>
            </w:r>
            <w:proofErr w:type="gramEnd"/>
          </w:p>
        </w:tc>
        <w:tc>
          <w:tcPr>
            <w:tcW w:w="4359" w:type="dxa"/>
            <w:tcBorders>
              <w:top w:val="single" w:sz="12" w:space="0" w:color="auto"/>
              <w:bottom w:val="single" w:sz="4" w:space="0" w:color="auto"/>
            </w:tcBorders>
          </w:tcPr>
          <w:p w14:paraId="36CF695E" w14:textId="77777777" w:rsidR="00337C85" w:rsidRPr="00337C85" w:rsidRDefault="00337C85" w:rsidP="00337C85">
            <w:pPr>
              <w:spacing w:after="120"/>
              <w:rPr>
                <w:rFonts w:cstheme="minorHAnsi"/>
                <w:b/>
                <w:bCs/>
                <w:szCs w:val="24"/>
              </w:rPr>
            </w:pPr>
            <w:r w:rsidRPr="00337C85">
              <w:rPr>
                <w:rFonts w:cstheme="minorHAnsi"/>
                <w:szCs w:val="24"/>
              </w:rPr>
              <w:t xml:space="preserve">Phil Rushton </w:t>
            </w:r>
            <w:r w:rsidRPr="00337C85">
              <w:rPr>
                <w:rFonts w:cstheme="minorHAnsi"/>
                <w:b/>
                <w:bCs/>
                <w:szCs w:val="24"/>
              </w:rPr>
              <w:br/>
            </w:r>
            <w:r w:rsidRPr="007C11CC">
              <w:rPr>
                <w:rFonts w:cstheme="minorHAnsi"/>
                <w:szCs w:val="24"/>
                <w:lang w:val="fr-FR"/>
              </w:rPr>
              <w:t>Représentant du TSAG sur la participation à distance</w:t>
            </w:r>
          </w:p>
        </w:tc>
        <w:tc>
          <w:tcPr>
            <w:tcW w:w="3912" w:type="dxa"/>
            <w:tcBorders>
              <w:top w:val="single" w:sz="12" w:space="0" w:color="auto"/>
              <w:bottom w:val="single" w:sz="4" w:space="0" w:color="auto"/>
            </w:tcBorders>
          </w:tcPr>
          <w:p w14:paraId="713EDD53" w14:textId="31B967A9" w:rsidR="00337C85" w:rsidRPr="00337C85" w:rsidRDefault="00337C85" w:rsidP="00337C85">
            <w:pPr>
              <w:spacing w:after="120"/>
              <w:rPr>
                <w:rFonts w:cstheme="minorHAnsi"/>
                <w:szCs w:val="24"/>
                <w:lang w:val="de-DE"/>
              </w:rPr>
            </w:pPr>
            <w:r w:rsidRPr="00337C85">
              <w:rPr>
                <w:rFonts w:cstheme="minorHAnsi"/>
                <w:b/>
                <w:bCs/>
                <w:szCs w:val="24"/>
                <w:lang w:val="de-DE"/>
              </w:rPr>
              <w:t xml:space="preserve">Courriel : </w:t>
            </w:r>
            <w:hyperlink r:id="rId31" w:history="1">
              <w:r w:rsidRPr="00337C85">
                <w:rPr>
                  <w:rStyle w:val="Hyperlink"/>
                  <w:rFonts w:cstheme="minorHAnsi"/>
                  <w:szCs w:val="24"/>
                  <w:lang w:val="de-DE"/>
                </w:rPr>
                <w:t>philrushton@rcc-uk.uk</w:t>
              </w:r>
            </w:hyperlink>
            <w:r w:rsidRPr="00337C85">
              <w:rPr>
                <w:rFonts w:cstheme="minorHAnsi"/>
                <w:szCs w:val="24"/>
                <w:lang w:val="fr-FR"/>
              </w:rPr>
              <w:t xml:space="preserve"> </w:t>
            </w:r>
            <w:hyperlink r:id="rId32" w:history="1">
              <w:r w:rsidRPr="00941B18">
                <w:rPr>
                  <w:rStyle w:val="Hyperlink"/>
                  <w:rFonts w:cstheme="minorHAnsi"/>
                  <w:szCs w:val="24"/>
                  <w:lang w:val="fr-FR"/>
                </w:rPr>
                <w:t xml:space="preserve">bruce.gracie@ericsson.com </w:t>
              </w:r>
            </w:hyperlink>
            <w:r>
              <w:rPr>
                <w:rFonts w:cstheme="minorHAnsi"/>
                <w:szCs w:val="24"/>
                <w:lang w:val="fr-FR"/>
              </w:rPr>
              <w:br/>
            </w:r>
            <w:hyperlink r:id="rId33" w:history="1">
              <w:r w:rsidRPr="00337C85">
                <w:rPr>
                  <w:rStyle w:val="Hyperlink"/>
                  <w:rFonts w:cstheme="minorHAnsi"/>
                  <w:szCs w:val="24"/>
                  <w:lang w:val="de-DE"/>
                </w:rPr>
                <w:t>iscg@itu.int</w:t>
              </w:r>
            </w:hyperlink>
            <w:r w:rsidRPr="00337C85">
              <w:rPr>
                <w:rFonts w:cstheme="minorHAnsi"/>
                <w:szCs w:val="24"/>
                <w:lang w:val="de-DE"/>
              </w:rPr>
              <w:t xml:space="preserve"> </w:t>
            </w:r>
          </w:p>
        </w:tc>
      </w:tr>
      <w:tr w:rsidR="00337C85" w:rsidRPr="00337C85" w14:paraId="67777CC9" w14:textId="77777777" w:rsidTr="00495327">
        <w:trPr>
          <w:cantSplit/>
          <w:trHeight w:val="489"/>
        </w:trPr>
        <w:tc>
          <w:tcPr>
            <w:tcW w:w="1643" w:type="dxa"/>
          </w:tcPr>
          <w:p w14:paraId="6EBC3DFA" w14:textId="77777777" w:rsidR="00337C85" w:rsidRPr="00337C85" w:rsidRDefault="00337C85" w:rsidP="00337C85">
            <w:pPr>
              <w:spacing w:after="120"/>
              <w:rPr>
                <w:rFonts w:cstheme="minorHAnsi"/>
                <w:b/>
                <w:bCs/>
                <w:szCs w:val="24"/>
              </w:rPr>
            </w:pPr>
            <w:r w:rsidRPr="00337C85">
              <w:rPr>
                <w:rFonts w:cstheme="minorHAnsi"/>
                <w:b/>
                <w:bCs/>
                <w:szCs w:val="24"/>
              </w:rPr>
              <w:t xml:space="preserve">Mots </w:t>
            </w:r>
            <w:proofErr w:type="gramStart"/>
            <w:r w:rsidRPr="00337C85">
              <w:rPr>
                <w:rFonts w:cstheme="minorHAnsi"/>
                <w:b/>
                <w:bCs/>
                <w:szCs w:val="24"/>
              </w:rPr>
              <w:t>clés:</w:t>
            </w:r>
            <w:proofErr w:type="gramEnd"/>
          </w:p>
        </w:tc>
        <w:tc>
          <w:tcPr>
            <w:tcW w:w="8292" w:type="dxa"/>
            <w:gridSpan w:val="4"/>
          </w:tcPr>
          <w:p w14:paraId="46A29D40" w14:textId="024B5181" w:rsidR="00337C85" w:rsidRPr="00337C85" w:rsidRDefault="00B24C39" w:rsidP="00337C85">
            <w:pPr>
              <w:spacing w:after="120"/>
              <w:rPr>
                <w:rFonts w:cstheme="minorHAnsi"/>
                <w:szCs w:val="24"/>
              </w:rPr>
            </w:pPr>
            <w:r>
              <w:rPr>
                <w:rFonts w:cstheme="minorHAnsi"/>
                <w:szCs w:val="24"/>
              </w:rPr>
              <w:t>C</w:t>
            </w:r>
            <w:r w:rsidR="00337C85" w:rsidRPr="00337C85">
              <w:rPr>
                <w:rFonts w:cstheme="minorHAnsi"/>
                <w:szCs w:val="24"/>
              </w:rPr>
              <w:t>oordination intersectorielle ; ISCG, réunions virtuelles, participation à distance.</w:t>
            </w:r>
          </w:p>
        </w:tc>
      </w:tr>
      <w:tr w:rsidR="00337C85" w:rsidRPr="00337C85" w14:paraId="5E94DD6C" w14:textId="77777777" w:rsidTr="00495327">
        <w:trPr>
          <w:cantSplit/>
          <w:trHeight w:val="1094"/>
        </w:trPr>
        <w:tc>
          <w:tcPr>
            <w:tcW w:w="1643" w:type="dxa"/>
          </w:tcPr>
          <w:p w14:paraId="6DFB115E" w14:textId="77777777" w:rsidR="00337C85" w:rsidRPr="00337C85" w:rsidRDefault="00337C85" w:rsidP="00337C85">
            <w:pPr>
              <w:spacing w:after="120"/>
              <w:rPr>
                <w:rFonts w:cstheme="minorHAnsi"/>
                <w:b/>
                <w:bCs/>
                <w:szCs w:val="24"/>
              </w:rPr>
            </w:pPr>
            <w:proofErr w:type="gramStart"/>
            <w:r w:rsidRPr="00337C85">
              <w:rPr>
                <w:rFonts w:cstheme="minorHAnsi"/>
                <w:b/>
                <w:bCs/>
                <w:szCs w:val="24"/>
              </w:rPr>
              <w:t>Abstrait:</w:t>
            </w:r>
            <w:proofErr w:type="gramEnd"/>
          </w:p>
        </w:tc>
        <w:tc>
          <w:tcPr>
            <w:tcW w:w="8292" w:type="dxa"/>
            <w:gridSpan w:val="4"/>
          </w:tcPr>
          <w:p w14:paraId="53D647FF" w14:textId="77777777" w:rsidR="00337C85" w:rsidRPr="00337C85" w:rsidRDefault="00337C85" w:rsidP="00337C85">
            <w:pPr>
              <w:spacing w:after="120"/>
              <w:rPr>
                <w:rFonts w:cstheme="minorHAnsi"/>
                <w:szCs w:val="24"/>
              </w:rPr>
            </w:pPr>
            <w:r w:rsidRPr="00337C85">
              <w:rPr>
                <w:rFonts w:cstheme="minorHAnsi"/>
                <w:szCs w:val="24"/>
              </w:rPr>
              <w:t>L'ISCG présente des informations sur les réunions virtuelles et demande aux groupes consultatifs des secteurs de partager leurs procédures pour la gestion de ces réunions.</w:t>
            </w:r>
          </w:p>
        </w:tc>
      </w:tr>
    </w:tbl>
    <w:p w14:paraId="53EAB2D2" w14:textId="70C3A713" w:rsidR="00337C85" w:rsidRPr="00337C85" w:rsidRDefault="00337C85" w:rsidP="00337C85">
      <w:pPr>
        <w:spacing w:after="120"/>
        <w:rPr>
          <w:rFonts w:cstheme="minorHAnsi"/>
          <w:szCs w:val="24"/>
        </w:rPr>
      </w:pPr>
      <w:r w:rsidRPr="00337C85">
        <w:rPr>
          <w:rFonts w:cstheme="minorHAnsi"/>
          <w:szCs w:val="24"/>
        </w:rPr>
        <w:t xml:space="preserve">Le Groupe de coordination intersectoriel (ISCG) sur les questions d'intérêt commun souhaite porter à l'attention des Groupes consultatifs des radiocommunications (RAG) et du Groupe consultatif pour le développement des télécommunications (GCDT) le document </w:t>
      </w:r>
      <w:hyperlink r:id="rId34" w:history="1">
        <w:r w:rsidRPr="00B24C39">
          <w:rPr>
            <w:rStyle w:val="Hyperlink"/>
            <w:rFonts w:cstheme="minorHAnsi"/>
            <w:szCs w:val="24"/>
          </w:rPr>
          <w:t>ISCG/23-1/04</w:t>
        </w:r>
      </w:hyperlink>
      <w:r w:rsidRPr="00337C85">
        <w:rPr>
          <w:rFonts w:cstheme="minorHAnsi"/>
          <w:szCs w:val="24"/>
        </w:rPr>
        <w:t xml:space="preserve"> présenté, </w:t>
      </w:r>
      <w:r w:rsidRPr="00B24C39">
        <w:rPr>
          <w:rFonts w:cstheme="minorHAnsi"/>
          <w:szCs w:val="24"/>
        </w:rPr>
        <w:t xml:space="preserve">par </w:t>
      </w:r>
      <w:r w:rsidRPr="00337C85">
        <w:rPr>
          <w:rFonts w:cstheme="minorHAnsi"/>
          <w:szCs w:val="24"/>
        </w:rPr>
        <w:t>le Représentant du Groupe consultatif sur la normalisation des télécommunications (GCNT) sur la participation à distance, à la réunion de l'ISCG du 2 mai 2023.</w:t>
      </w:r>
    </w:p>
    <w:p w14:paraId="6DDAFA41" w14:textId="77777777" w:rsidR="00337C85" w:rsidRPr="00337C85" w:rsidRDefault="00337C85" w:rsidP="00337C85">
      <w:pPr>
        <w:spacing w:after="120"/>
        <w:rPr>
          <w:rFonts w:cstheme="minorHAnsi"/>
          <w:szCs w:val="24"/>
        </w:rPr>
      </w:pPr>
      <w:r w:rsidRPr="00337C85">
        <w:rPr>
          <w:rFonts w:cstheme="minorHAnsi"/>
          <w:szCs w:val="24"/>
        </w:rPr>
        <w:t xml:space="preserve">L'ISCG souhaite également partager avec le RAG et le TDAG le Supplément 4 révisé aux Recommandations de la série A de l'UIT-T, </w:t>
      </w:r>
      <w:hyperlink r:id="rId35" w:history="1">
        <w:r w:rsidRPr="00337C85">
          <w:rPr>
            <w:rStyle w:val="Hyperlink"/>
            <w:rFonts w:cstheme="minorHAnsi"/>
            <w:szCs w:val="24"/>
          </w:rPr>
          <w:t xml:space="preserve">Supplément sur les lignes directrices pour la participation à distance </w:t>
        </w:r>
      </w:hyperlink>
      <w:r w:rsidRPr="00337C85">
        <w:rPr>
          <w:rFonts w:cstheme="minorHAnsi"/>
          <w:szCs w:val="24"/>
        </w:rPr>
        <w:t>.</w:t>
      </w:r>
    </w:p>
    <w:p w14:paraId="04BF72E6" w14:textId="1CED7605" w:rsidR="00337C85" w:rsidRPr="00337C85" w:rsidRDefault="00337C85" w:rsidP="00337C85">
      <w:pPr>
        <w:spacing w:after="120"/>
        <w:rPr>
          <w:rFonts w:cstheme="minorHAnsi"/>
          <w:szCs w:val="24"/>
        </w:rPr>
      </w:pPr>
      <w:r w:rsidRPr="00337C85">
        <w:rPr>
          <w:rFonts w:cstheme="minorHAnsi"/>
          <w:szCs w:val="24"/>
        </w:rPr>
        <w:t>L'ISCG invite RAG et TDAG à partager les règles qu'ils ont sur la gouvernance et la gestion des réunions virtuelles pour essayer d'identifier une meilleure pratique commune convenue à fournir au Conseil de l'UIT pour les aider dans leurs délibérations, comme indiqué dans la PP-Résolution 167 (Rév. Bucarest, 2022), pour développer une approche commune à l'échelle de l'Union à plus long terme.</w:t>
      </w:r>
    </w:p>
    <w:p w14:paraId="3FA78898" w14:textId="77777777" w:rsidR="00337C85" w:rsidRPr="00337C85" w:rsidRDefault="00337C85" w:rsidP="00337C85">
      <w:pPr>
        <w:tabs>
          <w:tab w:val="left" w:pos="0"/>
        </w:tabs>
        <w:spacing w:after="120"/>
        <w:rPr>
          <w:rFonts w:cstheme="minorHAnsi"/>
          <w:szCs w:val="24"/>
        </w:rPr>
      </w:pPr>
      <w:r w:rsidRPr="00337C85">
        <w:rPr>
          <w:rFonts w:cstheme="minorHAnsi"/>
          <w:szCs w:val="24"/>
        </w:rPr>
        <w:t>Dans l'attente de recevoir vos commentaires, l'ISCG remercie RAG et TDAG pour sa collaboration et ses contributions.</w:t>
      </w:r>
    </w:p>
    <w:p w14:paraId="7759C759" w14:textId="11008BBA" w:rsidR="00821996" w:rsidRDefault="003C58BF" w:rsidP="00C053DE">
      <w:pPr>
        <w:tabs>
          <w:tab w:val="clear" w:pos="794"/>
          <w:tab w:val="clear" w:pos="1191"/>
          <w:tab w:val="clear" w:pos="1588"/>
          <w:tab w:val="clear" w:pos="1985"/>
        </w:tabs>
        <w:spacing w:after="120"/>
        <w:jc w:val="center"/>
      </w:pPr>
      <w:r>
        <w:t>_______________</w:t>
      </w:r>
    </w:p>
    <w:sectPr w:rsidR="00821996" w:rsidSect="00473791">
      <w:headerReference w:type="default" r:id="rId36"/>
      <w:footerReference w:type="first" r:id="rId37"/>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4497A" w14:textId="77777777" w:rsidR="00DA25D2" w:rsidRDefault="00DA25D2">
      <w:r>
        <w:separator/>
      </w:r>
    </w:p>
  </w:endnote>
  <w:endnote w:type="continuationSeparator" w:id="0">
    <w:p w14:paraId="47E7D672" w14:textId="77777777" w:rsidR="00DA25D2" w:rsidRDefault="00DA2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B6DF2" w14:textId="77777777" w:rsidR="00337C85" w:rsidRPr="00337C85" w:rsidRDefault="00337C85" w:rsidP="00337C85">
    <w:pPr>
      <w:spacing w:before="0"/>
      <w:rPr>
        <w:sz w:val="18"/>
        <w:szCs w:val="14"/>
      </w:rPr>
    </w:pPr>
  </w:p>
  <w:tbl>
    <w:tblPr>
      <w:tblW w:w="9923" w:type="dxa"/>
      <w:tblLayout w:type="fixed"/>
      <w:tblLook w:val="04A0" w:firstRow="1" w:lastRow="0" w:firstColumn="1" w:lastColumn="0" w:noHBand="0" w:noVBand="1"/>
    </w:tblPr>
    <w:tblGrid>
      <w:gridCol w:w="1526"/>
      <w:gridCol w:w="2410"/>
      <w:gridCol w:w="5987"/>
    </w:tblGrid>
    <w:tr w:rsidR="0059420B" w:rsidRPr="004D495C" w14:paraId="695D1810" w14:textId="77777777" w:rsidTr="004E3CF5">
      <w:tc>
        <w:tcPr>
          <w:tcW w:w="1526" w:type="dxa"/>
          <w:tcBorders>
            <w:top w:val="single" w:sz="4" w:space="0" w:color="000000"/>
          </w:tcBorders>
          <w:shd w:val="clear" w:color="auto" w:fill="auto"/>
        </w:tcPr>
        <w:p w14:paraId="746E5A61" w14:textId="77777777" w:rsidR="0059420B" w:rsidRPr="004D495C" w:rsidRDefault="0059420B" w:rsidP="0059420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77777777" w:rsidR="0059420B" w:rsidRPr="004D495C" w:rsidRDefault="0059420B" w:rsidP="0059420B">
          <w:pPr>
            <w:pStyle w:val="FirstFooter"/>
            <w:tabs>
              <w:tab w:val="left" w:pos="2302"/>
            </w:tabs>
            <w:ind w:left="2302" w:hanging="2302"/>
            <w:rPr>
              <w:sz w:val="18"/>
              <w:szCs w:val="18"/>
              <w:lang w:val="en-US"/>
            </w:rPr>
          </w:pPr>
          <w:r w:rsidRPr="004D495C">
            <w:rPr>
              <w:sz w:val="18"/>
              <w:szCs w:val="18"/>
              <w:lang w:val="en-US"/>
            </w:rPr>
            <w:t>Nom/</w:t>
          </w:r>
          <w:proofErr w:type="spellStart"/>
          <w:r w:rsidRPr="004D495C">
            <w:rPr>
              <w:sz w:val="18"/>
              <w:szCs w:val="18"/>
              <w:lang w:val="en-US"/>
            </w:rPr>
            <w:t>Organisation</w:t>
          </w:r>
          <w:proofErr w:type="spellEnd"/>
          <w:r w:rsidRPr="004D495C">
            <w:rPr>
              <w:sz w:val="18"/>
              <w:szCs w:val="18"/>
              <w:lang w:val="en-US"/>
            </w:rPr>
            <w:t>/</w:t>
          </w:r>
          <w:proofErr w:type="spellStart"/>
          <w:proofErr w:type="gramStart"/>
          <w:r w:rsidRPr="004D495C">
            <w:rPr>
              <w:sz w:val="18"/>
              <w:szCs w:val="18"/>
              <w:lang w:val="en-US"/>
            </w:rPr>
            <w:t>Entité</w:t>
          </w:r>
          <w:proofErr w:type="spellEnd"/>
          <w:r w:rsidRPr="004D495C">
            <w:rPr>
              <w:sz w:val="18"/>
              <w:szCs w:val="18"/>
              <w:lang w:val="en-US"/>
            </w:rPr>
            <w:t> :</w:t>
          </w:r>
          <w:proofErr w:type="gramEnd"/>
        </w:p>
      </w:tc>
      <w:tc>
        <w:tcPr>
          <w:tcW w:w="5987" w:type="dxa"/>
          <w:tcBorders>
            <w:top w:val="single" w:sz="4" w:space="0" w:color="000000"/>
          </w:tcBorders>
        </w:tcPr>
        <w:p w14:paraId="148264AE" w14:textId="67DF8ABB" w:rsidR="0059420B" w:rsidRPr="007C11CC" w:rsidRDefault="00077DC0" w:rsidP="0059420B">
          <w:pPr>
            <w:pStyle w:val="FirstFooter"/>
            <w:tabs>
              <w:tab w:val="left" w:pos="2302"/>
            </w:tabs>
            <w:rPr>
              <w:sz w:val="18"/>
              <w:szCs w:val="18"/>
              <w:lang w:val="fr-FR"/>
            </w:rPr>
          </w:pPr>
          <w:r w:rsidRPr="007C11CC">
            <w:rPr>
              <w:sz w:val="18"/>
              <w:szCs w:val="18"/>
              <w:lang w:val="fr-FR"/>
            </w:rPr>
            <w:t xml:space="preserve">M. Fabio </w:t>
          </w:r>
          <w:proofErr w:type="spellStart"/>
          <w:proofErr w:type="gramStart"/>
          <w:r w:rsidRPr="007C11CC">
            <w:rPr>
              <w:sz w:val="18"/>
              <w:szCs w:val="18"/>
              <w:lang w:val="fr-FR"/>
            </w:rPr>
            <w:t>Bigi</w:t>
          </w:r>
          <w:proofErr w:type="spellEnd"/>
          <w:r w:rsidRPr="007C11CC">
            <w:rPr>
              <w:sz w:val="18"/>
              <w:szCs w:val="18"/>
              <w:lang w:val="fr-FR"/>
            </w:rPr>
            <w:t xml:space="preserve"> ,</w:t>
          </w:r>
          <w:proofErr w:type="gramEnd"/>
          <w:r w:rsidRPr="007C11CC">
            <w:rPr>
              <w:sz w:val="18"/>
              <w:szCs w:val="18"/>
              <w:lang w:val="fr-FR"/>
            </w:rPr>
            <w:t xml:space="preserve"> Président de l'ISCG, Italie</w:t>
          </w:r>
        </w:p>
      </w:tc>
      <w:bookmarkStart w:id="10" w:name="OrgName"/>
      <w:bookmarkEnd w:id="10"/>
    </w:tr>
    <w:tr w:rsidR="0059420B" w:rsidRPr="004D495C" w14:paraId="61167678" w14:textId="77777777" w:rsidTr="004E3CF5">
      <w:tc>
        <w:tcPr>
          <w:tcW w:w="1526" w:type="dxa"/>
          <w:shd w:val="clear" w:color="auto" w:fill="auto"/>
        </w:tcPr>
        <w:p w14:paraId="33710823" w14:textId="77777777" w:rsidR="0059420B" w:rsidRPr="007C11CC" w:rsidRDefault="0059420B" w:rsidP="0059420B">
          <w:pPr>
            <w:pStyle w:val="FirstFooter"/>
            <w:tabs>
              <w:tab w:val="left" w:pos="1559"/>
              <w:tab w:val="left" w:pos="3828"/>
            </w:tabs>
            <w:rPr>
              <w:sz w:val="20"/>
              <w:lang w:val="fr-FR"/>
            </w:rPr>
          </w:pPr>
        </w:p>
      </w:tc>
      <w:tc>
        <w:tcPr>
          <w:tcW w:w="2410" w:type="dxa"/>
          <w:shd w:val="clear" w:color="auto" w:fill="auto"/>
        </w:tcPr>
        <w:p w14:paraId="1251F6E4" w14:textId="77777777" w:rsidR="0059420B" w:rsidRPr="004D495C" w:rsidRDefault="0059420B" w:rsidP="0059420B">
          <w:pPr>
            <w:pStyle w:val="FirstFooter"/>
            <w:tabs>
              <w:tab w:val="left" w:pos="2302"/>
            </w:tabs>
            <w:rPr>
              <w:sz w:val="18"/>
              <w:szCs w:val="18"/>
              <w:lang w:val="en-US"/>
            </w:rPr>
          </w:pPr>
          <w:proofErr w:type="spellStart"/>
          <w:r w:rsidRPr="004D495C">
            <w:rPr>
              <w:sz w:val="18"/>
              <w:szCs w:val="18"/>
              <w:lang w:val="en-US"/>
            </w:rPr>
            <w:t>Numéro</w:t>
          </w:r>
          <w:proofErr w:type="spellEnd"/>
          <w:r w:rsidRPr="004D495C">
            <w:rPr>
              <w:sz w:val="18"/>
              <w:szCs w:val="18"/>
              <w:lang w:val="en-US"/>
            </w:rPr>
            <w:t xml:space="preserve"> de </w:t>
          </w:r>
          <w:proofErr w:type="spellStart"/>
          <w:r w:rsidRPr="004D495C">
            <w:rPr>
              <w:sz w:val="18"/>
              <w:szCs w:val="18"/>
              <w:lang w:val="en-US"/>
            </w:rPr>
            <w:t>téléphone</w:t>
          </w:r>
          <w:proofErr w:type="spellEnd"/>
          <w:r w:rsidRPr="004D495C">
            <w:rPr>
              <w:sz w:val="18"/>
              <w:szCs w:val="18"/>
              <w:lang w:val="en-US"/>
            </w:rPr>
            <w:t>:</w:t>
          </w:r>
        </w:p>
      </w:tc>
      <w:tc>
        <w:tcPr>
          <w:tcW w:w="5987" w:type="dxa"/>
        </w:tcPr>
        <w:p w14:paraId="6D7949F0" w14:textId="2CE7DD78" w:rsidR="0059420B" w:rsidRPr="00AF7A97" w:rsidRDefault="00077DC0" w:rsidP="0059420B">
          <w:pPr>
            <w:pStyle w:val="FirstFooter"/>
            <w:tabs>
              <w:tab w:val="left" w:pos="2302"/>
            </w:tabs>
            <w:rPr>
              <w:sz w:val="18"/>
              <w:szCs w:val="18"/>
              <w:lang w:val="en-US"/>
            </w:rPr>
          </w:pPr>
          <w:r>
            <w:rPr>
              <w:sz w:val="18"/>
              <w:szCs w:val="18"/>
              <w:lang w:val="en-US"/>
            </w:rPr>
            <w:t>n / A</w:t>
          </w:r>
        </w:p>
      </w:tc>
      <w:bookmarkStart w:id="11" w:name="PhoneNo"/>
      <w:bookmarkEnd w:id="11"/>
    </w:tr>
    <w:tr w:rsidR="0059420B" w:rsidRPr="004D495C" w14:paraId="0299A231" w14:textId="77777777" w:rsidTr="004E3CF5">
      <w:tc>
        <w:tcPr>
          <w:tcW w:w="1526" w:type="dxa"/>
          <w:shd w:val="clear" w:color="auto" w:fill="auto"/>
        </w:tcPr>
        <w:p w14:paraId="35CBC438"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5335E06" w14:textId="77777777" w:rsidR="0059420B" w:rsidRPr="004D495C" w:rsidRDefault="0059420B" w:rsidP="0059420B">
          <w:pPr>
            <w:pStyle w:val="FirstFooter"/>
            <w:tabs>
              <w:tab w:val="left" w:pos="2302"/>
            </w:tabs>
            <w:rPr>
              <w:sz w:val="18"/>
              <w:szCs w:val="18"/>
              <w:lang w:val="en-US"/>
            </w:rPr>
          </w:pPr>
          <w:r w:rsidRPr="004D495C">
            <w:rPr>
              <w:sz w:val="18"/>
              <w:szCs w:val="18"/>
              <w:lang w:val="en-US"/>
            </w:rPr>
            <w:t>E-mail:</w:t>
          </w:r>
        </w:p>
      </w:tc>
      <w:tc>
        <w:tcPr>
          <w:tcW w:w="5987" w:type="dxa"/>
        </w:tcPr>
        <w:p w14:paraId="7EAB0988" w14:textId="7A2D2770" w:rsidR="0059420B" w:rsidRPr="00AF7A97" w:rsidRDefault="007C6238" w:rsidP="0059420B">
          <w:pPr>
            <w:pStyle w:val="FirstFooter"/>
            <w:tabs>
              <w:tab w:val="left" w:pos="2302"/>
            </w:tabs>
            <w:rPr>
              <w:sz w:val="18"/>
              <w:szCs w:val="18"/>
              <w:lang w:val="en-US"/>
            </w:rPr>
          </w:pPr>
          <w:hyperlink r:id="rId1" w:history="1">
            <w:r w:rsidR="00C053DE" w:rsidRPr="00D87DB8">
              <w:rPr>
                <w:rStyle w:val="Hyperlink"/>
                <w:sz w:val="18"/>
                <w:szCs w:val="18"/>
                <w:lang w:val="en-US"/>
              </w:rPr>
              <w:t>fabio.bigi@virgilio.it</w:t>
            </w:r>
          </w:hyperlink>
          <w:r w:rsidR="00C053DE">
            <w:rPr>
              <w:sz w:val="18"/>
              <w:szCs w:val="18"/>
              <w:lang w:val="en-US"/>
            </w:rPr>
            <w:t xml:space="preserve"> </w:t>
          </w:r>
        </w:p>
      </w:tc>
      <w:bookmarkStart w:id="12" w:name="Email"/>
      <w:bookmarkEnd w:id="12"/>
    </w:tr>
  </w:tbl>
  <w:p w14:paraId="5AEFE7F9" w14:textId="77777777" w:rsidR="0059420B" w:rsidRDefault="0059420B" w:rsidP="00B80157">
    <w:pPr>
      <w:pStyle w:val="Footer"/>
      <w:jc w:val="center"/>
      <w:rPr>
        <w:lang w:val="en-GB"/>
      </w:rPr>
    </w:pPr>
  </w:p>
  <w:p w14:paraId="40A321D0" w14:textId="77777777" w:rsidR="00721657" w:rsidRPr="0059420B" w:rsidRDefault="007C6238" w:rsidP="00B80157">
    <w:pPr>
      <w:pStyle w:val="Footer"/>
      <w:jc w:val="center"/>
      <w:rPr>
        <w:lang w:val="en-GB"/>
      </w:rPr>
    </w:pPr>
    <w:hyperlink r:id="rId2" w:history="1">
      <w:r w:rsidR="008B47C7">
        <w:rPr>
          <w:rStyle w:val="Hyperlink"/>
          <w:caps w:val="0"/>
          <w:noProof w:val="0"/>
          <w:sz w:val="18"/>
          <w:szCs w:val="18"/>
          <w:lang w:val="en-US"/>
        </w:rPr>
        <w:t>GCDT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F1DA4" w14:textId="77777777" w:rsidR="00DA25D2" w:rsidRDefault="00DA25D2">
      <w:r>
        <w:t>____________________</w:t>
      </w:r>
    </w:p>
  </w:footnote>
  <w:footnote w:type="continuationSeparator" w:id="0">
    <w:p w14:paraId="400A4919" w14:textId="77777777" w:rsidR="00DA25D2" w:rsidRDefault="00DA2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28E6B0E3" w:rsidR="00721657" w:rsidRPr="0047681D" w:rsidRDefault="0047681D" w:rsidP="0047681D">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TDAG-23/9(Rév.1)-F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6B27"/>
    <w:multiLevelType w:val="hybridMultilevel"/>
    <w:tmpl w:val="F8349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20319"/>
    <w:multiLevelType w:val="hybridMultilevel"/>
    <w:tmpl w:val="E43A2EA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8F5223"/>
    <w:multiLevelType w:val="hybridMultilevel"/>
    <w:tmpl w:val="7E04F950"/>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D40DA"/>
    <w:multiLevelType w:val="hybridMultilevel"/>
    <w:tmpl w:val="60447AA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6C6B8E"/>
    <w:multiLevelType w:val="hybridMultilevel"/>
    <w:tmpl w:val="DC487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7646FA"/>
    <w:multiLevelType w:val="multilevel"/>
    <w:tmpl w:val="3198DFD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3D0EE1"/>
    <w:multiLevelType w:val="hybridMultilevel"/>
    <w:tmpl w:val="735AA0D6"/>
    <w:lvl w:ilvl="0" w:tplc="6FA8E6B6">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B0C4F"/>
    <w:multiLevelType w:val="multilevel"/>
    <w:tmpl w:val="F8C437C8"/>
    <w:lvl w:ilvl="0">
      <w:start w:val="2"/>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D596373"/>
    <w:multiLevelType w:val="multilevel"/>
    <w:tmpl w:val="6B40D1DC"/>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61C0358"/>
    <w:multiLevelType w:val="hybridMultilevel"/>
    <w:tmpl w:val="E3B41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1" w15:restartNumberingAfterBreak="0">
    <w:nsid w:val="6D3E344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1"/>
  </w:num>
  <w:num w:numId="3">
    <w:abstractNumId w:val="3"/>
  </w:num>
  <w:num w:numId="4">
    <w:abstractNumId w:val="6"/>
  </w:num>
  <w:num w:numId="5">
    <w:abstractNumId w:val="0"/>
  </w:num>
  <w:num w:numId="6">
    <w:abstractNumId w:val="1"/>
  </w:num>
  <w:num w:numId="7">
    <w:abstractNumId w:val="8"/>
  </w:num>
  <w:num w:numId="8">
    <w:abstractNumId w:val="5"/>
  </w:num>
  <w:num w:numId="9">
    <w:abstractNumId w:val="9"/>
  </w:num>
  <w:num w:numId="10">
    <w:abstractNumId w:val="4"/>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0224"/>
    <w:rsid w:val="00002716"/>
    <w:rsid w:val="00003C43"/>
    <w:rsid w:val="00005791"/>
    <w:rsid w:val="0000586A"/>
    <w:rsid w:val="00010827"/>
    <w:rsid w:val="00015089"/>
    <w:rsid w:val="0002520B"/>
    <w:rsid w:val="00037A9E"/>
    <w:rsid w:val="00037F91"/>
    <w:rsid w:val="000539F1"/>
    <w:rsid w:val="00054747"/>
    <w:rsid w:val="00054C85"/>
    <w:rsid w:val="00055A2A"/>
    <w:rsid w:val="000615C1"/>
    <w:rsid w:val="00061675"/>
    <w:rsid w:val="000743AA"/>
    <w:rsid w:val="00076FCD"/>
    <w:rsid w:val="00077DC0"/>
    <w:rsid w:val="0009076F"/>
    <w:rsid w:val="0009225C"/>
    <w:rsid w:val="000A17C4"/>
    <w:rsid w:val="000A23DD"/>
    <w:rsid w:val="000A36A4"/>
    <w:rsid w:val="000A5AD8"/>
    <w:rsid w:val="000B2352"/>
    <w:rsid w:val="000B32B2"/>
    <w:rsid w:val="000C7B84"/>
    <w:rsid w:val="000D261B"/>
    <w:rsid w:val="000D58A3"/>
    <w:rsid w:val="000D5936"/>
    <w:rsid w:val="000E3ED4"/>
    <w:rsid w:val="000E3F9C"/>
    <w:rsid w:val="000F1550"/>
    <w:rsid w:val="000F1E5E"/>
    <w:rsid w:val="000F251B"/>
    <w:rsid w:val="000F5FE8"/>
    <w:rsid w:val="000F6644"/>
    <w:rsid w:val="00100833"/>
    <w:rsid w:val="00102F72"/>
    <w:rsid w:val="00107E85"/>
    <w:rsid w:val="0011197A"/>
    <w:rsid w:val="001120D3"/>
    <w:rsid w:val="00113EE8"/>
    <w:rsid w:val="0011455A"/>
    <w:rsid w:val="00114A65"/>
    <w:rsid w:val="00123D25"/>
    <w:rsid w:val="00133061"/>
    <w:rsid w:val="0013590E"/>
    <w:rsid w:val="00141699"/>
    <w:rsid w:val="00147000"/>
    <w:rsid w:val="00163091"/>
    <w:rsid w:val="001645CB"/>
    <w:rsid w:val="00166305"/>
    <w:rsid w:val="00167545"/>
    <w:rsid w:val="001703C6"/>
    <w:rsid w:val="0017052D"/>
    <w:rsid w:val="001726CF"/>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B602F"/>
    <w:rsid w:val="001C3444"/>
    <w:rsid w:val="001C3702"/>
    <w:rsid w:val="001C4656"/>
    <w:rsid w:val="001C46BC"/>
    <w:rsid w:val="001D1E06"/>
    <w:rsid w:val="001F23E6"/>
    <w:rsid w:val="001F4238"/>
    <w:rsid w:val="00200A38"/>
    <w:rsid w:val="00200A46"/>
    <w:rsid w:val="00211B6F"/>
    <w:rsid w:val="002125B4"/>
    <w:rsid w:val="00217CC3"/>
    <w:rsid w:val="00220AB6"/>
    <w:rsid w:val="0022120F"/>
    <w:rsid w:val="0022348E"/>
    <w:rsid w:val="0022754A"/>
    <w:rsid w:val="0023633C"/>
    <w:rsid w:val="00236560"/>
    <w:rsid w:val="0023662E"/>
    <w:rsid w:val="00245D0F"/>
    <w:rsid w:val="002548C3"/>
    <w:rsid w:val="00257ACD"/>
    <w:rsid w:val="00262908"/>
    <w:rsid w:val="002650F4"/>
    <w:rsid w:val="002715FD"/>
    <w:rsid w:val="0027683C"/>
    <w:rsid w:val="002770B1"/>
    <w:rsid w:val="00285B33"/>
    <w:rsid w:val="00287A3C"/>
    <w:rsid w:val="002A2FC6"/>
    <w:rsid w:val="002C1EC7"/>
    <w:rsid w:val="002C3015"/>
    <w:rsid w:val="002C34AF"/>
    <w:rsid w:val="002C4342"/>
    <w:rsid w:val="002C7EA3"/>
    <w:rsid w:val="002D20AE"/>
    <w:rsid w:val="002D3134"/>
    <w:rsid w:val="002D6C61"/>
    <w:rsid w:val="002E2104"/>
    <w:rsid w:val="002E2DAC"/>
    <w:rsid w:val="002E6963"/>
    <w:rsid w:val="002E6F8F"/>
    <w:rsid w:val="002F05D8"/>
    <w:rsid w:val="002F2DE0"/>
    <w:rsid w:val="002F5E25"/>
    <w:rsid w:val="0030353C"/>
    <w:rsid w:val="00305B53"/>
    <w:rsid w:val="003125C3"/>
    <w:rsid w:val="00312AE6"/>
    <w:rsid w:val="00317D1A"/>
    <w:rsid w:val="003211FF"/>
    <w:rsid w:val="003242AB"/>
    <w:rsid w:val="00325EC3"/>
    <w:rsid w:val="00326815"/>
    <w:rsid w:val="00327247"/>
    <w:rsid w:val="00327A9D"/>
    <w:rsid w:val="0033130E"/>
    <w:rsid w:val="0033269C"/>
    <w:rsid w:val="00337C85"/>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C7215"/>
    <w:rsid w:val="003D451D"/>
    <w:rsid w:val="003F2DD8"/>
    <w:rsid w:val="003F3F2D"/>
    <w:rsid w:val="003F4B51"/>
    <w:rsid w:val="003F50B2"/>
    <w:rsid w:val="00400CCF"/>
    <w:rsid w:val="00401BFF"/>
    <w:rsid w:val="00404424"/>
    <w:rsid w:val="004079F6"/>
    <w:rsid w:val="0041156B"/>
    <w:rsid w:val="004122C5"/>
    <w:rsid w:val="00413B78"/>
    <w:rsid w:val="004147BE"/>
    <w:rsid w:val="00416DDE"/>
    <w:rsid w:val="0044411E"/>
    <w:rsid w:val="004444D0"/>
    <w:rsid w:val="00453435"/>
    <w:rsid w:val="00460089"/>
    <w:rsid w:val="00466398"/>
    <w:rsid w:val="0047306D"/>
    <w:rsid w:val="0047317F"/>
    <w:rsid w:val="00473791"/>
    <w:rsid w:val="0047681D"/>
    <w:rsid w:val="00476E48"/>
    <w:rsid w:val="004779D8"/>
    <w:rsid w:val="00481DE9"/>
    <w:rsid w:val="0049128B"/>
    <w:rsid w:val="00493B49"/>
    <w:rsid w:val="00495501"/>
    <w:rsid w:val="004A070A"/>
    <w:rsid w:val="004A320E"/>
    <w:rsid w:val="004A4E9C"/>
    <w:rsid w:val="004B1A3C"/>
    <w:rsid w:val="004C363D"/>
    <w:rsid w:val="004C5A77"/>
    <w:rsid w:val="004D2CC3"/>
    <w:rsid w:val="004D35CB"/>
    <w:rsid w:val="004D6BCF"/>
    <w:rsid w:val="004D7DAB"/>
    <w:rsid w:val="004E20E5"/>
    <w:rsid w:val="004E64EA"/>
    <w:rsid w:val="004E7828"/>
    <w:rsid w:val="004F2120"/>
    <w:rsid w:val="004F46AA"/>
    <w:rsid w:val="004F6A70"/>
    <w:rsid w:val="00500AD7"/>
    <w:rsid w:val="00502ABF"/>
    <w:rsid w:val="00504DB0"/>
    <w:rsid w:val="00507C35"/>
    <w:rsid w:val="00510735"/>
    <w:rsid w:val="00514D2F"/>
    <w:rsid w:val="00521722"/>
    <w:rsid w:val="00525B5A"/>
    <w:rsid w:val="0054420E"/>
    <w:rsid w:val="00544D1B"/>
    <w:rsid w:val="00545DC0"/>
    <w:rsid w:val="00545F6C"/>
    <w:rsid w:val="005477D9"/>
    <w:rsid w:val="0055720C"/>
    <w:rsid w:val="00561796"/>
    <w:rsid w:val="005632DD"/>
    <w:rsid w:val="0056423B"/>
    <w:rsid w:val="00573424"/>
    <w:rsid w:val="0057402F"/>
    <w:rsid w:val="00581653"/>
    <w:rsid w:val="00583485"/>
    <w:rsid w:val="005835A8"/>
    <w:rsid w:val="005849D6"/>
    <w:rsid w:val="00585367"/>
    <w:rsid w:val="005871A1"/>
    <w:rsid w:val="0058737E"/>
    <w:rsid w:val="00592518"/>
    <w:rsid w:val="00592E87"/>
    <w:rsid w:val="0059420B"/>
    <w:rsid w:val="00594C4D"/>
    <w:rsid w:val="005A33B0"/>
    <w:rsid w:val="005C0402"/>
    <w:rsid w:val="005C2DC2"/>
    <w:rsid w:val="005C304A"/>
    <w:rsid w:val="005C3D69"/>
    <w:rsid w:val="005C5962"/>
    <w:rsid w:val="005C5A93"/>
    <w:rsid w:val="005C7C98"/>
    <w:rsid w:val="005D2C3A"/>
    <w:rsid w:val="005D3E37"/>
    <w:rsid w:val="005D55A4"/>
    <w:rsid w:val="005D57C8"/>
    <w:rsid w:val="005D7761"/>
    <w:rsid w:val="005E0278"/>
    <w:rsid w:val="005E090D"/>
    <w:rsid w:val="005E3CA0"/>
    <w:rsid w:val="005E44B1"/>
    <w:rsid w:val="005E67B0"/>
    <w:rsid w:val="005E7047"/>
    <w:rsid w:val="005E777F"/>
    <w:rsid w:val="005F1CA7"/>
    <w:rsid w:val="005F43DD"/>
    <w:rsid w:val="005F478E"/>
    <w:rsid w:val="005F51A9"/>
    <w:rsid w:val="005F6BE1"/>
    <w:rsid w:val="005F7416"/>
    <w:rsid w:val="00600C11"/>
    <w:rsid w:val="00606B89"/>
    <w:rsid w:val="00611EAF"/>
    <w:rsid w:val="00613C0E"/>
    <w:rsid w:val="00623F30"/>
    <w:rsid w:val="00625FB8"/>
    <w:rsid w:val="006261BD"/>
    <w:rsid w:val="0063348D"/>
    <w:rsid w:val="00635EDB"/>
    <w:rsid w:val="00643BDC"/>
    <w:rsid w:val="0064734E"/>
    <w:rsid w:val="00650137"/>
    <w:rsid w:val="006509D7"/>
    <w:rsid w:val="00651CE8"/>
    <w:rsid w:val="0065521B"/>
    <w:rsid w:val="00665539"/>
    <w:rsid w:val="00671EF6"/>
    <w:rsid w:val="0067205B"/>
    <w:rsid w:val="006748F8"/>
    <w:rsid w:val="00677964"/>
    <w:rsid w:val="00680489"/>
    <w:rsid w:val="00683C32"/>
    <w:rsid w:val="00690BB2"/>
    <w:rsid w:val="00693D09"/>
    <w:rsid w:val="00697F0B"/>
    <w:rsid w:val="006A6549"/>
    <w:rsid w:val="006A7710"/>
    <w:rsid w:val="006A7A61"/>
    <w:rsid w:val="006B1E59"/>
    <w:rsid w:val="006B2FFB"/>
    <w:rsid w:val="006C10A2"/>
    <w:rsid w:val="006C1F18"/>
    <w:rsid w:val="006D40D5"/>
    <w:rsid w:val="006D64F9"/>
    <w:rsid w:val="006F009A"/>
    <w:rsid w:val="006F1BC7"/>
    <w:rsid w:val="006F3D93"/>
    <w:rsid w:val="006F521F"/>
    <w:rsid w:val="007019B1"/>
    <w:rsid w:val="00706778"/>
    <w:rsid w:val="00711AF4"/>
    <w:rsid w:val="00721657"/>
    <w:rsid w:val="007279A8"/>
    <w:rsid w:val="00727B1A"/>
    <w:rsid w:val="00735E3E"/>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0717"/>
    <w:rsid w:val="007C11CC"/>
    <w:rsid w:val="007C27FC"/>
    <w:rsid w:val="007C51FF"/>
    <w:rsid w:val="007C6238"/>
    <w:rsid w:val="007D50E4"/>
    <w:rsid w:val="007E2DC5"/>
    <w:rsid w:val="007F1CC7"/>
    <w:rsid w:val="008027AC"/>
    <w:rsid w:val="008028CE"/>
    <w:rsid w:val="0080332E"/>
    <w:rsid w:val="008141E0"/>
    <w:rsid w:val="00816EE1"/>
    <w:rsid w:val="00816F88"/>
    <w:rsid w:val="00821996"/>
    <w:rsid w:val="00822323"/>
    <w:rsid w:val="008271CB"/>
    <w:rsid w:val="00827BC6"/>
    <w:rsid w:val="008300AD"/>
    <w:rsid w:val="00833024"/>
    <w:rsid w:val="008419B1"/>
    <w:rsid w:val="00844A56"/>
    <w:rsid w:val="00845B11"/>
    <w:rsid w:val="008471FB"/>
    <w:rsid w:val="00852081"/>
    <w:rsid w:val="00853624"/>
    <w:rsid w:val="00861E97"/>
    <w:rsid w:val="00872B6E"/>
    <w:rsid w:val="00874DFD"/>
    <w:rsid w:val="008802F9"/>
    <w:rsid w:val="00880C83"/>
    <w:rsid w:val="00883081"/>
    <w:rsid w:val="00883086"/>
    <w:rsid w:val="008879FD"/>
    <w:rsid w:val="00894C37"/>
    <w:rsid w:val="008A00EA"/>
    <w:rsid w:val="008A3F93"/>
    <w:rsid w:val="008A6236"/>
    <w:rsid w:val="008A6E1C"/>
    <w:rsid w:val="008A72FD"/>
    <w:rsid w:val="008B2EDF"/>
    <w:rsid w:val="008B47C7"/>
    <w:rsid w:val="008B54CB"/>
    <w:rsid w:val="008B5A3D"/>
    <w:rsid w:val="008C322F"/>
    <w:rsid w:val="008C4010"/>
    <w:rsid w:val="008C4FDF"/>
    <w:rsid w:val="008C6B1F"/>
    <w:rsid w:val="008D081C"/>
    <w:rsid w:val="008D5E4F"/>
    <w:rsid w:val="008E34F0"/>
    <w:rsid w:val="008E48D3"/>
    <w:rsid w:val="008F14F5"/>
    <w:rsid w:val="008F1A7C"/>
    <w:rsid w:val="008F4DC8"/>
    <w:rsid w:val="008F71C1"/>
    <w:rsid w:val="009018C0"/>
    <w:rsid w:val="00902D41"/>
    <w:rsid w:val="00902F49"/>
    <w:rsid w:val="00904230"/>
    <w:rsid w:val="00914004"/>
    <w:rsid w:val="00922EC1"/>
    <w:rsid w:val="00923CF1"/>
    <w:rsid w:val="009301F1"/>
    <w:rsid w:val="009307DF"/>
    <w:rsid w:val="009359B8"/>
    <w:rsid w:val="00935FF0"/>
    <w:rsid w:val="009431F8"/>
    <w:rsid w:val="00947A35"/>
    <w:rsid w:val="0096201B"/>
    <w:rsid w:val="00962081"/>
    <w:rsid w:val="00966CB5"/>
    <w:rsid w:val="0097220C"/>
    <w:rsid w:val="00975786"/>
    <w:rsid w:val="00981CB7"/>
    <w:rsid w:val="00983E1F"/>
    <w:rsid w:val="00993F46"/>
    <w:rsid w:val="00995B12"/>
    <w:rsid w:val="00997358"/>
    <w:rsid w:val="009A452B"/>
    <w:rsid w:val="009B050C"/>
    <w:rsid w:val="009B087F"/>
    <w:rsid w:val="009B2AF4"/>
    <w:rsid w:val="009C110B"/>
    <w:rsid w:val="009C5441"/>
    <w:rsid w:val="009D119F"/>
    <w:rsid w:val="009D49A2"/>
    <w:rsid w:val="009F3940"/>
    <w:rsid w:val="009F3EB2"/>
    <w:rsid w:val="009F6EB1"/>
    <w:rsid w:val="00A11B3B"/>
    <w:rsid w:val="00A11D05"/>
    <w:rsid w:val="00A130A9"/>
    <w:rsid w:val="00A13162"/>
    <w:rsid w:val="00A20267"/>
    <w:rsid w:val="00A219E9"/>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C7772"/>
    <w:rsid w:val="00AD324F"/>
    <w:rsid w:val="00AD4677"/>
    <w:rsid w:val="00AE1057"/>
    <w:rsid w:val="00AE5961"/>
    <w:rsid w:val="00AF0745"/>
    <w:rsid w:val="00AF43C9"/>
    <w:rsid w:val="00AF4971"/>
    <w:rsid w:val="00AF5276"/>
    <w:rsid w:val="00AF7C86"/>
    <w:rsid w:val="00B01046"/>
    <w:rsid w:val="00B13942"/>
    <w:rsid w:val="00B2149F"/>
    <w:rsid w:val="00B24C39"/>
    <w:rsid w:val="00B310F9"/>
    <w:rsid w:val="00B37866"/>
    <w:rsid w:val="00B412FB"/>
    <w:rsid w:val="00B41D1A"/>
    <w:rsid w:val="00B44C9A"/>
    <w:rsid w:val="00B455BB"/>
    <w:rsid w:val="00B4576B"/>
    <w:rsid w:val="00B46350"/>
    <w:rsid w:val="00B46DF3"/>
    <w:rsid w:val="00B648C7"/>
    <w:rsid w:val="00B66E8F"/>
    <w:rsid w:val="00B80157"/>
    <w:rsid w:val="00B83D5E"/>
    <w:rsid w:val="00B8460A"/>
    <w:rsid w:val="00B8650D"/>
    <w:rsid w:val="00B879B4"/>
    <w:rsid w:val="00B90F07"/>
    <w:rsid w:val="00B97BB9"/>
    <w:rsid w:val="00BA0009"/>
    <w:rsid w:val="00BA28CB"/>
    <w:rsid w:val="00BA55BA"/>
    <w:rsid w:val="00BB02B5"/>
    <w:rsid w:val="00BB1863"/>
    <w:rsid w:val="00BB25EE"/>
    <w:rsid w:val="00BB363A"/>
    <w:rsid w:val="00BC10A0"/>
    <w:rsid w:val="00BC7BA2"/>
    <w:rsid w:val="00BD1E2E"/>
    <w:rsid w:val="00BD426B"/>
    <w:rsid w:val="00BD79F0"/>
    <w:rsid w:val="00BE02AA"/>
    <w:rsid w:val="00BE2B4D"/>
    <w:rsid w:val="00C015F8"/>
    <w:rsid w:val="00C02C2A"/>
    <w:rsid w:val="00C053DE"/>
    <w:rsid w:val="00C0752E"/>
    <w:rsid w:val="00C07E26"/>
    <w:rsid w:val="00C1011C"/>
    <w:rsid w:val="00C12953"/>
    <w:rsid w:val="00C12F94"/>
    <w:rsid w:val="00C177C5"/>
    <w:rsid w:val="00C34EC3"/>
    <w:rsid w:val="00C4038C"/>
    <w:rsid w:val="00C42BA2"/>
    <w:rsid w:val="00C44066"/>
    <w:rsid w:val="00C44D45"/>
    <w:rsid w:val="00C44E13"/>
    <w:rsid w:val="00C60A41"/>
    <w:rsid w:val="00C62DE8"/>
    <w:rsid w:val="00C62DFB"/>
    <w:rsid w:val="00C630E6"/>
    <w:rsid w:val="00C63812"/>
    <w:rsid w:val="00C64AF3"/>
    <w:rsid w:val="00C66F4D"/>
    <w:rsid w:val="00C67BB5"/>
    <w:rsid w:val="00C711A7"/>
    <w:rsid w:val="00C72713"/>
    <w:rsid w:val="00C848EF"/>
    <w:rsid w:val="00C86600"/>
    <w:rsid w:val="00C87BCA"/>
    <w:rsid w:val="00C87EED"/>
    <w:rsid w:val="00C94506"/>
    <w:rsid w:val="00C954BC"/>
    <w:rsid w:val="00C967D7"/>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0C72"/>
    <w:rsid w:val="00D013EE"/>
    <w:rsid w:val="00D01F54"/>
    <w:rsid w:val="00D040F7"/>
    <w:rsid w:val="00D04A76"/>
    <w:rsid w:val="00D10FC7"/>
    <w:rsid w:val="00D1519F"/>
    <w:rsid w:val="00D16EC2"/>
    <w:rsid w:val="00D20E99"/>
    <w:rsid w:val="00D21C83"/>
    <w:rsid w:val="00D35BDD"/>
    <w:rsid w:val="00D35E4C"/>
    <w:rsid w:val="00D63006"/>
    <w:rsid w:val="00D65F3E"/>
    <w:rsid w:val="00D71F6D"/>
    <w:rsid w:val="00D72301"/>
    <w:rsid w:val="00D911DE"/>
    <w:rsid w:val="00D91B97"/>
    <w:rsid w:val="00D93ACC"/>
    <w:rsid w:val="00D93C08"/>
    <w:rsid w:val="00D95DAC"/>
    <w:rsid w:val="00DA0B53"/>
    <w:rsid w:val="00DA14B7"/>
    <w:rsid w:val="00DA25D2"/>
    <w:rsid w:val="00DA42DF"/>
    <w:rsid w:val="00DB1171"/>
    <w:rsid w:val="00DB1519"/>
    <w:rsid w:val="00DB274D"/>
    <w:rsid w:val="00DB2840"/>
    <w:rsid w:val="00DC1BD3"/>
    <w:rsid w:val="00DC2C1A"/>
    <w:rsid w:val="00DD66B4"/>
    <w:rsid w:val="00DE1972"/>
    <w:rsid w:val="00DE27AB"/>
    <w:rsid w:val="00DF2AB3"/>
    <w:rsid w:val="00DF7250"/>
    <w:rsid w:val="00E00CAA"/>
    <w:rsid w:val="00E03EBF"/>
    <w:rsid w:val="00E05209"/>
    <w:rsid w:val="00E05AC1"/>
    <w:rsid w:val="00E0633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717BA"/>
    <w:rsid w:val="00E83810"/>
    <w:rsid w:val="00E86933"/>
    <w:rsid w:val="00E9605B"/>
    <w:rsid w:val="00E97298"/>
    <w:rsid w:val="00E97753"/>
    <w:rsid w:val="00EA0C51"/>
    <w:rsid w:val="00EA7DE7"/>
    <w:rsid w:val="00EB7A8A"/>
    <w:rsid w:val="00EC01FE"/>
    <w:rsid w:val="00EC6FED"/>
    <w:rsid w:val="00EC7F3B"/>
    <w:rsid w:val="00ED5299"/>
    <w:rsid w:val="00EE3A64"/>
    <w:rsid w:val="00EE50E5"/>
    <w:rsid w:val="00EF01CF"/>
    <w:rsid w:val="00EF2157"/>
    <w:rsid w:val="00F00B21"/>
    <w:rsid w:val="00F03590"/>
    <w:rsid w:val="00F03622"/>
    <w:rsid w:val="00F077FD"/>
    <w:rsid w:val="00F204F3"/>
    <w:rsid w:val="00F218AB"/>
    <w:rsid w:val="00F238B3"/>
    <w:rsid w:val="00F24FED"/>
    <w:rsid w:val="00F25586"/>
    <w:rsid w:val="00F2651D"/>
    <w:rsid w:val="00F27362"/>
    <w:rsid w:val="00F31498"/>
    <w:rsid w:val="00F32FEF"/>
    <w:rsid w:val="00F34FFE"/>
    <w:rsid w:val="00F41B1C"/>
    <w:rsid w:val="00F42E13"/>
    <w:rsid w:val="00F42F1C"/>
    <w:rsid w:val="00F43B44"/>
    <w:rsid w:val="00F440E5"/>
    <w:rsid w:val="00F448F6"/>
    <w:rsid w:val="00F52741"/>
    <w:rsid w:val="00F53D8A"/>
    <w:rsid w:val="00F56E56"/>
    <w:rsid w:val="00F626F7"/>
    <w:rsid w:val="00F736F9"/>
    <w:rsid w:val="00F73833"/>
    <w:rsid w:val="00F75D63"/>
    <w:rsid w:val="00F9211C"/>
    <w:rsid w:val="00FA095D"/>
    <w:rsid w:val="00FA6C8B"/>
    <w:rsid w:val="00FA6CDA"/>
    <w:rsid w:val="00FA7C89"/>
    <w:rsid w:val="00FB4139"/>
    <w:rsid w:val="00FB476E"/>
    <w:rsid w:val="00FC0D90"/>
    <w:rsid w:val="00FC2EF9"/>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 w:eastAsia="en-US"/>
    </w:rPr>
  </w:style>
  <w:style w:type="character" w:customStyle="1" w:styleId="FooterChar">
    <w:name w:val="Footer Char"/>
    <w:basedOn w:val="DefaultParagraphFont"/>
    <w:link w:val="Footer"/>
    <w:rsid w:val="0056423B"/>
    <w:rPr>
      <w:rFonts w:ascii="Times New Roman" w:hAnsi="Times New Roman"/>
      <w:caps/>
      <w:noProof/>
      <w:sz w:val="16"/>
      <w:lang w:val="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超链接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eastAsia="en-US"/>
    </w:rPr>
  </w:style>
  <w:style w:type="paragraph" w:styleId="ListParagraph">
    <w:name w:val="List Paragraph"/>
    <w:aliases w:val="Recommendation,List Paragraph11,O5,Para_sk,Resume Title,- Bullets"/>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rsid w:val="00B44C9A"/>
    <w:rPr>
      <w:rFonts w:asciiTheme="minorHAnsi" w:hAnsiTheme="minorHAnsi"/>
      <w:sz w:val="24"/>
      <w:lang w:val="fr" w:eastAsia="en-US"/>
    </w:rPr>
  </w:style>
  <w:style w:type="character" w:styleId="UnresolvedMention">
    <w:name w:val="Unresolved Mention"/>
    <w:basedOn w:val="DefaultParagraphFont"/>
    <w:uiPriority w:val="99"/>
    <w:semiHidden/>
    <w:unhideWhenUsed/>
    <w:rsid w:val="00076FCD"/>
    <w:rPr>
      <w:color w:val="605E5C"/>
      <w:shd w:val="clear" w:color="auto" w:fill="E1DFDD"/>
    </w:rPr>
  </w:style>
  <w:style w:type="paragraph" w:styleId="BalloonText">
    <w:name w:val="Balloon Text"/>
    <w:basedOn w:val="Normal"/>
    <w:link w:val="BalloonTextChar"/>
    <w:semiHidden/>
    <w:unhideWhenUsed/>
    <w:rsid w:val="00337C8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37C85"/>
    <w:rPr>
      <w:rFonts w:ascii="Segoe UI" w:hAnsi="Segoe UI" w:cs="Segoe UI"/>
      <w:sz w:val="18"/>
      <w:szCs w:val="18"/>
      <w:lang w:val="fr" w:eastAsia="en-US"/>
    </w:rPr>
  </w:style>
  <w:style w:type="character" w:customStyle="1" w:styleId="Title1Char">
    <w:name w:val="Title 1 Char"/>
    <w:link w:val="Title1"/>
    <w:qFormat/>
    <w:locked/>
    <w:rsid w:val="00337C85"/>
    <w:rPr>
      <w:rFonts w:asciiTheme="minorHAnsi" w:hAnsiTheme="minorHAnsi" w:cs="Times New Roman Bold"/>
      <w:sz w:val="28"/>
      <w:lang w:val="fr" w:eastAsia="en-US"/>
    </w:rPr>
  </w:style>
  <w:style w:type="paragraph" w:customStyle="1" w:styleId="default-style">
    <w:name w:val="default-style"/>
    <w:basedOn w:val="Normal"/>
    <w:rsid w:val="00337C8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2023/DEC-005-E.pdf" TargetMode="External"/><Relationship Id="rId18" Type="http://schemas.openxmlformats.org/officeDocument/2006/relationships/hyperlink" Target="https://www.itu.int/en/general-secretariat/ties/ISCGDocumentLibrary/1st%20Meeting%202023/Mapping-of-resolutions-Updated%20Oct2022.pdf" TargetMode="External"/><Relationship Id="rId26" Type="http://schemas.openxmlformats.org/officeDocument/2006/relationships/hyperlink" Target="https://www.itu.int/en/general-secretariat/ties/ISCGDocumentLibrary/1st%20Meeting%202023/Kenya-ATDI-Contribution%20ISCG%2023-1.docx" TargetMode="External"/><Relationship Id="rId39" Type="http://schemas.openxmlformats.org/officeDocument/2006/relationships/glossaryDocument" Target="glossary/document.xml"/><Relationship Id="rId21" Type="http://schemas.openxmlformats.org/officeDocument/2006/relationships/hyperlink" Target="https://www.itu.int/en/general-secretariat/ties/ISCGDocumentLibrary/1st%20Meeting%202023/ITU-R%20Focal%20Point-Contribution%20ISCG%2023-1.docx" TargetMode="External"/><Relationship Id="rId34" Type="http://schemas.openxmlformats.org/officeDocument/2006/relationships/hyperlink" Target="https://www.itu.int/en/general-secretariat/ties/ISCGDocumentLibrary/1st%20Meeting%202023/Virtual%20meetings-Contribution%20ISCG%2023-1.docx" TargetMode="External"/><Relationship Id="rId7" Type="http://schemas.openxmlformats.org/officeDocument/2006/relationships/settings" Target="settings.xml"/><Relationship Id="rId12" Type="http://schemas.openxmlformats.org/officeDocument/2006/relationships/hyperlink" Target="https://www.itu.int/en/council/Documents/basic-texts-2023/RES-191-E.pdf" TargetMode="External"/><Relationship Id="rId17" Type="http://schemas.openxmlformats.org/officeDocument/2006/relationships/hyperlink" Target="https://www.itu.int/en/general-secretariat/ties/ISCGDocumentLibrary/1st%20Meeting%202023/Resolution%20191-Rev%20Bucharest%202022-E.pdf" TargetMode="External"/><Relationship Id="rId25" Type="http://schemas.openxmlformats.org/officeDocument/2006/relationships/hyperlink" Target="https://www.itu.int/en/general-secretariat/ties/ISCGDocumentLibrary/1st%20Meeting%202023/Russian%20Fed-Contribution%20ISCG%2023-1-R1.docx" TargetMode="External"/><Relationship Id="rId33" Type="http://schemas.openxmlformats.org/officeDocument/2006/relationships/hyperlink" Target="mailto:iscg@itu.in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en/general-secretariat/Pages/ISCG/default.aspx" TargetMode="External"/><Relationship Id="rId20" Type="http://schemas.openxmlformats.org/officeDocument/2006/relationships/hyperlink" Target="https://www.itu.int/en/general-secretariat/ties/ISCGDocumentLibrary/1st%20Meeting%202023/ITU-R%20Focal%20Point-Contribution%20ISCG%2023-1.docx" TargetMode="External"/><Relationship Id="rId29" Type="http://schemas.openxmlformats.org/officeDocument/2006/relationships/hyperlink" Target="https://www.itu.int/en/general-secretariat/ties/ISCGDocumentLibrary/Liaisons%20Statements%20on%20Inter-Sectoral%20Coordination%20Activities/Table%20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en/general-secretariat/ties/ISCGDocumentLibrary/1st%20Meeting%202023/sp17-tsag-oLS-00003.docx" TargetMode="External"/><Relationship Id="rId32" Type="http://schemas.openxmlformats.org/officeDocument/2006/relationships/hyperlink" Target="mailto:bruce.gracie@ericsson.com"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en/general-secretariat/ties/ISCGDocumentLibrary/1st%20Meeting%202023/List%20of%20Participants.docx" TargetMode="External"/><Relationship Id="rId23" Type="http://schemas.openxmlformats.org/officeDocument/2006/relationships/hyperlink" Target="https://www.itu.int/en/general-secretariat/ties/ISCGDocumentLibrary/1st%20Meeting%202023/Virtual%20meetings-Contribution%20ISCG%2023-1.docx" TargetMode="External"/><Relationship Id="rId28" Type="http://schemas.openxmlformats.org/officeDocument/2006/relationships/hyperlink" Target="https://www.itu.int/en/general-secretariat/ties/ISCGDocumentLibrary/1st%20Meeting%202023/Mapping-of-resolutions-Updated%20Oct2022.pdf"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en/general-secretariat/ties/ISCGDocumentLibrary/1st%20Meeting%202023/Climate%20change.docx" TargetMode="External"/><Relationship Id="rId31" Type="http://schemas.openxmlformats.org/officeDocument/2006/relationships/hyperlink" Target="mailto:philrushton@rcc-uk.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general-secretariat/ties/ISCGDocumentLibrary/1st%20Meeting%202023/ISCG-23-1-01-E-Agenda-R1.docx" TargetMode="External"/><Relationship Id="rId22" Type="http://schemas.openxmlformats.org/officeDocument/2006/relationships/hyperlink" Target="https://www.itu.int/en/general-secretariat/ties/ISCGDocumentLibrary/1st%20Meeting%202023/Accessibility.docx" TargetMode="External"/><Relationship Id="rId27" Type="http://schemas.openxmlformats.org/officeDocument/2006/relationships/hyperlink" Target="https://www.itu.int/en/general-secretariat/Pages/ISCG/Terms-of-reference-for-IST.aspx" TargetMode="External"/><Relationship Id="rId30" Type="http://schemas.openxmlformats.org/officeDocument/2006/relationships/hyperlink" Target="https://www.itu.int/en/general-secretariat/ties/ISCGDocumentLibrary/Liaisons%20Statements%20on%20Inter-Sectoral%20Coordination%20Activities/Table%202.pdf" TargetMode="External"/><Relationship Id="rId35" Type="http://schemas.openxmlformats.org/officeDocument/2006/relationships/hyperlink" Target="https://www.itu.int/rec/T-REC-A.Sup4-202212-I"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fabio.bigi@virgilio.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0FAC383865E47BE840F392BFA449D14"/>
        <w:category>
          <w:name w:val="General"/>
          <w:gallery w:val="placeholder"/>
        </w:category>
        <w:types>
          <w:type w:val="bbPlcHdr"/>
        </w:types>
        <w:behaviors>
          <w:behavior w:val="content"/>
        </w:behaviors>
        <w:guid w:val="{B5349837-B49E-4B1F-9A3D-7556646F2AFE}"/>
      </w:docPartPr>
      <w:docPartBody>
        <w:p w:rsidR="00EF0FD4" w:rsidRDefault="003F5449" w:rsidP="003F5449">
          <w:pPr>
            <w:pStyle w:val="C0FAC383865E47BE840F392BFA449D14"/>
          </w:pPr>
          <w:r w:rsidRPr="00543D41">
            <w:rPr>
              <w:rStyle w:val="PlaceholderText"/>
              <w:highlight w:val="yellow"/>
            </w:rPr>
            <w:t>Insérer la ou les sources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449"/>
    <w:rsid w:val="003F5449"/>
    <w:rsid w:val="00EF0F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5449"/>
    <w:rPr>
      <w:rFonts w:ascii="Times New Roman" w:hAnsi="Times New Roman"/>
      <w:color w:val="808080"/>
    </w:rPr>
  </w:style>
  <w:style w:type="paragraph" w:customStyle="1" w:styleId="C0FAC383865E47BE840F392BFA449D14">
    <w:name w:val="C0FAC383865E47BE840F392BFA449D14"/>
    <w:rsid w:val="003F54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F1051-3405-47E2-AAA7-40BEBB14C7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B63D95-8596-4898-95E7-B6BB108DC17A}">
  <ds:schemaRefs>
    <ds:schemaRef ds:uri="http://schemas.microsoft.com/sharepoint/v3/contenttype/forms"/>
  </ds:schemaRefs>
</ds:datastoreItem>
</file>

<file path=customXml/itemProps3.xml><?xml version="1.0" encoding="utf-8"?>
<ds:datastoreItem xmlns:ds="http://schemas.openxmlformats.org/officeDocument/2006/customXml" ds:itemID="{04DD0D8D-2475-411F-9E73-B0A73EEB2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9E1C28-9894-4291-ADAB-62CAFC643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2216</Words>
  <Characters>14939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14</cp:revision>
  <cp:lastPrinted>2014-11-04T09:22:00Z</cp:lastPrinted>
  <dcterms:created xsi:type="dcterms:W3CDTF">2023-06-22T07:53:00Z</dcterms:created>
  <dcterms:modified xsi:type="dcterms:W3CDTF">2023-06-22T08:27:00Z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