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47681D" w14:paraId="3D1F146B" w14:textId="77777777" w:rsidTr="000B3035">
        <w:trPr>
          <w:cantSplit/>
          <w:trHeight w:val="1134"/>
        </w:trPr>
        <w:tc>
          <w:tcPr>
            <w:tcW w:w="6379" w:type="dxa"/>
          </w:tcPr>
          <w:p w14:paraId="3AC83012" w14:textId="77777777" w:rsidR="0047681D" w:rsidRDefault="0047681D" w:rsidP="000B303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CE8EBAC" w14:textId="77777777" w:rsidR="0047681D" w:rsidRPr="00844A56" w:rsidRDefault="0047681D" w:rsidP="000B3035">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7EA5E3BF" w14:textId="77777777" w:rsidR="0047681D" w:rsidRPr="00683C32" w:rsidRDefault="0047681D" w:rsidP="000B3035">
            <w:pPr>
              <w:spacing w:after="120"/>
              <w:ind w:right="142"/>
              <w:jc w:val="right"/>
            </w:pPr>
            <w:r>
              <w:rPr>
                <w:noProof/>
                <w:lang w:val="fr-FR" w:eastAsia="fr-FR"/>
              </w:rPr>
              <w:drawing>
                <wp:inline distT="0" distB="0" distL="0" distR="0" wp14:anchorId="35C2B7E3" wp14:editId="0A155E4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7681D" w:rsidRPr="00997358" w14:paraId="00CB629B" w14:textId="77777777" w:rsidTr="000B3035">
        <w:trPr>
          <w:cantSplit/>
        </w:trPr>
        <w:tc>
          <w:tcPr>
            <w:tcW w:w="6379" w:type="dxa"/>
            <w:tcBorders>
              <w:top w:val="single" w:sz="12" w:space="0" w:color="auto"/>
            </w:tcBorders>
          </w:tcPr>
          <w:p w14:paraId="6C5F146D" w14:textId="77777777" w:rsidR="0047681D" w:rsidRPr="00997358" w:rsidRDefault="0047681D" w:rsidP="000B3035">
            <w:pPr>
              <w:spacing w:before="0"/>
              <w:rPr>
                <w:rFonts w:cs="Arial"/>
                <w:b/>
                <w:bCs/>
                <w:sz w:val="20"/>
              </w:rPr>
            </w:pPr>
          </w:p>
        </w:tc>
        <w:tc>
          <w:tcPr>
            <w:tcW w:w="3509" w:type="dxa"/>
            <w:tcBorders>
              <w:top w:val="single" w:sz="12" w:space="0" w:color="auto"/>
            </w:tcBorders>
          </w:tcPr>
          <w:p w14:paraId="169F8559" w14:textId="5537E7F7" w:rsidR="0047681D" w:rsidRPr="00997358" w:rsidRDefault="0047681D" w:rsidP="000B3035">
            <w:pPr>
              <w:spacing w:before="0"/>
              <w:rPr>
                <w:b/>
                <w:bCs/>
                <w:sz w:val="20"/>
              </w:rPr>
            </w:pPr>
            <w:r w:rsidRPr="0047681D">
              <w:rPr>
                <w:b/>
                <w:bCs/>
                <w:szCs w:val="24"/>
              </w:rPr>
              <w:t>Revision 1 to</w:t>
            </w:r>
          </w:p>
        </w:tc>
      </w:tr>
      <w:tr w:rsidR="0047681D" w:rsidRPr="00002716" w14:paraId="1CB55A3C" w14:textId="77777777" w:rsidTr="000B3035">
        <w:trPr>
          <w:cantSplit/>
        </w:trPr>
        <w:tc>
          <w:tcPr>
            <w:tcW w:w="6379" w:type="dxa"/>
          </w:tcPr>
          <w:p w14:paraId="15927B6D" w14:textId="77777777" w:rsidR="0047681D" w:rsidRPr="007F1CC7" w:rsidRDefault="0047681D" w:rsidP="000B3035">
            <w:pPr>
              <w:pStyle w:val="Committee"/>
              <w:spacing w:before="0"/>
              <w:rPr>
                <w:b w:val="0"/>
                <w:szCs w:val="24"/>
              </w:rPr>
            </w:pPr>
          </w:p>
        </w:tc>
        <w:tc>
          <w:tcPr>
            <w:tcW w:w="3509" w:type="dxa"/>
          </w:tcPr>
          <w:p w14:paraId="2F95B108" w14:textId="77777777" w:rsidR="0047681D" w:rsidRPr="007F1CC7" w:rsidRDefault="0047681D" w:rsidP="000B3035">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TDAG-2</w:t>
            </w:r>
            <w:bookmarkStart w:id="1" w:name="DocNo1"/>
            <w:bookmarkEnd w:id="1"/>
            <w:r>
              <w:rPr>
                <w:b/>
                <w:bCs/>
                <w:lang w:val="en-US"/>
              </w:rPr>
              <w:t>3/9-E</w:t>
            </w:r>
          </w:p>
        </w:tc>
      </w:tr>
      <w:tr w:rsidR="0047681D" w14:paraId="55B23DAF" w14:textId="77777777" w:rsidTr="000B3035">
        <w:trPr>
          <w:cantSplit/>
        </w:trPr>
        <w:tc>
          <w:tcPr>
            <w:tcW w:w="6379" w:type="dxa"/>
          </w:tcPr>
          <w:p w14:paraId="74537537" w14:textId="77777777" w:rsidR="0047681D" w:rsidRPr="007F1CC7" w:rsidRDefault="0047681D" w:rsidP="000B3035">
            <w:pPr>
              <w:spacing w:before="0"/>
              <w:rPr>
                <w:b/>
                <w:bCs/>
                <w:smallCaps/>
                <w:szCs w:val="24"/>
                <w:lang w:val="en-US"/>
              </w:rPr>
            </w:pPr>
          </w:p>
        </w:tc>
        <w:tc>
          <w:tcPr>
            <w:tcW w:w="3509" w:type="dxa"/>
          </w:tcPr>
          <w:p w14:paraId="40C4B721" w14:textId="0F41A621" w:rsidR="0047681D" w:rsidRPr="007F1CC7" w:rsidRDefault="0047681D" w:rsidP="000B3035">
            <w:pPr>
              <w:spacing w:before="0"/>
              <w:rPr>
                <w:b/>
                <w:szCs w:val="24"/>
              </w:rPr>
            </w:pPr>
            <w:bookmarkStart w:id="2" w:name="CreationDate"/>
            <w:bookmarkEnd w:id="2"/>
            <w:r>
              <w:rPr>
                <w:b/>
                <w:bCs/>
                <w:szCs w:val="28"/>
              </w:rPr>
              <w:t>21 June</w:t>
            </w:r>
            <w:r w:rsidRPr="004C5A77">
              <w:rPr>
                <w:b/>
                <w:bCs/>
                <w:szCs w:val="28"/>
              </w:rPr>
              <w:t xml:space="preserve"> 2023</w:t>
            </w:r>
          </w:p>
        </w:tc>
      </w:tr>
      <w:tr w:rsidR="0047681D" w14:paraId="085C0502" w14:textId="77777777" w:rsidTr="000B3035">
        <w:trPr>
          <w:cantSplit/>
        </w:trPr>
        <w:tc>
          <w:tcPr>
            <w:tcW w:w="6379" w:type="dxa"/>
          </w:tcPr>
          <w:p w14:paraId="31F55477" w14:textId="77777777" w:rsidR="0047681D" w:rsidRPr="007F1CC7" w:rsidRDefault="0047681D" w:rsidP="000B3035">
            <w:pPr>
              <w:spacing w:before="0"/>
              <w:rPr>
                <w:b/>
                <w:bCs/>
                <w:smallCaps/>
                <w:szCs w:val="24"/>
              </w:rPr>
            </w:pPr>
          </w:p>
        </w:tc>
        <w:tc>
          <w:tcPr>
            <w:tcW w:w="3509" w:type="dxa"/>
          </w:tcPr>
          <w:p w14:paraId="2BB636AB" w14:textId="77777777" w:rsidR="0047681D" w:rsidRPr="007F1CC7" w:rsidRDefault="0047681D" w:rsidP="000B3035">
            <w:pPr>
              <w:spacing w:before="0"/>
              <w:rPr>
                <w:szCs w:val="24"/>
              </w:rPr>
            </w:pPr>
            <w:r>
              <w:rPr>
                <w:b/>
              </w:rPr>
              <w:t>Original:</w:t>
            </w:r>
            <w:bookmarkStart w:id="3" w:name="Original"/>
            <w:bookmarkEnd w:id="3"/>
            <w:r>
              <w:rPr>
                <w:b/>
              </w:rPr>
              <w:t xml:space="preserve"> English</w:t>
            </w:r>
          </w:p>
        </w:tc>
      </w:tr>
      <w:tr w:rsidR="0047681D" w14:paraId="16C754B0" w14:textId="77777777" w:rsidTr="000B3035">
        <w:trPr>
          <w:cantSplit/>
          <w:trHeight w:val="852"/>
        </w:trPr>
        <w:tc>
          <w:tcPr>
            <w:tcW w:w="9888" w:type="dxa"/>
            <w:gridSpan w:val="2"/>
          </w:tcPr>
          <w:p w14:paraId="4D38CAC2" w14:textId="77777777" w:rsidR="0047681D" w:rsidRPr="00BA55BA" w:rsidRDefault="0047681D" w:rsidP="000B3035">
            <w:pPr>
              <w:pStyle w:val="Source"/>
            </w:pPr>
            <w:bookmarkStart w:id="4" w:name="Source"/>
            <w:bookmarkEnd w:id="4"/>
            <w:r w:rsidRPr="00BA55BA">
              <w:t>C</w:t>
            </w:r>
            <w:r>
              <w:t>hairman</w:t>
            </w:r>
            <w:r w:rsidRPr="00BA55BA">
              <w:t>, I</w:t>
            </w:r>
            <w:r>
              <w:t>nter</w:t>
            </w:r>
            <w:r w:rsidRPr="00BA55BA">
              <w:t>-S</w:t>
            </w:r>
            <w:r>
              <w:t xml:space="preserve">ector </w:t>
            </w:r>
            <w:r w:rsidRPr="00BA55BA">
              <w:t>C</w:t>
            </w:r>
            <w:r>
              <w:t>oordination Group</w:t>
            </w:r>
          </w:p>
        </w:tc>
      </w:tr>
      <w:tr w:rsidR="0047681D" w:rsidRPr="002E6963" w14:paraId="7DF3002D" w14:textId="77777777" w:rsidTr="000B3035">
        <w:trPr>
          <w:cantSplit/>
        </w:trPr>
        <w:tc>
          <w:tcPr>
            <w:tcW w:w="9888" w:type="dxa"/>
            <w:gridSpan w:val="2"/>
          </w:tcPr>
          <w:p w14:paraId="7808A01A" w14:textId="77777777" w:rsidR="0047681D" w:rsidRPr="00BA55BA" w:rsidRDefault="0047681D" w:rsidP="000B3035">
            <w:pPr>
              <w:pStyle w:val="Title1"/>
            </w:pPr>
            <w:bookmarkStart w:id="5" w:name="Title"/>
            <w:bookmarkEnd w:id="5"/>
            <w:r w:rsidRPr="00BE02AA">
              <w:t xml:space="preserve">Report of the Inter-Sector Coordination Group (ISCG) </w:t>
            </w:r>
            <w:r>
              <w:br/>
            </w:r>
            <w:r w:rsidRPr="00BE02AA">
              <w:t>on issues of mutual interest</w:t>
            </w:r>
          </w:p>
        </w:tc>
      </w:tr>
      <w:tr w:rsidR="0047681D" w:rsidRPr="002E6963" w14:paraId="279B1802" w14:textId="77777777" w:rsidTr="000B3035">
        <w:trPr>
          <w:cantSplit/>
        </w:trPr>
        <w:tc>
          <w:tcPr>
            <w:tcW w:w="9888" w:type="dxa"/>
            <w:gridSpan w:val="2"/>
            <w:tcBorders>
              <w:bottom w:val="single" w:sz="4" w:space="0" w:color="auto"/>
            </w:tcBorders>
          </w:tcPr>
          <w:p w14:paraId="6E5AAC91" w14:textId="77777777" w:rsidR="0047681D" w:rsidRPr="00A721F4" w:rsidRDefault="0047681D" w:rsidP="000B3035"/>
        </w:tc>
      </w:tr>
      <w:tr w:rsidR="0047681D" w:rsidRPr="002E6963" w14:paraId="26F590DA" w14:textId="77777777" w:rsidTr="000B3035">
        <w:trPr>
          <w:cantSplit/>
        </w:trPr>
        <w:tc>
          <w:tcPr>
            <w:tcW w:w="9888" w:type="dxa"/>
            <w:gridSpan w:val="2"/>
            <w:tcBorders>
              <w:top w:val="single" w:sz="4" w:space="0" w:color="auto"/>
              <w:left w:val="single" w:sz="4" w:space="0" w:color="auto"/>
              <w:bottom w:val="single" w:sz="4" w:space="0" w:color="auto"/>
              <w:right w:val="single" w:sz="4" w:space="0" w:color="auto"/>
            </w:tcBorders>
          </w:tcPr>
          <w:p w14:paraId="03F4DCC5" w14:textId="77777777" w:rsidR="0047681D" w:rsidRPr="00D9621A" w:rsidRDefault="0047681D" w:rsidP="000B3035">
            <w:pPr>
              <w:spacing w:after="120"/>
              <w:rPr>
                <w:b/>
                <w:bCs/>
                <w:szCs w:val="24"/>
              </w:rPr>
            </w:pPr>
            <w:r w:rsidRPr="00D9621A">
              <w:rPr>
                <w:b/>
                <w:bCs/>
                <w:szCs w:val="24"/>
              </w:rPr>
              <w:t>Summary:</w:t>
            </w:r>
          </w:p>
          <w:p w14:paraId="63C63573" w14:textId="77777777" w:rsidR="0047681D" w:rsidRPr="00D9621A" w:rsidRDefault="0047681D" w:rsidP="000B3035">
            <w:pPr>
              <w:spacing w:after="120"/>
              <w:rPr>
                <w:szCs w:val="24"/>
              </w:rPr>
            </w:pPr>
            <w:r w:rsidRPr="001D10F2">
              <w:t xml:space="preserve">This document </w:t>
            </w:r>
            <w:r>
              <w:t>presents</w:t>
            </w:r>
            <w:r w:rsidRPr="001D10F2">
              <w:t xml:space="preserve"> a progress report of the Inter-Sector Coordination Group (ISCG) on issues of mutual interest, highlighting the conclusions from its last meeting</w:t>
            </w:r>
            <w:r>
              <w:t xml:space="preserve"> </w:t>
            </w:r>
            <w:r w:rsidRPr="001D10F2">
              <w:t xml:space="preserve">on </w:t>
            </w:r>
            <w:r>
              <w:t>2 May 2023</w:t>
            </w:r>
            <w:r w:rsidRPr="001D10F2">
              <w:t>.</w:t>
            </w:r>
          </w:p>
          <w:p w14:paraId="45FD6C58" w14:textId="77777777" w:rsidR="0047681D" w:rsidRPr="00D9621A" w:rsidRDefault="0047681D" w:rsidP="000B3035">
            <w:pPr>
              <w:spacing w:after="120"/>
              <w:rPr>
                <w:b/>
                <w:bCs/>
                <w:szCs w:val="24"/>
              </w:rPr>
            </w:pPr>
            <w:r w:rsidRPr="005E090D">
              <w:rPr>
                <w:b/>
                <w:bCs/>
              </w:rPr>
              <w:t>Action required:</w:t>
            </w:r>
          </w:p>
          <w:p w14:paraId="26325791" w14:textId="77777777" w:rsidR="0047681D" w:rsidRPr="00D9621A" w:rsidRDefault="0047681D" w:rsidP="000B3035">
            <w:pPr>
              <w:spacing w:after="120"/>
              <w:rPr>
                <w:szCs w:val="24"/>
              </w:rPr>
            </w:pPr>
            <w:r w:rsidRPr="001D10F2">
              <w:t xml:space="preserve">TDAG is invited </w:t>
            </w:r>
            <w:r w:rsidRPr="002D3134">
              <w:rPr>
                <w:b/>
                <w:bCs/>
              </w:rPr>
              <w:t>to note</w:t>
            </w:r>
            <w:r w:rsidRPr="001D10F2">
              <w:t xml:space="preserve"> this document and provide guidance as deemed appropriate.</w:t>
            </w:r>
          </w:p>
          <w:p w14:paraId="74562938" w14:textId="77777777" w:rsidR="0047681D" w:rsidRPr="00D9621A" w:rsidRDefault="0047681D" w:rsidP="000B3035">
            <w:pPr>
              <w:spacing w:after="120"/>
              <w:rPr>
                <w:b/>
                <w:bCs/>
                <w:szCs w:val="24"/>
              </w:rPr>
            </w:pPr>
            <w:r w:rsidRPr="00D9621A">
              <w:rPr>
                <w:b/>
                <w:bCs/>
                <w:szCs w:val="24"/>
              </w:rPr>
              <w:t>References:</w:t>
            </w:r>
          </w:p>
          <w:p w14:paraId="2878377D" w14:textId="77777777" w:rsidR="0047681D" w:rsidRPr="00D9621A" w:rsidRDefault="0047681D" w:rsidP="000B3035">
            <w:pPr>
              <w:spacing w:after="120"/>
            </w:pPr>
            <w:r>
              <w:t xml:space="preserve">Plenipotentiary </w:t>
            </w:r>
            <w:hyperlink r:id="rId12" w:history="1">
              <w:r w:rsidRPr="00076FCD">
                <w:rPr>
                  <w:rStyle w:val="Hyperlink"/>
                </w:rPr>
                <w:t>Resolution 191</w:t>
              </w:r>
            </w:hyperlink>
            <w:r w:rsidRPr="001D10F2">
              <w:t xml:space="preserve"> (Rev. </w:t>
            </w:r>
            <w:r>
              <w:t>Bucharest</w:t>
            </w:r>
            <w:r w:rsidRPr="001D10F2">
              <w:t>, 20</w:t>
            </w:r>
            <w:r>
              <w:t>22</w:t>
            </w:r>
            <w:r w:rsidRPr="001D10F2">
              <w:t>)</w:t>
            </w:r>
            <w:r>
              <w:t xml:space="preserve">; and </w:t>
            </w:r>
            <w:hyperlink r:id="rId13" w:history="1">
              <w:r w:rsidRPr="004079F6">
                <w:rPr>
                  <w:rStyle w:val="Hyperlink"/>
                </w:rPr>
                <w:t>Decision 5</w:t>
              </w:r>
            </w:hyperlink>
            <w:r w:rsidRPr="00A219E9">
              <w:rPr>
                <w:rFonts w:ascii="Calibri" w:hAnsi="Calibri"/>
                <w:i/>
                <w:iCs/>
                <w:sz w:val="22"/>
                <w:szCs w:val="22"/>
              </w:rPr>
              <w:t xml:space="preserve"> </w:t>
            </w:r>
            <w:r w:rsidRPr="00C12953">
              <w:t>(Rev. Bucharest, 2022)</w:t>
            </w:r>
          </w:p>
        </w:tc>
      </w:tr>
    </w:tbl>
    <w:p w14:paraId="24AF291A" w14:textId="77777777" w:rsidR="00337C85" w:rsidRPr="000D5936" w:rsidRDefault="00337C85" w:rsidP="00337C85">
      <w:pPr>
        <w:spacing w:after="120"/>
        <w:rPr>
          <w:rFonts w:cstheme="minorHAnsi"/>
          <w:b/>
          <w:bCs/>
          <w:szCs w:val="24"/>
        </w:rPr>
      </w:pPr>
    </w:p>
    <w:p w14:paraId="47D4144B" w14:textId="7607CF78"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rPr>
          <w:rFonts w:cstheme="minorHAnsi"/>
          <w:b/>
          <w:bCs/>
          <w:szCs w:val="24"/>
          <w:lang w:val="fr-FR"/>
        </w:rPr>
      </w:pPr>
      <w:r w:rsidRPr="00337C85">
        <w:rPr>
          <w:rFonts w:cstheme="minorHAnsi"/>
          <w:b/>
          <w:bCs/>
          <w:szCs w:val="24"/>
          <w:lang w:val="fr-FR"/>
        </w:rPr>
        <w:t>Introduction</w:t>
      </w:r>
    </w:p>
    <w:p w14:paraId="2E1B6F2B" w14:textId="77777777" w:rsidR="00337C85" w:rsidRPr="00337C85" w:rsidRDefault="00337C85" w:rsidP="00337C85">
      <w:pPr>
        <w:spacing w:after="120"/>
        <w:rPr>
          <w:rFonts w:cstheme="minorHAnsi"/>
          <w:szCs w:val="24"/>
        </w:rPr>
      </w:pPr>
      <w:r w:rsidRPr="00337C85">
        <w:rPr>
          <w:rFonts w:cstheme="minorHAnsi"/>
          <w:szCs w:val="24"/>
        </w:rPr>
        <w:t>The first meeting in 2023 of the Inter-Sector Coordination Group (ISCG) on issues of mutual interest, took place on 2</w:t>
      </w:r>
      <w:r w:rsidRPr="00337C85">
        <w:rPr>
          <w:rFonts w:cstheme="minorHAnsi"/>
          <w:szCs w:val="24"/>
          <w:vertAlign w:val="superscript"/>
        </w:rPr>
        <w:t>nd</w:t>
      </w:r>
      <w:r w:rsidRPr="00337C85">
        <w:rPr>
          <w:rFonts w:cstheme="minorHAnsi"/>
          <w:szCs w:val="24"/>
        </w:rPr>
        <w:t xml:space="preserve"> May 2023, at ITU Headquarters, from 12:30 to 14:00 (CET), in conjunction with the Radiocommunication Advisory Group (RAG) meeting. The meeting allowed remote participation through the Zoom platform.</w:t>
      </w:r>
    </w:p>
    <w:p w14:paraId="6D848A01" w14:textId="77777777" w:rsidR="00337C85" w:rsidRPr="00337C85" w:rsidRDefault="00337C85" w:rsidP="00337C85">
      <w:pPr>
        <w:spacing w:after="120"/>
        <w:rPr>
          <w:rFonts w:cstheme="minorHAnsi"/>
          <w:szCs w:val="24"/>
        </w:rPr>
      </w:pPr>
      <w:r w:rsidRPr="00337C85">
        <w:rPr>
          <w:rFonts w:cstheme="minorHAnsi"/>
          <w:szCs w:val="24"/>
        </w:rPr>
        <w:t xml:space="preserve">The meeting was chaired by Mr Fabio </w:t>
      </w:r>
      <w:proofErr w:type="spellStart"/>
      <w:r w:rsidRPr="00337C85">
        <w:rPr>
          <w:rFonts w:cstheme="minorHAnsi"/>
          <w:szCs w:val="24"/>
        </w:rPr>
        <w:t>Bigi</w:t>
      </w:r>
      <w:proofErr w:type="spellEnd"/>
      <w:r w:rsidRPr="00337C85">
        <w:rPr>
          <w:rFonts w:cstheme="minorHAnsi"/>
          <w:szCs w:val="24"/>
        </w:rPr>
        <w:t xml:space="preserve"> (Italia), Chairperson of the ISCG, who welcomed the members of the group and other participants to the first ISCG meeting to be held in person since the COVID-19 pandemic was announced in 2020. Mr </w:t>
      </w:r>
      <w:proofErr w:type="spellStart"/>
      <w:r w:rsidRPr="00337C85">
        <w:rPr>
          <w:rFonts w:cstheme="minorHAnsi"/>
          <w:szCs w:val="24"/>
        </w:rPr>
        <w:t>Bigi</w:t>
      </w:r>
      <w:proofErr w:type="spellEnd"/>
      <w:r w:rsidRPr="00337C85">
        <w:rPr>
          <w:rFonts w:cstheme="minorHAnsi"/>
          <w:szCs w:val="24"/>
        </w:rPr>
        <w:t xml:space="preserve"> also welcomed the ITU Deputy Secretary-General, Mr Tomas </w:t>
      </w:r>
      <w:proofErr w:type="spellStart"/>
      <w:r w:rsidRPr="00337C85">
        <w:rPr>
          <w:rFonts w:cstheme="minorHAnsi"/>
          <w:szCs w:val="24"/>
        </w:rPr>
        <w:t>Lamanauskas</w:t>
      </w:r>
      <w:proofErr w:type="spellEnd"/>
      <w:r w:rsidRPr="00337C85">
        <w:rPr>
          <w:rFonts w:cstheme="minorHAnsi"/>
          <w:szCs w:val="24"/>
        </w:rPr>
        <w:t xml:space="preserve"> who joined the meeting to deliver opening remarks. Both the ISCG Chairperson and ITU’s Deputy Secretary-General agreed on the importance to strengthen intersectoral coordination within the Union, including between the membership and the secretariat, and encourage the ISCG members to submit contribution to improve the cooperation and collaboration processes among the three Sectors and the General Secretariat. </w:t>
      </w:r>
    </w:p>
    <w:p w14:paraId="10AF29D9" w14:textId="77777777" w:rsidR="00337C85" w:rsidRPr="00337C85" w:rsidRDefault="00337C85" w:rsidP="00337C85">
      <w:pPr>
        <w:spacing w:after="120"/>
        <w:rPr>
          <w:rFonts w:cstheme="minorHAnsi"/>
          <w:szCs w:val="24"/>
        </w:rPr>
      </w:pPr>
      <w:r w:rsidRPr="00337C85">
        <w:rPr>
          <w:rFonts w:cstheme="minorHAnsi"/>
          <w:szCs w:val="24"/>
        </w:rPr>
        <w:t>The ISCG Chairperson presented the Agenda (</w:t>
      </w:r>
      <w:hyperlink r:id="rId14" w:history="1">
        <w:r w:rsidRPr="00337C85">
          <w:rPr>
            <w:rStyle w:val="Hyperlink"/>
            <w:rFonts w:cstheme="minorHAnsi"/>
            <w:szCs w:val="24"/>
          </w:rPr>
          <w:t>ISCG/23-1/01-R1</w:t>
        </w:r>
      </w:hyperlink>
      <w:r w:rsidRPr="00337C85">
        <w:rPr>
          <w:rFonts w:cstheme="minorHAnsi"/>
          <w:szCs w:val="24"/>
        </w:rPr>
        <w:t xml:space="preserve">) which was approved by the meeting. </w:t>
      </w:r>
    </w:p>
    <w:p w14:paraId="2AE52973" w14:textId="77777777" w:rsidR="00337C85" w:rsidRPr="00337C85" w:rsidRDefault="00337C85" w:rsidP="00337C85">
      <w:pPr>
        <w:spacing w:after="120"/>
        <w:rPr>
          <w:rFonts w:cstheme="minorHAnsi"/>
          <w:szCs w:val="24"/>
        </w:rPr>
      </w:pPr>
      <w:r w:rsidRPr="00337C85">
        <w:rPr>
          <w:rFonts w:cstheme="minorHAnsi"/>
          <w:szCs w:val="24"/>
        </w:rPr>
        <w:t xml:space="preserve">The Chairperson informed all the documents presented and discussed during the meeting, including the Agenda and the </w:t>
      </w:r>
      <w:bookmarkStart w:id="6" w:name="_Hlk96717086"/>
      <w:r w:rsidRPr="00337C85">
        <w:rPr>
          <w:rFonts w:cstheme="minorHAnsi"/>
          <w:szCs w:val="24"/>
        </w:rPr>
        <w:t xml:space="preserve">list of participants </w:t>
      </w:r>
      <w:bookmarkEnd w:id="6"/>
      <w:r w:rsidRPr="00337C85">
        <w:rPr>
          <w:rFonts w:cstheme="minorHAnsi"/>
          <w:szCs w:val="24"/>
        </w:rPr>
        <w:t xml:space="preserve">(see </w:t>
      </w:r>
      <w:hyperlink r:id="rId15" w:history="1">
        <w:r w:rsidRPr="00337C85">
          <w:rPr>
            <w:rStyle w:val="Hyperlink"/>
            <w:rFonts w:cstheme="minorHAnsi"/>
            <w:szCs w:val="24"/>
          </w:rPr>
          <w:t>here</w:t>
        </w:r>
      </w:hyperlink>
      <w:r w:rsidRPr="00337C85">
        <w:rPr>
          <w:rFonts w:cstheme="minorHAnsi"/>
          <w:szCs w:val="24"/>
        </w:rPr>
        <w:t xml:space="preserve">), can be access through the </w:t>
      </w:r>
      <w:hyperlink r:id="rId16" w:history="1">
        <w:r w:rsidRPr="00337C85">
          <w:rPr>
            <w:rFonts w:cstheme="minorHAnsi"/>
            <w:color w:val="0000FF"/>
            <w:szCs w:val="24"/>
            <w:u w:val="single"/>
          </w:rPr>
          <w:t>ISCG webpage</w:t>
        </w:r>
      </w:hyperlink>
      <w:r w:rsidRPr="00337C85">
        <w:rPr>
          <w:rFonts w:cstheme="minorHAnsi"/>
          <w:szCs w:val="24"/>
        </w:rPr>
        <w:t xml:space="preserve">. </w:t>
      </w:r>
    </w:p>
    <w:p w14:paraId="3473DC6C" w14:textId="77777777" w:rsidR="00337C85" w:rsidRPr="00337C85" w:rsidRDefault="00337C85" w:rsidP="00337C85">
      <w:pPr>
        <w:spacing w:after="120"/>
        <w:rPr>
          <w:rFonts w:cstheme="minorHAnsi"/>
          <w:szCs w:val="24"/>
        </w:rPr>
      </w:pPr>
      <w:r w:rsidRPr="00337C85">
        <w:rPr>
          <w:rFonts w:cstheme="minorHAnsi"/>
          <w:szCs w:val="24"/>
        </w:rPr>
        <w:t>Related to the webpage, the secretariat informed that the ITU Translate tool has been installed so the site now is available on the six official languages.</w:t>
      </w:r>
    </w:p>
    <w:p w14:paraId="1DF446FE" w14:textId="77777777"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fr-FR"/>
        </w:rPr>
      </w:pPr>
      <w:r w:rsidRPr="00337C85">
        <w:rPr>
          <w:rFonts w:cstheme="minorHAnsi"/>
          <w:b/>
          <w:bCs/>
          <w:szCs w:val="24"/>
          <w:lang w:val="fr-FR"/>
        </w:rPr>
        <w:t>Main discussions</w:t>
      </w:r>
    </w:p>
    <w:p w14:paraId="3F544EF9" w14:textId="0AFFDCCD" w:rsidR="00337C85" w:rsidRPr="00337C85" w:rsidRDefault="00337C85" w:rsidP="00337C85">
      <w:pPr>
        <w:pStyle w:val="ListParagraph"/>
        <w:numPr>
          <w:ilvl w:val="1"/>
          <w:numId w:val="11"/>
        </w:numPr>
        <w:tabs>
          <w:tab w:val="clear" w:pos="1134"/>
          <w:tab w:val="clear" w:pos="1871"/>
          <w:tab w:val="clear" w:pos="2268"/>
          <w:tab w:val="left" w:pos="794"/>
          <w:tab w:val="left" w:pos="1191"/>
          <w:tab w:val="left" w:pos="1588"/>
          <w:tab w:val="left" w:pos="1985"/>
        </w:tabs>
        <w:spacing w:after="120"/>
        <w:ind w:left="539" w:hanging="539"/>
        <w:contextualSpacing w:val="0"/>
        <w:rPr>
          <w:rFonts w:cstheme="minorHAnsi"/>
          <w:b/>
          <w:bCs/>
          <w:szCs w:val="24"/>
        </w:rPr>
      </w:pPr>
      <w:r w:rsidRPr="00337C85">
        <w:rPr>
          <w:rFonts w:cstheme="minorHAnsi"/>
          <w:b/>
          <w:bCs/>
          <w:szCs w:val="24"/>
        </w:rPr>
        <w:t>Report on PP-Resolution 191 (Rev. Bucha</w:t>
      </w:r>
      <w:bookmarkStart w:id="7" w:name="_GoBack"/>
      <w:bookmarkEnd w:id="7"/>
      <w:r w:rsidRPr="00337C85">
        <w:rPr>
          <w:rFonts w:cstheme="minorHAnsi"/>
          <w:b/>
          <w:bCs/>
          <w:szCs w:val="24"/>
        </w:rPr>
        <w:t xml:space="preserve">rest, 2022) </w:t>
      </w:r>
    </w:p>
    <w:p w14:paraId="206671FD" w14:textId="77777777" w:rsidR="00337C85" w:rsidRPr="00337C85" w:rsidRDefault="00337C85" w:rsidP="00337C85">
      <w:pPr>
        <w:spacing w:after="120"/>
        <w:rPr>
          <w:rFonts w:cstheme="minorHAnsi"/>
          <w:szCs w:val="24"/>
        </w:rPr>
      </w:pPr>
      <w:r w:rsidRPr="00337C85">
        <w:rPr>
          <w:rFonts w:cstheme="minorHAnsi"/>
          <w:szCs w:val="24"/>
        </w:rPr>
        <w:t xml:space="preserve">The ITU secretariat presented document </w:t>
      </w:r>
      <w:hyperlink r:id="rId17" w:history="1">
        <w:r w:rsidRPr="00337C85">
          <w:rPr>
            <w:rStyle w:val="Hyperlink"/>
            <w:rFonts w:cstheme="minorHAnsi"/>
            <w:szCs w:val="24"/>
          </w:rPr>
          <w:t>ISCG/23-1/02</w:t>
        </w:r>
      </w:hyperlink>
      <w:r w:rsidRPr="00337C85">
        <w:rPr>
          <w:rFonts w:cstheme="minorHAnsi"/>
          <w:szCs w:val="24"/>
        </w:rPr>
        <w:t xml:space="preserve"> containing the final text of Resolution 191 (Rev. Bucharest, 2022) as revised by the Plenipotentiary Conference 2022; as well as a table with the main changes made, and highlighting actions to be taken by the ISCG.</w:t>
      </w:r>
    </w:p>
    <w:p w14:paraId="152FADFC" w14:textId="77777777" w:rsidR="00337C85" w:rsidRPr="00337C85" w:rsidRDefault="00337C85" w:rsidP="00337C85">
      <w:pPr>
        <w:spacing w:after="120"/>
        <w:rPr>
          <w:rFonts w:cstheme="minorHAnsi"/>
          <w:szCs w:val="24"/>
        </w:rPr>
      </w:pPr>
      <w:r w:rsidRPr="00337C85">
        <w:rPr>
          <w:rFonts w:cstheme="minorHAnsi"/>
          <w:szCs w:val="24"/>
        </w:rPr>
        <w:lastRenderedPageBreak/>
        <w:t xml:space="preserve">The secretariat also informed about the new Intersectoral Coordination Mechanism (ISCM) to be presented to Council 2023 in July. This internal mechanism will be driven through three tracks, based on the nature of the themes to be coordinated (strategic, programmatic, operational), to cover all themes that call for intersectoral coordination, as well as to facilitate the monitoring and evaluate the implementation progress. Each category will have different lines of reporting (internal), and the secretariat will continue to report annually to Council and to liaise with the Sectors advisory groups and the ISCG. Also, a lighter mechanism will be implemented to share information among the three Sectors and the General Secretariat on all activities that may require intersectoral coordination.    </w:t>
      </w:r>
    </w:p>
    <w:p w14:paraId="6132636D" w14:textId="77777777" w:rsidR="00337C85" w:rsidRPr="00337C85" w:rsidRDefault="00337C85" w:rsidP="00337C85">
      <w:pPr>
        <w:spacing w:after="120"/>
        <w:rPr>
          <w:rFonts w:cstheme="minorHAnsi"/>
          <w:szCs w:val="24"/>
        </w:rPr>
      </w:pPr>
      <w:r w:rsidRPr="00337C85">
        <w:rPr>
          <w:rFonts w:cstheme="minorHAnsi"/>
          <w:szCs w:val="24"/>
        </w:rPr>
        <w:t>The ISCG Chairperson highlighted the importance that this new mechanism continues to report to the ISCG regularly, as it was done by the Inter-Sectoral Coordination Task Force (ISC-TF).</w:t>
      </w:r>
    </w:p>
    <w:p w14:paraId="651D465B" w14:textId="77777777" w:rsidR="00337C85" w:rsidRPr="00337C85" w:rsidRDefault="00337C85" w:rsidP="00337C85">
      <w:pPr>
        <w:spacing w:after="120"/>
        <w:rPr>
          <w:rFonts w:cstheme="minorHAnsi"/>
          <w:szCs w:val="24"/>
        </w:rPr>
      </w:pPr>
      <w:r w:rsidRPr="00337C85">
        <w:rPr>
          <w:rFonts w:cstheme="minorHAnsi"/>
          <w:szCs w:val="24"/>
        </w:rPr>
        <w:t xml:space="preserve">It was pointed out that the concept of One ITU needs further clarification, considering the members’ need to have detailed Operational Plan from each Sector, while on the other hand, there is the need to improve ITU-wide coordination mechanisms such as streamlining resolutions by applying the mapping available online (see </w:t>
      </w:r>
      <w:hyperlink r:id="rId18" w:history="1">
        <w:r w:rsidRPr="00337C85">
          <w:rPr>
            <w:rStyle w:val="Hyperlink"/>
            <w:rFonts w:cstheme="minorHAnsi"/>
            <w:szCs w:val="24"/>
          </w:rPr>
          <w:t>here</w:t>
        </w:r>
      </w:hyperlink>
      <w:r w:rsidRPr="00337C85">
        <w:rPr>
          <w:rFonts w:cstheme="minorHAnsi"/>
          <w:szCs w:val="24"/>
        </w:rPr>
        <w:t>), or applying the same procedures related to accessibility when organizing meetings, just to mention some.</w:t>
      </w:r>
    </w:p>
    <w:p w14:paraId="2F20F145" w14:textId="77777777" w:rsidR="00337C85" w:rsidRPr="00337C85" w:rsidRDefault="00337C85" w:rsidP="00337C85">
      <w:pPr>
        <w:spacing w:after="120"/>
        <w:rPr>
          <w:rFonts w:cstheme="minorHAnsi"/>
          <w:szCs w:val="24"/>
        </w:rPr>
      </w:pPr>
      <w:r w:rsidRPr="00337C85">
        <w:rPr>
          <w:rFonts w:cstheme="minorHAnsi"/>
          <w:szCs w:val="24"/>
        </w:rPr>
        <w:t xml:space="preserve">The meeting agreed and welcomed the efforts from the secretariat to enhance and improve the intersectoral coordination mechanism and requested the secretariat to continue to report on the process. </w:t>
      </w:r>
    </w:p>
    <w:p w14:paraId="1DD4A03C" w14:textId="33A83CDA" w:rsidR="00337C85" w:rsidRPr="00337C85" w:rsidRDefault="00337C85" w:rsidP="00337C85">
      <w:pPr>
        <w:pStyle w:val="ListParagraph"/>
        <w:numPr>
          <w:ilvl w:val="1"/>
          <w:numId w:val="11"/>
        </w:numPr>
        <w:tabs>
          <w:tab w:val="clear" w:pos="1134"/>
          <w:tab w:val="clear" w:pos="1871"/>
          <w:tab w:val="clear" w:pos="2268"/>
          <w:tab w:val="left" w:pos="794"/>
          <w:tab w:val="left" w:pos="1191"/>
          <w:tab w:val="left" w:pos="1588"/>
          <w:tab w:val="left" w:pos="1985"/>
        </w:tabs>
        <w:spacing w:after="120"/>
        <w:ind w:left="539" w:hanging="539"/>
        <w:contextualSpacing w:val="0"/>
        <w:rPr>
          <w:rFonts w:cstheme="minorHAnsi"/>
          <w:b/>
          <w:bCs/>
          <w:szCs w:val="24"/>
        </w:rPr>
      </w:pPr>
      <w:r w:rsidRPr="00337C85">
        <w:rPr>
          <w:rFonts w:cstheme="minorHAnsi"/>
          <w:b/>
          <w:bCs/>
          <w:szCs w:val="24"/>
        </w:rPr>
        <w:t>Reports by Themes</w:t>
      </w:r>
    </w:p>
    <w:p w14:paraId="0113F22C" w14:textId="77777777" w:rsidR="00337C85" w:rsidRPr="00337C85" w:rsidRDefault="00337C85" w:rsidP="00337C85">
      <w:pPr>
        <w:tabs>
          <w:tab w:val="clear" w:pos="794"/>
          <w:tab w:val="left" w:pos="567"/>
        </w:tabs>
        <w:spacing w:after="120"/>
        <w:ind w:left="720" w:hanging="720"/>
        <w:rPr>
          <w:rFonts w:cstheme="minorHAnsi"/>
          <w:b/>
          <w:bCs/>
          <w:szCs w:val="24"/>
        </w:rPr>
      </w:pPr>
      <w:r w:rsidRPr="00337C85">
        <w:rPr>
          <w:rFonts w:cstheme="minorHAnsi"/>
          <w:b/>
          <w:bCs/>
          <w:szCs w:val="24"/>
        </w:rPr>
        <w:t>2.2.1</w:t>
      </w:r>
      <w:r w:rsidRPr="00337C85">
        <w:rPr>
          <w:rFonts w:cstheme="minorHAnsi"/>
          <w:b/>
          <w:bCs/>
          <w:szCs w:val="24"/>
        </w:rPr>
        <w:tab/>
        <w:t>“Climate change”</w:t>
      </w:r>
    </w:p>
    <w:p w14:paraId="753E2353" w14:textId="77777777" w:rsidR="00337C85" w:rsidRPr="00337C85" w:rsidRDefault="00337C85" w:rsidP="00337C85">
      <w:pPr>
        <w:spacing w:after="120"/>
        <w:rPr>
          <w:rFonts w:cstheme="minorHAnsi"/>
          <w:szCs w:val="24"/>
        </w:rPr>
      </w:pPr>
      <w:r w:rsidRPr="00337C85">
        <w:rPr>
          <w:rFonts w:cstheme="minorHAnsi"/>
          <w:szCs w:val="24"/>
        </w:rPr>
        <w:t xml:space="preserve">The Secretariat presented a report with the latest developments on advancing internal work on ITU’s climate change related activities (see </w:t>
      </w:r>
      <w:hyperlink r:id="rId19" w:history="1">
        <w:r w:rsidRPr="00337C85">
          <w:rPr>
            <w:rStyle w:val="Hyperlink"/>
            <w:rFonts w:cstheme="minorHAnsi"/>
            <w:szCs w:val="24"/>
          </w:rPr>
          <w:t>ISCG/23-1/05b</w:t>
        </w:r>
      </w:hyperlink>
      <w:r w:rsidRPr="00337C85">
        <w:rPr>
          <w:rStyle w:val="Hyperlink"/>
          <w:rFonts w:cstheme="minorHAnsi"/>
          <w:szCs w:val="24"/>
        </w:rPr>
        <w:t>)</w:t>
      </w:r>
      <w:r w:rsidRPr="00337C85">
        <w:rPr>
          <w:rFonts w:cstheme="minorHAnsi"/>
          <w:szCs w:val="24"/>
        </w:rPr>
        <w:t>.</w:t>
      </w:r>
    </w:p>
    <w:p w14:paraId="6BDE20D6" w14:textId="77777777" w:rsidR="00337C85" w:rsidRPr="00337C85" w:rsidRDefault="00337C85" w:rsidP="00337C85">
      <w:pPr>
        <w:spacing w:after="120"/>
        <w:rPr>
          <w:rFonts w:cstheme="minorHAnsi"/>
          <w:szCs w:val="24"/>
        </w:rPr>
      </w:pPr>
      <w:r w:rsidRPr="00337C85">
        <w:rPr>
          <w:rFonts w:cstheme="minorHAnsi"/>
          <w:szCs w:val="24"/>
        </w:rPr>
        <w:t>The report presents the activities carried out by the Sectors and highlights the plans to organize a ‘Green Digital Day’ at COP28, aiming to bring together the ICT ecosystem to create momentum, with impact-oriented, to ensure that the day leads to measurable positive impact for the climate.</w:t>
      </w:r>
    </w:p>
    <w:p w14:paraId="439E9685" w14:textId="77777777" w:rsidR="00337C85" w:rsidRPr="00337C85" w:rsidRDefault="00337C85" w:rsidP="00337C85">
      <w:pPr>
        <w:spacing w:after="120"/>
        <w:rPr>
          <w:rFonts w:cstheme="minorHAnsi"/>
          <w:szCs w:val="24"/>
        </w:rPr>
      </w:pPr>
      <w:r w:rsidRPr="00337C85">
        <w:rPr>
          <w:rFonts w:cstheme="minorHAnsi"/>
          <w:szCs w:val="24"/>
        </w:rPr>
        <w:t xml:space="preserve">The ITU Radiocommunication Sector (ITU-R) Focal Point also presented document </w:t>
      </w:r>
      <w:hyperlink r:id="rId20" w:history="1">
        <w:r w:rsidRPr="00337C85">
          <w:rPr>
            <w:rStyle w:val="Hyperlink"/>
            <w:rFonts w:cstheme="minorHAnsi"/>
            <w:szCs w:val="24"/>
          </w:rPr>
          <w:t>ISCG/23-1/06</w:t>
        </w:r>
      </w:hyperlink>
      <w:r w:rsidRPr="00337C85">
        <w:rPr>
          <w:rFonts w:cstheme="minorHAnsi"/>
          <w:szCs w:val="24"/>
        </w:rPr>
        <w:t xml:space="preserve"> containing the work that the Sector does related to climate change, how ITU-R looks at the industry and the media-industry on the subject, and called for coordination with the Telecommunication Standardization Sector (ITU-T) for the development of standards.</w:t>
      </w:r>
    </w:p>
    <w:p w14:paraId="360151FF" w14:textId="77777777" w:rsidR="00337C85" w:rsidRPr="00337C85" w:rsidRDefault="00337C85" w:rsidP="00337C85">
      <w:pPr>
        <w:spacing w:after="120"/>
        <w:rPr>
          <w:rFonts w:cstheme="minorHAnsi"/>
          <w:szCs w:val="24"/>
        </w:rPr>
      </w:pPr>
      <w:r w:rsidRPr="00337C85">
        <w:rPr>
          <w:rFonts w:cstheme="minorHAnsi"/>
          <w:szCs w:val="24"/>
        </w:rPr>
        <w:t xml:space="preserve">The ISCG Chairperson welcome the information and requested the Climate Change Coordinator, Mr Paolo Gemma, to present a comprehensive report to the next meeting, including the assessment of the ICT Sector emissions, Scope 3, as it is a topic of interest to the three Sectors. </w:t>
      </w:r>
    </w:p>
    <w:p w14:paraId="6BB369C4" w14:textId="77777777" w:rsidR="00337C85" w:rsidRPr="00337C85" w:rsidRDefault="00337C85" w:rsidP="00337C85">
      <w:pPr>
        <w:tabs>
          <w:tab w:val="clear" w:pos="794"/>
          <w:tab w:val="left" w:pos="567"/>
        </w:tabs>
        <w:spacing w:after="120"/>
        <w:ind w:left="720" w:hanging="720"/>
        <w:rPr>
          <w:rFonts w:cstheme="minorHAnsi"/>
          <w:b/>
          <w:bCs/>
          <w:szCs w:val="24"/>
        </w:rPr>
      </w:pPr>
      <w:r w:rsidRPr="00337C85">
        <w:rPr>
          <w:rFonts w:cstheme="minorHAnsi"/>
          <w:b/>
          <w:bCs/>
          <w:szCs w:val="24"/>
        </w:rPr>
        <w:t>2.2.2</w:t>
      </w:r>
      <w:r w:rsidRPr="00337C85">
        <w:rPr>
          <w:rFonts w:cstheme="minorHAnsi"/>
          <w:b/>
          <w:bCs/>
          <w:szCs w:val="24"/>
        </w:rPr>
        <w:tab/>
        <w:t>“Accessibility”</w:t>
      </w:r>
    </w:p>
    <w:p w14:paraId="5CED8501" w14:textId="77777777" w:rsidR="00337C85" w:rsidRPr="00337C85" w:rsidRDefault="00337C85" w:rsidP="00337C85">
      <w:pPr>
        <w:spacing w:after="120"/>
        <w:rPr>
          <w:rFonts w:cstheme="minorHAnsi"/>
          <w:szCs w:val="24"/>
        </w:rPr>
      </w:pPr>
      <w:r w:rsidRPr="00337C85">
        <w:rPr>
          <w:rFonts w:cstheme="minorHAnsi"/>
          <w:szCs w:val="24"/>
        </w:rPr>
        <w:t>The ISCG Chairperson invited the Accessibility Coordinator, Ms Andrea Saks, to make an oral report. The coordinator focused on the necessity for ITU to use the standards being developed by ITU-T Study Group 16 on accessible meetings and remote participation, as well as to stablish standard procedures for ITU meetings.</w:t>
      </w:r>
    </w:p>
    <w:p w14:paraId="1F145A7F" w14:textId="77777777" w:rsidR="00337C85" w:rsidRPr="00337C85" w:rsidRDefault="00337C85" w:rsidP="00337C85">
      <w:pPr>
        <w:spacing w:after="120"/>
        <w:rPr>
          <w:rFonts w:cstheme="minorHAnsi"/>
          <w:szCs w:val="24"/>
        </w:rPr>
      </w:pPr>
      <w:r w:rsidRPr="00337C85">
        <w:rPr>
          <w:rFonts w:cstheme="minorHAnsi"/>
          <w:szCs w:val="24"/>
        </w:rPr>
        <w:t xml:space="preserve">The ITU-R Focal Point also submitted updated information on the work of ITU-R Study Group 6 does on broadcasting services, more specific on how to personalize media for any disability (see </w:t>
      </w:r>
      <w:hyperlink r:id="rId21" w:history="1">
        <w:r w:rsidRPr="00337C85">
          <w:rPr>
            <w:rStyle w:val="Hyperlink"/>
            <w:rFonts w:cstheme="minorHAnsi"/>
            <w:szCs w:val="24"/>
          </w:rPr>
          <w:t>ISCG/23-1/06</w:t>
        </w:r>
      </w:hyperlink>
      <w:r w:rsidRPr="00337C85">
        <w:rPr>
          <w:rFonts w:cstheme="minorHAnsi"/>
          <w:szCs w:val="24"/>
        </w:rPr>
        <w:t>).</w:t>
      </w:r>
    </w:p>
    <w:p w14:paraId="6AE07986" w14:textId="77777777" w:rsidR="00337C85" w:rsidRPr="00337C85" w:rsidRDefault="00337C85" w:rsidP="00337C85">
      <w:pPr>
        <w:spacing w:after="120"/>
        <w:rPr>
          <w:rFonts w:cstheme="minorHAnsi"/>
          <w:szCs w:val="24"/>
        </w:rPr>
      </w:pPr>
      <w:r w:rsidRPr="00337C85">
        <w:rPr>
          <w:rFonts w:cstheme="minorHAnsi"/>
          <w:szCs w:val="24"/>
        </w:rPr>
        <w:lastRenderedPageBreak/>
        <w:t xml:space="preserve">The secretariat presented a report with the latest developments on advancing internal work on ITU’s accessibility related activities (see </w:t>
      </w:r>
      <w:hyperlink r:id="rId22" w:history="1">
        <w:r w:rsidRPr="00337C85">
          <w:rPr>
            <w:rStyle w:val="Hyperlink"/>
            <w:rFonts w:cstheme="minorHAnsi"/>
            <w:szCs w:val="24"/>
          </w:rPr>
          <w:t>ISCG/23-1/05a</w:t>
        </w:r>
      </w:hyperlink>
      <w:r w:rsidRPr="00337C85">
        <w:rPr>
          <w:rFonts w:cstheme="minorHAnsi"/>
          <w:szCs w:val="24"/>
        </w:rPr>
        <w:t>). The Focal Point for Accessibility also highlighted that the Union’s draft budget for 2024-2025 includes, for the first time, the amount of 100k CHF/year for accessibility activities leading to make ITU accessible (e.g., providing captioning, etc.).</w:t>
      </w:r>
    </w:p>
    <w:p w14:paraId="40A2FD25" w14:textId="77777777" w:rsidR="00337C85" w:rsidRPr="00337C85" w:rsidRDefault="00337C85" w:rsidP="00337C85">
      <w:pPr>
        <w:spacing w:after="120"/>
        <w:rPr>
          <w:rFonts w:cstheme="minorHAnsi"/>
          <w:szCs w:val="24"/>
        </w:rPr>
      </w:pPr>
      <w:r w:rsidRPr="00337C85">
        <w:rPr>
          <w:rFonts w:cstheme="minorHAnsi"/>
          <w:szCs w:val="24"/>
        </w:rPr>
        <w:t xml:space="preserve">The ISCG Chairperson encouraged the coordinator to present a comprehensive report on all aspects discussed. The ISCG members also requested to be involved in the new building project </w:t>
      </w:r>
      <w:proofErr w:type="gramStart"/>
      <w:r w:rsidRPr="00337C85">
        <w:rPr>
          <w:rFonts w:cstheme="minorHAnsi"/>
          <w:szCs w:val="24"/>
        </w:rPr>
        <w:t>so as to</w:t>
      </w:r>
      <w:proofErr w:type="gramEnd"/>
      <w:r w:rsidRPr="00337C85">
        <w:rPr>
          <w:rFonts w:cstheme="minorHAnsi"/>
          <w:szCs w:val="24"/>
        </w:rPr>
        <w:t xml:space="preserve"> assure all accessibility matters are contemplated.</w:t>
      </w:r>
    </w:p>
    <w:p w14:paraId="47D64AD5" w14:textId="77777777" w:rsidR="00337C85" w:rsidRPr="00337C85" w:rsidRDefault="00337C85" w:rsidP="00337C85">
      <w:pPr>
        <w:pStyle w:val="ListParagraph"/>
        <w:numPr>
          <w:ilvl w:val="2"/>
          <w:numId w:val="8"/>
        </w:numPr>
        <w:tabs>
          <w:tab w:val="clear" w:pos="1134"/>
          <w:tab w:val="clear" w:pos="1871"/>
          <w:tab w:val="clear" w:pos="2268"/>
          <w:tab w:val="left" w:pos="567"/>
          <w:tab w:val="left" w:pos="1191"/>
          <w:tab w:val="left" w:pos="1588"/>
          <w:tab w:val="left" w:pos="1985"/>
        </w:tabs>
        <w:spacing w:after="120"/>
        <w:contextualSpacing w:val="0"/>
        <w:rPr>
          <w:rFonts w:cstheme="minorHAnsi"/>
          <w:b/>
          <w:bCs/>
          <w:szCs w:val="24"/>
        </w:rPr>
      </w:pPr>
      <w:r w:rsidRPr="00337C85">
        <w:rPr>
          <w:rFonts w:cstheme="minorHAnsi"/>
          <w:b/>
          <w:bCs/>
          <w:szCs w:val="24"/>
        </w:rPr>
        <w:t>Remote participation</w:t>
      </w:r>
    </w:p>
    <w:p w14:paraId="0301B7C8" w14:textId="77777777" w:rsidR="00337C85" w:rsidRPr="00337C85" w:rsidRDefault="00337C85" w:rsidP="00337C85">
      <w:pPr>
        <w:spacing w:after="120"/>
        <w:rPr>
          <w:rFonts w:cstheme="minorHAnsi"/>
          <w:szCs w:val="24"/>
        </w:rPr>
      </w:pPr>
      <w:r w:rsidRPr="00337C85">
        <w:rPr>
          <w:rFonts w:cstheme="minorHAnsi"/>
          <w:szCs w:val="24"/>
        </w:rPr>
        <w:t xml:space="preserve">The Telecommunication Standardization Advisory Group (TSAG) representative on remote participation presented a document </w:t>
      </w:r>
      <w:hyperlink r:id="rId23" w:history="1">
        <w:r w:rsidRPr="00337C85">
          <w:rPr>
            <w:rStyle w:val="Hyperlink"/>
            <w:rFonts w:cstheme="minorHAnsi"/>
            <w:szCs w:val="24"/>
          </w:rPr>
          <w:t>ISCG/23-1/04</w:t>
        </w:r>
      </w:hyperlink>
      <w:r w:rsidRPr="00337C85">
        <w:rPr>
          <w:rFonts w:cstheme="minorHAnsi"/>
          <w:szCs w:val="24"/>
        </w:rPr>
        <w:t xml:space="preserve"> on updates from the past year. The document informs that Supplement 4 to ITU T A-series of Recommendations, detailing guidance on remote participation, has been revised. The complete text can be found on the Liaison Statement submitted by TSAG to the meeting (see </w:t>
      </w:r>
      <w:hyperlink r:id="rId24" w:history="1">
        <w:r w:rsidRPr="00337C85">
          <w:rPr>
            <w:rStyle w:val="Hyperlink"/>
            <w:rFonts w:cstheme="minorHAnsi"/>
            <w:szCs w:val="24"/>
          </w:rPr>
          <w:t>TSAG-LS03</w:t>
        </w:r>
      </w:hyperlink>
      <w:r w:rsidRPr="00337C85">
        <w:rPr>
          <w:rFonts w:cstheme="minorHAnsi"/>
          <w:szCs w:val="24"/>
        </w:rPr>
        <w:t>).</w:t>
      </w:r>
    </w:p>
    <w:p w14:paraId="73F4246F" w14:textId="77777777" w:rsidR="00337C85" w:rsidRPr="00337C85" w:rsidRDefault="00337C85" w:rsidP="00337C85">
      <w:pPr>
        <w:spacing w:after="120"/>
        <w:rPr>
          <w:rFonts w:cstheme="minorHAnsi"/>
          <w:szCs w:val="24"/>
        </w:rPr>
      </w:pPr>
      <w:r w:rsidRPr="00337C85">
        <w:rPr>
          <w:rFonts w:cstheme="minorHAnsi"/>
          <w:szCs w:val="24"/>
        </w:rPr>
        <w:t>The meeting agreed that the ISCG sent out a Liaison Statement to the Sectors inviting to share the rules that they have on governance and management of virtual meetings to try and identify an agreed common best practice in the short term and that such information is provided to Council to assist them in their deliberations as stated in PP-Resolution 167 (Rev. Bucharest, 2022) to develop a Union wide common approach in the longer term. It was also agreed to appoint Mr Philip Rushton as the contact person.</w:t>
      </w:r>
    </w:p>
    <w:p w14:paraId="782699AE" w14:textId="77777777" w:rsidR="00337C85" w:rsidRPr="00337C85" w:rsidRDefault="00337C85" w:rsidP="00337C85">
      <w:pPr>
        <w:spacing w:after="120"/>
        <w:rPr>
          <w:rFonts w:cstheme="minorHAnsi"/>
          <w:szCs w:val="24"/>
        </w:rPr>
      </w:pPr>
      <w:r w:rsidRPr="00337C85">
        <w:rPr>
          <w:rFonts w:cstheme="minorHAnsi"/>
          <w:szCs w:val="24"/>
        </w:rPr>
        <w:t>The Liaison Statement to be submitted by the ISCG is presented as Annex 1 to this report.</w:t>
      </w:r>
    </w:p>
    <w:p w14:paraId="7BE29394" w14:textId="77777777" w:rsidR="00337C85" w:rsidRPr="00337C85" w:rsidRDefault="00337C85" w:rsidP="00337C85">
      <w:pPr>
        <w:pStyle w:val="ListParagraph"/>
        <w:numPr>
          <w:ilvl w:val="2"/>
          <w:numId w:val="8"/>
        </w:numPr>
        <w:tabs>
          <w:tab w:val="clear" w:pos="1134"/>
          <w:tab w:val="clear" w:pos="1871"/>
          <w:tab w:val="clear" w:pos="2268"/>
          <w:tab w:val="left" w:pos="567"/>
          <w:tab w:val="left" w:pos="1191"/>
          <w:tab w:val="left" w:pos="1588"/>
          <w:tab w:val="left" w:pos="1985"/>
        </w:tabs>
        <w:spacing w:after="120"/>
        <w:contextualSpacing w:val="0"/>
        <w:rPr>
          <w:rFonts w:cstheme="minorHAnsi"/>
          <w:b/>
          <w:bCs/>
          <w:szCs w:val="24"/>
        </w:rPr>
      </w:pPr>
      <w:r w:rsidRPr="00337C85">
        <w:rPr>
          <w:rFonts w:cstheme="minorHAnsi"/>
          <w:b/>
          <w:bCs/>
          <w:szCs w:val="24"/>
        </w:rPr>
        <w:t>Contributions received</w:t>
      </w:r>
    </w:p>
    <w:p w14:paraId="3E44A035" w14:textId="77777777" w:rsidR="00337C85" w:rsidRPr="00337C85" w:rsidRDefault="00337C85" w:rsidP="00337C85">
      <w:pPr>
        <w:spacing w:after="120"/>
        <w:rPr>
          <w:rFonts w:cstheme="minorHAnsi"/>
          <w:szCs w:val="24"/>
        </w:rPr>
      </w:pPr>
      <w:r w:rsidRPr="00337C85">
        <w:rPr>
          <w:rFonts w:cstheme="minorHAnsi"/>
          <w:szCs w:val="24"/>
        </w:rPr>
        <w:t xml:space="preserve">The Russian Federation presented document </w:t>
      </w:r>
      <w:hyperlink r:id="rId25" w:history="1">
        <w:r w:rsidRPr="00337C85">
          <w:rPr>
            <w:rStyle w:val="Hyperlink"/>
            <w:rFonts w:cstheme="minorHAnsi"/>
            <w:szCs w:val="24"/>
          </w:rPr>
          <w:t>ISCG/23-1/03</w:t>
        </w:r>
      </w:hyperlink>
      <w:r w:rsidRPr="00337C85">
        <w:rPr>
          <w:rFonts w:cstheme="minorHAnsi"/>
          <w:szCs w:val="24"/>
        </w:rPr>
        <w:t xml:space="preserve"> with the following proposal:</w:t>
      </w:r>
    </w:p>
    <w:p w14:paraId="69C2EC70"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To encourage the secretariat to accelerate work on the harmonization of the ITU Sectors' websites to ensure clarity, ease of navigation and an image of One ITU, using the six official languages of the Union on an equal footing;</w:t>
      </w:r>
    </w:p>
    <w:p w14:paraId="75F5870F"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To add the link of the ISCG website to the ITU homepage;</w:t>
      </w:r>
    </w:p>
    <w:p w14:paraId="674B4CBF"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To draw to the attention of the Coordination Committee and the Intersectoral Coordination Mechanism the concern about the ITU searching system;</w:t>
      </w:r>
    </w:p>
    <w:p w14:paraId="4ECC36CB"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To request the secretariat to submit information on the harmonization of the websites and on the ITU searching system to the following meeting of the ISCG.</w:t>
      </w:r>
    </w:p>
    <w:p w14:paraId="0B5EE9CF" w14:textId="77777777" w:rsidR="00337C85" w:rsidRPr="00337C85" w:rsidRDefault="00337C85" w:rsidP="00337C85">
      <w:pPr>
        <w:spacing w:after="120"/>
        <w:rPr>
          <w:rFonts w:cstheme="minorHAnsi"/>
          <w:szCs w:val="24"/>
        </w:rPr>
      </w:pPr>
      <w:r w:rsidRPr="00337C85">
        <w:rPr>
          <w:rFonts w:cstheme="minorHAnsi"/>
          <w:szCs w:val="24"/>
        </w:rPr>
        <w:t>The ISCG agreed on the proposal to be included in the report and to request the ITU secretariat to inform to the next ISCG meeting.</w:t>
      </w:r>
    </w:p>
    <w:p w14:paraId="533C586E" w14:textId="77777777" w:rsidR="00337C85" w:rsidRPr="00337C85" w:rsidRDefault="00337C85" w:rsidP="00337C85">
      <w:pPr>
        <w:spacing w:after="120"/>
        <w:rPr>
          <w:rFonts w:cstheme="minorHAnsi"/>
          <w:szCs w:val="24"/>
        </w:rPr>
      </w:pPr>
      <w:r w:rsidRPr="00337C85">
        <w:rPr>
          <w:rFonts w:cstheme="minorHAnsi"/>
          <w:szCs w:val="24"/>
        </w:rPr>
        <w:t xml:space="preserve">Another contribution was presented by Kenya and ATDI (document </w:t>
      </w:r>
      <w:hyperlink r:id="rId26" w:history="1">
        <w:r w:rsidRPr="00337C85">
          <w:rPr>
            <w:rStyle w:val="Hyperlink"/>
            <w:rFonts w:cstheme="minorHAnsi"/>
            <w:szCs w:val="24"/>
          </w:rPr>
          <w:t>ISCG/23-1/08</w:t>
        </w:r>
      </w:hyperlink>
      <w:r w:rsidRPr="00337C85">
        <w:rPr>
          <w:rFonts w:cstheme="minorHAnsi"/>
          <w:szCs w:val="24"/>
        </w:rPr>
        <w:t>), on the implementation of WTDC-Resolution 9, and the collaboration needed between ITU-R and ITU-D. This document was also submitted to RAG, TDAG and the Rapporteur Groups on ITU-D Questions 1/1, 2/1, 4/1, 5/1, 1/2 and 7/2.</w:t>
      </w:r>
    </w:p>
    <w:p w14:paraId="4D195092" w14:textId="77777777" w:rsidR="00337C85" w:rsidRPr="00337C85" w:rsidRDefault="00337C85" w:rsidP="00337C85">
      <w:pPr>
        <w:spacing w:after="120"/>
        <w:rPr>
          <w:rFonts w:cstheme="minorHAnsi"/>
          <w:szCs w:val="24"/>
        </w:rPr>
      </w:pPr>
      <w:r w:rsidRPr="00337C85">
        <w:rPr>
          <w:rFonts w:cstheme="minorHAnsi"/>
          <w:szCs w:val="24"/>
        </w:rPr>
        <w:t>The ISCG noted the proposal and requested the proponents to have further consultations with other stakeholders and to present a contribution proposing guidelines on the way forward to the next ISCG meeting.</w:t>
      </w:r>
    </w:p>
    <w:p w14:paraId="5F34DE5C" w14:textId="77777777" w:rsidR="00337C85" w:rsidRPr="00337C85" w:rsidRDefault="00337C85" w:rsidP="00337C85">
      <w:pPr>
        <w:pStyle w:val="ListParagraph"/>
        <w:keepNext/>
        <w:numPr>
          <w:ilvl w:val="2"/>
          <w:numId w:val="8"/>
        </w:numPr>
        <w:tabs>
          <w:tab w:val="clear" w:pos="1134"/>
          <w:tab w:val="clear" w:pos="1871"/>
          <w:tab w:val="clear" w:pos="2268"/>
          <w:tab w:val="left" w:pos="567"/>
          <w:tab w:val="left" w:pos="1191"/>
          <w:tab w:val="left" w:pos="1588"/>
          <w:tab w:val="left" w:pos="1985"/>
        </w:tabs>
        <w:spacing w:after="120"/>
        <w:contextualSpacing w:val="0"/>
        <w:rPr>
          <w:rFonts w:cstheme="minorHAnsi"/>
          <w:b/>
          <w:bCs/>
          <w:szCs w:val="24"/>
        </w:rPr>
      </w:pPr>
      <w:r w:rsidRPr="00337C85">
        <w:rPr>
          <w:rFonts w:cstheme="minorHAnsi"/>
          <w:b/>
          <w:bCs/>
          <w:szCs w:val="24"/>
        </w:rPr>
        <w:t>Possible Future Themes</w:t>
      </w:r>
    </w:p>
    <w:p w14:paraId="0A4349CA" w14:textId="77777777" w:rsidR="00337C85" w:rsidRPr="00337C85" w:rsidRDefault="00337C85" w:rsidP="00337C85">
      <w:pPr>
        <w:spacing w:after="120"/>
        <w:rPr>
          <w:rFonts w:cstheme="minorHAnsi"/>
          <w:szCs w:val="24"/>
        </w:rPr>
      </w:pPr>
      <w:r w:rsidRPr="00337C85">
        <w:rPr>
          <w:rFonts w:cstheme="minorHAnsi"/>
          <w:szCs w:val="24"/>
        </w:rPr>
        <w:t>There were two themes mentioned to be considered by the ISCG:</w:t>
      </w:r>
    </w:p>
    <w:p w14:paraId="5272801B"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Bridging the Digital Divide</w:t>
      </w:r>
    </w:p>
    <w:p w14:paraId="0DA96EB8"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ITU website harmonization</w:t>
      </w:r>
    </w:p>
    <w:p w14:paraId="38093354" w14:textId="77777777" w:rsidR="00337C85" w:rsidRPr="00337C85" w:rsidRDefault="00337C85" w:rsidP="00337C85">
      <w:pPr>
        <w:spacing w:after="120"/>
        <w:rPr>
          <w:rFonts w:cstheme="minorHAnsi"/>
          <w:szCs w:val="24"/>
        </w:rPr>
      </w:pPr>
      <w:r w:rsidRPr="00337C85">
        <w:rPr>
          <w:rFonts w:cstheme="minorHAnsi"/>
          <w:szCs w:val="24"/>
        </w:rPr>
        <w:t>The ISCG Chairperson invited the members to submit contributions to the next meeting on all themes they would like the ISCG to discuss, and to present proposals to improve coordination and collaboration between the three Sectors and the General Secretariat.</w:t>
      </w:r>
    </w:p>
    <w:p w14:paraId="10C9D061" w14:textId="77777777" w:rsidR="00337C85" w:rsidRPr="00337C85" w:rsidRDefault="00337C85" w:rsidP="00337C85">
      <w:pPr>
        <w:pStyle w:val="ListParagraph"/>
        <w:numPr>
          <w:ilvl w:val="2"/>
          <w:numId w:val="8"/>
        </w:numPr>
        <w:tabs>
          <w:tab w:val="clear" w:pos="1134"/>
          <w:tab w:val="clear" w:pos="1871"/>
          <w:tab w:val="clear" w:pos="2268"/>
          <w:tab w:val="left" w:pos="567"/>
          <w:tab w:val="left" w:pos="1191"/>
          <w:tab w:val="left" w:pos="1588"/>
          <w:tab w:val="left" w:pos="1985"/>
        </w:tabs>
        <w:spacing w:after="120"/>
        <w:rPr>
          <w:rFonts w:cstheme="minorHAnsi"/>
          <w:b/>
          <w:bCs/>
          <w:szCs w:val="24"/>
        </w:rPr>
      </w:pPr>
      <w:r w:rsidRPr="00337C85">
        <w:rPr>
          <w:rFonts w:cstheme="minorHAnsi"/>
          <w:b/>
          <w:bCs/>
          <w:szCs w:val="24"/>
        </w:rPr>
        <w:t>ISCG Terms of Reference</w:t>
      </w:r>
    </w:p>
    <w:p w14:paraId="294BE0DF" w14:textId="77777777" w:rsidR="00337C85" w:rsidRPr="00337C85" w:rsidRDefault="00337C85" w:rsidP="00337C85">
      <w:pPr>
        <w:spacing w:after="120"/>
        <w:rPr>
          <w:rFonts w:cstheme="minorHAnsi"/>
          <w:szCs w:val="24"/>
        </w:rPr>
      </w:pPr>
      <w:r w:rsidRPr="00337C85">
        <w:rPr>
          <w:rFonts w:cstheme="minorHAnsi"/>
          <w:szCs w:val="24"/>
        </w:rPr>
        <w:t xml:space="preserve">The ISCG agreed to update the </w:t>
      </w:r>
      <w:hyperlink r:id="rId27" w:history="1">
        <w:r w:rsidRPr="00337C85">
          <w:rPr>
            <w:rStyle w:val="Hyperlink"/>
            <w:rFonts w:cstheme="minorHAnsi"/>
            <w:szCs w:val="24"/>
          </w:rPr>
          <w:t>Terms of Reference</w:t>
        </w:r>
      </w:hyperlink>
      <w:r w:rsidRPr="00337C85">
        <w:rPr>
          <w:rFonts w:cstheme="minorHAnsi"/>
          <w:szCs w:val="24"/>
        </w:rPr>
        <w:t xml:space="preserve"> with the new representatives appointed by TSAG and TDAG, as well as with the revised Resolutions from the Plenipotentiary Conference (PP-22), WTSA-22 and WTDC-22.</w:t>
      </w:r>
    </w:p>
    <w:p w14:paraId="5EFE975D" w14:textId="77777777"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fr-FR"/>
        </w:rPr>
      </w:pPr>
      <w:bookmarkStart w:id="8" w:name="_Toc22116965"/>
      <w:r w:rsidRPr="00337C85">
        <w:rPr>
          <w:rFonts w:cstheme="minorHAnsi"/>
          <w:b/>
          <w:bCs/>
          <w:szCs w:val="24"/>
          <w:lang w:val="fr-FR"/>
        </w:rPr>
        <w:t>Mapping Tables</w:t>
      </w:r>
    </w:p>
    <w:p w14:paraId="6801A825" w14:textId="77777777" w:rsidR="00337C85" w:rsidRPr="00337C85" w:rsidRDefault="00337C85" w:rsidP="00337C85">
      <w:pPr>
        <w:spacing w:after="120"/>
        <w:rPr>
          <w:rFonts w:cstheme="minorHAnsi"/>
          <w:szCs w:val="24"/>
        </w:rPr>
      </w:pPr>
      <w:r w:rsidRPr="00337C85">
        <w:rPr>
          <w:rFonts w:cstheme="minorHAnsi"/>
          <w:szCs w:val="24"/>
        </w:rPr>
        <w:t xml:space="preserve">The Secretariat informed that the </w:t>
      </w:r>
      <w:hyperlink r:id="rId28" w:history="1">
        <w:r w:rsidRPr="00337C85">
          <w:rPr>
            <w:rStyle w:val="Hyperlink"/>
            <w:rFonts w:cstheme="minorHAnsi"/>
            <w:szCs w:val="24"/>
          </w:rPr>
          <w:t>Mapping of Resolutions</w:t>
        </w:r>
      </w:hyperlink>
      <w:r w:rsidRPr="00337C85">
        <w:rPr>
          <w:rFonts w:cstheme="minorHAnsi"/>
          <w:szCs w:val="24"/>
        </w:rPr>
        <w:t xml:space="preserve"> was updated after PP-22 and can be found on the ISCG website. </w:t>
      </w:r>
    </w:p>
    <w:p w14:paraId="229C79B8" w14:textId="77777777" w:rsidR="00337C85" w:rsidRPr="00337C85" w:rsidRDefault="0047681D" w:rsidP="00337C85">
      <w:pPr>
        <w:spacing w:after="120"/>
        <w:rPr>
          <w:rFonts w:cstheme="minorHAnsi"/>
          <w:szCs w:val="24"/>
        </w:rPr>
      </w:pPr>
      <w:hyperlink r:id="rId29" w:history="1">
        <w:r w:rsidR="00337C85" w:rsidRPr="00337C85">
          <w:rPr>
            <w:rStyle w:val="Hyperlink"/>
            <w:rFonts w:cstheme="minorHAnsi"/>
            <w:szCs w:val="24"/>
          </w:rPr>
          <w:t>Table 1</w:t>
        </w:r>
      </w:hyperlink>
      <w:r w:rsidR="00337C85" w:rsidRPr="00337C85">
        <w:rPr>
          <w:rFonts w:cstheme="minorHAnsi"/>
          <w:szCs w:val="24"/>
        </w:rPr>
        <w:t xml:space="preserve"> (mapping ITU-R and ITU-D), and </w:t>
      </w:r>
      <w:hyperlink r:id="rId30" w:history="1">
        <w:r w:rsidR="00337C85" w:rsidRPr="00337C85">
          <w:rPr>
            <w:rStyle w:val="Hyperlink"/>
            <w:rFonts w:cstheme="minorHAnsi"/>
            <w:szCs w:val="24"/>
          </w:rPr>
          <w:t>Table 2</w:t>
        </w:r>
      </w:hyperlink>
      <w:r w:rsidR="00337C85" w:rsidRPr="00337C85">
        <w:rPr>
          <w:rFonts w:cstheme="minorHAnsi"/>
          <w:szCs w:val="24"/>
        </w:rPr>
        <w:t xml:space="preserve"> (mapping ITU-R and ITU-T) were revised by ITU-T and ITU-D and will be posted on the website, noting that ITU-R will need to review both tables once the World Radiocommunication Conference be concluded by end 2023.</w:t>
      </w:r>
    </w:p>
    <w:p w14:paraId="67F65F5C" w14:textId="77777777" w:rsidR="00337C85" w:rsidRPr="00337C85" w:rsidRDefault="00337C85" w:rsidP="00337C85">
      <w:pPr>
        <w:spacing w:after="120"/>
        <w:rPr>
          <w:rFonts w:cstheme="minorHAnsi"/>
          <w:szCs w:val="24"/>
        </w:rPr>
      </w:pPr>
      <w:r w:rsidRPr="00337C85">
        <w:rPr>
          <w:rFonts w:cstheme="minorHAnsi"/>
          <w:szCs w:val="24"/>
        </w:rPr>
        <w:t>Table 3 (mapping ITU-T and ITU-D) will continue to be discussed by the Sectors and an agreed version will be presented to the next ISCG meeting.</w:t>
      </w:r>
    </w:p>
    <w:p w14:paraId="71B52C41" w14:textId="77777777"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fr-FR"/>
        </w:rPr>
      </w:pPr>
      <w:r w:rsidRPr="00337C85">
        <w:rPr>
          <w:rFonts w:cstheme="minorHAnsi"/>
          <w:b/>
          <w:bCs/>
          <w:szCs w:val="24"/>
          <w:lang w:val="fr-FR"/>
        </w:rPr>
        <w:t xml:space="preserve">Future </w:t>
      </w:r>
      <w:proofErr w:type="spellStart"/>
      <w:r w:rsidRPr="00337C85">
        <w:rPr>
          <w:rFonts w:cstheme="minorHAnsi"/>
          <w:b/>
          <w:bCs/>
          <w:szCs w:val="24"/>
          <w:lang w:val="fr-FR"/>
        </w:rPr>
        <w:t>activities</w:t>
      </w:r>
      <w:proofErr w:type="spellEnd"/>
    </w:p>
    <w:p w14:paraId="4E6F9FAA" w14:textId="77777777" w:rsidR="00337C85" w:rsidRPr="00337C85" w:rsidRDefault="00337C85" w:rsidP="00337C85">
      <w:pPr>
        <w:spacing w:after="120"/>
        <w:rPr>
          <w:rFonts w:cstheme="minorHAnsi"/>
          <w:szCs w:val="24"/>
        </w:rPr>
      </w:pPr>
      <w:bookmarkStart w:id="9" w:name="_Hlk96717466"/>
      <w:r w:rsidRPr="00337C85">
        <w:rPr>
          <w:rFonts w:cstheme="minorHAnsi"/>
          <w:szCs w:val="24"/>
        </w:rPr>
        <w:t>The ISCG Chairman will provide an oral report to RAG, including relevant issues discussed during this meeting of the ISCG</w:t>
      </w:r>
      <w:bookmarkEnd w:id="9"/>
      <w:r w:rsidRPr="00337C85">
        <w:rPr>
          <w:rFonts w:cstheme="minorHAnsi"/>
          <w:szCs w:val="24"/>
        </w:rPr>
        <w:t>.</w:t>
      </w:r>
    </w:p>
    <w:p w14:paraId="2B4D25E2" w14:textId="77777777" w:rsidR="00337C85" w:rsidRPr="00337C85" w:rsidRDefault="00337C85" w:rsidP="00337C85">
      <w:pPr>
        <w:spacing w:after="120"/>
        <w:rPr>
          <w:rFonts w:cstheme="minorHAnsi"/>
          <w:szCs w:val="24"/>
        </w:rPr>
      </w:pPr>
      <w:r w:rsidRPr="00337C85">
        <w:rPr>
          <w:rFonts w:cstheme="minorHAnsi"/>
          <w:szCs w:val="24"/>
        </w:rPr>
        <w:t>Reports will be presented to TSAG and TDAG during their respective meetings in June 2023.</w:t>
      </w:r>
    </w:p>
    <w:p w14:paraId="49B322DF" w14:textId="77777777" w:rsidR="00337C85" w:rsidRPr="00337C85" w:rsidRDefault="00337C85" w:rsidP="00337C85">
      <w:pPr>
        <w:spacing w:after="120"/>
        <w:rPr>
          <w:rFonts w:cstheme="minorHAnsi"/>
          <w:szCs w:val="24"/>
        </w:rPr>
      </w:pPr>
      <w:r w:rsidRPr="00337C85">
        <w:rPr>
          <w:rFonts w:cstheme="minorHAnsi"/>
          <w:szCs w:val="24"/>
        </w:rPr>
        <w:t>The ISCG updates will be also submitted to Council 2023 in the framework of the implementation of PP-Resolution 191 (Rev. Bucharest, 2022).</w:t>
      </w:r>
    </w:p>
    <w:p w14:paraId="784DA1B2" w14:textId="77777777" w:rsidR="00337C85" w:rsidRPr="00337C85" w:rsidRDefault="00337C85" w:rsidP="00337C85">
      <w:pPr>
        <w:pStyle w:val="default-style"/>
        <w:spacing w:before="120" w:beforeAutospacing="0" w:after="120" w:afterAutospacing="0"/>
        <w:rPr>
          <w:rFonts w:asciiTheme="minorHAnsi" w:eastAsia="Times New Roman" w:hAnsiTheme="minorHAnsi" w:cstheme="minorHAnsi"/>
          <w:sz w:val="24"/>
          <w:szCs w:val="24"/>
          <w:lang w:eastAsia="en-US"/>
        </w:rPr>
      </w:pPr>
      <w:r w:rsidRPr="00337C85">
        <w:rPr>
          <w:rFonts w:asciiTheme="minorHAnsi" w:eastAsia="Times New Roman" w:hAnsiTheme="minorHAnsi" w:cstheme="minorHAnsi"/>
          <w:sz w:val="24"/>
          <w:szCs w:val="24"/>
          <w:lang w:eastAsia="en-US"/>
        </w:rPr>
        <w:t>The ISCG decided that a meeting will be scheduled for the second half of 2023, in October. Date to be confirmed after consultations with the ISCG Management Team.</w:t>
      </w:r>
    </w:p>
    <w:p w14:paraId="55411DF4" w14:textId="77777777"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fr-FR"/>
        </w:rPr>
      </w:pPr>
      <w:proofErr w:type="spellStart"/>
      <w:r w:rsidRPr="00337C85">
        <w:rPr>
          <w:rFonts w:cstheme="minorHAnsi"/>
          <w:b/>
          <w:bCs/>
          <w:szCs w:val="24"/>
          <w:lang w:val="fr-FR"/>
        </w:rPr>
        <w:t>Closure</w:t>
      </w:r>
      <w:proofErr w:type="spellEnd"/>
      <w:r w:rsidRPr="00337C85">
        <w:rPr>
          <w:rFonts w:cstheme="minorHAnsi"/>
          <w:b/>
          <w:bCs/>
          <w:szCs w:val="24"/>
          <w:lang w:val="fr-FR"/>
        </w:rPr>
        <w:t xml:space="preserve"> of the meeting</w:t>
      </w:r>
      <w:bookmarkEnd w:id="8"/>
    </w:p>
    <w:p w14:paraId="3E26EFE2" w14:textId="77777777" w:rsidR="00337C85" w:rsidRPr="00337C85" w:rsidRDefault="00337C85" w:rsidP="00337C85">
      <w:pPr>
        <w:spacing w:after="120"/>
        <w:rPr>
          <w:rFonts w:cstheme="minorHAnsi"/>
          <w:szCs w:val="24"/>
        </w:rPr>
      </w:pPr>
      <w:r w:rsidRPr="00337C85">
        <w:rPr>
          <w:rFonts w:cstheme="minorHAnsi"/>
          <w:szCs w:val="24"/>
        </w:rPr>
        <w:t xml:space="preserve">Mr Fabio </w:t>
      </w:r>
      <w:proofErr w:type="spellStart"/>
      <w:r w:rsidRPr="00337C85">
        <w:rPr>
          <w:rFonts w:cstheme="minorHAnsi"/>
          <w:szCs w:val="24"/>
        </w:rPr>
        <w:t>Bigi</w:t>
      </w:r>
      <w:proofErr w:type="spellEnd"/>
      <w:r w:rsidRPr="00337C85">
        <w:rPr>
          <w:rFonts w:cstheme="minorHAnsi"/>
          <w:szCs w:val="24"/>
        </w:rPr>
        <w:t xml:space="preserve">, Chairperson of the ISCG thanked the Chairperson of RAG, and the representatives from the three Sectors, and all the participants for their support. </w:t>
      </w:r>
    </w:p>
    <w:p w14:paraId="76CD8D8F" w14:textId="77777777" w:rsidR="00337C85" w:rsidRPr="00337C85" w:rsidRDefault="00337C85" w:rsidP="00337C85">
      <w:pPr>
        <w:spacing w:after="120"/>
        <w:rPr>
          <w:rFonts w:cstheme="minorHAnsi"/>
          <w:szCs w:val="24"/>
        </w:rPr>
      </w:pPr>
      <w:r w:rsidRPr="00337C85">
        <w:rPr>
          <w:rFonts w:cstheme="minorHAnsi"/>
          <w:szCs w:val="24"/>
        </w:rPr>
        <w:t>The Chairperson also extended his appreciation to the Secretariat for the assistance in preparing the meeting.</w:t>
      </w:r>
    </w:p>
    <w:p w14:paraId="7A64A27E" w14:textId="77777777" w:rsidR="00337C85" w:rsidRDefault="00337C85">
      <w:pPr>
        <w:tabs>
          <w:tab w:val="clear" w:pos="794"/>
          <w:tab w:val="clear" w:pos="1191"/>
          <w:tab w:val="clear" w:pos="1588"/>
          <w:tab w:val="clear" w:pos="1985"/>
        </w:tabs>
        <w:overflowPunct/>
        <w:autoSpaceDE/>
        <w:autoSpaceDN/>
        <w:adjustRightInd/>
        <w:spacing w:before="0"/>
        <w:textAlignment w:val="auto"/>
        <w:rPr>
          <w:rFonts w:cstheme="minorHAnsi"/>
          <w:szCs w:val="24"/>
        </w:rPr>
      </w:pPr>
      <w:r>
        <w:rPr>
          <w:rFonts w:cstheme="minorHAnsi"/>
          <w:szCs w:val="24"/>
        </w:rPr>
        <w:br w:type="page"/>
      </w:r>
    </w:p>
    <w:p w14:paraId="3A2BDA3C" w14:textId="00C400F0" w:rsidR="00337C85" w:rsidRPr="00337C85" w:rsidRDefault="00337C85" w:rsidP="00337C85">
      <w:pPr>
        <w:spacing w:after="120"/>
        <w:jc w:val="center"/>
        <w:rPr>
          <w:rFonts w:cstheme="minorHAnsi"/>
          <w:b/>
          <w:bCs/>
          <w:szCs w:val="24"/>
        </w:rPr>
      </w:pPr>
      <w:r w:rsidRPr="00337C85">
        <w:rPr>
          <w:rFonts w:cstheme="minorHAnsi"/>
          <w:b/>
          <w:bCs/>
          <w:szCs w:val="24"/>
        </w:rPr>
        <w:t>ANNEX 1</w:t>
      </w:r>
    </w:p>
    <w:p w14:paraId="3F5FF089" w14:textId="77777777" w:rsidR="00337C85" w:rsidRPr="00337C85" w:rsidRDefault="00337C85" w:rsidP="00337C85">
      <w:pPr>
        <w:tabs>
          <w:tab w:val="center" w:pos="7371"/>
        </w:tabs>
        <w:spacing w:after="120"/>
        <w:jc w:val="center"/>
        <w:rPr>
          <w:rFonts w:cstheme="minorHAnsi"/>
          <w:szCs w:val="24"/>
        </w:rPr>
      </w:pPr>
      <w:r w:rsidRPr="00337C85">
        <w:rPr>
          <w:rFonts w:cstheme="minorHAnsi"/>
          <w:b/>
          <w:bCs/>
          <w:szCs w:val="24"/>
        </w:rPr>
        <w:t>LIAISON STATEMENT</w:t>
      </w: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337C85" w:rsidRPr="00337C85" w14:paraId="62C6FB89" w14:textId="77777777" w:rsidTr="00495327">
        <w:trPr>
          <w:cantSplit/>
          <w:jc w:val="center"/>
        </w:trPr>
        <w:tc>
          <w:tcPr>
            <w:tcW w:w="1418" w:type="dxa"/>
          </w:tcPr>
          <w:p w14:paraId="42510740" w14:textId="77777777" w:rsidR="00337C85" w:rsidRPr="00337C85" w:rsidRDefault="00337C85" w:rsidP="00337C85">
            <w:pPr>
              <w:spacing w:after="120"/>
              <w:rPr>
                <w:rFonts w:cstheme="minorHAnsi"/>
                <w:b/>
                <w:bCs/>
                <w:szCs w:val="24"/>
              </w:rPr>
            </w:pPr>
            <w:r w:rsidRPr="00337C85">
              <w:rPr>
                <w:rFonts w:cstheme="minorHAnsi"/>
                <w:b/>
                <w:bCs/>
                <w:szCs w:val="24"/>
              </w:rPr>
              <w:t>Source:</w:t>
            </w:r>
          </w:p>
        </w:tc>
        <w:sdt>
          <w:sdtPr>
            <w:rPr>
              <w:rFonts w:cstheme="minorHAnsi"/>
              <w:szCs w:val="24"/>
            </w:rPr>
            <w:alias w:val="DocumentSource"/>
            <w:tag w:val="DocumentSource"/>
            <w:id w:val="770514636"/>
            <w:placeholder>
              <w:docPart w:val="C0FAC383865E47BE840F392BFA449D1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tcPr>
              <w:p w14:paraId="398FF56C" w14:textId="77777777" w:rsidR="00337C85" w:rsidRPr="00337C85" w:rsidRDefault="00337C85" w:rsidP="00337C85">
                <w:pPr>
                  <w:spacing w:after="120"/>
                  <w:rPr>
                    <w:rFonts w:cstheme="minorHAnsi"/>
                    <w:szCs w:val="24"/>
                  </w:rPr>
                </w:pPr>
                <w:r w:rsidRPr="00337C85">
                  <w:rPr>
                    <w:rFonts w:cstheme="minorHAnsi"/>
                    <w:szCs w:val="24"/>
                  </w:rPr>
                  <w:t>ISCG</w:t>
                </w:r>
              </w:p>
            </w:tc>
          </w:sdtContent>
        </w:sdt>
      </w:tr>
      <w:tr w:rsidR="00337C85" w:rsidRPr="00337C85" w14:paraId="75C37EA2" w14:textId="77777777" w:rsidTr="00495327">
        <w:trPr>
          <w:cantSplit/>
          <w:jc w:val="center"/>
        </w:trPr>
        <w:tc>
          <w:tcPr>
            <w:tcW w:w="1418" w:type="dxa"/>
          </w:tcPr>
          <w:p w14:paraId="06ACA5AB" w14:textId="77777777" w:rsidR="00337C85" w:rsidRPr="00337C85" w:rsidRDefault="00337C85" w:rsidP="00337C85">
            <w:pPr>
              <w:spacing w:after="120"/>
              <w:rPr>
                <w:rFonts w:cstheme="minorHAnsi"/>
                <w:szCs w:val="24"/>
              </w:rPr>
            </w:pPr>
            <w:r w:rsidRPr="00337C85">
              <w:rPr>
                <w:rFonts w:cstheme="minorHAnsi"/>
                <w:b/>
                <w:bCs/>
                <w:szCs w:val="24"/>
              </w:rPr>
              <w:t>Title:</w:t>
            </w:r>
          </w:p>
        </w:tc>
        <w:tc>
          <w:tcPr>
            <w:tcW w:w="8222" w:type="dxa"/>
          </w:tcPr>
          <w:p w14:paraId="285C3E01" w14:textId="77777777" w:rsidR="00337C85" w:rsidRPr="00337C85" w:rsidRDefault="00337C85" w:rsidP="00337C85">
            <w:pPr>
              <w:spacing w:after="120"/>
              <w:rPr>
                <w:rFonts w:cstheme="minorHAnsi"/>
                <w:szCs w:val="24"/>
              </w:rPr>
            </w:pPr>
            <w:r w:rsidRPr="00337C85">
              <w:rPr>
                <w:rFonts w:cstheme="minorHAnsi"/>
                <w:szCs w:val="24"/>
              </w:rPr>
              <w:t>LS on Governance and management of virtual meetings</w:t>
            </w:r>
          </w:p>
        </w:tc>
      </w:tr>
      <w:tr w:rsidR="00337C85" w:rsidRPr="00337C85" w14:paraId="239AB602" w14:textId="77777777" w:rsidTr="00495327">
        <w:trPr>
          <w:cantSplit/>
          <w:jc w:val="center"/>
        </w:trPr>
        <w:tc>
          <w:tcPr>
            <w:tcW w:w="1418" w:type="dxa"/>
          </w:tcPr>
          <w:p w14:paraId="67DDF79F" w14:textId="77777777" w:rsidR="00337C85" w:rsidRPr="00337C85" w:rsidRDefault="00337C85" w:rsidP="00337C85">
            <w:pPr>
              <w:spacing w:after="120"/>
              <w:rPr>
                <w:rFonts w:cstheme="minorHAnsi"/>
                <w:b/>
                <w:bCs/>
                <w:szCs w:val="24"/>
              </w:rPr>
            </w:pPr>
            <w:r w:rsidRPr="00337C85">
              <w:rPr>
                <w:rFonts w:cstheme="minorHAnsi"/>
                <w:b/>
                <w:bCs/>
                <w:szCs w:val="24"/>
              </w:rPr>
              <w:t>Purpose:</w:t>
            </w:r>
          </w:p>
        </w:tc>
        <w:tc>
          <w:tcPr>
            <w:tcW w:w="8222" w:type="dxa"/>
          </w:tcPr>
          <w:p w14:paraId="497188D2" w14:textId="77777777" w:rsidR="00337C85" w:rsidRPr="00337C85" w:rsidRDefault="00337C85" w:rsidP="00337C85">
            <w:pPr>
              <w:spacing w:after="120"/>
              <w:rPr>
                <w:rFonts w:cstheme="minorHAnsi"/>
                <w:szCs w:val="24"/>
              </w:rPr>
            </w:pPr>
            <w:r w:rsidRPr="00337C85">
              <w:rPr>
                <w:rFonts w:cstheme="minorHAnsi"/>
                <w:szCs w:val="24"/>
              </w:rPr>
              <w:t>Action</w:t>
            </w:r>
          </w:p>
        </w:tc>
      </w:tr>
    </w:tbl>
    <w:p w14:paraId="01453CC7" w14:textId="78D3C5D2" w:rsidR="00337C85" w:rsidRPr="00337C85" w:rsidRDefault="00337C85" w:rsidP="0097220C">
      <w:pPr>
        <w:pBdr>
          <w:top w:val="single" w:sz="4" w:space="1" w:color="auto"/>
        </w:pBdr>
        <w:tabs>
          <w:tab w:val="clear" w:pos="794"/>
          <w:tab w:val="clear" w:pos="1191"/>
          <w:tab w:val="clear" w:pos="1588"/>
          <w:tab w:val="clear" w:pos="1985"/>
          <w:tab w:val="left" w:pos="2552"/>
        </w:tabs>
        <w:spacing w:after="120"/>
        <w:rPr>
          <w:rFonts w:cstheme="minorHAnsi"/>
          <w:szCs w:val="24"/>
        </w:rPr>
      </w:pPr>
      <w:r w:rsidRPr="00337C85">
        <w:rPr>
          <w:rFonts w:cstheme="minorHAnsi"/>
          <w:b/>
          <w:bCs/>
          <w:szCs w:val="24"/>
        </w:rPr>
        <w:t xml:space="preserve"> For action to: </w:t>
      </w:r>
      <w:r w:rsidRPr="00337C85">
        <w:rPr>
          <w:rFonts w:cstheme="minorHAnsi"/>
          <w:b/>
          <w:bCs/>
          <w:szCs w:val="24"/>
        </w:rPr>
        <w:tab/>
      </w:r>
      <w:r w:rsidRPr="00337C85">
        <w:rPr>
          <w:rFonts w:cstheme="minorHAnsi"/>
          <w:szCs w:val="24"/>
        </w:rPr>
        <w:t>RAG, TDAG</w:t>
      </w:r>
    </w:p>
    <w:p w14:paraId="58394DCC" w14:textId="7F5FF9C5" w:rsidR="00337C85" w:rsidRPr="00337C85" w:rsidRDefault="00337C85" w:rsidP="0097220C">
      <w:pPr>
        <w:tabs>
          <w:tab w:val="clear" w:pos="794"/>
          <w:tab w:val="clear" w:pos="1191"/>
          <w:tab w:val="clear" w:pos="1588"/>
          <w:tab w:val="clear" w:pos="1985"/>
          <w:tab w:val="left" w:pos="2552"/>
        </w:tabs>
        <w:spacing w:after="120"/>
        <w:rPr>
          <w:rFonts w:cstheme="minorHAnsi"/>
          <w:b/>
          <w:bCs/>
          <w:szCs w:val="24"/>
        </w:rPr>
      </w:pPr>
      <w:r w:rsidRPr="00337C85">
        <w:rPr>
          <w:rFonts w:cstheme="minorHAnsi"/>
          <w:b/>
          <w:bCs/>
          <w:szCs w:val="24"/>
        </w:rPr>
        <w:t xml:space="preserve"> For comment to: </w:t>
      </w:r>
      <w:r w:rsidRPr="00337C85">
        <w:rPr>
          <w:rFonts w:cstheme="minorHAnsi"/>
          <w:b/>
          <w:bCs/>
          <w:szCs w:val="24"/>
        </w:rPr>
        <w:tab/>
      </w:r>
      <w:r w:rsidRPr="00337C85">
        <w:rPr>
          <w:rFonts w:cstheme="minorHAnsi"/>
          <w:szCs w:val="24"/>
        </w:rPr>
        <w:t>-</w:t>
      </w:r>
    </w:p>
    <w:p w14:paraId="296A6B18" w14:textId="4485CB4A" w:rsidR="00337C85" w:rsidRPr="00337C85" w:rsidRDefault="00337C85" w:rsidP="0097220C">
      <w:pPr>
        <w:tabs>
          <w:tab w:val="left" w:pos="2552"/>
        </w:tabs>
        <w:spacing w:after="120"/>
        <w:rPr>
          <w:rFonts w:cstheme="minorHAnsi"/>
          <w:b/>
          <w:bCs/>
          <w:szCs w:val="24"/>
        </w:rPr>
      </w:pPr>
      <w:r w:rsidRPr="00337C85">
        <w:rPr>
          <w:rFonts w:cstheme="minorHAnsi"/>
          <w:b/>
          <w:bCs/>
          <w:szCs w:val="24"/>
        </w:rPr>
        <w:t xml:space="preserve"> For information to: </w:t>
      </w:r>
      <w:r w:rsidR="0097220C">
        <w:rPr>
          <w:rFonts w:cstheme="minorHAnsi"/>
          <w:b/>
          <w:bCs/>
          <w:szCs w:val="24"/>
        </w:rPr>
        <w:tab/>
      </w:r>
      <w:r w:rsidRPr="00337C85">
        <w:rPr>
          <w:rFonts w:cstheme="minorHAnsi"/>
          <w:szCs w:val="24"/>
        </w:rPr>
        <w:t>TSAG</w:t>
      </w:r>
    </w:p>
    <w:p w14:paraId="729B50CE" w14:textId="4EEF832C" w:rsidR="00337C85" w:rsidRPr="00337C85" w:rsidRDefault="00337C85" w:rsidP="0097220C">
      <w:pPr>
        <w:tabs>
          <w:tab w:val="clear" w:pos="794"/>
          <w:tab w:val="clear" w:pos="1191"/>
          <w:tab w:val="clear" w:pos="1588"/>
          <w:tab w:val="clear" w:pos="1985"/>
          <w:tab w:val="left" w:pos="2552"/>
        </w:tabs>
        <w:spacing w:after="120"/>
        <w:rPr>
          <w:rFonts w:cstheme="minorHAnsi"/>
          <w:szCs w:val="24"/>
        </w:rPr>
      </w:pPr>
      <w:r w:rsidRPr="00337C85">
        <w:rPr>
          <w:rFonts w:cstheme="minorHAnsi"/>
          <w:b/>
          <w:bCs/>
          <w:szCs w:val="24"/>
        </w:rPr>
        <w:t xml:space="preserve"> Approval: </w:t>
      </w:r>
      <w:r w:rsidRPr="00337C85">
        <w:rPr>
          <w:rFonts w:cstheme="minorHAnsi"/>
          <w:b/>
          <w:bCs/>
          <w:szCs w:val="24"/>
        </w:rPr>
        <w:tab/>
      </w:r>
      <w:r w:rsidRPr="00337C85">
        <w:rPr>
          <w:rFonts w:cstheme="minorHAnsi"/>
          <w:szCs w:val="24"/>
        </w:rPr>
        <w:t>ISCG meeting (2 May 2023)</w:t>
      </w:r>
    </w:p>
    <w:p w14:paraId="4B77EDEA" w14:textId="55880620" w:rsidR="00337C85" w:rsidRPr="00337C85" w:rsidRDefault="00337C85" w:rsidP="0097220C">
      <w:pPr>
        <w:tabs>
          <w:tab w:val="clear" w:pos="794"/>
          <w:tab w:val="clear" w:pos="1191"/>
          <w:tab w:val="clear" w:pos="1588"/>
          <w:tab w:val="clear" w:pos="1985"/>
          <w:tab w:val="left" w:pos="2552"/>
        </w:tabs>
        <w:spacing w:after="120"/>
        <w:rPr>
          <w:rFonts w:cstheme="minorHAnsi"/>
          <w:szCs w:val="24"/>
        </w:rPr>
      </w:pPr>
      <w:r w:rsidRPr="00337C85">
        <w:rPr>
          <w:rFonts w:cstheme="minorHAnsi"/>
          <w:b/>
          <w:bCs/>
          <w:szCs w:val="24"/>
        </w:rPr>
        <w:t xml:space="preserve"> Deadline:</w:t>
      </w:r>
      <w:r w:rsidRPr="00337C85">
        <w:rPr>
          <w:rFonts w:cstheme="minorHAnsi"/>
          <w:b/>
          <w:bCs/>
          <w:szCs w:val="24"/>
        </w:rPr>
        <w:tab/>
      </w:r>
      <w:r w:rsidRPr="00337C85">
        <w:rPr>
          <w:rFonts w:cstheme="minorHAnsi"/>
          <w:szCs w:val="24"/>
        </w:rPr>
        <w:t>30 September 2023</w:t>
      </w:r>
    </w:p>
    <w:tbl>
      <w:tblPr>
        <w:tblW w:w="9935" w:type="dxa"/>
        <w:tblLayout w:type="fixed"/>
        <w:tblCellMar>
          <w:left w:w="57" w:type="dxa"/>
          <w:right w:w="57" w:type="dxa"/>
        </w:tblCellMar>
        <w:tblLook w:val="0000" w:firstRow="0" w:lastRow="0" w:firstColumn="0" w:lastColumn="0" w:noHBand="0" w:noVBand="0"/>
      </w:tblPr>
      <w:tblGrid>
        <w:gridCol w:w="1643"/>
        <w:gridCol w:w="9"/>
        <w:gridCol w:w="4359"/>
        <w:gridCol w:w="3912"/>
        <w:gridCol w:w="12"/>
      </w:tblGrid>
      <w:tr w:rsidR="00337C85" w:rsidRPr="0047681D" w14:paraId="13BDADAB" w14:textId="77777777" w:rsidTr="00337C85">
        <w:trPr>
          <w:gridAfter w:val="1"/>
          <w:wAfter w:w="12" w:type="dxa"/>
          <w:cantSplit/>
          <w:trHeight w:val="204"/>
        </w:trPr>
        <w:tc>
          <w:tcPr>
            <w:tcW w:w="1652" w:type="dxa"/>
            <w:gridSpan w:val="2"/>
            <w:tcBorders>
              <w:top w:val="single" w:sz="12" w:space="0" w:color="auto"/>
              <w:bottom w:val="single" w:sz="4" w:space="0" w:color="auto"/>
            </w:tcBorders>
          </w:tcPr>
          <w:p w14:paraId="52EF063E" w14:textId="77777777" w:rsidR="00337C85" w:rsidRPr="00337C85" w:rsidRDefault="00337C85" w:rsidP="00337C85">
            <w:pPr>
              <w:spacing w:after="120"/>
              <w:rPr>
                <w:rFonts w:cstheme="minorHAnsi"/>
                <w:b/>
                <w:bCs/>
                <w:szCs w:val="24"/>
              </w:rPr>
            </w:pPr>
            <w:r w:rsidRPr="00337C85">
              <w:rPr>
                <w:rFonts w:cstheme="minorHAnsi"/>
                <w:b/>
                <w:bCs/>
                <w:szCs w:val="24"/>
              </w:rPr>
              <w:t>Contact:</w:t>
            </w:r>
          </w:p>
        </w:tc>
        <w:tc>
          <w:tcPr>
            <w:tcW w:w="4359" w:type="dxa"/>
            <w:tcBorders>
              <w:top w:val="single" w:sz="12" w:space="0" w:color="auto"/>
              <w:bottom w:val="single" w:sz="4" w:space="0" w:color="auto"/>
            </w:tcBorders>
          </w:tcPr>
          <w:p w14:paraId="36CF695E" w14:textId="77777777" w:rsidR="00337C85" w:rsidRPr="00337C85" w:rsidRDefault="00337C85" w:rsidP="00337C85">
            <w:pPr>
              <w:spacing w:after="120"/>
              <w:rPr>
                <w:rFonts w:cstheme="minorHAnsi"/>
                <w:b/>
                <w:bCs/>
                <w:szCs w:val="24"/>
              </w:rPr>
            </w:pPr>
            <w:r w:rsidRPr="00337C85">
              <w:rPr>
                <w:rFonts w:cstheme="minorHAnsi"/>
                <w:szCs w:val="24"/>
              </w:rPr>
              <w:t>Phil Rushton</w:t>
            </w:r>
            <w:r w:rsidRPr="00337C85">
              <w:rPr>
                <w:rFonts w:cstheme="minorHAnsi"/>
                <w:b/>
                <w:bCs/>
                <w:szCs w:val="24"/>
              </w:rPr>
              <w:br/>
            </w:r>
            <w:r w:rsidRPr="00337C85">
              <w:rPr>
                <w:rFonts w:cstheme="minorHAnsi"/>
                <w:szCs w:val="24"/>
                <w:lang w:val="en-AU"/>
              </w:rPr>
              <w:t>TSAG Representative on remote participation</w:t>
            </w:r>
          </w:p>
        </w:tc>
        <w:tc>
          <w:tcPr>
            <w:tcW w:w="3912" w:type="dxa"/>
            <w:tcBorders>
              <w:top w:val="single" w:sz="12" w:space="0" w:color="auto"/>
              <w:bottom w:val="single" w:sz="4" w:space="0" w:color="auto"/>
            </w:tcBorders>
          </w:tcPr>
          <w:p w14:paraId="713EDD53" w14:textId="31B967A9" w:rsidR="00337C85" w:rsidRPr="00337C85" w:rsidRDefault="00337C85" w:rsidP="00337C85">
            <w:pPr>
              <w:spacing w:after="120"/>
              <w:rPr>
                <w:rFonts w:cstheme="minorHAnsi"/>
                <w:szCs w:val="24"/>
                <w:lang w:val="de-DE"/>
              </w:rPr>
            </w:pPr>
            <w:r w:rsidRPr="00337C85">
              <w:rPr>
                <w:rFonts w:cstheme="minorHAnsi"/>
                <w:b/>
                <w:bCs/>
                <w:szCs w:val="24"/>
                <w:lang w:val="de-DE"/>
              </w:rPr>
              <w:t xml:space="preserve">E-mail: </w:t>
            </w:r>
            <w:hyperlink r:id="rId31" w:history="1">
              <w:r w:rsidRPr="00337C85">
                <w:rPr>
                  <w:rStyle w:val="Hyperlink"/>
                  <w:rFonts w:cstheme="minorHAnsi"/>
                  <w:szCs w:val="24"/>
                  <w:lang w:val="de-DE"/>
                </w:rPr>
                <w:t>philrushton@rcc-uk.uk</w:t>
              </w:r>
            </w:hyperlink>
            <w:r w:rsidRPr="00337C85">
              <w:rPr>
                <w:rFonts w:cstheme="minorHAnsi"/>
                <w:szCs w:val="24"/>
                <w:lang w:val="fr-FR"/>
              </w:rPr>
              <w:t xml:space="preserve"> </w:t>
            </w:r>
            <w:hyperlink r:id="rId32" w:history="1">
              <w:r w:rsidRPr="00941B18">
                <w:rPr>
                  <w:rStyle w:val="Hyperlink"/>
                  <w:rFonts w:cstheme="minorHAnsi"/>
                  <w:szCs w:val="24"/>
                  <w:lang w:val="fr-FR"/>
                </w:rPr>
                <w:t>bruce.gracie@ericsson.com</w:t>
              </w:r>
            </w:hyperlink>
            <w:r>
              <w:rPr>
                <w:rFonts w:cstheme="minorHAnsi"/>
                <w:szCs w:val="24"/>
                <w:lang w:val="fr-FR"/>
              </w:rPr>
              <w:br/>
            </w:r>
            <w:hyperlink r:id="rId33" w:history="1">
              <w:r w:rsidRPr="00337C85">
                <w:rPr>
                  <w:rStyle w:val="Hyperlink"/>
                  <w:rFonts w:cstheme="minorHAnsi"/>
                  <w:szCs w:val="24"/>
                  <w:lang w:val="de-DE"/>
                </w:rPr>
                <w:t>iscg@itu.int</w:t>
              </w:r>
            </w:hyperlink>
            <w:r w:rsidRPr="00337C85">
              <w:rPr>
                <w:rFonts w:cstheme="minorHAnsi"/>
                <w:szCs w:val="24"/>
                <w:lang w:val="de-DE"/>
              </w:rPr>
              <w:t xml:space="preserve"> </w:t>
            </w:r>
          </w:p>
        </w:tc>
      </w:tr>
      <w:tr w:rsidR="00337C85" w:rsidRPr="00337C85" w14:paraId="67777CC9" w14:textId="77777777" w:rsidTr="00495327">
        <w:trPr>
          <w:cantSplit/>
          <w:trHeight w:val="489"/>
        </w:trPr>
        <w:tc>
          <w:tcPr>
            <w:tcW w:w="1643" w:type="dxa"/>
          </w:tcPr>
          <w:p w14:paraId="6EBC3DFA" w14:textId="77777777" w:rsidR="00337C85" w:rsidRPr="00337C85" w:rsidRDefault="00337C85" w:rsidP="00337C85">
            <w:pPr>
              <w:spacing w:after="120"/>
              <w:rPr>
                <w:rFonts w:cstheme="minorHAnsi"/>
                <w:b/>
                <w:bCs/>
                <w:szCs w:val="24"/>
              </w:rPr>
            </w:pPr>
            <w:r w:rsidRPr="00337C85">
              <w:rPr>
                <w:rFonts w:cstheme="minorHAnsi"/>
                <w:b/>
                <w:bCs/>
                <w:szCs w:val="24"/>
              </w:rPr>
              <w:t>Keywords:</w:t>
            </w:r>
          </w:p>
        </w:tc>
        <w:tc>
          <w:tcPr>
            <w:tcW w:w="8292" w:type="dxa"/>
            <w:gridSpan w:val="4"/>
          </w:tcPr>
          <w:p w14:paraId="46A29D40" w14:textId="77777777" w:rsidR="00337C85" w:rsidRPr="00337C85" w:rsidRDefault="00337C85" w:rsidP="00337C85">
            <w:pPr>
              <w:spacing w:after="120"/>
              <w:rPr>
                <w:rFonts w:cstheme="minorHAnsi"/>
                <w:szCs w:val="24"/>
              </w:rPr>
            </w:pPr>
            <w:r w:rsidRPr="00337C85">
              <w:rPr>
                <w:rFonts w:cstheme="minorHAnsi"/>
                <w:szCs w:val="24"/>
              </w:rPr>
              <w:t>Inter-Sector coordination; ISCG, Virtual meetings, Remote participation.</w:t>
            </w:r>
          </w:p>
        </w:tc>
      </w:tr>
      <w:tr w:rsidR="00337C85" w:rsidRPr="00337C85" w14:paraId="5E94DD6C" w14:textId="77777777" w:rsidTr="00495327">
        <w:trPr>
          <w:cantSplit/>
          <w:trHeight w:val="1094"/>
        </w:trPr>
        <w:tc>
          <w:tcPr>
            <w:tcW w:w="1643" w:type="dxa"/>
          </w:tcPr>
          <w:p w14:paraId="6DFB115E" w14:textId="77777777" w:rsidR="00337C85" w:rsidRPr="00337C85" w:rsidRDefault="00337C85" w:rsidP="00337C85">
            <w:pPr>
              <w:spacing w:after="120"/>
              <w:rPr>
                <w:rFonts w:cstheme="minorHAnsi"/>
                <w:b/>
                <w:bCs/>
                <w:szCs w:val="24"/>
              </w:rPr>
            </w:pPr>
            <w:r w:rsidRPr="00337C85">
              <w:rPr>
                <w:rFonts w:cstheme="minorHAnsi"/>
                <w:b/>
                <w:bCs/>
                <w:szCs w:val="24"/>
              </w:rPr>
              <w:t>Abstract:</w:t>
            </w:r>
          </w:p>
        </w:tc>
        <w:tc>
          <w:tcPr>
            <w:tcW w:w="8292" w:type="dxa"/>
            <w:gridSpan w:val="4"/>
          </w:tcPr>
          <w:p w14:paraId="53D647FF" w14:textId="77777777" w:rsidR="00337C85" w:rsidRPr="00337C85" w:rsidRDefault="00337C85" w:rsidP="00337C85">
            <w:pPr>
              <w:spacing w:after="120"/>
              <w:rPr>
                <w:rFonts w:cstheme="minorHAnsi"/>
                <w:szCs w:val="24"/>
              </w:rPr>
            </w:pPr>
            <w:r w:rsidRPr="00337C85">
              <w:rPr>
                <w:rFonts w:cstheme="minorHAnsi"/>
                <w:szCs w:val="24"/>
              </w:rPr>
              <w:t>The ISCG presents information on virtual meetings and request the Sectors advisory groups to share their procedures for the management of those meetings.</w:t>
            </w:r>
          </w:p>
        </w:tc>
      </w:tr>
    </w:tbl>
    <w:p w14:paraId="53EAB2D2" w14:textId="77777777" w:rsidR="00337C85" w:rsidRPr="00337C85" w:rsidRDefault="00337C85" w:rsidP="00337C85">
      <w:pPr>
        <w:spacing w:after="120"/>
        <w:rPr>
          <w:rFonts w:cstheme="minorHAnsi"/>
          <w:szCs w:val="24"/>
        </w:rPr>
      </w:pPr>
      <w:r w:rsidRPr="00337C85">
        <w:rPr>
          <w:rFonts w:cstheme="minorHAnsi"/>
          <w:szCs w:val="24"/>
        </w:rPr>
        <w:t xml:space="preserve">The Inter-Sector Coordination Group (ISCG) on issues of mutual interest would like to present to the attention of the Radiocommunication Advisory Groups (RAG) and the Telecommunication Development Advisory Group (TDAG) document </w:t>
      </w:r>
      <w:hyperlink r:id="rId34" w:history="1">
        <w:r w:rsidRPr="00337C85">
          <w:rPr>
            <w:rStyle w:val="Hyperlink"/>
            <w:rFonts w:cstheme="minorHAnsi"/>
            <w:szCs w:val="24"/>
          </w:rPr>
          <w:t>ISCG/23-1/04</w:t>
        </w:r>
      </w:hyperlink>
      <w:r w:rsidRPr="00337C85">
        <w:rPr>
          <w:rFonts w:cstheme="minorHAnsi"/>
          <w:szCs w:val="24"/>
        </w:rPr>
        <w:t xml:space="preserve"> presented, by the Telecommunication Standardization Advisory Group (TSAG) representative on remote participation, to the ISCG meeting on 2 May 2023.</w:t>
      </w:r>
    </w:p>
    <w:p w14:paraId="6DDAFA41" w14:textId="77777777" w:rsidR="00337C85" w:rsidRPr="00337C85" w:rsidRDefault="00337C85" w:rsidP="00337C85">
      <w:pPr>
        <w:spacing w:after="120"/>
        <w:rPr>
          <w:rFonts w:cstheme="minorHAnsi"/>
          <w:szCs w:val="24"/>
        </w:rPr>
      </w:pPr>
      <w:r w:rsidRPr="00337C85">
        <w:rPr>
          <w:rFonts w:cstheme="minorHAnsi"/>
          <w:szCs w:val="24"/>
        </w:rPr>
        <w:t xml:space="preserve">The ISCG would also like to share with RAG and TDAG the revised Supplement 4 to ITU-T A-series of Recommendations, </w:t>
      </w:r>
      <w:hyperlink r:id="rId35" w:history="1">
        <w:r w:rsidRPr="00337C85">
          <w:rPr>
            <w:rStyle w:val="Hyperlink"/>
            <w:rFonts w:cstheme="minorHAnsi"/>
            <w:szCs w:val="24"/>
          </w:rPr>
          <w:t>Supplement on Guidelines for remote participation</w:t>
        </w:r>
      </w:hyperlink>
      <w:r w:rsidRPr="00337C85">
        <w:rPr>
          <w:rFonts w:cstheme="minorHAnsi"/>
          <w:szCs w:val="24"/>
        </w:rPr>
        <w:t>.</w:t>
      </w:r>
    </w:p>
    <w:p w14:paraId="04BF72E6" w14:textId="77777777" w:rsidR="00337C85" w:rsidRPr="00337C85" w:rsidRDefault="00337C85" w:rsidP="00337C85">
      <w:pPr>
        <w:spacing w:after="120"/>
        <w:rPr>
          <w:rFonts w:cstheme="minorHAnsi"/>
          <w:szCs w:val="24"/>
        </w:rPr>
      </w:pPr>
      <w:r w:rsidRPr="00337C85">
        <w:rPr>
          <w:rFonts w:cstheme="minorHAnsi"/>
          <w:szCs w:val="24"/>
        </w:rPr>
        <w:t>The ISCG invites RAG and TDAG to share the rules that they have on governance and management of virtual meetings to try and identify an agreed common best practice to be provided to the ITU Council to assist them in their deliberations as stated in PP-Resolution 167 (Rev. Bucharest, 2022), to develop a Union wide common approach in the longer term.</w:t>
      </w:r>
    </w:p>
    <w:p w14:paraId="3FA78898" w14:textId="77777777" w:rsidR="00337C85" w:rsidRPr="00337C85" w:rsidRDefault="00337C85" w:rsidP="00337C85">
      <w:pPr>
        <w:tabs>
          <w:tab w:val="left" w:pos="0"/>
        </w:tabs>
        <w:spacing w:after="120"/>
        <w:rPr>
          <w:rFonts w:cstheme="minorHAnsi"/>
          <w:szCs w:val="24"/>
        </w:rPr>
      </w:pPr>
      <w:r w:rsidRPr="00337C85">
        <w:rPr>
          <w:rFonts w:cstheme="minorHAnsi"/>
          <w:szCs w:val="24"/>
        </w:rPr>
        <w:t>Looking forward to receiving your feedback, the ISCG thanks RAG and TDAG for its collaboration and contributions.</w:t>
      </w:r>
    </w:p>
    <w:p w14:paraId="7759C759" w14:textId="11008BBA" w:rsidR="00821996" w:rsidRDefault="003C58BF" w:rsidP="00C053DE">
      <w:pPr>
        <w:tabs>
          <w:tab w:val="clear" w:pos="794"/>
          <w:tab w:val="clear" w:pos="1191"/>
          <w:tab w:val="clear" w:pos="1588"/>
          <w:tab w:val="clear" w:pos="1985"/>
        </w:tabs>
        <w:spacing w:after="120"/>
        <w:jc w:val="center"/>
      </w:pPr>
      <w:r>
        <w:t>_____________</w:t>
      </w:r>
      <w:r w:rsidR="004122C5">
        <w:t>_</w:t>
      </w:r>
      <w:r w:rsidR="00922EC1">
        <w:t>_</w:t>
      </w:r>
    </w:p>
    <w:sectPr w:rsidR="00821996" w:rsidSect="00473791">
      <w:headerReference w:type="default" r:id="rId36"/>
      <w:footerReference w:type="first" r:id="rId3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4497A" w14:textId="77777777" w:rsidR="00DA25D2" w:rsidRDefault="00DA25D2">
      <w:r>
        <w:separator/>
      </w:r>
    </w:p>
  </w:endnote>
  <w:endnote w:type="continuationSeparator" w:id="0">
    <w:p w14:paraId="47E7D672" w14:textId="77777777" w:rsidR="00DA25D2" w:rsidRDefault="00DA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B6DF2" w14:textId="77777777" w:rsidR="00337C85" w:rsidRPr="00337C85" w:rsidRDefault="00337C85" w:rsidP="00337C85">
    <w:pPr>
      <w:spacing w:before="0"/>
      <w:rPr>
        <w:sz w:val="18"/>
        <w:szCs w:val="14"/>
      </w:rPr>
    </w:pPr>
  </w:p>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4E3CF5">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67DF8ABB" w:rsidR="0059420B" w:rsidRPr="00AF7A97" w:rsidRDefault="00077DC0" w:rsidP="0059420B">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Fabio </w:t>
          </w:r>
          <w:proofErr w:type="spellStart"/>
          <w:r>
            <w:rPr>
              <w:sz w:val="18"/>
              <w:szCs w:val="18"/>
              <w:lang w:val="en-US"/>
            </w:rPr>
            <w:t>Bigi</w:t>
          </w:r>
          <w:proofErr w:type="spellEnd"/>
          <w:r>
            <w:rPr>
              <w:sz w:val="18"/>
              <w:szCs w:val="18"/>
              <w:lang w:val="en-US"/>
            </w:rPr>
            <w:t xml:space="preserve">, </w:t>
          </w:r>
          <w:r w:rsidR="00337C85" w:rsidRPr="00337C85">
            <w:rPr>
              <w:sz w:val="18"/>
              <w:szCs w:val="18"/>
              <w:lang w:val="en-US"/>
            </w:rPr>
            <w:t>ISCG Chairperson</w:t>
          </w:r>
          <w:r w:rsidR="00337C85">
            <w:rPr>
              <w:sz w:val="18"/>
              <w:szCs w:val="18"/>
              <w:lang w:val="en-US"/>
            </w:rPr>
            <w:t>,</w:t>
          </w:r>
          <w:r w:rsidR="00337C85" w:rsidRPr="00337C85">
            <w:rPr>
              <w:sz w:val="18"/>
              <w:szCs w:val="18"/>
              <w:lang w:val="en-US"/>
            </w:rPr>
            <w:t xml:space="preserve"> </w:t>
          </w:r>
          <w:r>
            <w:rPr>
              <w:sz w:val="18"/>
              <w:szCs w:val="18"/>
              <w:lang w:val="en-US"/>
            </w:rPr>
            <w:t>Italy</w:t>
          </w:r>
        </w:p>
      </w:tc>
      <w:bookmarkStart w:id="10" w:name="OrgName"/>
      <w:bookmarkEnd w:id="10"/>
    </w:tr>
    <w:tr w:rsidR="0059420B" w:rsidRPr="004D495C" w14:paraId="61167678" w14:textId="77777777" w:rsidTr="004E3CF5">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2CE7DD78" w:rsidR="0059420B" w:rsidRPr="00AF7A97" w:rsidRDefault="00077DC0" w:rsidP="0059420B">
          <w:pPr>
            <w:pStyle w:val="FirstFooter"/>
            <w:tabs>
              <w:tab w:val="left" w:pos="2302"/>
            </w:tabs>
            <w:rPr>
              <w:sz w:val="18"/>
              <w:szCs w:val="18"/>
              <w:lang w:val="en-US"/>
            </w:rPr>
          </w:pPr>
          <w:r>
            <w:rPr>
              <w:sz w:val="18"/>
              <w:szCs w:val="18"/>
              <w:lang w:val="en-US"/>
            </w:rPr>
            <w:t>n/a</w:t>
          </w:r>
        </w:p>
      </w:tc>
      <w:bookmarkStart w:id="11" w:name="PhoneNo"/>
      <w:bookmarkEnd w:id="11"/>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7A2D2770" w:rsidR="0059420B" w:rsidRPr="00AF7A97" w:rsidRDefault="0047681D" w:rsidP="0059420B">
          <w:pPr>
            <w:pStyle w:val="FirstFooter"/>
            <w:tabs>
              <w:tab w:val="left" w:pos="2302"/>
            </w:tabs>
            <w:rPr>
              <w:sz w:val="18"/>
              <w:szCs w:val="18"/>
              <w:lang w:val="en-US"/>
            </w:rPr>
          </w:pPr>
          <w:hyperlink r:id="rId1" w:history="1">
            <w:r w:rsidR="00C053DE" w:rsidRPr="00D87DB8">
              <w:rPr>
                <w:rStyle w:val="Hyperlink"/>
                <w:sz w:val="18"/>
                <w:szCs w:val="18"/>
                <w:lang w:val="en-US"/>
              </w:rPr>
              <w:t>fabio.bigi@virgilio.it</w:t>
            </w:r>
          </w:hyperlink>
          <w:r w:rsidR="00C053DE">
            <w:rPr>
              <w:sz w:val="18"/>
              <w:szCs w:val="18"/>
              <w:lang w:val="en-US"/>
            </w:rPr>
            <w:t xml:space="preserve"> </w:t>
          </w:r>
        </w:p>
      </w:tc>
      <w:bookmarkStart w:id="12" w:name="Email"/>
      <w:bookmarkEnd w:id="12"/>
    </w:tr>
  </w:tbl>
  <w:p w14:paraId="5AEFE7F9" w14:textId="77777777" w:rsidR="0059420B" w:rsidRDefault="0059420B" w:rsidP="00B80157">
    <w:pPr>
      <w:pStyle w:val="Footer"/>
      <w:jc w:val="center"/>
      <w:rPr>
        <w:lang w:val="en-GB"/>
      </w:rPr>
    </w:pPr>
  </w:p>
  <w:p w14:paraId="40A321D0" w14:textId="77777777" w:rsidR="00721657" w:rsidRPr="0059420B" w:rsidRDefault="0047681D"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F1DA4" w14:textId="77777777" w:rsidR="00DA25D2" w:rsidRDefault="00DA25D2">
      <w:r>
        <w:t>____________________</w:t>
      </w:r>
    </w:p>
  </w:footnote>
  <w:footnote w:type="continuationSeparator" w:id="0">
    <w:p w14:paraId="400A4919" w14:textId="77777777" w:rsidR="00DA25D2" w:rsidRDefault="00DA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6AFF5BE7" w:rsidR="00721657" w:rsidRPr="0047681D" w:rsidRDefault="0047681D" w:rsidP="0047681D">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9</w:t>
    </w:r>
    <w:r>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6B27"/>
    <w:multiLevelType w:val="hybridMultilevel"/>
    <w:tmpl w:val="F834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20319"/>
    <w:multiLevelType w:val="hybridMultilevel"/>
    <w:tmpl w:val="E43A2EA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8F5223"/>
    <w:multiLevelType w:val="hybridMultilevel"/>
    <w:tmpl w:val="7E04F95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6C6B8E"/>
    <w:multiLevelType w:val="hybridMultilevel"/>
    <w:tmpl w:val="DC48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646FA"/>
    <w:multiLevelType w:val="multilevel"/>
    <w:tmpl w:val="3198DFD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3D0EE1"/>
    <w:multiLevelType w:val="hybridMultilevel"/>
    <w:tmpl w:val="735AA0D6"/>
    <w:lvl w:ilvl="0" w:tplc="6FA8E6B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B0C4F"/>
    <w:multiLevelType w:val="multilevel"/>
    <w:tmpl w:val="F8C437C8"/>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596373"/>
    <w:multiLevelType w:val="multilevel"/>
    <w:tmpl w:val="6B40D1D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1C0358"/>
    <w:multiLevelType w:val="hybridMultilevel"/>
    <w:tmpl w:val="E3B4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6D3E34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3"/>
  </w:num>
  <w:num w:numId="4">
    <w:abstractNumId w:val="6"/>
  </w:num>
  <w:num w:numId="5">
    <w:abstractNumId w:val="0"/>
  </w:num>
  <w:num w:numId="6">
    <w:abstractNumId w:val="1"/>
  </w:num>
  <w:num w:numId="7">
    <w:abstractNumId w:val="8"/>
  </w:num>
  <w:num w:numId="8">
    <w:abstractNumId w:val="5"/>
  </w:num>
  <w:num w:numId="9">
    <w:abstractNumId w:val="9"/>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224"/>
    <w:rsid w:val="00002716"/>
    <w:rsid w:val="00003C43"/>
    <w:rsid w:val="00005791"/>
    <w:rsid w:val="0000586A"/>
    <w:rsid w:val="00010827"/>
    <w:rsid w:val="00015089"/>
    <w:rsid w:val="0002520B"/>
    <w:rsid w:val="00037A9E"/>
    <w:rsid w:val="00037F91"/>
    <w:rsid w:val="000539F1"/>
    <w:rsid w:val="00054747"/>
    <w:rsid w:val="00054C85"/>
    <w:rsid w:val="00055A2A"/>
    <w:rsid w:val="000615C1"/>
    <w:rsid w:val="00061675"/>
    <w:rsid w:val="000743AA"/>
    <w:rsid w:val="00076FCD"/>
    <w:rsid w:val="00077DC0"/>
    <w:rsid w:val="0009076F"/>
    <w:rsid w:val="0009225C"/>
    <w:rsid w:val="000A17C4"/>
    <w:rsid w:val="000A23DD"/>
    <w:rsid w:val="000A36A4"/>
    <w:rsid w:val="000A5AD8"/>
    <w:rsid w:val="000B2352"/>
    <w:rsid w:val="000C7B84"/>
    <w:rsid w:val="000D261B"/>
    <w:rsid w:val="000D58A3"/>
    <w:rsid w:val="000D5936"/>
    <w:rsid w:val="000E3ED4"/>
    <w:rsid w:val="000E3F9C"/>
    <w:rsid w:val="000F1550"/>
    <w:rsid w:val="000F1E5E"/>
    <w:rsid w:val="000F251B"/>
    <w:rsid w:val="000F5FE8"/>
    <w:rsid w:val="000F6644"/>
    <w:rsid w:val="00100833"/>
    <w:rsid w:val="00102F72"/>
    <w:rsid w:val="00107E85"/>
    <w:rsid w:val="0011197A"/>
    <w:rsid w:val="001120D3"/>
    <w:rsid w:val="00113EE8"/>
    <w:rsid w:val="0011455A"/>
    <w:rsid w:val="00114A65"/>
    <w:rsid w:val="00133061"/>
    <w:rsid w:val="0013590E"/>
    <w:rsid w:val="00141699"/>
    <w:rsid w:val="00147000"/>
    <w:rsid w:val="00163091"/>
    <w:rsid w:val="001645CB"/>
    <w:rsid w:val="00166305"/>
    <w:rsid w:val="00167545"/>
    <w:rsid w:val="001703C6"/>
    <w:rsid w:val="0017052D"/>
    <w:rsid w:val="001726CF"/>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602F"/>
    <w:rsid w:val="001C3444"/>
    <w:rsid w:val="001C3702"/>
    <w:rsid w:val="001C4656"/>
    <w:rsid w:val="001C46BC"/>
    <w:rsid w:val="001D1E06"/>
    <w:rsid w:val="001F23E6"/>
    <w:rsid w:val="001F4238"/>
    <w:rsid w:val="00200A38"/>
    <w:rsid w:val="00200A46"/>
    <w:rsid w:val="00211B6F"/>
    <w:rsid w:val="002125B4"/>
    <w:rsid w:val="00217CC3"/>
    <w:rsid w:val="00220AB6"/>
    <w:rsid w:val="0022120F"/>
    <w:rsid w:val="0022348E"/>
    <w:rsid w:val="0022754A"/>
    <w:rsid w:val="0023633C"/>
    <w:rsid w:val="00236560"/>
    <w:rsid w:val="0023662E"/>
    <w:rsid w:val="00245D0F"/>
    <w:rsid w:val="002548C3"/>
    <w:rsid w:val="00257ACD"/>
    <w:rsid w:val="00262908"/>
    <w:rsid w:val="002650F4"/>
    <w:rsid w:val="002715FD"/>
    <w:rsid w:val="0027683C"/>
    <w:rsid w:val="002770B1"/>
    <w:rsid w:val="00285B33"/>
    <w:rsid w:val="00287A3C"/>
    <w:rsid w:val="002A2FC6"/>
    <w:rsid w:val="002C1EC7"/>
    <w:rsid w:val="002C3015"/>
    <w:rsid w:val="002C34AF"/>
    <w:rsid w:val="002C4342"/>
    <w:rsid w:val="002C7EA3"/>
    <w:rsid w:val="002D20AE"/>
    <w:rsid w:val="002D3134"/>
    <w:rsid w:val="002D6C61"/>
    <w:rsid w:val="002E2104"/>
    <w:rsid w:val="002E2DAC"/>
    <w:rsid w:val="002E6963"/>
    <w:rsid w:val="002E6F8F"/>
    <w:rsid w:val="002F05D8"/>
    <w:rsid w:val="002F2DE0"/>
    <w:rsid w:val="002F5E25"/>
    <w:rsid w:val="0030353C"/>
    <w:rsid w:val="00305B53"/>
    <w:rsid w:val="003125C3"/>
    <w:rsid w:val="00312AE6"/>
    <w:rsid w:val="00317D1A"/>
    <w:rsid w:val="003211FF"/>
    <w:rsid w:val="003242AB"/>
    <w:rsid w:val="00325EC3"/>
    <w:rsid w:val="00326815"/>
    <w:rsid w:val="00327247"/>
    <w:rsid w:val="00327A9D"/>
    <w:rsid w:val="0033130E"/>
    <w:rsid w:val="0033269C"/>
    <w:rsid w:val="00337C85"/>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7215"/>
    <w:rsid w:val="003D451D"/>
    <w:rsid w:val="003F2DD8"/>
    <w:rsid w:val="003F3F2D"/>
    <w:rsid w:val="003F50B2"/>
    <w:rsid w:val="00400CCF"/>
    <w:rsid w:val="00401BFF"/>
    <w:rsid w:val="00404424"/>
    <w:rsid w:val="004079F6"/>
    <w:rsid w:val="0041156B"/>
    <w:rsid w:val="004122C5"/>
    <w:rsid w:val="00413B78"/>
    <w:rsid w:val="004147BE"/>
    <w:rsid w:val="00416DDE"/>
    <w:rsid w:val="0044411E"/>
    <w:rsid w:val="004444D0"/>
    <w:rsid w:val="00453435"/>
    <w:rsid w:val="00460089"/>
    <w:rsid w:val="00466398"/>
    <w:rsid w:val="0047306D"/>
    <w:rsid w:val="0047317F"/>
    <w:rsid w:val="00473791"/>
    <w:rsid w:val="0047681D"/>
    <w:rsid w:val="00476E48"/>
    <w:rsid w:val="004779D8"/>
    <w:rsid w:val="00481DE9"/>
    <w:rsid w:val="0049128B"/>
    <w:rsid w:val="00493B49"/>
    <w:rsid w:val="00495501"/>
    <w:rsid w:val="004A070A"/>
    <w:rsid w:val="004A320E"/>
    <w:rsid w:val="004A4E9C"/>
    <w:rsid w:val="004B1A3C"/>
    <w:rsid w:val="004C363D"/>
    <w:rsid w:val="004C5A77"/>
    <w:rsid w:val="004D2CC3"/>
    <w:rsid w:val="004D35CB"/>
    <w:rsid w:val="004D6BCF"/>
    <w:rsid w:val="004D7DAB"/>
    <w:rsid w:val="004E20E5"/>
    <w:rsid w:val="004E64EA"/>
    <w:rsid w:val="004E7828"/>
    <w:rsid w:val="004F2120"/>
    <w:rsid w:val="004F46AA"/>
    <w:rsid w:val="004F6A70"/>
    <w:rsid w:val="00500AD7"/>
    <w:rsid w:val="00502ABF"/>
    <w:rsid w:val="00504DB0"/>
    <w:rsid w:val="00507C35"/>
    <w:rsid w:val="00510735"/>
    <w:rsid w:val="00514D2F"/>
    <w:rsid w:val="00521722"/>
    <w:rsid w:val="00525B5A"/>
    <w:rsid w:val="0054420E"/>
    <w:rsid w:val="00544D1B"/>
    <w:rsid w:val="00545DC0"/>
    <w:rsid w:val="00545F6C"/>
    <w:rsid w:val="005477D9"/>
    <w:rsid w:val="0055720C"/>
    <w:rsid w:val="00561796"/>
    <w:rsid w:val="005632DD"/>
    <w:rsid w:val="0056423B"/>
    <w:rsid w:val="00573424"/>
    <w:rsid w:val="0057402F"/>
    <w:rsid w:val="00581653"/>
    <w:rsid w:val="00583485"/>
    <w:rsid w:val="005835A8"/>
    <w:rsid w:val="005849D6"/>
    <w:rsid w:val="00585367"/>
    <w:rsid w:val="005871A1"/>
    <w:rsid w:val="0058737E"/>
    <w:rsid w:val="00592518"/>
    <w:rsid w:val="00592E87"/>
    <w:rsid w:val="0059420B"/>
    <w:rsid w:val="00594C4D"/>
    <w:rsid w:val="005A33B0"/>
    <w:rsid w:val="005C0402"/>
    <w:rsid w:val="005C2DC2"/>
    <w:rsid w:val="005C304A"/>
    <w:rsid w:val="005C3D69"/>
    <w:rsid w:val="005C5A93"/>
    <w:rsid w:val="005C7C98"/>
    <w:rsid w:val="005D2C3A"/>
    <w:rsid w:val="005D3E37"/>
    <w:rsid w:val="005D55A4"/>
    <w:rsid w:val="005D57C8"/>
    <w:rsid w:val="005D7761"/>
    <w:rsid w:val="005E0278"/>
    <w:rsid w:val="005E090D"/>
    <w:rsid w:val="005E3CA0"/>
    <w:rsid w:val="005E44B1"/>
    <w:rsid w:val="005E67B0"/>
    <w:rsid w:val="005E7047"/>
    <w:rsid w:val="005E777F"/>
    <w:rsid w:val="005F1CA7"/>
    <w:rsid w:val="005F43DD"/>
    <w:rsid w:val="005F478E"/>
    <w:rsid w:val="005F51A9"/>
    <w:rsid w:val="005F6BE1"/>
    <w:rsid w:val="005F7416"/>
    <w:rsid w:val="00600C11"/>
    <w:rsid w:val="00606B89"/>
    <w:rsid w:val="00611EAF"/>
    <w:rsid w:val="00613C0E"/>
    <w:rsid w:val="00623F30"/>
    <w:rsid w:val="00625FB8"/>
    <w:rsid w:val="006261BD"/>
    <w:rsid w:val="0063348D"/>
    <w:rsid w:val="00635EDB"/>
    <w:rsid w:val="00643BDC"/>
    <w:rsid w:val="0064734E"/>
    <w:rsid w:val="00650137"/>
    <w:rsid w:val="006509D7"/>
    <w:rsid w:val="00651CE8"/>
    <w:rsid w:val="0065521B"/>
    <w:rsid w:val="00665539"/>
    <w:rsid w:val="00671EF6"/>
    <w:rsid w:val="0067205B"/>
    <w:rsid w:val="006748F8"/>
    <w:rsid w:val="00677964"/>
    <w:rsid w:val="00680489"/>
    <w:rsid w:val="00683C32"/>
    <w:rsid w:val="00690BB2"/>
    <w:rsid w:val="00693D09"/>
    <w:rsid w:val="00697F0B"/>
    <w:rsid w:val="006A6549"/>
    <w:rsid w:val="006A7710"/>
    <w:rsid w:val="006A7A61"/>
    <w:rsid w:val="006B1E59"/>
    <w:rsid w:val="006B2FFB"/>
    <w:rsid w:val="006C10A2"/>
    <w:rsid w:val="006C1F18"/>
    <w:rsid w:val="006D40D5"/>
    <w:rsid w:val="006D64F9"/>
    <w:rsid w:val="006F009A"/>
    <w:rsid w:val="006F3D93"/>
    <w:rsid w:val="006F521F"/>
    <w:rsid w:val="007019B1"/>
    <w:rsid w:val="00706778"/>
    <w:rsid w:val="00711AF4"/>
    <w:rsid w:val="00721657"/>
    <w:rsid w:val="007279A8"/>
    <w:rsid w:val="00727B1A"/>
    <w:rsid w:val="00735E3E"/>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0717"/>
    <w:rsid w:val="007C27FC"/>
    <w:rsid w:val="007C51FF"/>
    <w:rsid w:val="007D50E4"/>
    <w:rsid w:val="007E2DC5"/>
    <w:rsid w:val="007F1CC7"/>
    <w:rsid w:val="008027AC"/>
    <w:rsid w:val="008028CE"/>
    <w:rsid w:val="0080332E"/>
    <w:rsid w:val="008141E0"/>
    <w:rsid w:val="00816EE1"/>
    <w:rsid w:val="00816F88"/>
    <w:rsid w:val="00821996"/>
    <w:rsid w:val="00822323"/>
    <w:rsid w:val="008271CB"/>
    <w:rsid w:val="00827BC6"/>
    <w:rsid w:val="008300AD"/>
    <w:rsid w:val="00833024"/>
    <w:rsid w:val="008419B1"/>
    <w:rsid w:val="00844A56"/>
    <w:rsid w:val="00845B11"/>
    <w:rsid w:val="008471FB"/>
    <w:rsid w:val="00852081"/>
    <w:rsid w:val="00853624"/>
    <w:rsid w:val="00872B6E"/>
    <w:rsid w:val="00874DFD"/>
    <w:rsid w:val="008802F9"/>
    <w:rsid w:val="00880C83"/>
    <w:rsid w:val="00883081"/>
    <w:rsid w:val="00883086"/>
    <w:rsid w:val="008879FD"/>
    <w:rsid w:val="00894C37"/>
    <w:rsid w:val="008A00EA"/>
    <w:rsid w:val="008A3F93"/>
    <w:rsid w:val="008A6236"/>
    <w:rsid w:val="008A6E1C"/>
    <w:rsid w:val="008A72FD"/>
    <w:rsid w:val="008B2EDF"/>
    <w:rsid w:val="008B47C7"/>
    <w:rsid w:val="008B54CB"/>
    <w:rsid w:val="008B5A3D"/>
    <w:rsid w:val="008C322F"/>
    <w:rsid w:val="008C4010"/>
    <w:rsid w:val="008C4FDF"/>
    <w:rsid w:val="008C6B1F"/>
    <w:rsid w:val="008D081C"/>
    <w:rsid w:val="008D5E4F"/>
    <w:rsid w:val="008E34F0"/>
    <w:rsid w:val="008F14F5"/>
    <w:rsid w:val="008F1A7C"/>
    <w:rsid w:val="008F4DC8"/>
    <w:rsid w:val="008F71C1"/>
    <w:rsid w:val="009018C0"/>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220C"/>
    <w:rsid w:val="00975786"/>
    <w:rsid w:val="00981CB7"/>
    <w:rsid w:val="00983E1F"/>
    <w:rsid w:val="00993F46"/>
    <w:rsid w:val="00995B12"/>
    <w:rsid w:val="00997358"/>
    <w:rsid w:val="009A452B"/>
    <w:rsid w:val="009B050C"/>
    <w:rsid w:val="009B087F"/>
    <w:rsid w:val="009B2AF4"/>
    <w:rsid w:val="009C110B"/>
    <w:rsid w:val="009C5441"/>
    <w:rsid w:val="009D119F"/>
    <w:rsid w:val="009D49A2"/>
    <w:rsid w:val="009F3940"/>
    <w:rsid w:val="009F3EB2"/>
    <w:rsid w:val="009F6EB1"/>
    <w:rsid w:val="00A11B3B"/>
    <w:rsid w:val="00A11D05"/>
    <w:rsid w:val="00A130A9"/>
    <w:rsid w:val="00A13162"/>
    <w:rsid w:val="00A20267"/>
    <w:rsid w:val="00A219E9"/>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C7772"/>
    <w:rsid w:val="00AD324F"/>
    <w:rsid w:val="00AD4677"/>
    <w:rsid w:val="00AE1057"/>
    <w:rsid w:val="00AE5961"/>
    <w:rsid w:val="00AF0745"/>
    <w:rsid w:val="00AF4971"/>
    <w:rsid w:val="00AF5276"/>
    <w:rsid w:val="00AF7C86"/>
    <w:rsid w:val="00B01046"/>
    <w:rsid w:val="00B13942"/>
    <w:rsid w:val="00B310F9"/>
    <w:rsid w:val="00B37866"/>
    <w:rsid w:val="00B412FB"/>
    <w:rsid w:val="00B41D1A"/>
    <w:rsid w:val="00B44C9A"/>
    <w:rsid w:val="00B455BB"/>
    <w:rsid w:val="00B4576B"/>
    <w:rsid w:val="00B46350"/>
    <w:rsid w:val="00B46DF3"/>
    <w:rsid w:val="00B648C7"/>
    <w:rsid w:val="00B66E8F"/>
    <w:rsid w:val="00B80157"/>
    <w:rsid w:val="00B83D5E"/>
    <w:rsid w:val="00B8460A"/>
    <w:rsid w:val="00B8650D"/>
    <w:rsid w:val="00B879B4"/>
    <w:rsid w:val="00B90F07"/>
    <w:rsid w:val="00B97BB9"/>
    <w:rsid w:val="00BA0009"/>
    <w:rsid w:val="00BA28CB"/>
    <w:rsid w:val="00BA55BA"/>
    <w:rsid w:val="00BB02B5"/>
    <w:rsid w:val="00BB1863"/>
    <w:rsid w:val="00BB25EE"/>
    <w:rsid w:val="00BB363A"/>
    <w:rsid w:val="00BC10A0"/>
    <w:rsid w:val="00BC7BA2"/>
    <w:rsid w:val="00BD1E2E"/>
    <w:rsid w:val="00BD426B"/>
    <w:rsid w:val="00BD79F0"/>
    <w:rsid w:val="00BE02AA"/>
    <w:rsid w:val="00BE2B4D"/>
    <w:rsid w:val="00C015F8"/>
    <w:rsid w:val="00C02C2A"/>
    <w:rsid w:val="00C053DE"/>
    <w:rsid w:val="00C0752E"/>
    <w:rsid w:val="00C07E26"/>
    <w:rsid w:val="00C1011C"/>
    <w:rsid w:val="00C12953"/>
    <w:rsid w:val="00C12F94"/>
    <w:rsid w:val="00C177C5"/>
    <w:rsid w:val="00C34EC3"/>
    <w:rsid w:val="00C4038C"/>
    <w:rsid w:val="00C42BA2"/>
    <w:rsid w:val="00C44066"/>
    <w:rsid w:val="00C44D45"/>
    <w:rsid w:val="00C44E13"/>
    <w:rsid w:val="00C60A41"/>
    <w:rsid w:val="00C62DE8"/>
    <w:rsid w:val="00C62DFB"/>
    <w:rsid w:val="00C630E6"/>
    <w:rsid w:val="00C63812"/>
    <w:rsid w:val="00C64AF3"/>
    <w:rsid w:val="00C66F4D"/>
    <w:rsid w:val="00C67BB5"/>
    <w:rsid w:val="00C711A7"/>
    <w:rsid w:val="00C72713"/>
    <w:rsid w:val="00C848EF"/>
    <w:rsid w:val="00C86600"/>
    <w:rsid w:val="00C87BCA"/>
    <w:rsid w:val="00C87EED"/>
    <w:rsid w:val="00C94506"/>
    <w:rsid w:val="00C954BC"/>
    <w:rsid w:val="00C967D7"/>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0C72"/>
    <w:rsid w:val="00D013EE"/>
    <w:rsid w:val="00D01F54"/>
    <w:rsid w:val="00D040F7"/>
    <w:rsid w:val="00D04A76"/>
    <w:rsid w:val="00D10FC7"/>
    <w:rsid w:val="00D1519F"/>
    <w:rsid w:val="00D16EC2"/>
    <w:rsid w:val="00D20E99"/>
    <w:rsid w:val="00D21C83"/>
    <w:rsid w:val="00D35BDD"/>
    <w:rsid w:val="00D63006"/>
    <w:rsid w:val="00D65F3E"/>
    <w:rsid w:val="00D71F6D"/>
    <w:rsid w:val="00D72301"/>
    <w:rsid w:val="00D911DE"/>
    <w:rsid w:val="00D91B97"/>
    <w:rsid w:val="00D93ACC"/>
    <w:rsid w:val="00D93C08"/>
    <w:rsid w:val="00D95DAC"/>
    <w:rsid w:val="00DA0B53"/>
    <w:rsid w:val="00DA14B7"/>
    <w:rsid w:val="00DA25D2"/>
    <w:rsid w:val="00DA42DF"/>
    <w:rsid w:val="00DB1171"/>
    <w:rsid w:val="00DB1519"/>
    <w:rsid w:val="00DB274D"/>
    <w:rsid w:val="00DB2840"/>
    <w:rsid w:val="00DC1BD3"/>
    <w:rsid w:val="00DC2C1A"/>
    <w:rsid w:val="00DD66B4"/>
    <w:rsid w:val="00DE1972"/>
    <w:rsid w:val="00DE27AB"/>
    <w:rsid w:val="00DF2AB3"/>
    <w:rsid w:val="00DF7250"/>
    <w:rsid w:val="00E00CAA"/>
    <w:rsid w:val="00E03EBF"/>
    <w:rsid w:val="00E05209"/>
    <w:rsid w:val="00E05AC1"/>
    <w:rsid w:val="00E0633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17BA"/>
    <w:rsid w:val="00E83810"/>
    <w:rsid w:val="00E86933"/>
    <w:rsid w:val="00E9605B"/>
    <w:rsid w:val="00E97298"/>
    <w:rsid w:val="00E97753"/>
    <w:rsid w:val="00EA0C51"/>
    <w:rsid w:val="00EA7DE7"/>
    <w:rsid w:val="00EB7A8A"/>
    <w:rsid w:val="00EC01FE"/>
    <w:rsid w:val="00EC6FED"/>
    <w:rsid w:val="00EC7F3B"/>
    <w:rsid w:val="00ED5299"/>
    <w:rsid w:val="00EE3A64"/>
    <w:rsid w:val="00EE50E5"/>
    <w:rsid w:val="00EF01CF"/>
    <w:rsid w:val="00EF2157"/>
    <w:rsid w:val="00F00B21"/>
    <w:rsid w:val="00F03590"/>
    <w:rsid w:val="00F03622"/>
    <w:rsid w:val="00F077FD"/>
    <w:rsid w:val="00F204F3"/>
    <w:rsid w:val="00F218AB"/>
    <w:rsid w:val="00F238B3"/>
    <w:rsid w:val="00F24FED"/>
    <w:rsid w:val="00F25586"/>
    <w:rsid w:val="00F2651D"/>
    <w:rsid w:val="00F27362"/>
    <w:rsid w:val="00F31498"/>
    <w:rsid w:val="00F32FEF"/>
    <w:rsid w:val="00F34FFE"/>
    <w:rsid w:val="00F41B1C"/>
    <w:rsid w:val="00F42E13"/>
    <w:rsid w:val="00F42F1C"/>
    <w:rsid w:val="00F43B44"/>
    <w:rsid w:val="00F440E5"/>
    <w:rsid w:val="00F448F6"/>
    <w:rsid w:val="00F52741"/>
    <w:rsid w:val="00F53D8A"/>
    <w:rsid w:val="00F56E56"/>
    <w:rsid w:val="00F626F7"/>
    <w:rsid w:val="00F736F9"/>
    <w:rsid w:val="00F73833"/>
    <w:rsid w:val="00F75D63"/>
    <w:rsid w:val="00F9211C"/>
    <w:rsid w:val="00FA095D"/>
    <w:rsid w:val="00FA6C8B"/>
    <w:rsid w:val="00FA6CDA"/>
    <w:rsid w:val="00FA7C89"/>
    <w:rsid w:val="00FB4139"/>
    <w:rsid w:val="00FB476E"/>
    <w:rsid w:val="00FC0D90"/>
    <w:rsid w:val="00FC2EF9"/>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B44C9A"/>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076FCD"/>
    <w:rPr>
      <w:color w:val="605E5C"/>
      <w:shd w:val="clear" w:color="auto" w:fill="E1DFDD"/>
    </w:rPr>
  </w:style>
  <w:style w:type="paragraph" w:styleId="BalloonText">
    <w:name w:val="Balloon Text"/>
    <w:basedOn w:val="Normal"/>
    <w:link w:val="BalloonTextChar"/>
    <w:semiHidden/>
    <w:unhideWhenUsed/>
    <w:rsid w:val="00337C8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37C85"/>
    <w:rPr>
      <w:rFonts w:ascii="Segoe UI" w:hAnsi="Segoe UI" w:cs="Segoe UI"/>
      <w:sz w:val="18"/>
      <w:szCs w:val="18"/>
      <w:lang w:val="en-GB" w:eastAsia="en-US"/>
    </w:rPr>
  </w:style>
  <w:style w:type="character" w:customStyle="1" w:styleId="Title1Char">
    <w:name w:val="Title 1 Char"/>
    <w:link w:val="Title1"/>
    <w:qFormat/>
    <w:locked/>
    <w:rsid w:val="00337C85"/>
    <w:rPr>
      <w:rFonts w:asciiTheme="minorHAnsi" w:hAnsiTheme="minorHAnsi" w:cs="Times New Roman Bold"/>
      <w:sz w:val="28"/>
      <w:lang w:val="en-GB" w:eastAsia="en-US"/>
    </w:rPr>
  </w:style>
  <w:style w:type="paragraph" w:customStyle="1" w:styleId="default-style">
    <w:name w:val="default-style"/>
    <w:basedOn w:val="Normal"/>
    <w:rsid w:val="00337C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DEC-005-E.pdf" TargetMode="External"/><Relationship Id="rId18" Type="http://schemas.openxmlformats.org/officeDocument/2006/relationships/hyperlink" Target="https://www.itu.int/en/general-secretariat/ties/ISCGDocumentLibrary/1st%20Meeting%202023/Mapping-of-resolutions-Updated%20Oct2022.pdf" TargetMode="External"/><Relationship Id="rId26" Type="http://schemas.openxmlformats.org/officeDocument/2006/relationships/hyperlink" Target="https://www.itu.int/en/general-secretariat/ties/ISCGDocumentLibrary/1st%20Meeting%202023/Kenya-ATDI-Contribution%20ISCG%2023-1.docx" TargetMode="External"/><Relationship Id="rId39" Type="http://schemas.openxmlformats.org/officeDocument/2006/relationships/glossaryDocument" Target="glossary/document.xml"/><Relationship Id="rId21" Type="http://schemas.openxmlformats.org/officeDocument/2006/relationships/hyperlink" Target="https://www.itu.int/en/general-secretariat/ties/ISCGDocumentLibrary/1st%20Meeting%202023/ITU-R%20Focal%20Point-Contribution%20ISCG%2023-1.docx" TargetMode="External"/><Relationship Id="rId34" Type="http://schemas.openxmlformats.org/officeDocument/2006/relationships/hyperlink" Target="https://www.itu.int/en/general-secretariat/ties/ISCGDocumentLibrary/1st%20Meeting%202023/Virtual%20meetings-Contribution%20ISCG%2023-1.docx" TargetMode="External"/><Relationship Id="rId7" Type="http://schemas.openxmlformats.org/officeDocument/2006/relationships/settings" Target="settings.xml"/><Relationship Id="rId12" Type="http://schemas.openxmlformats.org/officeDocument/2006/relationships/hyperlink" Target="https://www.itu.int/en/council/Documents/basic-texts-2023/RES-191-E.pdf" TargetMode="External"/><Relationship Id="rId17" Type="http://schemas.openxmlformats.org/officeDocument/2006/relationships/hyperlink" Target="https://www.itu.int/en/general-secretariat/ties/ISCGDocumentLibrary/1st%20Meeting%202023/Resolution%20191-Rev%20Bucharest%202022-E.pdf" TargetMode="External"/><Relationship Id="rId25" Type="http://schemas.openxmlformats.org/officeDocument/2006/relationships/hyperlink" Target="https://www.itu.int/en/general-secretariat/ties/ISCGDocumentLibrary/1st%20Meeting%202023/Russian%20Fed-Contribution%20ISCG%2023-1-R1.docx" TargetMode="External"/><Relationship Id="rId33" Type="http://schemas.openxmlformats.org/officeDocument/2006/relationships/hyperlink" Target="mailto:iscg@itu.i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general-secretariat/Pages/ISCG/default.aspx" TargetMode="External"/><Relationship Id="rId20" Type="http://schemas.openxmlformats.org/officeDocument/2006/relationships/hyperlink" Target="https://www.itu.int/en/general-secretariat/ties/ISCGDocumentLibrary/1st%20Meeting%202023/ITU-R%20Focal%20Point-Contribution%20ISCG%2023-1.docx" TargetMode="External"/><Relationship Id="rId29" Type="http://schemas.openxmlformats.org/officeDocument/2006/relationships/hyperlink" Target="https://www.itu.int/en/general-secretariat/ties/ISCGDocumentLibrary/Liaisons%20Statements%20on%20Inter-Sectoral%20Coordination%20Activities/Table%2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general-secretariat/ties/ISCGDocumentLibrary/1st%20Meeting%202023/sp17-tsag-oLS-00003.docx" TargetMode="External"/><Relationship Id="rId32" Type="http://schemas.openxmlformats.org/officeDocument/2006/relationships/hyperlink" Target="mailto:bruce.gracie@ericsson.co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general-secretariat/ties/ISCGDocumentLibrary/1st%20Meeting%202023/List%20of%20Participants.docx" TargetMode="External"/><Relationship Id="rId23" Type="http://schemas.openxmlformats.org/officeDocument/2006/relationships/hyperlink" Target="https://www.itu.int/en/general-secretariat/ties/ISCGDocumentLibrary/1st%20Meeting%202023/Virtual%20meetings-Contribution%20ISCG%2023-1.docx" TargetMode="External"/><Relationship Id="rId28" Type="http://schemas.openxmlformats.org/officeDocument/2006/relationships/hyperlink" Target="https://www.itu.int/en/general-secretariat/ties/ISCGDocumentLibrary/1st%20Meeting%202023/Mapping-of-resolutions-Updated%20Oct2022.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en/general-secretariat/ties/ISCGDocumentLibrary/1st%20Meeting%202023/Climate%20change.docx" TargetMode="External"/><Relationship Id="rId31" Type="http://schemas.openxmlformats.org/officeDocument/2006/relationships/hyperlink" Target="mailto:philrushton@rcc-uk.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general-secretariat/ties/ISCGDocumentLibrary/1st%20Meeting%202023/ISCG-23-1-01-E-Agenda-R1.docx" TargetMode="External"/><Relationship Id="rId22" Type="http://schemas.openxmlformats.org/officeDocument/2006/relationships/hyperlink" Target="https://www.itu.int/en/general-secretariat/ties/ISCGDocumentLibrary/1st%20Meeting%202023/Accessibility.docx" TargetMode="External"/><Relationship Id="rId27" Type="http://schemas.openxmlformats.org/officeDocument/2006/relationships/hyperlink" Target="https://www.itu.int/en/general-secretariat/Pages/ISCG/Terms-of-reference-for-IST.aspx" TargetMode="External"/><Relationship Id="rId30" Type="http://schemas.openxmlformats.org/officeDocument/2006/relationships/hyperlink" Target="https://www.itu.int/en/general-secretariat/ties/ISCGDocumentLibrary/Liaisons%20Statements%20on%20Inter-Sectoral%20Coordination%20Activities/Table%202.pdf" TargetMode="External"/><Relationship Id="rId35" Type="http://schemas.openxmlformats.org/officeDocument/2006/relationships/hyperlink" Target="https://www.itu.int/rec/T-REC-A.Sup4-202212-I"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fabio.bigi@virgilio.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FAC383865E47BE840F392BFA449D14"/>
        <w:category>
          <w:name w:val="General"/>
          <w:gallery w:val="placeholder"/>
        </w:category>
        <w:types>
          <w:type w:val="bbPlcHdr"/>
        </w:types>
        <w:behaviors>
          <w:behavior w:val="content"/>
        </w:behaviors>
        <w:guid w:val="{B5349837-B49E-4B1F-9A3D-7556646F2AFE}"/>
      </w:docPartPr>
      <w:docPartBody>
        <w:p w:rsidR="00EF0FD4" w:rsidRDefault="003F5449" w:rsidP="003F5449">
          <w:pPr>
            <w:pStyle w:val="C0FAC383865E47BE840F392BFA449D14"/>
          </w:pPr>
          <w:r w:rsidRPr="00543D41">
            <w:rPr>
              <w:rStyle w:val="PlaceholderText"/>
              <w:highlight w:val="yellow"/>
            </w:rPr>
            <w:t>Insert source(s)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49"/>
    <w:rsid w:val="003F5449"/>
    <w:rsid w:val="00EF0F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449"/>
    <w:rPr>
      <w:rFonts w:ascii="Times New Roman" w:hAnsi="Times New Roman"/>
      <w:color w:val="808080"/>
    </w:rPr>
  </w:style>
  <w:style w:type="paragraph" w:customStyle="1" w:styleId="C0FAC383865E47BE840F392BFA449D14">
    <w:name w:val="C0FAC383865E47BE840F392BFA449D14"/>
    <w:rsid w:val="003F5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63D95-8596-4898-95E7-B6BB108DC17A}">
  <ds:schemaRefs>
    <ds:schemaRef ds:uri="http://schemas.microsoft.com/sharepoint/v3/contenttype/forms"/>
  </ds:schemaRefs>
</ds:datastoreItem>
</file>

<file path=customXml/itemProps2.xml><?xml version="1.0" encoding="utf-8"?>
<ds:datastoreItem xmlns:ds="http://schemas.openxmlformats.org/officeDocument/2006/customXml" ds:itemID="{04DD0D8D-2475-411F-9E73-B0A73EEB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F1051-3405-47E2-AAA7-40BEBB14C7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34980F-ED0A-48C1-B977-3E84A910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1918</Words>
  <Characters>13532</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101</cp:revision>
  <cp:lastPrinted>2014-11-04T09:22:00Z</cp:lastPrinted>
  <dcterms:created xsi:type="dcterms:W3CDTF">2023-05-05T12:39:00Z</dcterms:created>
  <dcterms:modified xsi:type="dcterms:W3CDTF">2023-06-21T16:34:00Z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