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AC45CF" w14:paraId="3D1F146B" w14:textId="77777777" w:rsidTr="000B3035">
        <w:trPr>
          <w:cantSplit/>
          <w:trHeight w:val="1134"/>
        </w:trPr>
        <w:tc>
          <w:tcPr>
            <w:tcW w:w="6379" w:type="dxa"/>
          </w:tcPr>
          <w:p w14:paraId="589188EC" w14:textId="77777777" w:rsidR="00AC45CF" w:rsidRDefault="00AC45CF" w:rsidP="00AC45CF">
            <w:pPr>
              <w:spacing w:before="280" w:after="120"/>
              <w:ind w:left="34"/>
              <w:rPr>
                <w:b/>
                <w:bCs/>
                <w:sz w:val="32"/>
                <w:szCs w:val="32"/>
                <w:lang w:val="en-US"/>
              </w:rPr>
            </w:pPr>
            <w:r>
              <w:rPr>
                <w:rFonts w:eastAsia="SimSun" w:hint="eastAsia"/>
                <w:b/>
                <w:bCs/>
                <w:sz w:val="32"/>
                <w:szCs w:val="32"/>
                <w:lang w:val="en-US"/>
              </w:rPr>
              <w:t>电信发展顾问组（</w:t>
            </w:r>
            <w:r>
              <w:rPr>
                <w:rFonts w:eastAsia="SimSun"/>
                <w:b/>
                <w:bCs/>
                <w:sz w:val="32"/>
                <w:szCs w:val="32"/>
                <w:lang w:val="en-US"/>
              </w:rPr>
              <w:t>TDAG</w:t>
            </w:r>
            <w:r>
              <w:rPr>
                <w:rFonts w:eastAsia="SimSun" w:hint="eastAsia"/>
                <w:b/>
                <w:bCs/>
                <w:sz w:val="32"/>
                <w:szCs w:val="32"/>
                <w:lang w:val="en-US"/>
              </w:rPr>
              <w:t>）</w:t>
            </w:r>
          </w:p>
          <w:p w14:paraId="2CE8EBAC" w14:textId="623EADBC" w:rsidR="00AC45CF" w:rsidRPr="00844A56" w:rsidRDefault="00AC45CF" w:rsidP="00AC45CF">
            <w:pPr>
              <w:tabs>
                <w:tab w:val="clear" w:pos="1191"/>
                <w:tab w:val="clear" w:pos="1588"/>
                <w:tab w:val="clear" w:pos="1985"/>
              </w:tabs>
              <w:spacing w:before="100" w:after="120"/>
              <w:ind w:left="34"/>
              <w:rPr>
                <w:rFonts w:ascii="Verdana" w:hAnsi="Verdana"/>
                <w:sz w:val="28"/>
                <w:szCs w:val="28"/>
              </w:rPr>
            </w:pPr>
            <w:r>
              <w:rPr>
                <w:rFonts w:eastAsia="SimSun" w:hint="eastAsia"/>
                <w:b/>
                <w:bCs/>
                <w:sz w:val="26"/>
                <w:szCs w:val="26"/>
                <w:lang w:val="en-US"/>
              </w:rPr>
              <w:t>第</w:t>
            </w:r>
            <w:r>
              <w:rPr>
                <w:rFonts w:eastAsia="SimSun"/>
                <w:b/>
                <w:bCs/>
                <w:sz w:val="26"/>
                <w:szCs w:val="26"/>
                <w:lang w:val="en-US"/>
              </w:rPr>
              <w:t>30</w:t>
            </w:r>
            <w:r>
              <w:rPr>
                <w:rFonts w:eastAsia="SimSun" w:hint="eastAsia"/>
                <w:b/>
                <w:bCs/>
                <w:sz w:val="26"/>
                <w:szCs w:val="26"/>
                <w:lang w:val="en-US"/>
              </w:rPr>
              <w:t>次会议，瑞士日内瓦，</w:t>
            </w:r>
            <w:r>
              <w:rPr>
                <w:rFonts w:eastAsia="SimSun"/>
                <w:b/>
                <w:bCs/>
                <w:sz w:val="26"/>
                <w:szCs w:val="26"/>
                <w:lang w:val="en-US"/>
              </w:rPr>
              <w:t>2023</w:t>
            </w:r>
            <w:r>
              <w:rPr>
                <w:rFonts w:eastAsia="SimSun" w:hint="eastAsia"/>
                <w:b/>
                <w:bCs/>
                <w:sz w:val="26"/>
                <w:szCs w:val="26"/>
                <w:lang w:val="en-US"/>
              </w:rPr>
              <w:t>年</w:t>
            </w:r>
            <w:r>
              <w:rPr>
                <w:rFonts w:eastAsia="SimSun"/>
                <w:b/>
                <w:bCs/>
                <w:sz w:val="26"/>
                <w:szCs w:val="26"/>
                <w:lang w:val="en-US"/>
              </w:rPr>
              <w:t>6</w:t>
            </w:r>
            <w:r>
              <w:rPr>
                <w:rFonts w:eastAsia="SimSun" w:hint="eastAsia"/>
                <w:b/>
                <w:bCs/>
                <w:sz w:val="26"/>
                <w:szCs w:val="26"/>
                <w:lang w:val="en-US"/>
              </w:rPr>
              <w:t>月</w:t>
            </w:r>
            <w:r>
              <w:rPr>
                <w:rFonts w:eastAsia="SimSun"/>
                <w:b/>
                <w:bCs/>
                <w:sz w:val="26"/>
                <w:szCs w:val="26"/>
                <w:lang w:val="en-US"/>
              </w:rPr>
              <w:t>19-23</w:t>
            </w:r>
            <w:r>
              <w:rPr>
                <w:rFonts w:eastAsia="SimSun" w:hint="eastAsia"/>
                <w:b/>
                <w:bCs/>
                <w:sz w:val="26"/>
                <w:szCs w:val="26"/>
                <w:lang w:val="en-US"/>
              </w:rPr>
              <w:t>日</w:t>
            </w:r>
          </w:p>
        </w:tc>
        <w:tc>
          <w:tcPr>
            <w:tcW w:w="3509" w:type="dxa"/>
          </w:tcPr>
          <w:p w14:paraId="7EA5E3BF" w14:textId="079167CC" w:rsidR="00AC45CF" w:rsidRPr="00683C32" w:rsidRDefault="00AC45CF" w:rsidP="00AC45CF">
            <w:pPr>
              <w:spacing w:after="120"/>
              <w:ind w:right="142"/>
              <w:jc w:val="right"/>
            </w:pPr>
            <w:r>
              <w:rPr>
                <w:noProof/>
                <w:lang w:val="fr-FR" w:eastAsia="fr-FR"/>
              </w:rPr>
              <w:pict w14:anchorId="0C788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close up of a sign&#10;&#10;Description automatically generated" style="width:56.25pt;height:61.5pt;visibility:visible;mso-wrap-style:square">
                  <v:imagedata r:id="rId11" o:title="A close up of a sign&#10;&#10;Description automatically generated"/>
                </v:shape>
              </w:pict>
            </w:r>
          </w:p>
        </w:tc>
      </w:tr>
      <w:tr w:rsidR="0047681D" w:rsidRPr="00997358" w14:paraId="00CB629B" w14:textId="77777777" w:rsidTr="000B3035">
        <w:trPr>
          <w:cantSplit/>
        </w:trPr>
        <w:tc>
          <w:tcPr>
            <w:tcW w:w="6379" w:type="dxa"/>
            <w:tcBorders>
              <w:top w:val="single" w:sz="12" w:space="0" w:color="auto"/>
            </w:tcBorders>
          </w:tcPr>
          <w:p w14:paraId="6C5F146D" w14:textId="77777777" w:rsidR="0047681D" w:rsidRPr="00997358" w:rsidRDefault="0047681D" w:rsidP="000B3035">
            <w:pPr>
              <w:spacing w:before="0"/>
              <w:rPr>
                <w:rFonts w:cs="Arial"/>
                <w:b/>
                <w:bCs/>
                <w:sz w:val="20"/>
              </w:rPr>
            </w:pPr>
          </w:p>
        </w:tc>
        <w:tc>
          <w:tcPr>
            <w:tcW w:w="3509" w:type="dxa"/>
            <w:tcBorders>
              <w:top w:val="single" w:sz="12" w:space="0" w:color="auto"/>
            </w:tcBorders>
          </w:tcPr>
          <w:p w14:paraId="169F8559" w14:textId="32012072" w:rsidR="0047681D" w:rsidRPr="00997358" w:rsidRDefault="0047681D" w:rsidP="000B3035">
            <w:pPr>
              <w:spacing w:before="0"/>
              <w:rPr>
                <w:b/>
                <w:bCs/>
                <w:sz w:val="20"/>
              </w:rPr>
            </w:pPr>
          </w:p>
        </w:tc>
      </w:tr>
      <w:tr w:rsidR="00AC45CF" w:rsidRPr="00002716" w14:paraId="1CB55A3C" w14:textId="77777777" w:rsidTr="000B3035">
        <w:trPr>
          <w:cantSplit/>
        </w:trPr>
        <w:tc>
          <w:tcPr>
            <w:tcW w:w="6379" w:type="dxa"/>
          </w:tcPr>
          <w:p w14:paraId="15927B6D" w14:textId="77777777" w:rsidR="00AC45CF" w:rsidRPr="007F1CC7" w:rsidRDefault="00AC45CF" w:rsidP="00AC45CF">
            <w:pPr>
              <w:pStyle w:val="Committee"/>
              <w:spacing w:before="0"/>
              <w:rPr>
                <w:b w:val="0"/>
                <w:szCs w:val="24"/>
              </w:rPr>
            </w:pPr>
          </w:p>
        </w:tc>
        <w:tc>
          <w:tcPr>
            <w:tcW w:w="3509" w:type="dxa"/>
          </w:tcPr>
          <w:p w14:paraId="2F95B108" w14:textId="4D71B09F" w:rsidR="00AC45CF" w:rsidRPr="007F1CC7" w:rsidRDefault="00AC45CF" w:rsidP="00AC45CF">
            <w:pPr>
              <w:spacing w:before="0"/>
              <w:jc w:val="both"/>
              <w:rPr>
                <w:bCs/>
                <w:szCs w:val="24"/>
                <w:lang w:val="en-US"/>
              </w:rPr>
            </w:pPr>
            <w:r>
              <w:rPr>
                <w:rFonts w:hint="eastAsia"/>
                <w:b/>
                <w:bCs/>
                <w:lang w:val="en-US"/>
              </w:rPr>
              <w:t>文件</w:t>
            </w:r>
            <w:r>
              <w:rPr>
                <w:b/>
                <w:bCs/>
                <w:lang w:val="en-US"/>
              </w:rPr>
              <w:t xml:space="preserve"> </w:t>
            </w:r>
            <w:bookmarkStart w:id="0" w:name="DocRef1"/>
            <w:bookmarkEnd w:id="0"/>
            <w:r>
              <w:rPr>
                <w:b/>
                <w:bCs/>
                <w:lang w:val="en-US"/>
              </w:rPr>
              <w:t>TDAG-2</w:t>
            </w:r>
            <w:bookmarkStart w:id="1" w:name="DocNo1"/>
            <w:bookmarkEnd w:id="1"/>
            <w:r>
              <w:rPr>
                <w:b/>
                <w:bCs/>
                <w:lang w:val="en-US"/>
              </w:rPr>
              <w:t>3/9</w:t>
            </w:r>
            <w:r>
              <w:rPr>
                <w:rFonts w:hint="eastAsia"/>
                <w:b/>
                <w:bCs/>
                <w:lang w:val="en-US"/>
              </w:rPr>
              <w:t>(Rev.1)</w:t>
            </w:r>
            <w:r>
              <w:rPr>
                <w:b/>
                <w:bCs/>
                <w:lang w:val="en-US"/>
              </w:rPr>
              <w:t>-C</w:t>
            </w:r>
          </w:p>
        </w:tc>
      </w:tr>
      <w:tr w:rsidR="00AC45CF" w14:paraId="55B23DAF" w14:textId="77777777" w:rsidTr="000B3035">
        <w:trPr>
          <w:cantSplit/>
        </w:trPr>
        <w:tc>
          <w:tcPr>
            <w:tcW w:w="6379" w:type="dxa"/>
          </w:tcPr>
          <w:p w14:paraId="74537537" w14:textId="77777777" w:rsidR="00AC45CF" w:rsidRPr="007F1CC7" w:rsidRDefault="00AC45CF" w:rsidP="00AC45CF">
            <w:pPr>
              <w:spacing w:before="0"/>
              <w:rPr>
                <w:b/>
                <w:bCs/>
                <w:smallCaps/>
                <w:szCs w:val="24"/>
                <w:lang w:val="en-US"/>
              </w:rPr>
            </w:pPr>
          </w:p>
        </w:tc>
        <w:tc>
          <w:tcPr>
            <w:tcW w:w="3509" w:type="dxa"/>
          </w:tcPr>
          <w:p w14:paraId="40C4B721" w14:textId="4F01D746" w:rsidR="00AC45CF" w:rsidRPr="007F1CC7" w:rsidRDefault="00AC45CF" w:rsidP="00AC45CF">
            <w:pPr>
              <w:spacing w:before="0"/>
              <w:rPr>
                <w:b/>
                <w:szCs w:val="24"/>
              </w:rPr>
            </w:pPr>
            <w:bookmarkStart w:id="2" w:name="CreationDate"/>
            <w:bookmarkEnd w:id="2"/>
            <w:r>
              <w:rPr>
                <w:b/>
                <w:bCs/>
                <w:lang w:val="en-US"/>
              </w:rPr>
              <w:t>2023</w:t>
            </w:r>
            <w:r>
              <w:rPr>
                <w:rFonts w:hint="eastAsia"/>
                <w:b/>
                <w:bCs/>
                <w:lang w:val="en-US"/>
              </w:rPr>
              <w:t>年6月21日</w:t>
            </w:r>
          </w:p>
        </w:tc>
      </w:tr>
      <w:tr w:rsidR="00AC45CF" w14:paraId="085C0502" w14:textId="77777777" w:rsidTr="000B3035">
        <w:trPr>
          <w:cantSplit/>
        </w:trPr>
        <w:tc>
          <w:tcPr>
            <w:tcW w:w="6379" w:type="dxa"/>
          </w:tcPr>
          <w:p w14:paraId="31F55477" w14:textId="77777777" w:rsidR="00AC45CF" w:rsidRPr="007F1CC7" w:rsidRDefault="00AC45CF" w:rsidP="00AC45CF">
            <w:pPr>
              <w:spacing w:before="0"/>
              <w:rPr>
                <w:b/>
                <w:bCs/>
                <w:smallCaps/>
                <w:szCs w:val="24"/>
              </w:rPr>
            </w:pPr>
          </w:p>
        </w:tc>
        <w:tc>
          <w:tcPr>
            <w:tcW w:w="3509" w:type="dxa"/>
          </w:tcPr>
          <w:p w14:paraId="2BB636AB" w14:textId="6D7C3C1F" w:rsidR="00AC45CF" w:rsidRPr="007F1CC7" w:rsidRDefault="00AC45CF" w:rsidP="00AC45CF">
            <w:pPr>
              <w:spacing w:before="0"/>
              <w:rPr>
                <w:szCs w:val="24"/>
              </w:rPr>
            </w:pPr>
            <w:r>
              <w:rPr>
                <w:rFonts w:hint="eastAsia"/>
                <w:b/>
                <w:lang w:val="en-US"/>
              </w:rPr>
              <w:t>原文：英文</w:t>
            </w:r>
          </w:p>
        </w:tc>
      </w:tr>
      <w:tr w:rsidR="00AC45CF" w14:paraId="16C754B0" w14:textId="77777777" w:rsidTr="000B3035">
        <w:trPr>
          <w:cantSplit/>
          <w:trHeight w:val="852"/>
        </w:trPr>
        <w:tc>
          <w:tcPr>
            <w:tcW w:w="9888" w:type="dxa"/>
            <w:gridSpan w:val="2"/>
          </w:tcPr>
          <w:p w14:paraId="4D38CAC2" w14:textId="20DE39DA" w:rsidR="00AC45CF" w:rsidRPr="00BA55BA" w:rsidRDefault="00AC45CF" w:rsidP="00AC45CF">
            <w:pPr>
              <w:pStyle w:val="Source"/>
            </w:pPr>
            <w:bookmarkStart w:id="3" w:name="Source"/>
            <w:bookmarkEnd w:id="3"/>
            <w:r>
              <w:rPr>
                <w:rFonts w:hint="eastAsia"/>
                <w:lang w:val="en-US"/>
              </w:rPr>
              <w:t>跨部门协调组主席</w:t>
            </w:r>
          </w:p>
        </w:tc>
      </w:tr>
      <w:tr w:rsidR="00AC45CF" w:rsidRPr="002E6963" w14:paraId="7DF3002D" w14:textId="77777777" w:rsidTr="000B3035">
        <w:trPr>
          <w:cantSplit/>
        </w:trPr>
        <w:tc>
          <w:tcPr>
            <w:tcW w:w="9888" w:type="dxa"/>
            <w:gridSpan w:val="2"/>
          </w:tcPr>
          <w:p w14:paraId="7808A01A" w14:textId="1CD7B724" w:rsidR="00AC45CF" w:rsidRPr="00BA55BA" w:rsidRDefault="00AC45CF" w:rsidP="00AC45CF">
            <w:pPr>
              <w:pStyle w:val="Title1"/>
            </w:pPr>
            <w:bookmarkStart w:id="4" w:name="Title"/>
            <w:bookmarkEnd w:id="4"/>
            <w:r>
              <w:rPr>
                <w:rFonts w:hint="eastAsia"/>
                <w:lang w:val="en-US"/>
              </w:rPr>
              <w:t>共同关心问题跨部门协调组（</w:t>
            </w:r>
            <w:r>
              <w:rPr>
                <w:lang w:val="en-US"/>
              </w:rPr>
              <w:t>ISCG</w:t>
            </w:r>
            <w:r>
              <w:rPr>
                <w:rFonts w:hint="eastAsia"/>
                <w:lang w:val="en-US"/>
              </w:rPr>
              <w:t>）的报告</w:t>
            </w:r>
          </w:p>
        </w:tc>
      </w:tr>
      <w:tr w:rsidR="0047681D" w:rsidRPr="002E6963" w14:paraId="279B1802" w14:textId="77777777" w:rsidTr="000B3035">
        <w:trPr>
          <w:cantSplit/>
        </w:trPr>
        <w:tc>
          <w:tcPr>
            <w:tcW w:w="9888" w:type="dxa"/>
            <w:gridSpan w:val="2"/>
            <w:tcBorders>
              <w:bottom w:val="single" w:sz="4" w:space="0" w:color="auto"/>
            </w:tcBorders>
          </w:tcPr>
          <w:p w14:paraId="6E5AAC91" w14:textId="77777777" w:rsidR="0047681D" w:rsidRPr="00A721F4" w:rsidRDefault="0047681D" w:rsidP="000B3035"/>
        </w:tc>
      </w:tr>
      <w:tr w:rsidR="0047681D" w:rsidRPr="002E6963" w14:paraId="26F590DA" w14:textId="77777777" w:rsidTr="000B3035">
        <w:trPr>
          <w:cantSplit/>
        </w:trPr>
        <w:tc>
          <w:tcPr>
            <w:tcW w:w="9888" w:type="dxa"/>
            <w:gridSpan w:val="2"/>
            <w:tcBorders>
              <w:top w:val="single" w:sz="4" w:space="0" w:color="auto"/>
              <w:left w:val="single" w:sz="4" w:space="0" w:color="auto"/>
              <w:bottom w:val="single" w:sz="4" w:space="0" w:color="auto"/>
              <w:right w:val="single" w:sz="4" w:space="0" w:color="auto"/>
            </w:tcBorders>
          </w:tcPr>
          <w:p w14:paraId="6B0B69F1" w14:textId="77777777" w:rsidR="00AC45CF" w:rsidRDefault="00AC45CF" w:rsidP="00AC45CF">
            <w:pPr>
              <w:spacing w:after="120"/>
              <w:rPr>
                <w:b/>
                <w:bCs/>
                <w:szCs w:val="24"/>
              </w:rPr>
            </w:pPr>
            <w:r>
              <w:rPr>
                <w:rFonts w:hint="eastAsia"/>
                <w:b/>
                <w:bCs/>
                <w:szCs w:val="24"/>
              </w:rPr>
              <w:t>概要：</w:t>
            </w:r>
          </w:p>
          <w:p w14:paraId="2FEC28C1" w14:textId="77777777" w:rsidR="00AC45CF" w:rsidRDefault="00AC45CF" w:rsidP="00AC45CF">
            <w:pPr>
              <w:spacing w:after="120"/>
              <w:ind w:firstLineChars="200" w:firstLine="480"/>
            </w:pPr>
            <w:r>
              <w:rPr>
                <w:rFonts w:hint="eastAsia"/>
              </w:rPr>
              <w:t>本文件介绍了共同关心问题跨部门协调组（</w:t>
            </w:r>
            <w:r>
              <w:t>ISCG</w:t>
            </w:r>
            <w:r>
              <w:rPr>
                <w:rFonts w:hint="eastAsia"/>
              </w:rPr>
              <w:t>）的进展报告，重点介绍了该组</w:t>
            </w:r>
            <w:r>
              <w:t>2023</w:t>
            </w:r>
            <w:r>
              <w:rPr>
                <w:rFonts w:hint="eastAsia"/>
              </w:rPr>
              <w:t>年</w:t>
            </w:r>
            <w:r>
              <w:t>5</w:t>
            </w:r>
            <w:r>
              <w:rPr>
                <w:rFonts w:hint="eastAsia"/>
              </w:rPr>
              <w:t>月</w:t>
            </w:r>
            <w:r>
              <w:t>2</w:t>
            </w:r>
            <w:r>
              <w:rPr>
                <w:rFonts w:hint="eastAsia"/>
              </w:rPr>
              <w:t>日上一次会议的结论。</w:t>
            </w:r>
          </w:p>
          <w:p w14:paraId="11E444AA" w14:textId="77777777" w:rsidR="00AC45CF" w:rsidRDefault="00AC45CF" w:rsidP="00AC45CF">
            <w:pPr>
              <w:spacing w:after="120"/>
              <w:rPr>
                <w:b/>
                <w:bCs/>
                <w:szCs w:val="24"/>
              </w:rPr>
            </w:pPr>
            <w:r>
              <w:rPr>
                <w:rFonts w:hint="eastAsia"/>
                <w:b/>
                <w:bCs/>
              </w:rPr>
              <w:t>需采取的行动：</w:t>
            </w:r>
          </w:p>
          <w:p w14:paraId="7D2AEB58" w14:textId="77777777" w:rsidR="00AC45CF" w:rsidRDefault="00AC45CF" w:rsidP="00AC45CF">
            <w:pPr>
              <w:spacing w:after="120"/>
              <w:ind w:firstLineChars="200" w:firstLine="480"/>
              <w:rPr>
                <w:szCs w:val="24"/>
              </w:rPr>
            </w:pPr>
            <w:r>
              <w:rPr>
                <w:rFonts w:hint="eastAsia"/>
              </w:rPr>
              <w:t>请</w:t>
            </w:r>
            <w:r>
              <w:t>TDAG</w:t>
            </w:r>
            <w:r>
              <w:rPr>
                <w:rFonts w:hint="eastAsia"/>
              </w:rPr>
              <w:t>注意本文件并提供适当的指导。</w:t>
            </w:r>
          </w:p>
          <w:p w14:paraId="72939B02" w14:textId="77777777" w:rsidR="00AC45CF" w:rsidRDefault="00AC45CF" w:rsidP="00AC45CF">
            <w:pPr>
              <w:spacing w:after="120"/>
              <w:rPr>
                <w:b/>
                <w:bCs/>
                <w:szCs w:val="24"/>
              </w:rPr>
            </w:pPr>
            <w:r>
              <w:rPr>
                <w:rFonts w:hint="eastAsia"/>
                <w:b/>
                <w:bCs/>
                <w:szCs w:val="24"/>
              </w:rPr>
              <w:t>参考文件：</w:t>
            </w:r>
          </w:p>
          <w:p w14:paraId="2878377D" w14:textId="23AE884D" w:rsidR="0047681D" w:rsidRPr="00D9621A" w:rsidRDefault="00AC45CF" w:rsidP="00AC45CF">
            <w:pPr>
              <w:spacing w:after="120"/>
            </w:pPr>
            <w:r>
              <w:rPr>
                <w:rFonts w:hint="eastAsia"/>
              </w:rPr>
              <w:t>全权代表大会</w:t>
            </w:r>
            <w:hyperlink r:id="rId12" w:history="1">
              <w:r>
                <w:rPr>
                  <w:rStyle w:val="Hyperlink"/>
                  <w:rFonts w:hint="eastAsia"/>
                </w:rPr>
                <w:t>第</w:t>
              </w:r>
              <w:r>
                <w:rPr>
                  <w:rStyle w:val="Hyperlink"/>
                </w:rPr>
                <w:t>191</w:t>
              </w:r>
              <w:r>
                <w:rPr>
                  <w:rStyle w:val="Hyperlink"/>
                  <w:rFonts w:hint="eastAsia"/>
                </w:rPr>
                <w:t>号决议</w:t>
              </w:r>
            </w:hyperlink>
            <w:r>
              <w:rPr>
                <w:rFonts w:hint="eastAsia"/>
              </w:rPr>
              <w:t>（</w:t>
            </w:r>
            <w:r>
              <w:t>2022</w:t>
            </w:r>
            <w:r>
              <w:rPr>
                <w:rFonts w:hint="eastAsia"/>
              </w:rPr>
              <w:t>年，布加勒斯特，修订版）；和</w:t>
            </w:r>
            <w:r>
              <w:fldChar w:fldCharType="begin"/>
            </w:r>
            <w:r>
              <w:instrText xml:space="preserve"> HYPERLINK "https://www.itu.int/en/council/Documents/basic-texts-2023/DEC-005-E.pdf" </w:instrText>
            </w:r>
            <w:r>
              <w:fldChar w:fldCharType="separate"/>
            </w:r>
            <w:r>
              <w:rPr>
                <w:rStyle w:val="Hyperlink"/>
                <w:rFonts w:hint="eastAsia"/>
              </w:rPr>
              <w:t>第</w:t>
            </w:r>
            <w:r>
              <w:rPr>
                <w:rStyle w:val="Hyperlink"/>
              </w:rPr>
              <w:t>5</w:t>
            </w:r>
            <w:r>
              <w:rPr>
                <w:rStyle w:val="Hyperlink"/>
                <w:rFonts w:hint="eastAsia"/>
              </w:rPr>
              <w:t>号决定</w:t>
            </w:r>
            <w:r>
              <w:fldChar w:fldCharType="end"/>
            </w:r>
            <w:r>
              <w:rPr>
                <w:rFonts w:hint="eastAsia"/>
              </w:rPr>
              <w:t>（</w:t>
            </w:r>
            <w:r>
              <w:t>2022</w:t>
            </w:r>
            <w:r>
              <w:rPr>
                <w:rFonts w:hint="eastAsia"/>
              </w:rPr>
              <w:t>年，布加勒斯特，修订版）</w:t>
            </w:r>
          </w:p>
        </w:tc>
      </w:tr>
    </w:tbl>
    <w:p w14:paraId="24AF291A" w14:textId="77777777" w:rsidR="00337C85" w:rsidRPr="000D5936" w:rsidRDefault="00337C85" w:rsidP="00337C85">
      <w:pPr>
        <w:spacing w:after="120"/>
        <w:rPr>
          <w:rFonts w:cstheme="minorHAnsi"/>
          <w:b/>
          <w:bCs/>
          <w:szCs w:val="24"/>
        </w:rPr>
      </w:pPr>
    </w:p>
    <w:p w14:paraId="47D4144B" w14:textId="7607CF78"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rPr>
          <w:rFonts w:cstheme="minorHAnsi"/>
          <w:b/>
          <w:bCs/>
          <w:szCs w:val="24"/>
          <w:lang w:val="fr-FR"/>
        </w:rPr>
      </w:pPr>
      <w:r w:rsidRPr="00337C85">
        <w:rPr>
          <w:rFonts w:cstheme="minorHAnsi"/>
          <w:b/>
          <w:bCs/>
          <w:szCs w:val="24"/>
          <w:lang w:val="fr-FR"/>
        </w:rPr>
        <w:t>介绍</w:t>
      </w:r>
    </w:p>
    <w:p w14:paraId="2E1B6F2B" w14:textId="77777777" w:rsidR="00337C85" w:rsidRPr="00337C85" w:rsidRDefault="00337C85" w:rsidP="00337C85">
      <w:pPr>
        <w:spacing w:after="120"/>
        <w:rPr>
          <w:rFonts w:cstheme="minorHAnsi"/>
          <w:szCs w:val="24"/>
        </w:rPr>
      </w:pPr>
      <w:r w:rsidRPr="00337C85">
        <w:rPr>
          <w:rFonts w:cstheme="minorHAnsi"/>
          <w:szCs w:val="24"/>
          <w:vertAlign w:val="superscript"/>
        </w:rPr>
        <w:t>日</w:t>
      </w:r>
      <w:r w:rsidRPr="00337C85">
        <w:rPr>
          <w:rFonts w:cstheme="minorHAnsi"/>
          <w:szCs w:val="24"/>
        </w:rPr>
        <w:t>中午 12:30 至 14:00（欧洲中部时间）在国际电联总部与无线电通信委员会联合召开了关于共同关心的问题的部门间协调组（ISCG）2023 年第一次会议。咨询小组 (RAG) 会议。会议允许通过 Zoom 平台远程参与。</w:t>
      </w:r>
    </w:p>
    <w:p w14:paraId="6D848A01" w14:textId="77777777" w:rsidR="00337C85" w:rsidRPr="00337C85" w:rsidRDefault="00337C85" w:rsidP="00337C85">
      <w:pPr>
        <w:spacing w:after="120"/>
        <w:rPr>
          <w:rFonts w:cstheme="minorHAnsi"/>
          <w:szCs w:val="24"/>
        </w:rPr>
      </w:pPr>
      <w:r w:rsidRPr="00337C85">
        <w:rPr>
          <w:rFonts w:cstheme="minorHAnsi"/>
          <w:szCs w:val="24"/>
        </w:rPr>
        <w:t>会议由ISCG 主席法比奥·比吉 (Fabio Bigi) 先生（意大利）主持，他欢迎该小组成员和其他与会者参加自 2020 年宣布 COVID-19 大流行以来首次亲自举行的 ISCG 会议。 Bigi先生还欢迎国际电联副秘书长托马斯·拉马瑙斯卡斯先生出席会议并致开幕词。 ISCG 主席和国际电联副秘书长一致认为，必须加强国际电联内部的部门间协调，包括成员与秘书处之间的协调，并鼓励 ISCG 成员提交意见，以改善三个部门之间的合作与协作进程，以及总秘书处。</w:t>
      </w:r>
    </w:p>
    <w:p w14:paraId="10AF29D9" w14:textId="77777777" w:rsidR="00337C85" w:rsidRPr="00337C85" w:rsidRDefault="00337C85" w:rsidP="00337C85">
      <w:pPr>
        <w:spacing w:after="120"/>
        <w:rPr>
          <w:rFonts w:cstheme="minorHAnsi"/>
          <w:szCs w:val="24"/>
        </w:rPr>
      </w:pPr>
      <w:r w:rsidRPr="00337C85">
        <w:rPr>
          <w:rFonts w:cstheme="minorHAnsi"/>
          <w:szCs w:val="24"/>
        </w:rPr>
        <w:t xml:space="preserve">ISCG主席提出议程（ </w:t>
      </w:r>
      <w:hyperlink r:id="rId13" w:history="1">
        <w:r w:rsidRPr="00337C85">
          <w:rPr>
            <w:rStyle w:val="Hyperlink"/>
            <w:rFonts w:cstheme="minorHAnsi"/>
            <w:szCs w:val="24"/>
          </w:rPr>
          <w:t xml:space="preserve">ISCG/23-1/01-R1 </w:t>
        </w:r>
      </w:hyperlink>
      <w:r w:rsidRPr="00337C85">
        <w:rPr>
          <w:rFonts w:cstheme="minorHAnsi"/>
          <w:szCs w:val="24"/>
        </w:rPr>
        <w:t>）并获得会议批准。</w:t>
      </w:r>
    </w:p>
    <w:p w14:paraId="2AE52973" w14:textId="77777777" w:rsidR="00337C85" w:rsidRPr="00337C85" w:rsidRDefault="00337C85" w:rsidP="00337C85">
      <w:pPr>
        <w:spacing w:after="120"/>
        <w:rPr>
          <w:rFonts w:cstheme="minorHAnsi"/>
          <w:szCs w:val="24"/>
        </w:rPr>
      </w:pPr>
      <w:r w:rsidRPr="00337C85">
        <w:rPr>
          <w:rFonts w:cstheme="minorHAnsi"/>
          <w:szCs w:val="24"/>
        </w:rPr>
        <w:t>主席告知会议期间提出和讨论的所有文件，包括议程和</w:t>
      </w:r>
      <w:bookmarkStart w:id="5" w:name="_Hlk96717086"/>
      <w:r w:rsidRPr="00337C85">
        <w:rPr>
          <w:rFonts w:cstheme="minorHAnsi"/>
          <w:szCs w:val="24"/>
        </w:rPr>
        <w:t>与会者名单</w:t>
      </w:r>
      <w:bookmarkEnd w:id="5"/>
      <w:r w:rsidRPr="00337C85">
        <w:rPr>
          <w:rFonts w:cstheme="minorHAnsi"/>
          <w:szCs w:val="24"/>
        </w:rPr>
        <w:t>（见</w:t>
      </w:r>
      <w:hyperlink r:id="rId14" w:history="1">
        <w:r w:rsidRPr="00337C85">
          <w:rPr>
            <w:rStyle w:val="Hyperlink"/>
            <w:rFonts w:cstheme="minorHAnsi"/>
            <w:szCs w:val="24"/>
          </w:rPr>
          <w:t>此处），均可通过</w:t>
        </w:r>
      </w:hyperlink>
      <w:hyperlink r:id="rId15" w:history="1">
        <w:r w:rsidRPr="00337C85">
          <w:rPr>
            <w:rFonts w:cstheme="minorHAnsi"/>
            <w:color w:val="0000FF"/>
            <w:szCs w:val="24"/>
            <w:u w:val="single"/>
          </w:rPr>
          <w:t>ISCG 网页</w:t>
        </w:r>
      </w:hyperlink>
      <w:r w:rsidRPr="00337C85">
        <w:rPr>
          <w:rFonts w:cstheme="minorHAnsi"/>
          <w:szCs w:val="24"/>
        </w:rPr>
        <w:t>访问。</w:t>
      </w:r>
    </w:p>
    <w:p w14:paraId="3473DC6C" w14:textId="77777777" w:rsidR="00337C85" w:rsidRPr="00337C85" w:rsidRDefault="00337C85" w:rsidP="00337C85">
      <w:pPr>
        <w:spacing w:after="120"/>
        <w:rPr>
          <w:rFonts w:cstheme="minorHAnsi"/>
          <w:szCs w:val="24"/>
        </w:rPr>
      </w:pPr>
      <w:r w:rsidRPr="00337C85">
        <w:rPr>
          <w:rFonts w:cstheme="minorHAnsi"/>
          <w:szCs w:val="24"/>
        </w:rPr>
        <w:lastRenderedPageBreak/>
        <w:t>关于该网页，秘书处通报说，国际电联翻译工具已经安装，因此该网站现在可以使用六种正式语言。</w:t>
      </w:r>
    </w:p>
    <w:p w14:paraId="1DF446FE"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主要讨论</w:t>
      </w:r>
      <w:bookmarkStart w:id="6" w:name="_GoBack"/>
      <w:bookmarkEnd w:id="6"/>
    </w:p>
    <w:p w14:paraId="3F544EF9" w14:textId="0AFFDCCD"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关于 PP-191 号决议的报告（布查休息，2022 年修订版）</w:t>
      </w:r>
    </w:p>
    <w:p w14:paraId="206671FD" w14:textId="77777777" w:rsidR="00337C85" w:rsidRPr="00337C85" w:rsidRDefault="00337C85" w:rsidP="00337C85">
      <w:pPr>
        <w:spacing w:after="120"/>
        <w:rPr>
          <w:rFonts w:cstheme="minorHAnsi"/>
          <w:szCs w:val="24"/>
        </w:rPr>
      </w:pPr>
      <w:r w:rsidRPr="00337C85">
        <w:rPr>
          <w:rFonts w:cstheme="minorHAnsi"/>
          <w:szCs w:val="24"/>
        </w:rPr>
        <w:t>国际电联秘书处提交了文件</w:t>
      </w:r>
      <w:hyperlink r:id="rId16" w:history="1">
        <w:r w:rsidRPr="00337C85">
          <w:rPr>
            <w:rStyle w:val="Hyperlink"/>
            <w:rFonts w:cstheme="minorHAnsi"/>
            <w:szCs w:val="24"/>
          </w:rPr>
          <w:t>ISCG/23-1/02，</w:t>
        </w:r>
      </w:hyperlink>
      <w:r w:rsidRPr="00337C85">
        <w:rPr>
          <w:rFonts w:cstheme="minorHAnsi"/>
          <w:szCs w:val="24"/>
        </w:rPr>
        <w:t>其中载有经 2022 年全权代表大会修订的第 191 号决议（2022 年，布加勒斯特，修订版）的最终文本；以及列出主要变化的表格，并强调 ISCG 将采取的行动。</w:t>
      </w:r>
    </w:p>
    <w:p w14:paraId="152FADFC" w14:textId="77777777" w:rsidR="00337C85" w:rsidRPr="00337C85" w:rsidRDefault="00337C85" w:rsidP="00337C85">
      <w:pPr>
        <w:spacing w:after="120"/>
        <w:rPr>
          <w:rFonts w:cstheme="minorHAnsi"/>
          <w:szCs w:val="24"/>
        </w:rPr>
      </w:pPr>
      <w:r w:rsidRPr="00337C85">
        <w:rPr>
          <w:rFonts w:cstheme="minorHAnsi"/>
          <w:szCs w:val="24"/>
        </w:rPr>
        <w:t>秘书处还通报了将于 7 月向理事会 2023 年提交的新的部门间协调机制 (ISCM)。该内部机制将根据需要协调的主题的性质（战略性、计划性、操作性），通过三个轨道来推动，以涵盖所有需要部门间协调的主题，并促进监测和评估实施进展。每个类别将有不同的报告渠道（内部），秘书处将继续每年向理事会报告并与部门咨询小组和 ISCG 联络。此外，将实施一个更宽松的机制，以便在三个部门和总秘书处之间共享可能需要部门间协调的所有活动的信息。</w:t>
      </w:r>
    </w:p>
    <w:p w14:paraId="6132636D" w14:textId="77777777" w:rsidR="00337C85" w:rsidRPr="00337C85" w:rsidRDefault="00337C85" w:rsidP="00337C85">
      <w:pPr>
        <w:spacing w:after="120"/>
        <w:rPr>
          <w:rFonts w:cstheme="minorHAnsi"/>
          <w:szCs w:val="24"/>
        </w:rPr>
      </w:pPr>
      <w:r w:rsidRPr="00337C85">
        <w:rPr>
          <w:rFonts w:cstheme="minorHAnsi"/>
          <w:szCs w:val="24"/>
        </w:rPr>
        <w:t>ISCG 主席强调了这一新机制继续定期向 ISCG 报告的重要性，就像部门间协调工作组 (ISC-TF) 所做的那样。</w:t>
      </w:r>
    </w:p>
    <w:p w14:paraId="651D465B" w14:textId="77777777" w:rsidR="00337C85" w:rsidRPr="00337C85" w:rsidRDefault="00337C85" w:rsidP="00337C85">
      <w:pPr>
        <w:spacing w:after="120"/>
        <w:rPr>
          <w:rFonts w:cstheme="minorHAnsi"/>
          <w:szCs w:val="24"/>
        </w:rPr>
      </w:pPr>
      <w:r w:rsidRPr="00337C85">
        <w:rPr>
          <w:rFonts w:cstheme="minorHAnsi"/>
          <w:szCs w:val="24"/>
        </w:rPr>
        <w:t>有人指出，一个国际电联的概念需要进一步澄清，一方面考虑到成员需要每个部门制定详细的运营计划，另一方面需要改进国际电联范围内的协调机制，例如简化决议应用在线可用的映射（请参阅</w:t>
      </w:r>
      <w:hyperlink r:id="rId17" w:history="1">
        <w:r w:rsidRPr="00337C85">
          <w:rPr>
            <w:rStyle w:val="Hyperlink"/>
            <w:rFonts w:cstheme="minorHAnsi"/>
            <w:szCs w:val="24"/>
          </w:rPr>
          <w:t>此处</w:t>
        </w:r>
      </w:hyperlink>
      <w:r w:rsidRPr="00337C85">
        <w:rPr>
          <w:rFonts w:cstheme="minorHAnsi"/>
          <w:szCs w:val="24"/>
        </w:rPr>
        <w:t>），或者在组织会议时应用与可访问性相关的相同程序，仅举一些例子。</w:t>
      </w:r>
    </w:p>
    <w:p w14:paraId="2F20F145" w14:textId="77777777" w:rsidR="00337C85" w:rsidRPr="00337C85" w:rsidRDefault="00337C85" w:rsidP="00337C85">
      <w:pPr>
        <w:spacing w:after="120"/>
        <w:rPr>
          <w:rFonts w:cstheme="minorHAnsi"/>
          <w:szCs w:val="24"/>
        </w:rPr>
      </w:pPr>
      <w:r w:rsidRPr="00337C85">
        <w:rPr>
          <w:rFonts w:cstheme="minorHAnsi"/>
          <w:szCs w:val="24"/>
        </w:rPr>
        <w:t>会议同意并欢迎秘书处为加强和完善部门间协调机制所做的努力，并要求秘书处继续报告这一进程。</w:t>
      </w:r>
    </w:p>
    <w:p w14:paraId="1DD4A03C" w14:textId="33A83CDA"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主题报告</w:t>
      </w:r>
    </w:p>
    <w:p w14:paraId="0113F22C" w14:textId="77777777" w:rsidR="00337C85" w:rsidRPr="00337C85" w:rsidRDefault="00337C85" w:rsidP="00337C85">
      <w:pPr>
        <w:tabs>
          <w:tab w:val="clear" w:pos="794"/>
          <w:tab w:val="left" w:pos="567"/>
        </w:tabs>
        <w:spacing w:after="120"/>
        <w:ind w:left="720" w:hanging="720"/>
        <w:rPr>
          <w:rFonts w:cstheme="minorHAnsi"/>
          <w:b/>
          <w:bCs/>
          <w:szCs w:val="24"/>
        </w:rPr>
      </w:pPr>
      <w:r w:rsidRPr="00337C85">
        <w:rPr>
          <w:rFonts w:cstheme="minorHAnsi"/>
          <w:b/>
          <w:bCs/>
          <w:szCs w:val="24"/>
        </w:rPr>
        <w:t xml:space="preserve">2.2.1 </w:t>
      </w:r>
      <w:r w:rsidRPr="00337C85">
        <w:rPr>
          <w:rFonts w:cstheme="minorHAnsi"/>
          <w:b/>
          <w:bCs/>
          <w:szCs w:val="24"/>
        </w:rPr>
        <w:tab/>
        <w:t>“气候变化”</w:t>
      </w:r>
    </w:p>
    <w:p w14:paraId="753E2353" w14:textId="77777777" w:rsidR="00337C85" w:rsidRPr="00337C85" w:rsidRDefault="00337C85" w:rsidP="00337C85">
      <w:pPr>
        <w:spacing w:after="120"/>
        <w:rPr>
          <w:rFonts w:cstheme="minorHAnsi"/>
          <w:szCs w:val="24"/>
        </w:rPr>
      </w:pPr>
      <w:r w:rsidRPr="00337C85">
        <w:rPr>
          <w:rFonts w:cstheme="minorHAnsi"/>
          <w:szCs w:val="24"/>
        </w:rPr>
        <w:t>秘书处提交了一份报告，其中介绍了推进国际电联气候变化相关活动内部工作的最新进展（见</w:t>
      </w:r>
      <w:hyperlink r:id="rId18" w:history="1">
        <w:r w:rsidRPr="00337C85">
          <w:rPr>
            <w:rStyle w:val="Hyperlink"/>
            <w:rFonts w:cstheme="minorHAnsi"/>
            <w:szCs w:val="24"/>
          </w:rPr>
          <w:t xml:space="preserve">ISCG/23-1/05b </w:t>
        </w:r>
      </w:hyperlink>
      <w:r w:rsidRPr="00337C85">
        <w:rPr>
          <w:rStyle w:val="Hyperlink"/>
          <w:rFonts w:cstheme="minorHAnsi"/>
          <w:szCs w:val="24"/>
        </w:rPr>
        <w:t xml:space="preserve">） </w:t>
      </w:r>
      <w:r w:rsidRPr="00337C85">
        <w:rPr>
          <w:rFonts w:cstheme="minorHAnsi"/>
          <w:szCs w:val="24"/>
        </w:rPr>
        <w:t>。</w:t>
      </w:r>
    </w:p>
    <w:p w14:paraId="6BDE20D6" w14:textId="77777777" w:rsidR="00337C85" w:rsidRPr="00337C85" w:rsidRDefault="00337C85" w:rsidP="00337C85">
      <w:pPr>
        <w:spacing w:after="120"/>
        <w:rPr>
          <w:rFonts w:cstheme="minorHAnsi"/>
          <w:szCs w:val="24"/>
        </w:rPr>
      </w:pPr>
      <w:r w:rsidRPr="00337C85">
        <w:rPr>
          <w:rFonts w:cstheme="minorHAnsi"/>
          <w:szCs w:val="24"/>
        </w:rPr>
        <w:t>报告介绍了各部门开展的活动，并强调了在 COP28 上组织“绿色数字日”的计划，旨在将 ICT 生态系统聚集在一起，以影响力为导向，创造动力，确保这一天能够带来可衡量的积极影响对气候的影响。</w:t>
      </w:r>
    </w:p>
    <w:p w14:paraId="439E9685" w14:textId="77777777" w:rsidR="00337C85" w:rsidRPr="00337C85" w:rsidRDefault="00337C85" w:rsidP="00337C85">
      <w:pPr>
        <w:spacing w:after="120"/>
        <w:rPr>
          <w:rFonts w:cstheme="minorHAnsi"/>
          <w:szCs w:val="24"/>
        </w:rPr>
      </w:pPr>
      <w:r w:rsidRPr="00337C85">
        <w:rPr>
          <w:rFonts w:cstheme="minorHAnsi"/>
          <w:szCs w:val="24"/>
        </w:rPr>
        <w:t>国际电联无线电通信部门（ITU-R）归口单位还介绍了文件</w:t>
      </w:r>
      <w:hyperlink r:id="rId19" w:history="1">
        <w:r w:rsidRPr="00337C85">
          <w:rPr>
            <w:rStyle w:val="Hyperlink"/>
            <w:rFonts w:cstheme="minorHAnsi"/>
            <w:szCs w:val="24"/>
          </w:rPr>
          <w:t>ISCG/23-1/06，</w:t>
        </w:r>
      </w:hyperlink>
      <w:r w:rsidRPr="00337C85">
        <w:rPr>
          <w:rFonts w:cstheme="minorHAnsi"/>
          <w:szCs w:val="24"/>
        </w:rPr>
        <w:t>其中包含该部门在气候变化方面所做的工作、ITU-R 如何看待该行业和媒体行业的相关主题、并呼吁与电信标准化部门（ITU-T）协调制定标准。</w:t>
      </w:r>
    </w:p>
    <w:p w14:paraId="360151FF" w14:textId="77777777" w:rsidR="00337C85" w:rsidRPr="00337C85" w:rsidRDefault="00337C85" w:rsidP="00337C85">
      <w:pPr>
        <w:spacing w:after="120"/>
        <w:rPr>
          <w:rFonts w:cstheme="minorHAnsi"/>
          <w:szCs w:val="24"/>
        </w:rPr>
      </w:pPr>
      <w:r w:rsidRPr="00337C85">
        <w:rPr>
          <w:rFonts w:cstheme="minorHAnsi"/>
          <w:szCs w:val="24"/>
        </w:rPr>
        <w:t>ISCG 主席对这些信息表示欢迎，并要求气候变化协调员 Paolo Gemma 先生向下次会议提交一份全面报告，包括对 ICT 部门排放量（范围 3）的评估，因为这是三个部门都感兴趣的主题。</w:t>
      </w:r>
    </w:p>
    <w:p w14:paraId="6BB369C4" w14:textId="77777777" w:rsidR="00337C85" w:rsidRPr="00337C85" w:rsidRDefault="00337C85" w:rsidP="00337C85">
      <w:pPr>
        <w:tabs>
          <w:tab w:val="clear" w:pos="794"/>
          <w:tab w:val="left" w:pos="567"/>
        </w:tabs>
        <w:spacing w:after="120"/>
        <w:ind w:left="720" w:hanging="720"/>
        <w:rPr>
          <w:rFonts w:cstheme="minorHAnsi"/>
          <w:b/>
          <w:bCs/>
          <w:szCs w:val="24"/>
        </w:rPr>
      </w:pPr>
      <w:r w:rsidRPr="00337C85">
        <w:rPr>
          <w:rFonts w:cstheme="minorHAnsi"/>
          <w:b/>
          <w:bCs/>
          <w:szCs w:val="24"/>
        </w:rPr>
        <w:t xml:space="preserve">2.2.2 </w:t>
      </w:r>
      <w:r w:rsidRPr="00337C85">
        <w:rPr>
          <w:rFonts w:cstheme="minorHAnsi"/>
          <w:b/>
          <w:bCs/>
          <w:szCs w:val="24"/>
        </w:rPr>
        <w:tab/>
        <w:t>“无障碍”</w:t>
      </w:r>
    </w:p>
    <w:p w14:paraId="5CED8501" w14:textId="77777777" w:rsidR="00337C85" w:rsidRPr="00337C85" w:rsidRDefault="00337C85" w:rsidP="00337C85">
      <w:pPr>
        <w:spacing w:after="120"/>
        <w:rPr>
          <w:rFonts w:cstheme="minorHAnsi"/>
          <w:szCs w:val="24"/>
        </w:rPr>
      </w:pPr>
      <w:r w:rsidRPr="00337C85">
        <w:rPr>
          <w:rFonts w:cstheme="minorHAnsi"/>
          <w:szCs w:val="24"/>
        </w:rPr>
        <w:t>ISCG主席邀请无障碍协调员Andrea Saks女士做口头报告。协调员重点讨论了国际电联使用 ITU-T 第 16 研究组正在制定的有关无障碍会议和远程参与标准的必要性，以及制定国际电联会议标准程序的必要性。</w:t>
      </w:r>
    </w:p>
    <w:p w14:paraId="1F145A7F" w14:textId="77777777" w:rsidR="00337C85" w:rsidRPr="00337C85" w:rsidRDefault="00337C85" w:rsidP="00337C85">
      <w:pPr>
        <w:spacing w:after="120"/>
        <w:rPr>
          <w:rFonts w:cstheme="minorHAnsi"/>
          <w:szCs w:val="24"/>
        </w:rPr>
      </w:pPr>
      <w:r w:rsidRPr="00337C85">
        <w:rPr>
          <w:rFonts w:cstheme="minorHAnsi"/>
          <w:szCs w:val="24"/>
        </w:rPr>
        <w:lastRenderedPageBreak/>
        <w:t>ITU-R 联络点还提交了有关 ITU-R 第 6 研究组在广播服务方面所做工作的最新信息，更具体地介绍了如何针对任何残障人士提供个性化媒体（见</w:t>
      </w:r>
      <w:hyperlink r:id="rId20" w:history="1">
        <w:r w:rsidRPr="00337C85">
          <w:rPr>
            <w:rStyle w:val="Hyperlink"/>
            <w:rFonts w:cstheme="minorHAnsi"/>
            <w:szCs w:val="24"/>
          </w:rPr>
          <w:t xml:space="preserve">ISCG/23-1/06 </w:t>
        </w:r>
      </w:hyperlink>
      <w:r w:rsidRPr="00337C85">
        <w:rPr>
          <w:rFonts w:cstheme="minorHAnsi"/>
          <w:szCs w:val="24"/>
        </w:rPr>
        <w:t>）。</w:t>
      </w:r>
    </w:p>
    <w:p w14:paraId="6AE07986" w14:textId="77777777" w:rsidR="00337C85" w:rsidRPr="00337C85" w:rsidRDefault="00337C85" w:rsidP="00337C85">
      <w:pPr>
        <w:spacing w:after="120"/>
        <w:rPr>
          <w:rFonts w:cstheme="minorHAnsi"/>
          <w:szCs w:val="24"/>
        </w:rPr>
      </w:pPr>
      <w:r w:rsidRPr="00337C85">
        <w:rPr>
          <w:rFonts w:cstheme="minorHAnsi"/>
          <w:szCs w:val="24"/>
        </w:rPr>
        <w:t>秘书处提交了一份报告，其中介绍了推进国际电联无障碍相关活动内部工作的最新进展（见</w:t>
      </w:r>
      <w:hyperlink r:id="rId21" w:history="1">
        <w:r w:rsidRPr="00337C85">
          <w:rPr>
            <w:rStyle w:val="Hyperlink"/>
            <w:rFonts w:cstheme="minorHAnsi"/>
            <w:szCs w:val="24"/>
          </w:rPr>
          <w:t xml:space="preserve">ISCG/23-1/05a </w:t>
        </w:r>
      </w:hyperlink>
      <w:r w:rsidRPr="00337C85">
        <w:rPr>
          <w:rFonts w:cstheme="minorHAnsi"/>
          <w:szCs w:val="24"/>
        </w:rPr>
        <w:t>）。无障碍联络员还强调，国际电联2024-2025年预算草案首次包括每年10万瑞士法郎的无障碍活动，以实现国际电联的无障碍（例如，提供字幕等）。</w:t>
      </w:r>
    </w:p>
    <w:p w14:paraId="40A2FD25" w14:textId="77777777" w:rsidR="00337C85" w:rsidRPr="00337C85" w:rsidRDefault="00337C85" w:rsidP="00337C85">
      <w:pPr>
        <w:spacing w:after="120"/>
        <w:rPr>
          <w:rFonts w:cstheme="minorHAnsi"/>
          <w:szCs w:val="24"/>
        </w:rPr>
      </w:pPr>
      <w:r w:rsidRPr="00337C85">
        <w:rPr>
          <w:rFonts w:cstheme="minorHAnsi"/>
          <w:szCs w:val="24"/>
        </w:rPr>
        <w:t>ISCG 主席鼓励协调员就讨论的所有方面提交一份综合报告。 ISCG 成员还要求参与新建筑项目，以确保所有无障碍问题得到考虑。</w:t>
      </w:r>
    </w:p>
    <w:p w14:paraId="47D64AD5"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远程参与</w:t>
      </w:r>
    </w:p>
    <w:p w14:paraId="0301B7C8" w14:textId="77777777" w:rsidR="00337C85" w:rsidRPr="00337C85" w:rsidRDefault="00337C85" w:rsidP="00337C85">
      <w:pPr>
        <w:spacing w:after="120"/>
        <w:rPr>
          <w:rFonts w:cstheme="minorHAnsi"/>
          <w:szCs w:val="24"/>
        </w:rPr>
      </w:pPr>
      <w:r w:rsidRPr="00337C85">
        <w:rPr>
          <w:rFonts w:cstheme="minorHAnsi"/>
          <w:szCs w:val="24"/>
        </w:rPr>
        <w:t>电信标准化咨询组 (TSAG) 远程参与代表提交了一份文件</w:t>
      </w:r>
      <w:hyperlink r:id="rId22" w:history="1">
        <w:r w:rsidRPr="00337C85">
          <w:rPr>
            <w:rStyle w:val="Hyperlink"/>
            <w:rFonts w:cstheme="minorHAnsi"/>
            <w:szCs w:val="24"/>
          </w:rPr>
          <w:t xml:space="preserve">ISCG/23-1/04 </w:t>
        </w:r>
      </w:hyperlink>
      <w:r w:rsidRPr="00337C85">
        <w:rPr>
          <w:rFonts w:cstheme="minorHAnsi"/>
          <w:szCs w:val="24"/>
        </w:rPr>
        <w:t>，介绍了去年的最新情况。该文件告知，ITU T A 系列建议书的补充 4（详细说明了远程参与指南）已得到修订。完整文本可在 TSAG 向会议提交的联络声明中找到（参见</w:t>
      </w:r>
      <w:hyperlink r:id="rId23" w:history="1">
        <w:r w:rsidRPr="00337C85">
          <w:rPr>
            <w:rStyle w:val="Hyperlink"/>
            <w:rFonts w:cstheme="minorHAnsi"/>
            <w:szCs w:val="24"/>
          </w:rPr>
          <w:t xml:space="preserve">TSAG-LS03 </w:t>
        </w:r>
      </w:hyperlink>
      <w:r w:rsidRPr="00337C85">
        <w:rPr>
          <w:rFonts w:cstheme="minorHAnsi"/>
          <w:szCs w:val="24"/>
        </w:rPr>
        <w:t>）。</w:t>
      </w:r>
    </w:p>
    <w:p w14:paraId="73F4246F" w14:textId="77777777" w:rsidR="00337C85" w:rsidRPr="00337C85" w:rsidRDefault="00337C85" w:rsidP="00337C85">
      <w:pPr>
        <w:spacing w:after="120"/>
        <w:rPr>
          <w:rFonts w:cstheme="minorHAnsi"/>
          <w:szCs w:val="24"/>
        </w:rPr>
      </w:pPr>
      <w:r w:rsidRPr="00337C85">
        <w:rPr>
          <w:rFonts w:cstheme="minorHAnsi"/>
          <w:szCs w:val="24"/>
        </w:rPr>
        <w:t>会议同意，ISCG 向各部门发出一份联络声明，邀请他们分享虚拟会议治理和管理的规则，以尝试在短期内确定商定的共同最佳实践，并将此类信息提供给理事会协助他们按照 PP-167 号决议（布加勒斯特，2022 年修订版）的规定进行审议，以制定欧盟范围内的长期共同方法。会议还同意任命 Philip Rushton 先生为联系人。</w:t>
      </w:r>
    </w:p>
    <w:p w14:paraId="782699AE" w14:textId="77777777" w:rsidR="00337C85" w:rsidRPr="00337C85" w:rsidRDefault="00337C85" w:rsidP="00337C85">
      <w:pPr>
        <w:spacing w:after="120"/>
        <w:rPr>
          <w:rFonts w:cstheme="minorHAnsi"/>
          <w:szCs w:val="24"/>
        </w:rPr>
      </w:pPr>
      <w:r w:rsidRPr="00337C85">
        <w:rPr>
          <w:rFonts w:cstheme="minorHAnsi"/>
          <w:szCs w:val="24"/>
        </w:rPr>
        <w:t>ISCG 将提交的联络声明作为本报告的附件 1 提供。</w:t>
      </w:r>
    </w:p>
    <w:p w14:paraId="7BE29394"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收到的捐款</w:t>
      </w:r>
    </w:p>
    <w:p w14:paraId="3E44A035" w14:textId="77777777" w:rsidR="00337C85" w:rsidRPr="00337C85" w:rsidRDefault="00337C85" w:rsidP="00337C85">
      <w:pPr>
        <w:spacing w:after="120"/>
        <w:rPr>
          <w:rFonts w:cstheme="minorHAnsi"/>
          <w:szCs w:val="24"/>
        </w:rPr>
      </w:pPr>
      <w:r w:rsidRPr="00337C85">
        <w:rPr>
          <w:rFonts w:cstheme="minorHAnsi"/>
          <w:szCs w:val="24"/>
        </w:rPr>
        <w:t>俄罗斯联邦提交了文件</w:t>
      </w:r>
      <w:hyperlink r:id="rId24" w:history="1">
        <w:r w:rsidRPr="00337C85">
          <w:rPr>
            <w:rStyle w:val="Hyperlink"/>
            <w:rFonts w:cstheme="minorHAnsi"/>
            <w:szCs w:val="24"/>
          </w:rPr>
          <w:t xml:space="preserve">ISCG/23-1/03 </w:t>
        </w:r>
      </w:hyperlink>
      <w:r w:rsidRPr="00337C85">
        <w:rPr>
          <w:rFonts w:cstheme="minorHAnsi"/>
          <w:szCs w:val="24"/>
        </w:rPr>
        <w:t>，并提出以下提案：</w:t>
      </w:r>
    </w:p>
    <w:p w14:paraId="69C2EC70"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鼓励秘书处加快国际电联各部门网站的协调工作，以确保清晰度、导航便捷性和“一个国际电联”的形象，并平等使用国际电联六种正式语言；</w:t>
      </w:r>
    </w:p>
    <w:p w14:paraId="75F5870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将ISCG网站的链接添加到国际电联主页；</w:t>
      </w:r>
    </w:p>
    <w:p w14:paraId="674B4CB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提请协调委员会和部门间协调机制注意对国际电联检索系统的关注；</w:t>
      </w:r>
    </w:p>
    <w:p w14:paraId="4ECC36C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请秘书处向 ISCG 下一次会议提交有关网站统一和国际电联搜索系统的信息。</w:t>
      </w:r>
    </w:p>
    <w:p w14:paraId="0B5EE9CF" w14:textId="77777777" w:rsidR="00337C85" w:rsidRPr="00337C85" w:rsidRDefault="00337C85" w:rsidP="00337C85">
      <w:pPr>
        <w:spacing w:after="120"/>
        <w:rPr>
          <w:rFonts w:cstheme="minorHAnsi"/>
          <w:szCs w:val="24"/>
        </w:rPr>
      </w:pPr>
      <w:r w:rsidRPr="00337C85">
        <w:rPr>
          <w:rFonts w:cstheme="minorHAnsi"/>
          <w:szCs w:val="24"/>
        </w:rPr>
        <w:t>ISCG同意将该提案纳入报告，并要求国际电联秘书处向下一次ISCG会议通报。</w:t>
      </w:r>
    </w:p>
    <w:p w14:paraId="533C586E" w14:textId="77777777" w:rsidR="00337C85" w:rsidRPr="00337C85" w:rsidRDefault="00337C85" w:rsidP="00337C85">
      <w:pPr>
        <w:spacing w:after="120"/>
        <w:rPr>
          <w:rFonts w:cstheme="minorHAnsi"/>
          <w:szCs w:val="24"/>
        </w:rPr>
      </w:pPr>
      <w:r w:rsidRPr="00337C85">
        <w:rPr>
          <w:rFonts w:cstheme="minorHAnsi"/>
          <w:szCs w:val="24"/>
        </w:rPr>
        <w:t>WTDC 第 9 号决议的实施以及 ITU-R 和 ITU-D 之间所需的合作提出了另一份意见（文件</w:t>
      </w:r>
      <w:hyperlink r:id="rId25" w:history="1">
        <w:r w:rsidRPr="00337C85">
          <w:rPr>
            <w:rStyle w:val="Hyperlink"/>
            <w:rFonts w:cstheme="minorHAnsi"/>
            <w:szCs w:val="24"/>
          </w:rPr>
          <w:t>ISCG/23-1/08 ）。</w:t>
        </w:r>
      </w:hyperlink>
      <w:r w:rsidRPr="00337C85">
        <w:rPr>
          <w:rFonts w:cstheme="minorHAnsi"/>
          <w:szCs w:val="24"/>
        </w:rPr>
        <w:t>该文件还提交给了 RAG、TDAG 以及 ITU-D 第 1/1、2/1、4/1、5/1、1/2 和 7/2 号课题的报告人组。</w:t>
      </w:r>
    </w:p>
    <w:p w14:paraId="4D195092" w14:textId="77777777" w:rsidR="00337C85" w:rsidRPr="00337C85" w:rsidRDefault="00337C85" w:rsidP="00337C85">
      <w:pPr>
        <w:spacing w:after="120"/>
        <w:rPr>
          <w:rFonts w:cstheme="minorHAnsi"/>
          <w:szCs w:val="24"/>
        </w:rPr>
      </w:pPr>
      <w:r w:rsidRPr="00337C85">
        <w:rPr>
          <w:rFonts w:cstheme="minorHAnsi"/>
          <w:szCs w:val="24"/>
        </w:rPr>
        <w:t>ISCG 注意到了该提案，并要求提议者与其他利益相关者进行进一步磋商，并提交一份文稿，为下一次 ISCG 会议的前进方向提出指导方针。</w:t>
      </w:r>
    </w:p>
    <w:p w14:paraId="5F34DE5C" w14:textId="77777777" w:rsidR="00337C85" w:rsidRPr="00337C85" w:rsidRDefault="00337C85" w:rsidP="00337C85">
      <w:pPr>
        <w:pStyle w:val="ListParagraph"/>
        <w:keepNext/>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未来可能的主题</w:t>
      </w:r>
    </w:p>
    <w:p w14:paraId="0A4349CA" w14:textId="77777777" w:rsidR="00337C85" w:rsidRPr="00337C85" w:rsidRDefault="00337C85" w:rsidP="00337C85">
      <w:pPr>
        <w:spacing w:after="120"/>
        <w:rPr>
          <w:rFonts w:cstheme="minorHAnsi"/>
          <w:szCs w:val="24"/>
        </w:rPr>
      </w:pPr>
      <w:r w:rsidRPr="00337C85">
        <w:rPr>
          <w:rFonts w:cstheme="minorHAnsi"/>
          <w:szCs w:val="24"/>
        </w:rPr>
        <w:t>ISCG 提到了两个需要考虑的主题：</w:t>
      </w:r>
    </w:p>
    <w:p w14:paraId="5272801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弥合数字鸿沟</w:t>
      </w:r>
    </w:p>
    <w:p w14:paraId="0DA96EB8"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国际电联网站协调</w:t>
      </w:r>
    </w:p>
    <w:p w14:paraId="38093354" w14:textId="77777777" w:rsidR="00337C85" w:rsidRPr="00337C85" w:rsidRDefault="00337C85" w:rsidP="00337C85">
      <w:pPr>
        <w:spacing w:after="120"/>
        <w:rPr>
          <w:rFonts w:cstheme="minorHAnsi"/>
          <w:szCs w:val="24"/>
        </w:rPr>
      </w:pPr>
      <w:r w:rsidRPr="00337C85">
        <w:rPr>
          <w:rFonts w:cstheme="minorHAnsi"/>
          <w:szCs w:val="24"/>
        </w:rPr>
        <w:t>ISCG 主席邀请成员就他们希望 ISCG 讨论的所有主题向下一次会议提交意见，并提出改善三个部门和总秘书处之间协调与合作的建议。</w:t>
      </w:r>
    </w:p>
    <w:p w14:paraId="10C9D061"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rPr>
          <w:rFonts w:cstheme="minorHAnsi"/>
          <w:b/>
          <w:bCs/>
          <w:szCs w:val="24"/>
        </w:rPr>
      </w:pPr>
      <w:r w:rsidRPr="00337C85">
        <w:rPr>
          <w:rFonts w:cstheme="minorHAnsi"/>
          <w:b/>
          <w:bCs/>
          <w:szCs w:val="24"/>
        </w:rPr>
        <w:t>ISCG 职权范围</w:t>
      </w:r>
    </w:p>
    <w:p w14:paraId="294BE0DF" w14:textId="77777777" w:rsidR="00337C85" w:rsidRPr="00337C85" w:rsidRDefault="00337C85" w:rsidP="00337C85">
      <w:pPr>
        <w:spacing w:after="120"/>
        <w:rPr>
          <w:rFonts w:cstheme="minorHAnsi"/>
          <w:szCs w:val="24"/>
        </w:rPr>
      </w:pPr>
      <w:r w:rsidRPr="00337C85">
        <w:rPr>
          <w:rFonts w:cstheme="minorHAnsi"/>
          <w:szCs w:val="24"/>
        </w:rPr>
        <w:lastRenderedPageBreak/>
        <w:t>ISCG 同意根据 TSAG 和 TDAG 任命的新代表以及全权代表大会 (PP-22)、WTSA-22 和 WTDC-22 的修订决议更新职权范围</w:t>
      </w:r>
      <w:hyperlink r:id="rId26" w:history="1">
        <w:r w:rsidRPr="00337C85">
          <w:rPr>
            <w:rStyle w:val="Hyperlink"/>
            <w:rFonts w:cstheme="minorHAnsi"/>
            <w:szCs w:val="24"/>
          </w:rPr>
          <w:t>。</w:t>
        </w:r>
      </w:hyperlink>
    </w:p>
    <w:p w14:paraId="5EFE975D"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bookmarkStart w:id="7" w:name="_Toc22116965"/>
      <w:r w:rsidRPr="00337C85">
        <w:rPr>
          <w:rFonts w:cstheme="minorHAnsi"/>
          <w:b/>
          <w:bCs/>
          <w:szCs w:val="24"/>
          <w:lang w:val="fr-FR"/>
        </w:rPr>
        <w:t>映射表</w:t>
      </w:r>
    </w:p>
    <w:p w14:paraId="6801A825" w14:textId="77777777" w:rsidR="00337C85" w:rsidRPr="00337C85" w:rsidRDefault="00337C85" w:rsidP="00337C85">
      <w:pPr>
        <w:spacing w:after="120"/>
        <w:rPr>
          <w:rFonts w:cstheme="minorHAnsi"/>
          <w:szCs w:val="24"/>
        </w:rPr>
      </w:pPr>
      <w:r w:rsidRPr="00337C85">
        <w:rPr>
          <w:rFonts w:cstheme="minorHAnsi"/>
          <w:szCs w:val="24"/>
        </w:rPr>
        <w:t>秘书处告知，</w:t>
      </w:r>
      <w:hyperlink r:id="rId27" w:history="1">
        <w:r w:rsidRPr="00337C85">
          <w:rPr>
            <w:rStyle w:val="Hyperlink"/>
            <w:rFonts w:cstheme="minorHAnsi"/>
            <w:szCs w:val="24"/>
          </w:rPr>
          <w:t>决议规划</w:t>
        </w:r>
      </w:hyperlink>
      <w:r w:rsidRPr="00337C85">
        <w:rPr>
          <w:rFonts w:cstheme="minorHAnsi"/>
          <w:szCs w:val="24"/>
        </w:rPr>
        <w:t>在 PP-22 之后进行了更新，可在 ISCG 网站上找到。</w:t>
      </w:r>
    </w:p>
    <w:p w14:paraId="229C79B8" w14:textId="77777777" w:rsidR="00337C85" w:rsidRPr="00337C85" w:rsidRDefault="004C0B1E" w:rsidP="00337C85">
      <w:pPr>
        <w:spacing w:after="120"/>
        <w:rPr>
          <w:rFonts w:cstheme="minorHAnsi"/>
          <w:szCs w:val="24"/>
        </w:rPr>
      </w:pPr>
      <w:hyperlink r:id="rId28" w:history="1">
        <w:r w:rsidR="00337C85" w:rsidRPr="00337C85">
          <w:rPr>
            <w:rStyle w:val="Hyperlink"/>
            <w:rFonts w:cstheme="minorHAnsi"/>
            <w:szCs w:val="24"/>
          </w:rPr>
          <w:t xml:space="preserve">表 1 </w:t>
        </w:r>
      </w:hyperlink>
      <w:r w:rsidR="00337C85" w:rsidRPr="00337C85">
        <w:rPr>
          <w:rFonts w:cstheme="minorHAnsi"/>
          <w:szCs w:val="24"/>
        </w:rPr>
        <w:t>（映射 ITU-R 和 ITU-D）和</w:t>
      </w:r>
      <w:hyperlink r:id="rId29" w:history="1">
        <w:r w:rsidR="00337C85" w:rsidRPr="00337C85">
          <w:rPr>
            <w:rStyle w:val="Hyperlink"/>
            <w:rFonts w:cstheme="minorHAnsi"/>
            <w:szCs w:val="24"/>
          </w:rPr>
          <w:t xml:space="preserve">表 2 </w:t>
        </w:r>
      </w:hyperlink>
      <w:r w:rsidR="00337C85" w:rsidRPr="00337C85">
        <w:rPr>
          <w:rFonts w:cstheme="minorHAnsi"/>
          <w:szCs w:val="24"/>
        </w:rPr>
        <w:t>（映射 ITU-R 和 ITU-T）由 ITU-T 和 ITU-D 修订，并将发布在网站上，并指出 ITU-R 将一旦世界无线电通信大会在 2023 年底结束，就需要审查这两个表格。</w:t>
      </w:r>
    </w:p>
    <w:p w14:paraId="67F65F5C" w14:textId="77777777" w:rsidR="00337C85" w:rsidRPr="00337C85" w:rsidRDefault="00337C85" w:rsidP="00337C85">
      <w:pPr>
        <w:spacing w:after="120"/>
        <w:rPr>
          <w:rFonts w:cstheme="minorHAnsi"/>
          <w:szCs w:val="24"/>
        </w:rPr>
      </w:pPr>
      <w:r w:rsidRPr="00337C85">
        <w:rPr>
          <w:rFonts w:cstheme="minorHAnsi"/>
          <w:szCs w:val="24"/>
        </w:rPr>
        <w:t>表 3（映射 ITU-T 和 ITU-D）将继续由各部门讨论，并将向下一次 ISCG 会议提交商定的版本。</w:t>
      </w:r>
    </w:p>
    <w:p w14:paraId="71B52C41"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未来的活动</w:t>
      </w:r>
    </w:p>
    <w:p w14:paraId="4E6F9FAA" w14:textId="77777777" w:rsidR="00337C85" w:rsidRPr="00337C85" w:rsidRDefault="00337C85" w:rsidP="00337C85">
      <w:pPr>
        <w:spacing w:after="120"/>
        <w:rPr>
          <w:rFonts w:cstheme="minorHAnsi"/>
          <w:szCs w:val="24"/>
        </w:rPr>
      </w:pPr>
      <w:bookmarkStart w:id="8" w:name="_Hlk96717466"/>
      <w:r w:rsidRPr="00337C85">
        <w:rPr>
          <w:rFonts w:cstheme="minorHAnsi"/>
          <w:szCs w:val="24"/>
        </w:rPr>
        <w:t>ISCG主席将向RAG进行口头报告，包括本次ISCG会议讨论的相关问题</w:t>
      </w:r>
      <w:bookmarkEnd w:id="8"/>
      <w:r w:rsidRPr="00337C85">
        <w:rPr>
          <w:rFonts w:cstheme="minorHAnsi"/>
          <w:szCs w:val="24"/>
        </w:rPr>
        <w:t>。</w:t>
      </w:r>
    </w:p>
    <w:p w14:paraId="2B4D25E2" w14:textId="77777777" w:rsidR="00337C85" w:rsidRPr="00337C85" w:rsidRDefault="00337C85" w:rsidP="00337C85">
      <w:pPr>
        <w:spacing w:after="120"/>
        <w:rPr>
          <w:rFonts w:cstheme="minorHAnsi"/>
          <w:szCs w:val="24"/>
        </w:rPr>
      </w:pPr>
      <w:r w:rsidRPr="00337C85">
        <w:rPr>
          <w:rFonts w:cstheme="minorHAnsi"/>
          <w:szCs w:val="24"/>
        </w:rPr>
        <w:t>报告将在 2023 年 6 月召开的 TSAG 和 TDAG 各自会议期间提交给 TSAG 和 TDAG。</w:t>
      </w:r>
    </w:p>
    <w:p w14:paraId="49B322DF" w14:textId="77777777" w:rsidR="00337C85" w:rsidRPr="00337C85" w:rsidRDefault="00337C85" w:rsidP="00337C85">
      <w:pPr>
        <w:spacing w:after="120"/>
        <w:rPr>
          <w:rFonts w:cstheme="minorHAnsi"/>
          <w:szCs w:val="24"/>
        </w:rPr>
      </w:pPr>
      <w:r w:rsidRPr="00337C85">
        <w:rPr>
          <w:rFonts w:cstheme="minorHAnsi"/>
          <w:szCs w:val="24"/>
        </w:rPr>
        <w:t>ISCG 更新也将在 PP-191 号决议（布加勒斯特，2022 年，修订版）实施框架内提交给 2023 年理事会。</w:t>
      </w:r>
    </w:p>
    <w:p w14:paraId="784DA1B2" w14:textId="77777777" w:rsidR="00337C85" w:rsidRPr="00337C85" w:rsidRDefault="00337C85" w:rsidP="00337C85">
      <w:pPr>
        <w:pStyle w:val="default-style"/>
        <w:spacing w:before="120" w:beforeAutospacing="0" w:after="120" w:afterAutospacing="0"/>
        <w:rPr>
          <w:rFonts w:asciiTheme="minorHAnsi" w:eastAsia="Times New Roman" w:hAnsiTheme="minorHAnsi" w:cstheme="minorHAnsi"/>
          <w:sz w:val="24"/>
          <w:szCs w:val="24"/>
          <w:lang w:eastAsia="en-US"/>
        </w:rPr>
      </w:pPr>
      <w:r w:rsidRPr="00337C85">
        <w:rPr>
          <w:rFonts w:asciiTheme="minorHAnsi" w:eastAsia="Times New Roman" w:hAnsiTheme="minorHAnsi" w:cstheme="minorHAnsi"/>
          <w:sz w:val="24"/>
          <w:szCs w:val="24"/>
        </w:rPr>
        <w:t>ISCG 决定将于 2023 年下半年（即 10 月）举行一次会议。</w:t>
      </w:r>
      <w:proofErr w:type="spellStart"/>
      <w:r w:rsidRPr="00337C85">
        <w:rPr>
          <w:rFonts w:asciiTheme="minorHAnsi" w:eastAsia="Times New Roman" w:hAnsiTheme="minorHAnsi" w:cstheme="minorHAnsi"/>
          <w:sz w:val="24"/>
          <w:szCs w:val="24"/>
          <w:lang w:eastAsia="en-US"/>
        </w:rPr>
        <w:t>日期将在与</w:t>
      </w:r>
      <w:proofErr w:type="spellEnd"/>
      <w:r w:rsidRPr="00337C85">
        <w:rPr>
          <w:rFonts w:asciiTheme="minorHAnsi" w:eastAsia="Times New Roman" w:hAnsiTheme="minorHAnsi" w:cstheme="minorHAnsi"/>
          <w:sz w:val="24"/>
          <w:szCs w:val="24"/>
          <w:lang w:eastAsia="en-US"/>
        </w:rPr>
        <w:t xml:space="preserve"> ISCG 管理团队协商后确定。</w:t>
      </w:r>
    </w:p>
    <w:p w14:paraId="55411DF4"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会议</w:t>
      </w:r>
      <w:bookmarkEnd w:id="7"/>
      <w:r w:rsidRPr="00337C85">
        <w:rPr>
          <w:rFonts w:cstheme="minorHAnsi"/>
          <w:b/>
          <w:bCs/>
          <w:szCs w:val="24"/>
          <w:lang w:val="fr-FR"/>
        </w:rPr>
        <w:t>闭幕</w:t>
      </w:r>
    </w:p>
    <w:p w14:paraId="3E26EFE2" w14:textId="77777777" w:rsidR="00337C85" w:rsidRPr="00337C85" w:rsidRDefault="00337C85" w:rsidP="00337C85">
      <w:pPr>
        <w:spacing w:after="120"/>
        <w:rPr>
          <w:rFonts w:cstheme="minorHAnsi"/>
          <w:szCs w:val="24"/>
        </w:rPr>
      </w:pPr>
      <w:r w:rsidRPr="00337C85">
        <w:rPr>
          <w:rFonts w:cstheme="minorHAnsi"/>
          <w:szCs w:val="24"/>
        </w:rPr>
        <w:t>ISCG主席Fabio Bigi先生感谢RAG主席、三个部门的代表以及所有与会者的支持。</w:t>
      </w:r>
    </w:p>
    <w:p w14:paraId="76CD8D8F" w14:textId="77777777" w:rsidR="00337C85" w:rsidRPr="00337C85" w:rsidRDefault="00337C85" w:rsidP="00337C85">
      <w:pPr>
        <w:spacing w:after="120"/>
        <w:rPr>
          <w:rFonts w:cstheme="minorHAnsi"/>
          <w:szCs w:val="24"/>
        </w:rPr>
      </w:pPr>
      <w:r w:rsidRPr="00337C85">
        <w:rPr>
          <w:rFonts w:cstheme="minorHAnsi"/>
          <w:szCs w:val="24"/>
        </w:rPr>
        <w:t>主席还对秘书处为筹备会议提供的协助表示感谢。</w:t>
      </w:r>
    </w:p>
    <w:p w14:paraId="7A64A27E" w14:textId="77777777" w:rsidR="00337C85" w:rsidRDefault="00337C85">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3A2BDA3C" w14:textId="00C400F0" w:rsidR="00337C85" w:rsidRPr="00337C85" w:rsidRDefault="00337C85" w:rsidP="00337C85">
      <w:pPr>
        <w:spacing w:after="120"/>
        <w:jc w:val="center"/>
        <w:rPr>
          <w:rFonts w:cstheme="minorHAnsi"/>
          <w:b/>
          <w:bCs/>
          <w:szCs w:val="24"/>
        </w:rPr>
      </w:pPr>
      <w:r w:rsidRPr="00337C85">
        <w:rPr>
          <w:rFonts w:cstheme="minorHAnsi"/>
          <w:b/>
          <w:bCs/>
          <w:szCs w:val="24"/>
        </w:rPr>
        <w:lastRenderedPageBreak/>
        <w:t>附件1</w:t>
      </w:r>
    </w:p>
    <w:p w14:paraId="3F5FF089" w14:textId="77777777" w:rsidR="00337C85" w:rsidRPr="00337C85" w:rsidRDefault="00337C85" w:rsidP="00337C85">
      <w:pPr>
        <w:tabs>
          <w:tab w:val="center" w:pos="7371"/>
        </w:tabs>
        <w:spacing w:after="120"/>
        <w:jc w:val="center"/>
        <w:rPr>
          <w:rFonts w:cstheme="minorHAnsi"/>
          <w:szCs w:val="24"/>
        </w:rPr>
      </w:pPr>
      <w:r w:rsidRPr="00337C85">
        <w:rPr>
          <w:rFonts w:cstheme="minorHAnsi"/>
          <w:b/>
          <w:bCs/>
          <w:szCs w:val="24"/>
        </w:rPr>
        <w:t>联络声明</w:t>
      </w: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337C85" w:rsidRPr="00337C85" w14:paraId="62C6FB89" w14:textId="77777777" w:rsidTr="00495327">
        <w:trPr>
          <w:cantSplit/>
          <w:jc w:val="center"/>
        </w:trPr>
        <w:tc>
          <w:tcPr>
            <w:tcW w:w="1418" w:type="dxa"/>
          </w:tcPr>
          <w:p w14:paraId="42510740" w14:textId="77777777" w:rsidR="00337C85" w:rsidRPr="00337C85" w:rsidRDefault="00337C85" w:rsidP="00337C85">
            <w:pPr>
              <w:spacing w:after="120"/>
              <w:rPr>
                <w:rFonts w:cstheme="minorHAnsi"/>
                <w:b/>
                <w:bCs/>
                <w:szCs w:val="24"/>
              </w:rPr>
            </w:pPr>
            <w:r w:rsidRPr="00337C85">
              <w:rPr>
                <w:rFonts w:cstheme="minorHAnsi"/>
                <w:b/>
                <w:bCs/>
                <w:szCs w:val="24"/>
              </w:rPr>
              <w:t>来源：</w:t>
            </w:r>
          </w:p>
        </w:tc>
        <w:sdt>
          <w:sdtPr>
            <w:rPr>
              <w:rFonts w:cstheme="minorHAnsi"/>
              <w:szCs w:val="24"/>
            </w:rPr>
            <w:alias w:val="DocumentSource"/>
            <w:tag w:val="DocumentSource"/>
            <w:id w:val="770514636"/>
            <w:placeholder>
              <w:docPart w:val="C0FAC383865E47BE840F392BFA449D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398FF56C" w14:textId="77777777" w:rsidR="00337C85" w:rsidRPr="00337C85" w:rsidRDefault="00337C85" w:rsidP="00337C85">
                <w:pPr>
                  <w:spacing w:after="120"/>
                  <w:rPr>
                    <w:rFonts w:cstheme="minorHAnsi"/>
                    <w:szCs w:val="24"/>
                  </w:rPr>
                </w:pPr>
                <w:r w:rsidRPr="00337C85">
                  <w:rPr>
                    <w:rFonts w:cstheme="minorHAnsi"/>
                    <w:szCs w:val="24"/>
                  </w:rPr>
                  <w:t>ISCG</w:t>
                </w:r>
              </w:p>
            </w:tc>
          </w:sdtContent>
        </w:sdt>
      </w:tr>
      <w:tr w:rsidR="00337C85" w:rsidRPr="00337C85" w14:paraId="75C37EA2" w14:textId="77777777" w:rsidTr="00495327">
        <w:trPr>
          <w:cantSplit/>
          <w:jc w:val="center"/>
        </w:trPr>
        <w:tc>
          <w:tcPr>
            <w:tcW w:w="1418" w:type="dxa"/>
          </w:tcPr>
          <w:p w14:paraId="06ACA5AB" w14:textId="77777777" w:rsidR="00337C85" w:rsidRPr="00337C85" w:rsidRDefault="00337C85" w:rsidP="00337C85">
            <w:pPr>
              <w:spacing w:after="120"/>
              <w:rPr>
                <w:rFonts w:cstheme="minorHAnsi"/>
                <w:szCs w:val="24"/>
              </w:rPr>
            </w:pPr>
            <w:r w:rsidRPr="00337C85">
              <w:rPr>
                <w:rFonts w:cstheme="minorHAnsi"/>
                <w:b/>
                <w:bCs/>
                <w:szCs w:val="24"/>
              </w:rPr>
              <w:t>标题：</w:t>
            </w:r>
          </w:p>
        </w:tc>
        <w:tc>
          <w:tcPr>
            <w:tcW w:w="8222" w:type="dxa"/>
          </w:tcPr>
          <w:p w14:paraId="285C3E01" w14:textId="77777777" w:rsidR="00337C85" w:rsidRPr="00337C85" w:rsidRDefault="00337C85" w:rsidP="00337C85">
            <w:pPr>
              <w:spacing w:after="120"/>
              <w:rPr>
                <w:rFonts w:cstheme="minorHAnsi"/>
                <w:szCs w:val="24"/>
              </w:rPr>
            </w:pPr>
            <w:r w:rsidRPr="00337C85">
              <w:rPr>
                <w:rFonts w:cstheme="minorHAnsi"/>
                <w:szCs w:val="24"/>
              </w:rPr>
              <w:t>LS 关于虚拟会议的治理和管理</w:t>
            </w:r>
          </w:p>
        </w:tc>
      </w:tr>
      <w:tr w:rsidR="00337C85" w:rsidRPr="00337C85" w14:paraId="239AB602" w14:textId="77777777" w:rsidTr="00495327">
        <w:trPr>
          <w:cantSplit/>
          <w:jc w:val="center"/>
        </w:trPr>
        <w:tc>
          <w:tcPr>
            <w:tcW w:w="1418" w:type="dxa"/>
          </w:tcPr>
          <w:p w14:paraId="67DDF79F" w14:textId="77777777" w:rsidR="00337C85" w:rsidRPr="00337C85" w:rsidRDefault="00337C85" w:rsidP="00337C85">
            <w:pPr>
              <w:spacing w:after="120"/>
              <w:rPr>
                <w:rFonts w:cstheme="minorHAnsi"/>
                <w:b/>
                <w:bCs/>
                <w:szCs w:val="24"/>
              </w:rPr>
            </w:pPr>
            <w:r w:rsidRPr="00337C85">
              <w:rPr>
                <w:rFonts w:cstheme="minorHAnsi"/>
                <w:b/>
                <w:bCs/>
                <w:szCs w:val="24"/>
              </w:rPr>
              <w:t>目的：</w:t>
            </w:r>
          </w:p>
        </w:tc>
        <w:tc>
          <w:tcPr>
            <w:tcW w:w="8222" w:type="dxa"/>
          </w:tcPr>
          <w:p w14:paraId="497188D2" w14:textId="77777777" w:rsidR="00337C85" w:rsidRPr="00337C85" w:rsidRDefault="00337C85" w:rsidP="00337C85">
            <w:pPr>
              <w:spacing w:after="120"/>
              <w:rPr>
                <w:rFonts w:cstheme="minorHAnsi"/>
                <w:szCs w:val="24"/>
              </w:rPr>
            </w:pPr>
            <w:r w:rsidRPr="00337C85">
              <w:rPr>
                <w:rFonts w:cstheme="minorHAnsi"/>
                <w:szCs w:val="24"/>
              </w:rPr>
              <w:t>行动</w:t>
            </w:r>
          </w:p>
        </w:tc>
      </w:tr>
    </w:tbl>
    <w:p w14:paraId="01453CC7" w14:textId="78D3C5D2" w:rsidR="00337C85" w:rsidRPr="00337C85" w:rsidRDefault="00337C85" w:rsidP="0097220C">
      <w:pPr>
        <w:pBdr>
          <w:top w:val="single" w:sz="4" w:space="1" w:color="auto"/>
        </w:pBd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采取行动： </w:t>
      </w:r>
      <w:r w:rsidRPr="00337C85">
        <w:rPr>
          <w:rFonts w:cstheme="minorHAnsi"/>
          <w:b/>
          <w:bCs/>
          <w:szCs w:val="24"/>
        </w:rPr>
        <w:tab/>
      </w:r>
      <w:r w:rsidRPr="00337C85">
        <w:rPr>
          <w:rFonts w:cstheme="minorHAnsi"/>
          <w:szCs w:val="24"/>
        </w:rPr>
        <w:t>RAG、TDAG</w:t>
      </w:r>
    </w:p>
    <w:p w14:paraId="58394DCC" w14:textId="7F5FF9C5" w:rsidR="00337C85" w:rsidRPr="00337C85" w:rsidRDefault="00337C85" w:rsidP="0097220C">
      <w:pPr>
        <w:tabs>
          <w:tab w:val="clear" w:pos="794"/>
          <w:tab w:val="clear" w:pos="1191"/>
          <w:tab w:val="clear" w:pos="1588"/>
          <w:tab w:val="clear" w:pos="1985"/>
          <w:tab w:val="left" w:pos="2552"/>
        </w:tabs>
        <w:spacing w:after="120"/>
        <w:rPr>
          <w:rFonts w:cstheme="minorHAnsi"/>
          <w:b/>
          <w:bCs/>
          <w:szCs w:val="24"/>
        </w:rPr>
      </w:pPr>
      <w:r w:rsidRPr="00337C85">
        <w:rPr>
          <w:rFonts w:cstheme="minorHAnsi"/>
          <w:b/>
          <w:bCs/>
          <w:szCs w:val="24"/>
        </w:rPr>
        <w:t xml:space="preserve">如需评论： </w:t>
      </w:r>
      <w:r w:rsidRPr="00337C85">
        <w:rPr>
          <w:rFonts w:cstheme="minorHAnsi"/>
          <w:b/>
          <w:bCs/>
          <w:szCs w:val="24"/>
        </w:rPr>
        <w:tab/>
      </w:r>
      <w:r w:rsidRPr="00337C85">
        <w:rPr>
          <w:rFonts w:cstheme="minorHAnsi"/>
          <w:szCs w:val="24"/>
        </w:rPr>
        <w:t>-</w:t>
      </w:r>
    </w:p>
    <w:p w14:paraId="296A6B18" w14:textId="4485CB4A" w:rsidR="00337C85" w:rsidRPr="00337C85" w:rsidRDefault="00337C85" w:rsidP="0097220C">
      <w:pPr>
        <w:tabs>
          <w:tab w:val="left" w:pos="2552"/>
        </w:tabs>
        <w:spacing w:after="120"/>
        <w:rPr>
          <w:rFonts w:cstheme="minorHAnsi"/>
          <w:b/>
          <w:bCs/>
          <w:szCs w:val="24"/>
        </w:rPr>
      </w:pPr>
      <w:r w:rsidRPr="00337C85">
        <w:rPr>
          <w:rFonts w:cstheme="minorHAnsi"/>
          <w:b/>
          <w:bCs/>
          <w:szCs w:val="24"/>
        </w:rPr>
        <w:t xml:space="preserve">欲了解信息： </w:t>
      </w:r>
      <w:r w:rsidR="0097220C">
        <w:rPr>
          <w:rFonts w:cstheme="minorHAnsi"/>
          <w:b/>
          <w:bCs/>
          <w:szCs w:val="24"/>
        </w:rPr>
        <w:tab/>
      </w:r>
      <w:r w:rsidRPr="00337C85">
        <w:rPr>
          <w:rFonts w:cstheme="minorHAnsi"/>
          <w:szCs w:val="24"/>
        </w:rPr>
        <w:t>TSAG</w:t>
      </w:r>
    </w:p>
    <w:p w14:paraId="729B50CE" w14:textId="4EEF832C" w:rsidR="00337C85" w:rsidRPr="00337C85" w:rsidRDefault="00337C85" w:rsidP="0097220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批准： </w:t>
      </w:r>
      <w:r w:rsidRPr="00337C85">
        <w:rPr>
          <w:rFonts w:cstheme="minorHAnsi"/>
          <w:b/>
          <w:bCs/>
          <w:szCs w:val="24"/>
        </w:rPr>
        <w:tab/>
      </w:r>
      <w:r w:rsidRPr="00337C85">
        <w:rPr>
          <w:rFonts w:cstheme="minorHAnsi"/>
          <w:szCs w:val="24"/>
        </w:rPr>
        <w:t>ISCG 会议（2023 年 5 月 2 日）</w:t>
      </w:r>
    </w:p>
    <w:p w14:paraId="4B77EDEA" w14:textId="55880620" w:rsidR="00337C85" w:rsidRPr="00337C85" w:rsidRDefault="00337C85" w:rsidP="0097220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截止日期： </w:t>
      </w:r>
      <w:r w:rsidRPr="00337C85">
        <w:rPr>
          <w:rFonts w:cstheme="minorHAnsi"/>
          <w:b/>
          <w:bCs/>
          <w:szCs w:val="24"/>
        </w:rPr>
        <w:tab/>
      </w:r>
      <w:r w:rsidRPr="00337C85">
        <w:rPr>
          <w:rFonts w:cstheme="minorHAnsi"/>
          <w:szCs w:val="24"/>
        </w:rPr>
        <w:t>2023 年 9 月 30 日</w:t>
      </w:r>
    </w:p>
    <w:tbl>
      <w:tblPr>
        <w:tblW w:w="9935" w:type="dxa"/>
        <w:tblLayout w:type="fixed"/>
        <w:tblCellMar>
          <w:left w:w="57" w:type="dxa"/>
          <w:right w:w="57" w:type="dxa"/>
        </w:tblCellMar>
        <w:tblLook w:val="0000" w:firstRow="0" w:lastRow="0" w:firstColumn="0" w:lastColumn="0" w:noHBand="0" w:noVBand="0"/>
      </w:tblPr>
      <w:tblGrid>
        <w:gridCol w:w="1643"/>
        <w:gridCol w:w="9"/>
        <w:gridCol w:w="4359"/>
        <w:gridCol w:w="3912"/>
        <w:gridCol w:w="12"/>
      </w:tblGrid>
      <w:tr w:rsidR="00337C85" w:rsidRPr="0047681D" w14:paraId="13BDADAB" w14:textId="77777777" w:rsidTr="00337C85">
        <w:trPr>
          <w:gridAfter w:val="1"/>
          <w:wAfter w:w="12" w:type="dxa"/>
          <w:cantSplit/>
          <w:trHeight w:val="204"/>
        </w:trPr>
        <w:tc>
          <w:tcPr>
            <w:tcW w:w="1652" w:type="dxa"/>
            <w:gridSpan w:val="2"/>
            <w:tcBorders>
              <w:top w:val="single" w:sz="12" w:space="0" w:color="auto"/>
              <w:bottom w:val="single" w:sz="4" w:space="0" w:color="auto"/>
            </w:tcBorders>
          </w:tcPr>
          <w:p w14:paraId="52EF063E" w14:textId="77777777" w:rsidR="00337C85" w:rsidRPr="00337C85" w:rsidRDefault="00337C85" w:rsidP="00337C85">
            <w:pPr>
              <w:spacing w:after="120"/>
              <w:rPr>
                <w:rFonts w:cstheme="minorHAnsi"/>
                <w:b/>
                <w:bCs/>
                <w:szCs w:val="24"/>
              </w:rPr>
            </w:pPr>
            <w:r w:rsidRPr="00337C85">
              <w:rPr>
                <w:rFonts w:cstheme="minorHAnsi"/>
                <w:b/>
                <w:bCs/>
                <w:szCs w:val="24"/>
              </w:rPr>
              <w:t>接触：</w:t>
            </w:r>
          </w:p>
        </w:tc>
        <w:tc>
          <w:tcPr>
            <w:tcW w:w="4359" w:type="dxa"/>
            <w:tcBorders>
              <w:top w:val="single" w:sz="12" w:space="0" w:color="auto"/>
              <w:bottom w:val="single" w:sz="4" w:space="0" w:color="auto"/>
            </w:tcBorders>
          </w:tcPr>
          <w:p w14:paraId="36CF695E" w14:textId="77777777" w:rsidR="00337C85" w:rsidRPr="00337C85" w:rsidRDefault="00337C85" w:rsidP="00337C85">
            <w:pPr>
              <w:spacing w:after="120"/>
              <w:rPr>
                <w:rFonts w:cstheme="minorHAnsi"/>
                <w:b/>
                <w:bCs/>
                <w:szCs w:val="24"/>
              </w:rPr>
            </w:pPr>
            <w:r w:rsidRPr="00337C85">
              <w:rPr>
                <w:rFonts w:cstheme="minorHAnsi"/>
                <w:szCs w:val="24"/>
              </w:rPr>
              <w:t xml:space="preserve">Phil Rushton </w:t>
            </w:r>
            <w:r w:rsidRPr="00337C85">
              <w:rPr>
                <w:rFonts w:cstheme="minorHAnsi"/>
                <w:b/>
                <w:bCs/>
                <w:szCs w:val="24"/>
              </w:rPr>
              <w:br/>
            </w:r>
            <w:r w:rsidRPr="00337C85">
              <w:rPr>
                <w:rFonts w:cstheme="minorHAnsi"/>
                <w:szCs w:val="24"/>
                <w:lang w:val="en-AU"/>
              </w:rPr>
              <w:t>TSAG 远程参与代表</w:t>
            </w:r>
          </w:p>
        </w:tc>
        <w:tc>
          <w:tcPr>
            <w:tcW w:w="3912" w:type="dxa"/>
            <w:tcBorders>
              <w:top w:val="single" w:sz="12" w:space="0" w:color="auto"/>
              <w:bottom w:val="single" w:sz="4" w:space="0" w:color="auto"/>
            </w:tcBorders>
          </w:tcPr>
          <w:p w14:paraId="713EDD53" w14:textId="31B967A9" w:rsidR="00337C85" w:rsidRPr="00337C85" w:rsidRDefault="00337C85" w:rsidP="00337C85">
            <w:pPr>
              <w:spacing w:after="120"/>
              <w:rPr>
                <w:rFonts w:cstheme="minorHAnsi"/>
                <w:szCs w:val="24"/>
                <w:lang w:val="de-DE"/>
              </w:rPr>
            </w:pPr>
            <w:r w:rsidRPr="00337C85">
              <w:rPr>
                <w:rFonts w:cstheme="minorHAnsi"/>
                <w:b/>
                <w:bCs/>
                <w:szCs w:val="24"/>
                <w:lang w:val="de-DE"/>
              </w:rPr>
              <w:t xml:space="preserve">电子邮件： </w:t>
            </w:r>
            <w:hyperlink r:id="rId30" w:history="1">
              <w:r w:rsidRPr="00337C85">
                <w:rPr>
                  <w:rStyle w:val="Hyperlink"/>
                  <w:rFonts w:cstheme="minorHAnsi"/>
                  <w:szCs w:val="24"/>
                  <w:lang w:val="de-DE"/>
                </w:rPr>
                <w:t>philrushton@rcc-uk.uk</w:t>
              </w:r>
            </w:hyperlink>
            <w:r w:rsidRPr="00337C85">
              <w:rPr>
                <w:rFonts w:cstheme="minorHAnsi"/>
                <w:szCs w:val="24"/>
                <w:lang w:val="fr-FR"/>
              </w:rPr>
              <w:t xml:space="preserve"> </w:t>
            </w:r>
            <w:hyperlink r:id="rId31" w:history="1">
              <w:r w:rsidRPr="00941B18">
                <w:rPr>
                  <w:rStyle w:val="Hyperlink"/>
                  <w:rFonts w:cstheme="minorHAnsi"/>
                  <w:szCs w:val="24"/>
                  <w:lang w:val="fr-FR"/>
                </w:rPr>
                <w:t xml:space="preserve">bruce.gracie@ericsson.com </w:t>
              </w:r>
            </w:hyperlink>
            <w:r>
              <w:rPr>
                <w:rFonts w:cstheme="minorHAnsi"/>
                <w:szCs w:val="24"/>
                <w:lang w:val="fr-FR"/>
              </w:rPr>
              <w:br/>
            </w:r>
            <w:hyperlink r:id="rId32" w:history="1">
              <w:r w:rsidRPr="00337C85">
                <w:rPr>
                  <w:rStyle w:val="Hyperlink"/>
                  <w:rFonts w:cstheme="minorHAnsi"/>
                  <w:szCs w:val="24"/>
                  <w:lang w:val="de-DE"/>
                </w:rPr>
                <w:t>iscg@itu.int</w:t>
              </w:r>
            </w:hyperlink>
            <w:r w:rsidRPr="00337C85">
              <w:rPr>
                <w:rFonts w:cstheme="minorHAnsi"/>
                <w:szCs w:val="24"/>
                <w:lang w:val="de-DE"/>
              </w:rPr>
              <w:t xml:space="preserve"> </w:t>
            </w:r>
          </w:p>
        </w:tc>
      </w:tr>
      <w:tr w:rsidR="00337C85" w:rsidRPr="00337C85" w14:paraId="67777CC9" w14:textId="77777777" w:rsidTr="00495327">
        <w:trPr>
          <w:cantSplit/>
          <w:trHeight w:val="489"/>
        </w:trPr>
        <w:tc>
          <w:tcPr>
            <w:tcW w:w="1643" w:type="dxa"/>
          </w:tcPr>
          <w:p w14:paraId="6EBC3DFA" w14:textId="77777777" w:rsidR="00337C85" w:rsidRPr="00337C85" w:rsidRDefault="00337C85" w:rsidP="00337C85">
            <w:pPr>
              <w:spacing w:after="120"/>
              <w:rPr>
                <w:rFonts w:cstheme="minorHAnsi"/>
                <w:b/>
                <w:bCs/>
                <w:szCs w:val="24"/>
              </w:rPr>
            </w:pPr>
            <w:r w:rsidRPr="00337C85">
              <w:rPr>
                <w:rFonts w:cstheme="minorHAnsi"/>
                <w:b/>
                <w:bCs/>
                <w:szCs w:val="24"/>
              </w:rPr>
              <w:t>关键词：</w:t>
            </w:r>
          </w:p>
        </w:tc>
        <w:tc>
          <w:tcPr>
            <w:tcW w:w="8292" w:type="dxa"/>
            <w:gridSpan w:val="4"/>
          </w:tcPr>
          <w:p w14:paraId="46A29D40" w14:textId="77777777" w:rsidR="00337C85" w:rsidRPr="00337C85" w:rsidRDefault="00337C85" w:rsidP="00337C85">
            <w:pPr>
              <w:spacing w:after="120"/>
              <w:rPr>
                <w:rFonts w:cstheme="minorHAnsi"/>
                <w:szCs w:val="24"/>
              </w:rPr>
            </w:pPr>
            <w:r w:rsidRPr="00337C85">
              <w:rPr>
                <w:rFonts w:cstheme="minorHAnsi"/>
                <w:szCs w:val="24"/>
              </w:rPr>
              <w:t>部门间协调； ISCG，虚拟会议，远程参与。</w:t>
            </w:r>
          </w:p>
        </w:tc>
      </w:tr>
      <w:tr w:rsidR="00337C85" w:rsidRPr="00337C85" w14:paraId="5E94DD6C" w14:textId="77777777" w:rsidTr="00495327">
        <w:trPr>
          <w:cantSplit/>
          <w:trHeight w:val="1094"/>
        </w:trPr>
        <w:tc>
          <w:tcPr>
            <w:tcW w:w="1643" w:type="dxa"/>
          </w:tcPr>
          <w:p w14:paraId="6DFB115E" w14:textId="77777777" w:rsidR="00337C85" w:rsidRPr="00337C85" w:rsidRDefault="00337C85" w:rsidP="00337C85">
            <w:pPr>
              <w:spacing w:after="120"/>
              <w:rPr>
                <w:rFonts w:cstheme="minorHAnsi"/>
                <w:b/>
                <w:bCs/>
                <w:szCs w:val="24"/>
              </w:rPr>
            </w:pPr>
            <w:r w:rsidRPr="00337C85">
              <w:rPr>
                <w:rFonts w:cstheme="minorHAnsi"/>
                <w:b/>
                <w:bCs/>
                <w:szCs w:val="24"/>
              </w:rPr>
              <w:t>抽象的：</w:t>
            </w:r>
          </w:p>
        </w:tc>
        <w:tc>
          <w:tcPr>
            <w:tcW w:w="8292" w:type="dxa"/>
            <w:gridSpan w:val="4"/>
          </w:tcPr>
          <w:p w14:paraId="53D647FF" w14:textId="77777777" w:rsidR="00337C85" w:rsidRPr="00337C85" w:rsidRDefault="00337C85" w:rsidP="00337C85">
            <w:pPr>
              <w:spacing w:after="120"/>
              <w:rPr>
                <w:rFonts w:cstheme="minorHAnsi"/>
                <w:szCs w:val="24"/>
              </w:rPr>
            </w:pPr>
            <w:r w:rsidRPr="00337C85">
              <w:rPr>
                <w:rFonts w:cstheme="minorHAnsi"/>
                <w:szCs w:val="24"/>
              </w:rPr>
              <w:t>ISCG 提供有关虚拟会议的信息，并要求各部门咨询小组分享其管理这些会议的程序。</w:t>
            </w:r>
          </w:p>
        </w:tc>
      </w:tr>
    </w:tbl>
    <w:p w14:paraId="53EAB2D2" w14:textId="77777777" w:rsidR="00337C85" w:rsidRPr="00337C85" w:rsidRDefault="00337C85" w:rsidP="00337C85">
      <w:pPr>
        <w:spacing w:after="120"/>
        <w:rPr>
          <w:rFonts w:cstheme="minorHAnsi"/>
          <w:szCs w:val="24"/>
        </w:rPr>
      </w:pPr>
      <w:r w:rsidRPr="00337C85">
        <w:rPr>
          <w:rFonts w:cstheme="minorHAnsi"/>
          <w:szCs w:val="24"/>
        </w:rPr>
        <w:t>关于共同关心的问题的部门间协调组（ISCG）谨提请无线电通信咨询组（RAG）和电信发展咨询组（TDAG）注意文件 ISCG/23-1/04，该</w:t>
      </w:r>
      <w:hyperlink r:id="rId33" w:history="1">
        <w:r w:rsidRPr="00337C85">
          <w:rPr>
            <w:rStyle w:val="Hyperlink"/>
            <w:rFonts w:cstheme="minorHAnsi"/>
            <w:szCs w:val="24"/>
          </w:rPr>
          <w:t>文件</w:t>
        </w:r>
      </w:hyperlink>
      <w:r w:rsidRPr="00337C85">
        <w:rPr>
          <w:rFonts w:cstheme="minorHAnsi"/>
          <w:szCs w:val="24"/>
        </w:rPr>
        <w:t>由电信标准化咨询组 (TSAG) 远程参与代表出席 2023 年 5 月 2 日举行的 ISCG 会议。</w:t>
      </w:r>
    </w:p>
    <w:p w14:paraId="6DDAFA41" w14:textId="77777777" w:rsidR="00337C85" w:rsidRPr="00337C85" w:rsidRDefault="00337C85" w:rsidP="00337C85">
      <w:pPr>
        <w:spacing w:after="120"/>
        <w:rPr>
          <w:rFonts w:cstheme="minorHAnsi"/>
          <w:szCs w:val="24"/>
        </w:rPr>
      </w:pPr>
      <w:r w:rsidRPr="00337C85">
        <w:rPr>
          <w:rFonts w:cstheme="minorHAnsi"/>
          <w:szCs w:val="24"/>
        </w:rPr>
        <w:t>ISCG 还希望与 RAG 和 TDAG 分享修订后的 ITU-T A 系列建议书补充 4，即</w:t>
      </w:r>
      <w:hyperlink r:id="rId34" w:history="1">
        <w:r w:rsidRPr="00337C85">
          <w:rPr>
            <w:rStyle w:val="Hyperlink"/>
            <w:rFonts w:cstheme="minorHAnsi"/>
            <w:szCs w:val="24"/>
          </w:rPr>
          <w:t>远程参与指南补充</w:t>
        </w:r>
      </w:hyperlink>
      <w:r w:rsidRPr="00337C85">
        <w:rPr>
          <w:rFonts w:cstheme="minorHAnsi"/>
          <w:szCs w:val="24"/>
        </w:rPr>
        <w:t>。</w:t>
      </w:r>
    </w:p>
    <w:p w14:paraId="04BF72E6" w14:textId="77777777" w:rsidR="00337C85" w:rsidRPr="00337C85" w:rsidRDefault="00337C85" w:rsidP="00337C85">
      <w:pPr>
        <w:spacing w:after="120"/>
        <w:rPr>
          <w:rFonts w:cstheme="minorHAnsi"/>
          <w:szCs w:val="24"/>
        </w:rPr>
      </w:pPr>
      <w:r w:rsidRPr="00337C85">
        <w:rPr>
          <w:rFonts w:cstheme="minorHAnsi"/>
          <w:szCs w:val="24"/>
        </w:rPr>
        <w:t>ISCG 邀请 RAG 和 TDAG 分享他们关于虚拟会议治理和管理的规则，以尝试确定商定的共同最佳实践，并将其提供给国际电联理事会，以协助他们按照 PP-167 号决议（ Rev. Bucharest，2022），从长远来看制定联盟范围内的共同方法。</w:t>
      </w:r>
    </w:p>
    <w:p w14:paraId="3FA78898" w14:textId="77777777" w:rsidR="00337C85" w:rsidRPr="00337C85" w:rsidRDefault="00337C85" w:rsidP="00337C85">
      <w:pPr>
        <w:tabs>
          <w:tab w:val="left" w:pos="0"/>
        </w:tabs>
        <w:spacing w:after="120"/>
        <w:rPr>
          <w:rFonts w:cstheme="minorHAnsi"/>
          <w:szCs w:val="24"/>
        </w:rPr>
      </w:pPr>
      <w:r w:rsidRPr="00337C85">
        <w:rPr>
          <w:rFonts w:cstheme="minorHAnsi"/>
          <w:szCs w:val="24"/>
        </w:rPr>
        <w:t>ISCG 期待收到您的反馈，感谢 RAG 和 TDAG 的合作和贡献。</w:t>
      </w:r>
    </w:p>
    <w:p w14:paraId="7759C759" w14:textId="11008BBA" w:rsidR="00821996" w:rsidRDefault="003C58BF" w:rsidP="00C053DE">
      <w:pPr>
        <w:tabs>
          <w:tab w:val="clear" w:pos="794"/>
          <w:tab w:val="clear" w:pos="1191"/>
          <w:tab w:val="clear" w:pos="1588"/>
          <w:tab w:val="clear" w:pos="1985"/>
        </w:tabs>
        <w:spacing w:after="120"/>
        <w:jc w:val="center"/>
      </w:pPr>
      <w:r>
        <w:t>_______________</w:t>
      </w:r>
    </w:p>
    <w:sectPr w:rsidR="00821996" w:rsidSect="00473791">
      <w:headerReference w:type="default" r:id="rId35"/>
      <w:footerReference w:type="first" r:id="rId3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9A75" w14:textId="77777777" w:rsidR="004C0B1E" w:rsidRDefault="004C0B1E">
      <w:r>
        <w:separator/>
      </w:r>
    </w:p>
  </w:endnote>
  <w:endnote w:type="continuationSeparator" w:id="0">
    <w:p w14:paraId="5AFEAE0C" w14:textId="77777777" w:rsidR="004C0B1E" w:rsidRDefault="004C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6DF2" w14:textId="77777777" w:rsidR="00337C85" w:rsidRPr="00337C85" w:rsidRDefault="00337C85" w:rsidP="00337C85">
    <w:pPr>
      <w:spacing w:before="0"/>
      <w:rPr>
        <w:sz w:val="18"/>
        <w:szCs w:val="14"/>
      </w:rPr>
    </w:pPr>
  </w:p>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接触：</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名称/组织/实体：</w:t>
          </w:r>
        </w:p>
      </w:tc>
      <w:tc>
        <w:tcPr>
          <w:tcW w:w="5987" w:type="dxa"/>
          <w:tcBorders>
            <w:top w:val="single" w:sz="4" w:space="0" w:color="000000"/>
          </w:tcBorders>
        </w:tcPr>
        <w:p w14:paraId="148264AE" w14:textId="67DF8ABB" w:rsidR="0059420B" w:rsidRPr="00AF7A97" w:rsidRDefault="00077DC0" w:rsidP="0059420B">
          <w:pPr>
            <w:pStyle w:val="FirstFooter"/>
            <w:tabs>
              <w:tab w:val="left" w:pos="2302"/>
            </w:tabs>
            <w:rPr>
              <w:sz w:val="18"/>
              <w:szCs w:val="18"/>
              <w:lang w:val="en-US"/>
            </w:rPr>
          </w:pPr>
          <w:r>
            <w:rPr>
              <w:sz w:val="18"/>
              <w:szCs w:val="18"/>
              <w:lang w:val="en-US"/>
            </w:rPr>
            <w:t>Fabio Bigi先生，ISCG 主席，意大利</w:t>
          </w:r>
        </w:p>
      </w:tc>
      <w:bookmarkStart w:id="9" w:name="OrgName"/>
      <w:bookmarkEnd w:id="9"/>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电话号码：</w:t>
          </w:r>
        </w:p>
      </w:tc>
      <w:tc>
        <w:tcPr>
          <w:tcW w:w="5987" w:type="dxa"/>
        </w:tcPr>
        <w:p w14:paraId="6D7949F0" w14:textId="2CE7DD78" w:rsidR="0059420B" w:rsidRPr="00AF7A97" w:rsidRDefault="00077DC0" w:rsidP="0059420B">
          <w:pPr>
            <w:pStyle w:val="FirstFooter"/>
            <w:tabs>
              <w:tab w:val="left" w:pos="2302"/>
            </w:tabs>
            <w:rPr>
              <w:sz w:val="18"/>
              <w:szCs w:val="18"/>
              <w:lang w:val="en-US"/>
            </w:rPr>
          </w:pPr>
          <w:r>
            <w:rPr>
              <w:sz w:val="18"/>
              <w:szCs w:val="18"/>
              <w:lang w:val="en-US"/>
            </w:rPr>
            <w:t>不适用</w:t>
          </w:r>
        </w:p>
      </w:tc>
      <w:bookmarkStart w:id="10" w:name="PhoneNo"/>
      <w:bookmarkEnd w:id="10"/>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电子邮件：</w:t>
          </w:r>
        </w:p>
      </w:tc>
      <w:tc>
        <w:tcPr>
          <w:tcW w:w="5987" w:type="dxa"/>
        </w:tcPr>
        <w:p w14:paraId="7EAB0988" w14:textId="7A2D2770" w:rsidR="0059420B" w:rsidRPr="00AF7A97" w:rsidRDefault="004C0B1E" w:rsidP="0059420B">
          <w:pPr>
            <w:pStyle w:val="FirstFooter"/>
            <w:tabs>
              <w:tab w:val="left" w:pos="2302"/>
            </w:tabs>
            <w:rPr>
              <w:sz w:val="18"/>
              <w:szCs w:val="18"/>
              <w:lang w:val="en-US"/>
            </w:rPr>
          </w:pPr>
          <w:hyperlink r:id="rId1" w:history="1">
            <w:r w:rsidR="00C053DE" w:rsidRPr="00D87DB8">
              <w:rPr>
                <w:rStyle w:val="Hyperlink"/>
                <w:sz w:val="18"/>
                <w:szCs w:val="18"/>
                <w:lang w:val="en-US"/>
              </w:rPr>
              <w:t>fabio.bigi@virgilio.it</w:t>
            </w:r>
          </w:hyperlink>
          <w:r w:rsidR="00C053DE">
            <w:rPr>
              <w:sz w:val="18"/>
              <w:szCs w:val="18"/>
              <w:lang w:val="en-US"/>
            </w:rPr>
            <w:t xml:space="preserve"> </w:t>
          </w:r>
        </w:p>
      </w:tc>
      <w:bookmarkStart w:id="11" w:name="Email"/>
      <w:bookmarkEnd w:id="11"/>
    </w:tr>
  </w:tbl>
  <w:p w14:paraId="5AEFE7F9" w14:textId="77777777" w:rsidR="0059420B" w:rsidRDefault="0059420B" w:rsidP="00B80157">
    <w:pPr>
      <w:pStyle w:val="Footer"/>
      <w:jc w:val="center"/>
      <w:rPr>
        <w:lang w:val="en-GB"/>
      </w:rPr>
    </w:pPr>
  </w:p>
  <w:p w14:paraId="40A321D0" w14:textId="77777777" w:rsidR="00721657" w:rsidRPr="0059420B" w:rsidRDefault="004C0B1E" w:rsidP="00B80157">
    <w:pPr>
      <w:pStyle w:val="Footer"/>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CA92A" w14:textId="77777777" w:rsidR="004C0B1E" w:rsidRDefault="004C0B1E">
      <w:r>
        <w:t>____________________</w:t>
      </w:r>
    </w:p>
  </w:footnote>
  <w:footnote w:type="continuationSeparator" w:id="0">
    <w:p w14:paraId="272882FF" w14:textId="77777777" w:rsidR="004C0B1E" w:rsidRDefault="004C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3E16E53" w:rsidR="00721657" w:rsidRPr="0047681D" w:rsidRDefault="0047681D" w:rsidP="0047681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TDAG-23/9(Rev.1)-</w:t>
    </w:r>
    <w:r w:rsidR="00AC45CF">
      <w:rPr>
        <w:rFonts w:hint="eastAsia"/>
        <w:sz w:val="22"/>
        <w:szCs w:val="22"/>
        <w:lang w:val="de-CH"/>
      </w:rPr>
      <w:t>C</w:t>
    </w:r>
    <w:r w:rsidRPr="006D271A">
      <w:rPr>
        <w:sz w:val="22"/>
        <w:szCs w:val="22"/>
        <w:lang w:val="de-CH"/>
      </w:rPr>
      <w:tab/>
    </w:r>
    <w:r>
      <w:rPr>
        <w:sz w:val="22"/>
        <w:szCs w:val="22"/>
      </w:rPr>
      <w:t>2</w:t>
    </w:r>
    <w:r w:rsidRPr="006D271A">
      <w:rPr>
        <w:sz w:val="22"/>
        <w:szCs w:val="22"/>
        <w:lang w:val="de-CH"/>
      </w:rPr>
      <w:t xml:space="preserve">页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F5223"/>
    <w:multiLevelType w:val="hybridMultilevel"/>
    <w:tmpl w:val="7E04F9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C6B8E"/>
    <w:multiLevelType w:val="hybridMultilevel"/>
    <w:tmpl w:val="DC48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646FA"/>
    <w:multiLevelType w:val="multilevel"/>
    <w:tmpl w:val="3198DF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C4F"/>
    <w:multiLevelType w:val="multilevel"/>
    <w:tmpl w:val="F8C437C8"/>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358"/>
    <w:multiLevelType w:val="hybridMultilevel"/>
    <w:tmpl w:val="E3B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3"/>
  </w:num>
  <w:num w:numId="4">
    <w:abstractNumId w:val="6"/>
  </w:num>
  <w:num w:numId="5">
    <w:abstractNumId w:val="0"/>
  </w:num>
  <w:num w:numId="6">
    <w:abstractNumId w:val="1"/>
  </w:num>
  <w:num w:numId="7">
    <w:abstractNumId w:val="8"/>
  </w:num>
  <w:num w:numId="8">
    <w:abstractNumId w:val="5"/>
  </w:num>
  <w:num w:numId="9">
    <w:abstractNumId w:val="9"/>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827"/>
    <w:rsid w:val="00015089"/>
    <w:rsid w:val="0002520B"/>
    <w:rsid w:val="00037A9E"/>
    <w:rsid w:val="00037F91"/>
    <w:rsid w:val="000539F1"/>
    <w:rsid w:val="00054747"/>
    <w:rsid w:val="00054C85"/>
    <w:rsid w:val="00055A2A"/>
    <w:rsid w:val="000615C1"/>
    <w:rsid w:val="00061675"/>
    <w:rsid w:val="000743AA"/>
    <w:rsid w:val="00076FCD"/>
    <w:rsid w:val="00077DC0"/>
    <w:rsid w:val="0009076F"/>
    <w:rsid w:val="0009225C"/>
    <w:rsid w:val="000A17C4"/>
    <w:rsid w:val="000A23DD"/>
    <w:rsid w:val="000A36A4"/>
    <w:rsid w:val="000A5AD8"/>
    <w:rsid w:val="000B2352"/>
    <w:rsid w:val="000C7B84"/>
    <w:rsid w:val="000D261B"/>
    <w:rsid w:val="000D58A3"/>
    <w:rsid w:val="000D5936"/>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33061"/>
    <w:rsid w:val="0013590E"/>
    <w:rsid w:val="00141699"/>
    <w:rsid w:val="00147000"/>
    <w:rsid w:val="00163091"/>
    <w:rsid w:val="001645CB"/>
    <w:rsid w:val="00166305"/>
    <w:rsid w:val="00167545"/>
    <w:rsid w:val="001703C6"/>
    <w:rsid w:val="0017052D"/>
    <w:rsid w:val="001726C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02F"/>
    <w:rsid w:val="001C3444"/>
    <w:rsid w:val="001C3702"/>
    <w:rsid w:val="001C4656"/>
    <w:rsid w:val="001C46BC"/>
    <w:rsid w:val="001D1E06"/>
    <w:rsid w:val="001F23E6"/>
    <w:rsid w:val="001F4238"/>
    <w:rsid w:val="00200A38"/>
    <w:rsid w:val="00200A46"/>
    <w:rsid w:val="00211B6F"/>
    <w:rsid w:val="002125B4"/>
    <w:rsid w:val="00217CC3"/>
    <w:rsid w:val="00220AB6"/>
    <w:rsid w:val="0022120F"/>
    <w:rsid w:val="0022348E"/>
    <w:rsid w:val="0022754A"/>
    <w:rsid w:val="0023633C"/>
    <w:rsid w:val="00236560"/>
    <w:rsid w:val="0023662E"/>
    <w:rsid w:val="00245D0F"/>
    <w:rsid w:val="002548C3"/>
    <w:rsid w:val="00257ACD"/>
    <w:rsid w:val="00262908"/>
    <w:rsid w:val="002650F4"/>
    <w:rsid w:val="002715FD"/>
    <w:rsid w:val="0027683C"/>
    <w:rsid w:val="002770B1"/>
    <w:rsid w:val="00285B33"/>
    <w:rsid w:val="00287A3C"/>
    <w:rsid w:val="002A2FC6"/>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EC3"/>
    <w:rsid w:val="00326815"/>
    <w:rsid w:val="00327247"/>
    <w:rsid w:val="00327A9D"/>
    <w:rsid w:val="0033130E"/>
    <w:rsid w:val="0033269C"/>
    <w:rsid w:val="00337C85"/>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F2DD8"/>
    <w:rsid w:val="003F3F2D"/>
    <w:rsid w:val="003F50B2"/>
    <w:rsid w:val="00400CCF"/>
    <w:rsid w:val="00401BFF"/>
    <w:rsid w:val="00404424"/>
    <w:rsid w:val="004079F6"/>
    <w:rsid w:val="0041156B"/>
    <w:rsid w:val="004122C5"/>
    <w:rsid w:val="00413B78"/>
    <w:rsid w:val="004147BE"/>
    <w:rsid w:val="00416DDE"/>
    <w:rsid w:val="0044411E"/>
    <w:rsid w:val="004444D0"/>
    <w:rsid w:val="00453435"/>
    <w:rsid w:val="00460089"/>
    <w:rsid w:val="00466398"/>
    <w:rsid w:val="0047306D"/>
    <w:rsid w:val="0047317F"/>
    <w:rsid w:val="00473791"/>
    <w:rsid w:val="0047681D"/>
    <w:rsid w:val="00476E48"/>
    <w:rsid w:val="004779D8"/>
    <w:rsid w:val="00481DE9"/>
    <w:rsid w:val="0049128B"/>
    <w:rsid w:val="00493B49"/>
    <w:rsid w:val="00495501"/>
    <w:rsid w:val="004A070A"/>
    <w:rsid w:val="004A320E"/>
    <w:rsid w:val="004A4E9C"/>
    <w:rsid w:val="004B1A3C"/>
    <w:rsid w:val="004C0B1E"/>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A93"/>
    <w:rsid w:val="005C7C98"/>
    <w:rsid w:val="005D2C3A"/>
    <w:rsid w:val="005D3E37"/>
    <w:rsid w:val="005D55A4"/>
    <w:rsid w:val="005D57C8"/>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23F30"/>
    <w:rsid w:val="00625FB8"/>
    <w:rsid w:val="006261BD"/>
    <w:rsid w:val="0063348D"/>
    <w:rsid w:val="00635EDB"/>
    <w:rsid w:val="00643BDC"/>
    <w:rsid w:val="0064734E"/>
    <w:rsid w:val="00650137"/>
    <w:rsid w:val="006509D7"/>
    <w:rsid w:val="00651CE8"/>
    <w:rsid w:val="0065521B"/>
    <w:rsid w:val="00665539"/>
    <w:rsid w:val="00671EF6"/>
    <w:rsid w:val="0067205B"/>
    <w:rsid w:val="006748F8"/>
    <w:rsid w:val="00677964"/>
    <w:rsid w:val="00680489"/>
    <w:rsid w:val="00683C32"/>
    <w:rsid w:val="00690BB2"/>
    <w:rsid w:val="00693D09"/>
    <w:rsid w:val="00697F0B"/>
    <w:rsid w:val="006A6549"/>
    <w:rsid w:val="006A7710"/>
    <w:rsid w:val="006A7A61"/>
    <w:rsid w:val="006B1E59"/>
    <w:rsid w:val="006B2FFB"/>
    <w:rsid w:val="006C10A2"/>
    <w:rsid w:val="006C1F18"/>
    <w:rsid w:val="006D40D5"/>
    <w:rsid w:val="006D64F9"/>
    <w:rsid w:val="006F009A"/>
    <w:rsid w:val="006F3D93"/>
    <w:rsid w:val="006F521F"/>
    <w:rsid w:val="007019B1"/>
    <w:rsid w:val="00706778"/>
    <w:rsid w:val="00711AF4"/>
    <w:rsid w:val="00721657"/>
    <w:rsid w:val="007279A8"/>
    <w:rsid w:val="00727B1A"/>
    <w:rsid w:val="00735E3E"/>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0717"/>
    <w:rsid w:val="007C27FC"/>
    <w:rsid w:val="007C51FF"/>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72B6E"/>
    <w:rsid w:val="00874DFD"/>
    <w:rsid w:val="008802F9"/>
    <w:rsid w:val="00880C83"/>
    <w:rsid w:val="00883081"/>
    <w:rsid w:val="00883086"/>
    <w:rsid w:val="008879FD"/>
    <w:rsid w:val="00894C37"/>
    <w:rsid w:val="008A00EA"/>
    <w:rsid w:val="008A3F93"/>
    <w:rsid w:val="008A6236"/>
    <w:rsid w:val="008A6E1C"/>
    <w:rsid w:val="008A72FD"/>
    <w:rsid w:val="008B2EDF"/>
    <w:rsid w:val="008B47C7"/>
    <w:rsid w:val="008B54CB"/>
    <w:rsid w:val="008B5A3D"/>
    <w:rsid w:val="008C322F"/>
    <w:rsid w:val="008C4010"/>
    <w:rsid w:val="008C4FDF"/>
    <w:rsid w:val="008C6B1F"/>
    <w:rsid w:val="008D081C"/>
    <w:rsid w:val="008D5E4F"/>
    <w:rsid w:val="008E34F0"/>
    <w:rsid w:val="008F14F5"/>
    <w:rsid w:val="008F1A7C"/>
    <w:rsid w:val="008F4DC8"/>
    <w:rsid w:val="008F71C1"/>
    <w:rsid w:val="009018C0"/>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220C"/>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45CF"/>
    <w:rsid w:val="00AC6F14"/>
    <w:rsid w:val="00AC7221"/>
    <w:rsid w:val="00AC7772"/>
    <w:rsid w:val="00AD324F"/>
    <w:rsid w:val="00AD4677"/>
    <w:rsid w:val="00AE1057"/>
    <w:rsid w:val="00AE5961"/>
    <w:rsid w:val="00AF0745"/>
    <w:rsid w:val="00AF4971"/>
    <w:rsid w:val="00AF5276"/>
    <w:rsid w:val="00AF7C86"/>
    <w:rsid w:val="00B01046"/>
    <w:rsid w:val="00B13942"/>
    <w:rsid w:val="00B310F9"/>
    <w:rsid w:val="00B37866"/>
    <w:rsid w:val="00B412FB"/>
    <w:rsid w:val="00B41D1A"/>
    <w:rsid w:val="00B44C9A"/>
    <w:rsid w:val="00B455BB"/>
    <w:rsid w:val="00B4576B"/>
    <w:rsid w:val="00B46350"/>
    <w:rsid w:val="00B46DF3"/>
    <w:rsid w:val="00B648C7"/>
    <w:rsid w:val="00B66E8F"/>
    <w:rsid w:val="00B80157"/>
    <w:rsid w:val="00B83D5E"/>
    <w:rsid w:val="00B8460A"/>
    <w:rsid w:val="00B8650D"/>
    <w:rsid w:val="00B879B4"/>
    <w:rsid w:val="00B90F07"/>
    <w:rsid w:val="00B97BB9"/>
    <w:rsid w:val="00BA0009"/>
    <w:rsid w:val="00BA28CB"/>
    <w:rsid w:val="00BA55BA"/>
    <w:rsid w:val="00BB02B5"/>
    <w:rsid w:val="00BB1863"/>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EC3"/>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C83"/>
    <w:rsid w:val="00D35BDD"/>
    <w:rsid w:val="00D63006"/>
    <w:rsid w:val="00D65F3E"/>
    <w:rsid w:val="00D71F6D"/>
    <w:rsid w:val="00D72301"/>
    <w:rsid w:val="00D911DE"/>
    <w:rsid w:val="00D91B97"/>
    <w:rsid w:val="00D93ACC"/>
    <w:rsid w:val="00D93C08"/>
    <w:rsid w:val="00D95DAC"/>
    <w:rsid w:val="00DA0B53"/>
    <w:rsid w:val="00DA14B7"/>
    <w:rsid w:val="00DA25D2"/>
    <w:rsid w:val="00DA42DF"/>
    <w:rsid w:val="00DB1171"/>
    <w:rsid w:val="00DB1519"/>
    <w:rsid w:val="00DB274D"/>
    <w:rsid w:val="00DB2840"/>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6FED"/>
    <w:rsid w:val="00EC7F3B"/>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41B1C"/>
    <w:rsid w:val="00F42E13"/>
    <w:rsid w:val="00F42F1C"/>
    <w:rsid w:val="00F43B44"/>
    <w:rsid w:val="00F440E5"/>
    <w:rsid w:val="00F448F6"/>
    <w:rsid w:val="00F52741"/>
    <w:rsid w:val="00F53D8A"/>
    <w:rsid w:val="00F56E56"/>
    <w:rsid w:val="00F626F7"/>
    <w:rsid w:val="00F736F9"/>
    <w:rsid w:val="00F73833"/>
    <w:rsid w:val="00F75D63"/>
    <w:rsid w:val="00F9211C"/>
    <w:rsid w:val="00FA095D"/>
    <w:rsid w:val="00FA6C8B"/>
    <w:rsid w:val="00FA6CDA"/>
    <w:rsid w:val="00FA7C89"/>
    <w:rsid w:val="00FB4139"/>
    <w:rsid w:val="00FB476E"/>
    <w:rsid w:val="00FC0D90"/>
    <w:rsid w:val="00FC2EF9"/>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zh-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zh-CN" w:eastAsia="zh-CN"/>
    </w:rPr>
  </w:style>
  <w:style w:type="character" w:customStyle="1" w:styleId="FooterChar">
    <w:name w:val="Footer Char"/>
    <w:basedOn w:val="DefaultParagraphFont"/>
    <w:link w:val="Footer"/>
    <w:rsid w:val="0056423B"/>
    <w:rPr>
      <w:rFonts w:ascii="Times New Roman" w:hAnsi="Times New Roman"/>
      <w:caps/>
      <w:noProof/>
      <w:sz w:val="16"/>
      <w:lang w:val="zh-CN" w:eastAsia="zh-CN"/>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44C9A"/>
    <w:rPr>
      <w:rFonts w:asciiTheme="minorHAnsi" w:hAnsiTheme="minorHAnsi"/>
      <w:sz w:val="24"/>
      <w:lang w:val="zh-CN" w:eastAsia="zh-CN"/>
    </w:rPr>
  </w:style>
  <w:style w:type="character" w:styleId="UnresolvedMention">
    <w:name w:val="Unresolved Mention"/>
    <w:basedOn w:val="DefaultParagraphFont"/>
    <w:uiPriority w:val="99"/>
    <w:semiHidden/>
    <w:unhideWhenUsed/>
    <w:rsid w:val="00076FCD"/>
    <w:rPr>
      <w:color w:val="605E5C"/>
      <w:shd w:val="clear" w:color="auto" w:fill="E1DFDD"/>
    </w:rPr>
  </w:style>
  <w:style w:type="paragraph" w:styleId="BalloonText">
    <w:name w:val="Balloon Text"/>
    <w:basedOn w:val="Normal"/>
    <w:link w:val="BalloonTextChar"/>
    <w:semiHidden/>
    <w:unhideWhenUsed/>
    <w:rsid w:val="00337C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7C85"/>
    <w:rPr>
      <w:rFonts w:ascii="Segoe UI" w:hAnsi="Segoe UI" w:cs="Segoe UI"/>
      <w:sz w:val="18"/>
      <w:szCs w:val="18"/>
      <w:lang w:val="zh-CN" w:eastAsia="zh-CN"/>
    </w:rPr>
  </w:style>
  <w:style w:type="character" w:customStyle="1" w:styleId="Title1Char">
    <w:name w:val="Title 1 Char"/>
    <w:link w:val="Title1"/>
    <w:qFormat/>
    <w:locked/>
    <w:rsid w:val="00337C85"/>
    <w:rPr>
      <w:rFonts w:asciiTheme="minorHAnsi" w:hAnsiTheme="minorHAnsi" w:cs="Times New Roman Bold"/>
      <w:sz w:val="28"/>
      <w:lang w:val="zh-CN" w:eastAsia="zh-CN"/>
    </w:rPr>
  </w:style>
  <w:style w:type="paragraph" w:customStyle="1" w:styleId="default-style">
    <w:name w:val="default-style"/>
    <w:basedOn w:val="Normal"/>
    <w:rsid w:val="00337C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92179">
      <w:bodyDiv w:val="1"/>
      <w:marLeft w:val="0"/>
      <w:marRight w:val="0"/>
      <w:marTop w:val="0"/>
      <w:marBottom w:val="0"/>
      <w:divBdr>
        <w:top w:val="none" w:sz="0" w:space="0" w:color="auto"/>
        <w:left w:val="none" w:sz="0" w:space="0" w:color="auto"/>
        <w:bottom w:val="none" w:sz="0" w:space="0" w:color="auto"/>
        <w:right w:val="none" w:sz="0" w:space="0" w:color="auto"/>
      </w:divBdr>
    </w:div>
    <w:div w:id="11839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ties/ISCGDocumentLibrary/1st%20Meeting%202023/ISCG-23-1-01-E-Agenda-R1.docx" TargetMode="External"/><Relationship Id="rId18" Type="http://schemas.openxmlformats.org/officeDocument/2006/relationships/hyperlink" Target="https://www.itu.int/en/general-secretariat/ties/ISCGDocumentLibrary/1st%20Meeting%202023/Climate%20change.docx" TargetMode="External"/><Relationship Id="rId26" Type="http://schemas.openxmlformats.org/officeDocument/2006/relationships/hyperlink" Target="https://www.itu.int/en/general-secretariat/Pages/ISCG/Terms-of-reference-for-IST.aspx" TargetMode="External"/><Relationship Id="rId39" Type="http://schemas.openxmlformats.org/officeDocument/2006/relationships/theme" Target="theme/theme1.xml"/><Relationship Id="rId21" Type="http://schemas.openxmlformats.org/officeDocument/2006/relationships/hyperlink" Target="https://www.itu.int/en/general-secretariat/ties/ISCGDocumentLibrary/1st%20Meeting%202023/Accessibility.docx" TargetMode="External"/><Relationship Id="rId34" Type="http://schemas.openxmlformats.org/officeDocument/2006/relationships/hyperlink" Target="https://www.itu.int/rec/T-REC-A.Sup4-202212-I"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ties/ISCGDocumentLibrary/1st%20Meeting%202023/Mapping-of-resolutions-Updated%20Oct2022.pdf" TargetMode="External"/><Relationship Id="rId25" Type="http://schemas.openxmlformats.org/officeDocument/2006/relationships/hyperlink" Target="https://www.itu.int/en/general-secretariat/ties/ISCGDocumentLibrary/1st%20Meeting%202023/Kenya-ATDI-Contribution%20ISCG%2023-1.docx" TargetMode="External"/><Relationship Id="rId33" Type="http://schemas.openxmlformats.org/officeDocument/2006/relationships/hyperlink" Target="https://www.itu.int/en/general-secretariat/ties/ISCGDocumentLibrary/1st%20Meeting%202023/Virtual%20meetings-Contribution%20ISCG%2023-1.doc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en/general-secretariat/ties/ISCGDocumentLibrary/1st%20Meeting%202023/Resolution%20191-Rev%20Bucharest%202022-E.pdf" TargetMode="External"/><Relationship Id="rId20" Type="http://schemas.openxmlformats.org/officeDocument/2006/relationships/hyperlink" Target="https://www.itu.int/en/general-secretariat/ties/ISCGDocumentLibrary/1st%20Meeting%202023/ITU-R%20Focal%20Point-Contribution%20ISCG%2023-1.docx" TargetMode="External"/><Relationship Id="rId29" Type="http://schemas.openxmlformats.org/officeDocument/2006/relationships/hyperlink" Target="https://www.itu.int/en/general-secretariat/ties/ISCGDocumentLibrary/Liaisons%20Statements%20on%20Inter-Sectoral%20Coordination%20Activities/Table%2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general-secretariat/ties/ISCGDocumentLibrary/1st%20Meeting%202023/Russian%20Fed-Contribution%20ISCG%2023-1-R1.docx" TargetMode="External"/><Relationship Id="rId32" Type="http://schemas.openxmlformats.org/officeDocument/2006/relationships/hyperlink" Target="mailto:iscg@itu.i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general-secretariat/Pages/ISCG/default.aspx" TargetMode="External"/><Relationship Id="rId23" Type="http://schemas.openxmlformats.org/officeDocument/2006/relationships/hyperlink" Target="https://www.itu.int/en/general-secretariat/ties/ISCGDocumentLibrary/1st%20Meeting%202023/sp17-tsag-oLS-00003.docx" TargetMode="External"/><Relationship Id="rId28" Type="http://schemas.openxmlformats.org/officeDocument/2006/relationships/hyperlink" Target="https://www.itu.int/en/general-secretariat/ties/ISCGDocumentLibrary/Liaisons%20Statements%20on%20Inter-Sectoral%20Coordination%20Activities/Table%201.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general-secretariat/ties/ISCGDocumentLibrary/1st%20Meeting%202023/ITU-R%20Focal%20Point-Contribution%20ISCG%2023-1.docx" TargetMode="External"/><Relationship Id="rId31" Type="http://schemas.openxmlformats.org/officeDocument/2006/relationships/hyperlink" Target="mailto:bruce.gracie@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ties/ISCGDocumentLibrary/1st%20Meeting%202023/List%20of%20Participants.docx" TargetMode="External"/><Relationship Id="rId22" Type="http://schemas.openxmlformats.org/officeDocument/2006/relationships/hyperlink" Target="https://www.itu.int/en/general-secretariat/ties/ISCGDocumentLibrary/1st%20Meeting%202023/Virtual%20meetings-Contribution%20ISCG%2023-1.docx" TargetMode="External"/><Relationship Id="rId27" Type="http://schemas.openxmlformats.org/officeDocument/2006/relationships/hyperlink" Target="https://www.itu.int/en/general-secretariat/ties/ISCGDocumentLibrary/1st%20Meeting%202023/Mapping-of-resolutions-Updated%20Oct2022.pdf" TargetMode="External"/><Relationship Id="rId30" Type="http://schemas.openxmlformats.org/officeDocument/2006/relationships/hyperlink" Target="mailto:philrushton@rcc-uk.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FAC383865E47BE840F392BFA449D14"/>
        <w:category>
          <w:name w:val="General"/>
          <w:gallery w:val="placeholder"/>
        </w:category>
        <w:types>
          <w:type w:val="bbPlcHdr"/>
        </w:types>
        <w:behaviors>
          <w:behavior w:val="content"/>
        </w:behaviors>
        <w:guid w:val="{B5349837-B49E-4B1F-9A3D-7556646F2AFE}"/>
      </w:docPartPr>
      <w:docPartBody>
        <w:p w:rsidR="00EF0FD4" w:rsidRDefault="003F5449" w:rsidP="003F5449">
          <w:pPr>
            <w:pStyle w:val="C0FAC383865E47BE840F392BFA449D14"/>
          </w:pPr>
          <w:r w:rsidRPr="00543D41">
            <w:rPr>
              <w:rStyle w:val="PlaceholderText"/>
              <w:highlight w:val="yellow"/>
            </w:rPr>
            <w:t>插入来源</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49"/>
    <w:rsid w:val="003F5449"/>
    <w:rsid w:val="0066664B"/>
    <w:rsid w:val="00EF0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49"/>
    <w:rPr>
      <w:rFonts w:ascii="Times New Roman" w:hAnsi="Times New Roman"/>
      <w:color w:val="808080"/>
    </w:rPr>
  </w:style>
  <w:style w:type="paragraph" w:customStyle="1" w:styleId="C0FAC383865E47BE840F392BFA449D14">
    <w:name w:val="C0FAC383865E47BE840F392BFA449D14"/>
    <w:rsid w:val="003F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3.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56CAF-A485-4A63-BC39-50A46C0E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102</cp:revision>
  <cp:lastPrinted>2014-11-04T09:22:00Z</cp:lastPrinted>
  <dcterms:created xsi:type="dcterms:W3CDTF">2023-05-05T12:39:00Z</dcterms:created>
  <dcterms:modified xsi:type="dcterms:W3CDTF">2023-06-22T08:08:00Z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