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FF19B2" w:rsidRPr="00783A69" w14:paraId="5F1D3295" w14:textId="77777777" w:rsidTr="002566C4">
        <w:trPr>
          <w:cantSplit/>
          <w:trHeight w:val="1310"/>
          <w:jc w:val="center"/>
        </w:trPr>
        <w:tc>
          <w:tcPr>
            <w:tcW w:w="6548" w:type="dxa"/>
            <w:tcBorders>
              <w:bottom w:val="single" w:sz="12" w:space="0" w:color="auto"/>
            </w:tcBorders>
          </w:tcPr>
          <w:p w14:paraId="1C90530D" w14:textId="77777777" w:rsidR="00FF19B2" w:rsidRPr="00FF19B2" w:rsidRDefault="00FF19B2" w:rsidP="00FF19B2">
            <w:pPr>
              <w:bidi/>
              <w:spacing w:before="240" w:line="192" w:lineRule="auto"/>
              <w:rPr>
                <w:rFonts w:ascii="Dubai" w:hAnsi="Dubai" w:cs="Dubai"/>
                <w:b/>
                <w:bCs/>
                <w:sz w:val="32"/>
                <w:szCs w:val="32"/>
                <w:rtl/>
                <w:lang w:bidi="ar-SY"/>
              </w:rPr>
            </w:pPr>
            <w:r w:rsidRPr="00FF19B2">
              <w:rPr>
                <w:rFonts w:ascii="Dubai" w:hAnsi="Dubai" w:cs="Dubai"/>
                <w:b/>
                <w:bCs/>
                <w:sz w:val="32"/>
                <w:szCs w:val="32"/>
                <w:rtl/>
                <w:lang w:bidi="ar-EG"/>
              </w:rPr>
              <w:t xml:space="preserve">الفريق الاستشاري لتنمية الاتصالات </w:t>
            </w:r>
            <w:r w:rsidRPr="00FF19B2">
              <w:rPr>
                <w:rFonts w:ascii="Dubai" w:hAnsi="Dubai" w:cs="Dubai"/>
                <w:b/>
                <w:bCs/>
                <w:sz w:val="32"/>
                <w:szCs w:val="32"/>
                <w:lang w:bidi="ar-EG"/>
              </w:rPr>
              <w:t>(TDAG)</w:t>
            </w:r>
          </w:p>
          <w:p w14:paraId="67CEE4B9" w14:textId="77777777" w:rsidR="00FF19B2" w:rsidRPr="00FF19B2" w:rsidRDefault="00FF19B2" w:rsidP="00FF19B2">
            <w:pPr>
              <w:bidi/>
              <w:spacing w:line="192" w:lineRule="auto"/>
              <w:rPr>
                <w:rFonts w:ascii="Dubai" w:hAnsi="Dubai" w:cs="Dubai"/>
                <w:b/>
                <w:bCs/>
                <w:spacing w:val="-6"/>
                <w:sz w:val="28"/>
                <w:szCs w:val="28"/>
                <w:rtl/>
                <w:lang w:bidi="ar-SY"/>
              </w:rPr>
            </w:pPr>
            <w:r w:rsidRPr="00FF19B2">
              <w:rPr>
                <w:rFonts w:ascii="Dubai" w:hAnsi="Dubai" w:cs="Dubai"/>
                <w:b/>
                <w:bCs/>
                <w:spacing w:val="-6"/>
                <w:sz w:val="26"/>
                <w:szCs w:val="26"/>
                <w:rtl/>
                <w:lang w:bidi="ar-EG"/>
              </w:rPr>
              <w:t xml:space="preserve">الاجتماع الثلاثون، جنيف، سويسرا، </w:t>
            </w:r>
            <w:r w:rsidRPr="00FF19B2">
              <w:rPr>
                <w:rFonts w:ascii="Dubai" w:hAnsi="Dubai" w:cs="Dubai"/>
                <w:b/>
                <w:bCs/>
                <w:spacing w:val="-6"/>
                <w:sz w:val="26"/>
                <w:szCs w:val="26"/>
                <w:lang w:bidi="ar-EG"/>
              </w:rPr>
              <w:t>23-19</w:t>
            </w:r>
            <w:r w:rsidRPr="00FF19B2">
              <w:rPr>
                <w:rFonts w:ascii="Dubai" w:hAnsi="Dubai" w:cs="Dubai"/>
                <w:b/>
                <w:bCs/>
                <w:spacing w:val="-6"/>
                <w:sz w:val="26"/>
                <w:szCs w:val="26"/>
                <w:rtl/>
                <w:lang w:bidi="ar-EG"/>
              </w:rPr>
              <w:t xml:space="preserve"> يونيو </w:t>
            </w:r>
            <w:r w:rsidRPr="00FF19B2">
              <w:rPr>
                <w:rFonts w:ascii="Dubai" w:hAnsi="Dubai" w:cs="Dubai"/>
                <w:b/>
                <w:bCs/>
                <w:spacing w:val="-6"/>
                <w:sz w:val="26"/>
                <w:szCs w:val="26"/>
                <w:lang w:bidi="ar-EG"/>
              </w:rPr>
              <w:t>2023</w:t>
            </w:r>
          </w:p>
        </w:tc>
        <w:tc>
          <w:tcPr>
            <w:tcW w:w="3091" w:type="dxa"/>
            <w:tcBorders>
              <w:bottom w:val="single" w:sz="12" w:space="0" w:color="auto"/>
            </w:tcBorders>
          </w:tcPr>
          <w:p w14:paraId="07298698" w14:textId="77777777" w:rsidR="00FF19B2" w:rsidRPr="00783A69" w:rsidRDefault="00FF19B2" w:rsidP="00FF19B2">
            <w:pPr>
              <w:spacing w:after="120"/>
              <w:rPr>
                <w:lang w:val="en-GB" w:bidi="ar-EG"/>
              </w:rPr>
            </w:pPr>
            <w:bookmarkStart w:id="0" w:name="ditulogo"/>
            <w:bookmarkEnd w:id="0"/>
            <w:r>
              <w:rPr>
                <w:noProof/>
                <w:lang w:val="fr-FR" w:eastAsia="fr-FR"/>
              </w:rPr>
              <w:drawing>
                <wp:inline distT="0" distB="0" distL="0" distR="0" wp14:anchorId="29D0EAB0" wp14:editId="4EC821A0">
                  <wp:extent cx="712470" cy="785495"/>
                  <wp:effectExtent l="0" t="0" r="0" b="0"/>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FF19B2" w:rsidRPr="00783A69" w14:paraId="0F9971EC" w14:textId="77777777" w:rsidTr="002566C4">
        <w:trPr>
          <w:cantSplit/>
          <w:jc w:val="center"/>
        </w:trPr>
        <w:tc>
          <w:tcPr>
            <w:tcW w:w="6548" w:type="dxa"/>
            <w:tcBorders>
              <w:top w:val="single" w:sz="12" w:space="0" w:color="auto"/>
            </w:tcBorders>
          </w:tcPr>
          <w:p w14:paraId="7E2A7543" w14:textId="77777777" w:rsidR="00FF19B2" w:rsidRPr="00783A69" w:rsidRDefault="00FF19B2" w:rsidP="002566C4">
            <w:pPr>
              <w:spacing w:before="20" w:after="20" w:line="300" w:lineRule="exact"/>
              <w:rPr>
                <w:b/>
                <w:bCs/>
                <w:rtl/>
                <w:lang w:bidi="ar-EG"/>
              </w:rPr>
            </w:pPr>
          </w:p>
        </w:tc>
        <w:tc>
          <w:tcPr>
            <w:tcW w:w="3091" w:type="dxa"/>
            <w:tcBorders>
              <w:top w:val="single" w:sz="12" w:space="0" w:color="auto"/>
            </w:tcBorders>
          </w:tcPr>
          <w:p w14:paraId="3DE18433" w14:textId="77777777" w:rsidR="00FF19B2" w:rsidRPr="00C85CB5" w:rsidRDefault="00FF19B2" w:rsidP="002566C4">
            <w:pPr>
              <w:spacing w:before="20" w:after="20" w:line="300" w:lineRule="exact"/>
              <w:rPr>
                <w:b/>
                <w:bCs/>
                <w:highlight w:val="yellow"/>
                <w:rtl/>
                <w:lang w:bidi="ar-EG"/>
              </w:rPr>
            </w:pPr>
          </w:p>
        </w:tc>
      </w:tr>
      <w:tr w:rsidR="00FF19B2" w:rsidRPr="00783A69" w14:paraId="1D360639" w14:textId="77777777" w:rsidTr="002566C4">
        <w:trPr>
          <w:cantSplit/>
          <w:jc w:val="center"/>
        </w:trPr>
        <w:tc>
          <w:tcPr>
            <w:tcW w:w="6548" w:type="dxa"/>
          </w:tcPr>
          <w:p w14:paraId="0CB4129A" w14:textId="77777777" w:rsidR="00FF19B2" w:rsidRPr="00783A69" w:rsidRDefault="00FF19B2" w:rsidP="002566C4">
            <w:pPr>
              <w:spacing w:before="20" w:after="20" w:line="300" w:lineRule="exact"/>
              <w:rPr>
                <w:b/>
                <w:bCs/>
                <w:rtl/>
                <w:lang w:bidi="ar-EG"/>
              </w:rPr>
            </w:pPr>
          </w:p>
        </w:tc>
        <w:tc>
          <w:tcPr>
            <w:tcW w:w="3091" w:type="dxa"/>
          </w:tcPr>
          <w:p w14:paraId="733A4355" w14:textId="22AC9C22" w:rsidR="00FF19B2" w:rsidRPr="00FF19B2" w:rsidRDefault="00FF19B2" w:rsidP="00FF19B2">
            <w:pPr>
              <w:spacing w:before="20" w:after="20" w:line="300" w:lineRule="exact"/>
              <w:jc w:val="right"/>
              <w:rPr>
                <w:rFonts w:ascii="Dubai" w:hAnsi="Dubai" w:cs="Dubai"/>
                <w:b/>
                <w:bCs/>
                <w:sz w:val="22"/>
                <w:szCs w:val="22"/>
                <w:rtl/>
                <w:lang w:bidi="ar-SY"/>
              </w:rPr>
            </w:pPr>
            <w:r w:rsidRPr="00FF19B2">
              <w:rPr>
                <w:rFonts w:ascii="Dubai" w:hAnsi="Dubai" w:cs="Dubai"/>
                <w:b/>
                <w:bCs/>
                <w:sz w:val="22"/>
                <w:szCs w:val="22"/>
                <w:rtl/>
                <w:lang w:bidi="ar-EG"/>
              </w:rPr>
              <w:t xml:space="preserve">الوثيقة </w:t>
            </w:r>
            <w:r w:rsidRPr="00FF19B2">
              <w:rPr>
                <w:rFonts w:ascii="Dubai" w:hAnsi="Dubai" w:cs="Dubai"/>
                <w:b/>
                <w:bCs/>
                <w:sz w:val="22"/>
                <w:szCs w:val="22"/>
                <w:lang w:bidi="ar-EG"/>
              </w:rPr>
              <w:t>TDAG-23/9</w:t>
            </w:r>
            <w:r w:rsidRPr="00FF19B2">
              <w:rPr>
                <w:rFonts w:ascii="Dubai" w:hAnsi="Dubai" w:cs="Dubai"/>
                <w:b/>
                <w:bCs/>
                <w:sz w:val="22"/>
                <w:szCs w:val="22"/>
                <w:lang w:bidi="ar-EG"/>
              </w:rPr>
              <w:t>(Rev.1)</w:t>
            </w:r>
            <w:r w:rsidRPr="00FF19B2">
              <w:rPr>
                <w:rFonts w:ascii="Dubai" w:hAnsi="Dubai" w:cs="Dubai"/>
                <w:b/>
                <w:bCs/>
                <w:sz w:val="22"/>
                <w:szCs w:val="22"/>
                <w:lang w:bidi="ar-EG"/>
              </w:rPr>
              <w:t>-A</w:t>
            </w:r>
          </w:p>
        </w:tc>
      </w:tr>
      <w:tr w:rsidR="00FF19B2" w:rsidRPr="00783A69" w14:paraId="2BA1E648" w14:textId="77777777" w:rsidTr="002566C4">
        <w:trPr>
          <w:cantSplit/>
          <w:jc w:val="center"/>
        </w:trPr>
        <w:tc>
          <w:tcPr>
            <w:tcW w:w="6548" w:type="dxa"/>
          </w:tcPr>
          <w:p w14:paraId="3C997360" w14:textId="77777777" w:rsidR="00FF19B2" w:rsidRPr="00783A69" w:rsidRDefault="00FF19B2" w:rsidP="002566C4">
            <w:pPr>
              <w:spacing w:before="20" w:after="20" w:line="300" w:lineRule="exact"/>
              <w:rPr>
                <w:b/>
                <w:bCs/>
                <w:lang w:bidi="ar-EG"/>
              </w:rPr>
            </w:pPr>
          </w:p>
        </w:tc>
        <w:tc>
          <w:tcPr>
            <w:tcW w:w="3091" w:type="dxa"/>
          </w:tcPr>
          <w:p w14:paraId="65EC0C54" w14:textId="708EBB64" w:rsidR="00FF19B2" w:rsidRPr="00FF19B2" w:rsidRDefault="00FF19B2" w:rsidP="00FF19B2">
            <w:pPr>
              <w:bidi/>
              <w:spacing w:before="20" w:after="20" w:line="300" w:lineRule="exact"/>
              <w:rPr>
                <w:rFonts w:ascii="Dubai" w:hAnsi="Dubai" w:cs="Dubai"/>
                <w:b/>
                <w:bCs/>
                <w:sz w:val="22"/>
                <w:szCs w:val="22"/>
                <w:highlight w:val="yellow"/>
                <w:rtl/>
                <w:lang w:bidi="ar-SY"/>
              </w:rPr>
            </w:pPr>
            <w:r w:rsidRPr="00FF19B2">
              <w:rPr>
                <w:rFonts w:hint="cs"/>
                <w:b/>
                <w:bCs/>
                <w:sz w:val="22"/>
                <w:szCs w:val="22"/>
                <w:rtl/>
                <w:lang w:bidi="ar-EG"/>
              </w:rPr>
              <w:t xml:space="preserve">9 </w:t>
            </w:r>
            <w:r w:rsidRPr="00FF19B2">
              <w:rPr>
                <w:rFonts w:ascii="Dubai" w:hAnsi="Dubai" w:cs="Dubai"/>
                <w:b/>
                <w:bCs/>
                <w:sz w:val="22"/>
                <w:szCs w:val="22"/>
                <w:rtl/>
                <w:lang w:bidi="ar-EG"/>
              </w:rPr>
              <w:t>مايو</w:t>
            </w:r>
            <w:r w:rsidRPr="00FF19B2">
              <w:rPr>
                <w:rFonts w:hint="cs"/>
                <w:b/>
                <w:bCs/>
                <w:sz w:val="22"/>
                <w:szCs w:val="22"/>
                <w:rtl/>
                <w:lang w:bidi="ar-EG"/>
              </w:rPr>
              <w:t xml:space="preserve"> </w:t>
            </w:r>
            <w:r w:rsidRPr="00FF19B2">
              <w:rPr>
                <w:b/>
                <w:bCs/>
                <w:sz w:val="22"/>
                <w:szCs w:val="22"/>
                <w:lang w:bidi="ar-EG"/>
              </w:rPr>
              <w:t>2023</w:t>
            </w:r>
          </w:p>
        </w:tc>
      </w:tr>
      <w:tr w:rsidR="00FF19B2" w:rsidRPr="00783A69" w14:paraId="4022B79C" w14:textId="77777777" w:rsidTr="002566C4">
        <w:trPr>
          <w:cantSplit/>
          <w:jc w:val="center"/>
        </w:trPr>
        <w:tc>
          <w:tcPr>
            <w:tcW w:w="6548" w:type="dxa"/>
          </w:tcPr>
          <w:p w14:paraId="7D0C23FB" w14:textId="77777777" w:rsidR="00FF19B2" w:rsidRPr="00783A69" w:rsidRDefault="00FF19B2" w:rsidP="002566C4">
            <w:pPr>
              <w:spacing w:before="20" w:after="20" w:line="300" w:lineRule="exact"/>
              <w:rPr>
                <w:b/>
                <w:bCs/>
                <w:lang w:bidi="ar-EG"/>
              </w:rPr>
            </w:pPr>
          </w:p>
        </w:tc>
        <w:tc>
          <w:tcPr>
            <w:tcW w:w="3091" w:type="dxa"/>
          </w:tcPr>
          <w:p w14:paraId="55CD4D7E" w14:textId="77777777" w:rsidR="00FF19B2" w:rsidRPr="00FF19B2" w:rsidRDefault="00FF19B2" w:rsidP="00FF19B2">
            <w:pPr>
              <w:spacing w:before="20" w:after="20" w:line="300" w:lineRule="exact"/>
              <w:jc w:val="right"/>
              <w:rPr>
                <w:rFonts w:ascii="Dubai" w:hAnsi="Dubai" w:cs="Dubai"/>
                <w:b/>
                <w:bCs/>
                <w:sz w:val="22"/>
                <w:szCs w:val="22"/>
                <w:rtl/>
                <w:lang w:bidi="ar-EG"/>
              </w:rPr>
            </w:pPr>
            <w:r w:rsidRPr="00FF19B2">
              <w:rPr>
                <w:rFonts w:ascii="Dubai" w:hAnsi="Dubai" w:cs="Dubai"/>
                <w:b/>
                <w:bCs/>
                <w:sz w:val="22"/>
                <w:szCs w:val="22"/>
                <w:rtl/>
                <w:lang w:bidi="ar-EG"/>
              </w:rPr>
              <w:t>الأصل: بالإنكليزية</w:t>
            </w:r>
          </w:p>
        </w:tc>
      </w:tr>
      <w:tr w:rsidR="00FF19B2" w:rsidRPr="00783A69" w14:paraId="5D8FD0C5" w14:textId="77777777" w:rsidTr="002566C4">
        <w:trPr>
          <w:cantSplit/>
          <w:jc w:val="center"/>
        </w:trPr>
        <w:tc>
          <w:tcPr>
            <w:tcW w:w="9639" w:type="dxa"/>
            <w:gridSpan w:val="2"/>
          </w:tcPr>
          <w:p w14:paraId="0EEAB78A" w14:textId="2600318E" w:rsidR="00FF19B2" w:rsidRPr="00FF19B2" w:rsidRDefault="00FF19B2" w:rsidP="00FF19B2">
            <w:pPr>
              <w:pStyle w:val="Source"/>
              <w:rPr>
                <w:rFonts w:ascii="Dubai" w:hAnsi="Dubai" w:cs="Dubai"/>
                <w:b w:val="0"/>
                <w:bCs/>
                <w:szCs w:val="28"/>
              </w:rPr>
            </w:pPr>
            <w:r w:rsidRPr="00FF19B2">
              <w:rPr>
                <w:rFonts w:ascii="Dubai" w:hAnsi="Dubai" w:cs="Dubai"/>
                <w:b w:val="0"/>
                <w:bCs/>
                <w:szCs w:val="28"/>
                <w:rtl/>
                <w:lang w:bidi="ar-EG"/>
              </w:rPr>
              <w:t>رئيس فريق التنسيق بين القطاعات</w:t>
            </w:r>
          </w:p>
        </w:tc>
      </w:tr>
      <w:tr w:rsidR="00FF19B2" w:rsidRPr="00783A69" w14:paraId="169694A3" w14:textId="77777777" w:rsidTr="002566C4">
        <w:trPr>
          <w:cantSplit/>
          <w:jc w:val="center"/>
        </w:trPr>
        <w:tc>
          <w:tcPr>
            <w:tcW w:w="9639" w:type="dxa"/>
            <w:gridSpan w:val="2"/>
          </w:tcPr>
          <w:p w14:paraId="7148F2C6" w14:textId="0B673AB4" w:rsidR="00FF19B2" w:rsidRPr="00FF19B2" w:rsidRDefault="00FF19B2" w:rsidP="00FF19B2">
            <w:pPr>
              <w:pStyle w:val="Title1"/>
              <w:bidi/>
              <w:rPr>
                <w:rFonts w:ascii="Dubai" w:hAnsi="Dubai" w:cs="Dubai"/>
                <w:b/>
                <w:szCs w:val="28"/>
                <w:rtl/>
                <w:lang w:bidi="ar-EG"/>
              </w:rPr>
            </w:pPr>
            <w:r w:rsidRPr="00FF19B2">
              <w:rPr>
                <w:rFonts w:ascii="Dubai" w:hAnsi="Dubai" w:cs="Dubai"/>
                <w:b/>
                <w:szCs w:val="28"/>
                <w:rtl/>
                <w:lang w:bidi="ar-EG"/>
              </w:rPr>
              <w:t xml:space="preserve">تقرير فريق التنسيق بين القطاعات </w:t>
            </w:r>
            <w:r w:rsidRPr="00FF19B2">
              <w:rPr>
                <w:rFonts w:ascii="Dubai" w:hAnsi="Dubai" w:cs="Dubai"/>
                <w:b/>
                <w:szCs w:val="28"/>
                <w:lang w:bidi="ar-EG"/>
              </w:rPr>
              <w:t>(ISCG)</w:t>
            </w:r>
            <w:r w:rsidRPr="00FF19B2">
              <w:rPr>
                <w:rFonts w:ascii="Dubai" w:hAnsi="Dubai" w:cs="Dubai"/>
                <w:b/>
                <w:szCs w:val="28"/>
                <w:rtl/>
                <w:lang w:bidi="ar-EG"/>
              </w:rPr>
              <w:br/>
              <w:t>بشأن القضايا ذات الاهتمام المشترك</w:t>
            </w:r>
          </w:p>
        </w:tc>
      </w:tr>
    </w:tbl>
    <w:p w14:paraId="4357DB99" w14:textId="124A34B0" w:rsidR="00FF19B2" w:rsidRDefault="00FF19B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FF19B2" w:rsidRPr="00153471" w14:paraId="6EFB41D8" w14:textId="77777777" w:rsidTr="002566C4">
        <w:trPr>
          <w:cantSplit/>
          <w:jc w:val="center"/>
        </w:trPr>
        <w:tc>
          <w:tcPr>
            <w:tcW w:w="9638" w:type="dxa"/>
            <w:tcBorders>
              <w:top w:val="single" w:sz="6" w:space="0" w:color="auto"/>
              <w:left w:val="single" w:sz="6" w:space="0" w:color="auto"/>
              <w:bottom w:val="single" w:sz="6" w:space="0" w:color="auto"/>
              <w:right w:val="single" w:sz="6" w:space="0" w:color="auto"/>
            </w:tcBorders>
          </w:tcPr>
          <w:p w14:paraId="56A7B426" w14:textId="77777777" w:rsidR="00FF19B2" w:rsidRPr="00FF19B2" w:rsidRDefault="00FF19B2" w:rsidP="00FF19B2">
            <w:pPr>
              <w:bidi/>
              <w:rPr>
                <w:rFonts w:ascii="Dubai" w:hAnsi="Dubai" w:cs="Dubai"/>
                <w:b/>
                <w:bCs/>
                <w:sz w:val="22"/>
                <w:szCs w:val="22"/>
                <w:rtl/>
                <w:lang w:bidi="ar-SY"/>
              </w:rPr>
            </w:pPr>
            <w:r w:rsidRPr="00FF19B2">
              <w:rPr>
                <w:rFonts w:ascii="Dubai" w:hAnsi="Dubai" w:cs="Dubai"/>
                <w:b/>
                <w:bCs/>
                <w:sz w:val="22"/>
                <w:szCs w:val="22"/>
                <w:rtl/>
                <w:lang w:bidi="ar-SY"/>
              </w:rPr>
              <w:t>ملخص:</w:t>
            </w:r>
          </w:p>
          <w:p w14:paraId="7AB6FCFA" w14:textId="77777777" w:rsidR="00FF19B2" w:rsidRPr="00FF19B2" w:rsidRDefault="00FF19B2" w:rsidP="00FF19B2">
            <w:pPr>
              <w:bidi/>
              <w:rPr>
                <w:rFonts w:ascii="Dubai" w:hAnsi="Dubai" w:cs="Dubai"/>
                <w:sz w:val="22"/>
                <w:szCs w:val="22"/>
                <w:rtl/>
                <w:lang w:bidi="ar-EG"/>
              </w:rPr>
            </w:pPr>
            <w:r w:rsidRPr="00FF19B2">
              <w:rPr>
                <w:rFonts w:ascii="Dubai" w:hAnsi="Dubai" w:cs="Dubai"/>
                <w:sz w:val="22"/>
                <w:szCs w:val="22"/>
                <w:rtl/>
                <w:lang w:bidi="ar-EG"/>
              </w:rPr>
              <w:t xml:space="preserve">تقدم هذه الوثيقة تقريراً مرحلياً لفريق التنسيق بين القطاعات </w:t>
            </w:r>
            <w:r w:rsidRPr="00FF19B2">
              <w:rPr>
                <w:rFonts w:ascii="Dubai" w:hAnsi="Dubai" w:cs="Dubai"/>
                <w:sz w:val="22"/>
                <w:szCs w:val="22"/>
                <w:lang w:bidi="ar-EG"/>
              </w:rPr>
              <w:t>(ISCG)</w:t>
            </w:r>
            <w:r w:rsidRPr="00FF19B2">
              <w:rPr>
                <w:rFonts w:ascii="Dubai" w:hAnsi="Dubai" w:cs="Dubai"/>
                <w:sz w:val="22"/>
                <w:szCs w:val="22"/>
                <w:rtl/>
              </w:rPr>
              <w:t xml:space="preserve"> بشأن القضايا ذات الاهتمام المشترك، وتسلط الضوء على استنتاجات الاجتماع الأخير للفريق في 2 مايو 2023.</w:t>
            </w:r>
          </w:p>
          <w:p w14:paraId="59140798" w14:textId="77777777" w:rsidR="00FF19B2" w:rsidRPr="00FF19B2" w:rsidRDefault="00FF19B2" w:rsidP="00FF19B2">
            <w:pPr>
              <w:bidi/>
              <w:rPr>
                <w:rFonts w:ascii="Dubai" w:hAnsi="Dubai" w:cs="Dubai"/>
                <w:b/>
                <w:bCs/>
                <w:sz w:val="22"/>
                <w:szCs w:val="22"/>
                <w:rtl/>
                <w:lang w:bidi="ar-SY"/>
              </w:rPr>
            </w:pPr>
            <w:r w:rsidRPr="00FF19B2">
              <w:rPr>
                <w:rFonts w:ascii="Dubai" w:hAnsi="Dubai" w:cs="Dubai"/>
                <w:b/>
                <w:bCs/>
                <w:sz w:val="22"/>
                <w:szCs w:val="22"/>
                <w:rtl/>
                <w:lang w:bidi="ar-SY"/>
              </w:rPr>
              <w:t>الإجراء المطلوب:</w:t>
            </w:r>
          </w:p>
          <w:p w14:paraId="707426F6" w14:textId="77777777" w:rsidR="00FF19B2" w:rsidRPr="00FF19B2" w:rsidRDefault="00FF19B2" w:rsidP="00FF19B2">
            <w:pPr>
              <w:bidi/>
              <w:rPr>
                <w:rFonts w:ascii="Dubai" w:hAnsi="Dubai" w:cs="Dubai"/>
                <w:sz w:val="22"/>
                <w:szCs w:val="22"/>
                <w:rtl/>
                <w:lang w:bidi="ar-SY"/>
              </w:rPr>
            </w:pPr>
            <w:r w:rsidRPr="00FF19B2">
              <w:rPr>
                <w:rFonts w:ascii="Dubai" w:hAnsi="Dubai" w:cs="Dubai"/>
                <w:color w:val="000000"/>
                <w:sz w:val="22"/>
                <w:szCs w:val="22"/>
                <w:shd w:val="clear" w:color="auto" w:fill="FFFFFF"/>
                <w:rtl/>
              </w:rPr>
              <w:t>يدعى الفريق الاستشاري لتنمية الاتصالات</w:t>
            </w:r>
            <w:r w:rsidRPr="00FF19B2">
              <w:rPr>
                <w:rFonts w:ascii="Dubai" w:hAnsi="Dubai" w:cs="Dubai"/>
                <w:color w:val="000000"/>
                <w:sz w:val="22"/>
                <w:szCs w:val="22"/>
                <w:shd w:val="clear" w:color="auto" w:fill="FFFFFF"/>
              </w:rPr>
              <w:t xml:space="preserve"> (TDAG) </w:t>
            </w:r>
            <w:r w:rsidRPr="00FF19B2">
              <w:rPr>
                <w:rFonts w:ascii="Dubai" w:hAnsi="Dubai" w:cs="Dubai"/>
                <w:color w:val="000000"/>
                <w:sz w:val="22"/>
                <w:szCs w:val="22"/>
                <w:shd w:val="clear" w:color="auto" w:fill="FFFFFF"/>
                <w:rtl/>
              </w:rPr>
              <w:t xml:space="preserve">إلى </w:t>
            </w:r>
            <w:r w:rsidRPr="00FF19B2">
              <w:rPr>
                <w:rFonts w:ascii="Dubai" w:hAnsi="Dubai" w:cs="Dubai"/>
                <w:b/>
                <w:bCs/>
                <w:color w:val="000000"/>
                <w:sz w:val="22"/>
                <w:szCs w:val="22"/>
                <w:shd w:val="clear" w:color="auto" w:fill="FFFFFF"/>
                <w:rtl/>
              </w:rPr>
              <w:t>الإحاطة علماً</w:t>
            </w:r>
            <w:r w:rsidRPr="00FF19B2">
              <w:rPr>
                <w:rFonts w:ascii="Dubai" w:hAnsi="Dubai" w:cs="Dubai"/>
                <w:color w:val="000000"/>
                <w:sz w:val="22"/>
                <w:szCs w:val="22"/>
                <w:shd w:val="clear" w:color="auto" w:fill="FFFFFF"/>
                <w:rtl/>
              </w:rPr>
              <w:t xml:space="preserve"> بهذه الوثيقة وتقديم أي توجيهات يراها مناسبة</w:t>
            </w:r>
            <w:r w:rsidRPr="00FF19B2">
              <w:rPr>
                <w:rFonts w:ascii="Dubai" w:hAnsi="Dubai" w:cs="Dubai"/>
                <w:color w:val="000000"/>
                <w:sz w:val="22"/>
                <w:szCs w:val="22"/>
                <w:shd w:val="clear" w:color="auto" w:fill="FFFFFF"/>
              </w:rPr>
              <w:t>.</w:t>
            </w:r>
          </w:p>
          <w:p w14:paraId="330795EB" w14:textId="77777777" w:rsidR="00FF19B2" w:rsidRPr="00FF19B2" w:rsidRDefault="00FF19B2" w:rsidP="00FF19B2">
            <w:pPr>
              <w:bidi/>
              <w:rPr>
                <w:rFonts w:ascii="Dubai" w:hAnsi="Dubai" w:cs="Dubai"/>
                <w:b/>
                <w:bCs/>
                <w:sz w:val="22"/>
                <w:szCs w:val="22"/>
                <w:rtl/>
                <w:lang w:bidi="ar-SY"/>
              </w:rPr>
            </w:pPr>
            <w:r w:rsidRPr="00FF19B2">
              <w:rPr>
                <w:rFonts w:ascii="Dubai" w:hAnsi="Dubai" w:cs="Dubai"/>
                <w:b/>
                <w:bCs/>
                <w:sz w:val="22"/>
                <w:szCs w:val="22"/>
                <w:rtl/>
                <w:lang w:bidi="ar-SY"/>
              </w:rPr>
              <w:t>المراجع:</w:t>
            </w:r>
          </w:p>
          <w:p w14:paraId="450F173C" w14:textId="77777777" w:rsidR="00FF19B2" w:rsidRPr="00FF19B2" w:rsidRDefault="00FF19B2" w:rsidP="00FF19B2">
            <w:pPr>
              <w:bidi/>
              <w:spacing w:after="120"/>
              <w:rPr>
                <w:rFonts w:ascii="Dubai" w:hAnsi="Dubai" w:cs="Dubai"/>
                <w:sz w:val="22"/>
                <w:szCs w:val="22"/>
                <w:rtl/>
              </w:rPr>
            </w:pPr>
            <w:hyperlink r:id="rId12" w:history="1">
              <w:r w:rsidRPr="00FF19B2">
                <w:rPr>
                  <w:rStyle w:val="Hyperlink"/>
                  <w:rFonts w:ascii="Dubai" w:hAnsi="Dubai" w:cs="Dubai"/>
                  <w:sz w:val="22"/>
                  <w:szCs w:val="22"/>
                  <w:rtl/>
                  <w:lang w:bidi="ar-EG"/>
                </w:rPr>
                <w:t>القرار 191</w:t>
              </w:r>
            </w:hyperlink>
            <w:r w:rsidRPr="00FF19B2">
              <w:rPr>
                <w:rFonts w:ascii="Dubai" w:hAnsi="Dubai" w:cs="Dubai"/>
                <w:sz w:val="22"/>
                <w:szCs w:val="22"/>
                <w:rtl/>
                <w:lang w:bidi="ar-EG"/>
              </w:rPr>
              <w:t xml:space="preserve"> (المراجَع في بوخارست، 2022)؛ و</w:t>
            </w:r>
            <w:hyperlink r:id="rId13" w:history="1">
              <w:r w:rsidRPr="00FF19B2">
                <w:rPr>
                  <w:rStyle w:val="Hyperlink"/>
                  <w:rFonts w:ascii="Dubai" w:hAnsi="Dubai" w:cs="Dubai"/>
                  <w:sz w:val="22"/>
                  <w:szCs w:val="22"/>
                  <w:rtl/>
                  <w:lang w:bidi="ar-EG"/>
                </w:rPr>
                <w:t>المقرر 5</w:t>
              </w:r>
            </w:hyperlink>
            <w:r w:rsidRPr="00FF19B2">
              <w:rPr>
                <w:rFonts w:ascii="Dubai" w:hAnsi="Dubai" w:cs="Dubai"/>
                <w:sz w:val="22"/>
                <w:szCs w:val="22"/>
                <w:rtl/>
                <w:lang w:bidi="ar-EG"/>
              </w:rPr>
              <w:t xml:space="preserve"> (المراجَع في بوخارست، 2022) لمؤتمر المندوبين المفوضين</w:t>
            </w:r>
          </w:p>
        </w:tc>
      </w:tr>
    </w:tbl>
    <w:p w14:paraId="43D3F34B" w14:textId="7EF34B96" w:rsidR="00FF19B2" w:rsidRDefault="00FF19B2"/>
    <w:p w14:paraId="402CCDCC" w14:textId="0C4B646A" w:rsidR="00FF19B2" w:rsidRDefault="00FF19B2">
      <w:r>
        <w:br w:type="page"/>
      </w:r>
    </w:p>
    <w:p w14:paraId="47D4144B" w14:textId="7607CF78"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bidi/>
        <w:spacing w:after="120"/>
        <w:ind w:left="357" w:hanging="357"/>
        <w:rPr>
          <w:rFonts w:cstheme="minorHAnsi"/>
          <w:b/>
          <w:bCs/>
          <w:szCs w:val="24"/>
          <w:lang w:val="fr-FR"/>
        </w:rPr>
      </w:pPr>
      <w:r w:rsidRPr="00337C85">
        <w:rPr>
          <w:rFonts w:cstheme="minorHAnsi"/>
          <w:b/>
          <w:bCs/>
          <w:szCs w:val="24"/>
          <w:lang w:val="fr-FR"/>
        </w:rPr>
        <w:lastRenderedPageBreak/>
        <w:t>مقدمة</w:t>
      </w:r>
    </w:p>
    <w:p w14:paraId="2E1B6F2B" w14:textId="77777777" w:rsidR="00337C85" w:rsidRPr="00337C85" w:rsidRDefault="00337C85" w:rsidP="00337C85">
      <w:pPr>
        <w:bidi/>
        <w:spacing w:after="120"/>
        <w:rPr>
          <w:rFonts w:cstheme="minorHAnsi"/>
          <w:szCs w:val="24"/>
        </w:rPr>
      </w:pPr>
      <w:r w:rsidRPr="00337C85">
        <w:rPr>
          <w:rFonts w:cstheme="minorHAnsi"/>
          <w:szCs w:val="24"/>
        </w:rPr>
        <w:t xml:space="preserve">عُقد الاجتماع الأول لفريق التنسيق بين القطاعات (ISCG) في عام 2023 بشأن القضايا ذات الاهتمام المشترك ، في 2 </w:t>
      </w:r>
      <w:r w:rsidRPr="00337C85">
        <w:rPr>
          <w:rFonts w:cstheme="minorHAnsi"/>
          <w:szCs w:val="24"/>
          <w:vertAlign w:val="superscript"/>
        </w:rPr>
        <w:t xml:space="preserve">مايو </w:t>
      </w:r>
      <w:r w:rsidRPr="00337C85">
        <w:rPr>
          <w:rFonts w:cstheme="minorHAnsi"/>
          <w:szCs w:val="24"/>
        </w:rPr>
        <w:t>2023 ، في مقر الاتحاد ، من الساعة 12:30 إلى 14:00 (CET) ، بالاقتران مع الاتصالات الراديوية اجتماع المجموعة الاستشارية (RAG). سمح الاجتماع بالمشاركة عن بعد من خلال منصة Zoom.</w:t>
      </w:r>
    </w:p>
    <w:p w14:paraId="6D848A01" w14:textId="77777777" w:rsidR="00337C85" w:rsidRPr="00337C85" w:rsidRDefault="00337C85" w:rsidP="00337C85">
      <w:pPr>
        <w:bidi/>
        <w:spacing w:after="120"/>
        <w:rPr>
          <w:rFonts w:cstheme="minorHAnsi"/>
          <w:szCs w:val="24"/>
        </w:rPr>
      </w:pPr>
      <w:r w:rsidRPr="00337C85">
        <w:rPr>
          <w:rFonts w:cstheme="minorHAnsi"/>
          <w:szCs w:val="24"/>
        </w:rPr>
        <w:t>وترأس الاجتماع السيد فابيو بيجي (إيطاليا) ، رئيس مجموعة ISCG ، الذي رحب بأعضاء المجموعة والمشاركين الآخرين في الاجتماع الأول لمجموعة ISCG الذي سيعقد شخصيًا منذ الإعلان عن وباء COVID-19 في عام 2020. السيد Bigi كما رحب بنائب الأمين العام للاتحاد ، السيد توماس لاماناوسكاس الذي انضم إلى الاجتماع لإلقاء ملاحظات افتتاحية. اتفق كل من رئيس ISCG ونائب الأمين العام للاتحاد على أهمية تعزيز التنسيق بين القطاعات داخل الاتحاد ، بما في ذلك بين الأعضاء والأمانة ، وتشجيع أعضاء ISCG على تقديم مساهمات لتحسين عمليات التعاون والتعاون بين القطاعات الثلاثة و الأمانة العامة.</w:t>
      </w:r>
    </w:p>
    <w:p w14:paraId="10AF29D9" w14:textId="77777777" w:rsidR="00337C85" w:rsidRPr="00337C85" w:rsidRDefault="00337C85" w:rsidP="00337C85">
      <w:pPr>
        <w:bidi/>
        <w:spacing w:after="120"/>
        <w:rPr>
          <w:rFonts w:cstheme="minorHAnsi"/>
          <w:szCs w:val="24"/>
        </w:rPr>
      </w:pPr>
      <w:r w:rsidRPr="00337C85">
        <w:rPr>
          <w:rFonts w:cstheme="minorHAnsi"/>
          <w:szCs w:val="24"/>
        </w:rPr>
        <w:t xml:space="preserve">قدم رئيس ISCG جدول الأعمال ( </w:t>
      </w:r>
      <w:hyperlink r:id="rId14" w:history="1">
        <w:r w:rsidRPr="00337C85">
          <w:rPr>
            <w:rStyle w:val="Hyperlink"/>
            <w:rFonts w:cstheme="minorHAnsi"/>
            <w:szCs w:val="24"/>
          </w:rPr>
          <w:t xml:space="preserve">ISCG / 23-1 / 01-R1 </w:t>
        </w:r>
      </w:hyperlink>
      <w:r w:rsidRPr="00337C85">
        <w:rPr>
          <w:rFonts w:cstheme="minorHAnsi"/>
          <w:szCs w:val="24"/>
        </w:rPr>
        <w:t>) الذي وافق عليه الاجتماع.</w:t>
      </w:r>
    </w:p>
    <w:p w14:paraId="2AE52973" w14:textId="77777777" w:rsidR="00337C85" w:rsidRPr="00337C85" w:rsidRDefault="00337C85" w:rsidP="00337C85">
      <w:pPr>
        <w:bidi/>
        <w:spacing w:after="120"/>
        <w:rPr>
          <w:rFonts w:cstheme="minorHAnsi"/>
          <w:szCs w:val="24"/>
        </w:rPr>
      </w:pPr>
      <w:r w:rsidRPr="00337C85">
        <w:rPr>
          <w:rFonts w:cstheme="minorHAnsi"/>
          <w:szCs w:val="24"/>
        </w:rPr>
        <w:t xml:space="preserve">أبلغ الرئيس جميع الوثائق التي تم تقديمها ومناقشتها خلال الاجتماع ، بما في ذلك جدول الأعمال وقائمة </w:t>
      </w:r>
      <w:bookmarkStart w:id="1" w:name="_Hlk96717086"/>
      <w:r w:rsidRPr="00337C85">
        <w:rPr>
          <w:rFonts w:cstheme="minorHAnsi"/>
          <w:szCs w:val="24"/>
        </w:rPr>
        <w:t xml:space="preserve">المشاركين </w:t>
      </w:r>
      <w:bookmarkEnd w:id="1"/>
      <w:r w:rsidRPr="00337C85">
        <w:rPr>
          <w:rFonts w:cstheme="minorHAnsi"/>
          <w:szCs w:val="24"/>
        </w:rPr>
        <w:t xml:space="preserve">(انظر </w:t>
      </w:r>
      <w:hyperlink r:id="rId15" w:history="1">
        <w:r w:rsidRPr="00337C85">
          <w:rPr>
            <w:rStyle w:val="Hyperlink"/>
            <w:rFonts w:cstheme="minorHAnsi"/>
            <w:szCs w:val="24"/>
          </w:rPr>
          <w:t xml:space="preserve">هنا </w:t>
        </w:r>
      </w:hyperlink>
      <w:r w:rsidRPr="00337C85">
        <w:rPr>
          <w:rFonts w:cstheme="minorHAnsi"/>
          <w:szCs w:val="24"/>
        </w:rPr>
        <w:t xml:space="preserve">) ، ويمكن الوصول إليها من خلال </w:t>
      </w:r>
      <w:hyperlink r:id="rId16" w:history="1">
        <w:r w:rsidRPr="00337C85">
          <w:rPr>
            <w:rFonts w:cstheme="minorHAnsi"/>
            <w:color w:val="0000FF"/>
            <w:szCs w:val="24"/>
            <w:u w:val="single"/>
          </w:rPr>
          <w:t xml:space="preserve">صفحة ويب ISCG </w:t>
        </w:r>
      </w:hyperlink>
      <w:r w:rsidRPr="00337C85">
        <w:rPr>
          <w:rFonts w:cstheme="minorHAnsi"/>
          <w:szCs w:val="24"/>
        </w:rPr>
        <w:t>.</w:t>
      </w:r>
    </w:p>
    <w:p w14:paraId="3473DC6C" w14:textId="77777777" w:rsidR="00337C85" w:rsidRPr="00337C85" w:rsidRDefault="00337C85" w:rsidP="00337C85">
      <w:pPr>
        <w:bidi/>
        <w:spacing w:after="120"/>
        <w:rPr>
          <w:rFonts w:cstheme="minorHAnsi"/>
          <w:szCs w:val="24"/>
        </w:rPr>
      </w:pPr>
      <w:r w:rsidRPr="00337C85">
        <w:rPr>
          <w:rFonts w:cstheme="minorHAnsi"/>
          <w:szCs w:val="24"/>
        </w:rPr>
        <w:t>وفيما يتعلق بصفحة الويب ، أفادت الأمانة أنه تم تركيب أداة الترجمة الخاصة بالاتحاد حتى أصبح الموقع متاحًا باللغات الرسمية الست.</w:t>
      </w:r>
    </w:p>
    <w:p w14:paraId="1DF446FE"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bidi/>
        <w:spacing w:after="120"/>
        <w:ind w:left="357" w:hanging="357"/>
        <w:contextualSpacing w:val="0"/>
        <w:rPr>
          <w:rFonts w:cstheme="minorHAnsi"/>
          <w:b/>
          <w:bCs/>
          <w:szCs w:val="24"/>
          <w:lang w:val="fr-FR"/>
        </w:rPr>
      </w:pPr>
      <w:r w:rsidRPr="00337C85">
        <w:rPr>
          <w:rFonts w:cstheme="minorHAnsi"/>
          <w:b/>
          <w:bCs/>
          <w:szCs w:val="24"/>
          <w:lang w:val="fr-FR"/>
        </w:rPr>
        <w:t>المناقشات الرئيسية</w:t>
      </w:r>
    </w:p>
    <w:p w14:paraId="3F544EF9" w14:textId="0AFFDCCD" w:rsidR="00337C85" w:rsidRPr="00337C85" w:rsidRDefault="00337C85" w:rsidP="00337C85">
      <w:pPr>
        <w:pStyle w:val="ListParagraph"/>
        <w:numPr>
          <w:ilvl w:val="1"/>
          <w:numId w:val="11"/>
        </w:numPr>
        <w:tabs>
          <w:tab w:val="clear" w:pos="1134"/>
          <w:tab w:val="clear" w:pos="1871"/>
          <w:tab w:val="clear" w:pos="2268"/>
          <w:tab w:val="left" w:pos="794"/>
          <w:tab w:val="left" w:pos="1191"/>
          <w:tab w:val="left" w:pos="1588"/>
          <w:tab w:val="left" w:pos="1985"/>
        </w:tabs>
        <w:bidi/>
        <w:spacing w:after="120"/>
        <w:ind w:left="539" w:hanging="539"/>
        <w:contextualSpacing w:val="0"/>
        <w:rPr>
          <w:rFonts w:cstheme="minorHAnsi"/>
          <w:b/>
          <w:bCs/>
          <w:szCs w:val="24"/>
        </w:rPr>
      </w:pPr>
      <w:r w:rsidRPr="00337C85">
        <w:rPr>
          <w:rFonts w:cstheme="minorHAnsi"/>
          <w:b/>
          <w:bCs/>
          <w:szCs w:val="24"/>
        </w:rPr>
        <w:t>تقرير عن قرار مؤتمر المندوبين المفوضين رقم 191 (Rev. Bucha rest، 2022)</w:t>
      </w:r>
    </w:p>
    <w:p w14:paraId="206671FD" w14:textId="77777777" w:rsidR="00337C85" w:rsidRPr="00337C85" w:rsidRDefault="00337C85" w:rsidP="00337C85">
      <w:pPr>
        <w:bidi/>
        <w:spacing w:after="120"/>
        <w:rPr>
          <w:rFonts w:cstheme="minorHAnsi"/>
          <w:szCs w:val="24"/>
        </w:rPr>
      </w:pPr>
      <w:r w:rsidRPr="00337C85">
        <w:rPr>
          <w:rFonts w:cstheme="minorHAnsi"/>
          <w:szCs w:val="24"/>
        </w:rPr>
        <w:t xml:space="preserve">قدمت أمانة الاتحاد الوثيقة </w:t>
      </w:r>
      <w:hyperlink r:id="rId17" w:history="1">
        <w:r w:rsidRPr="00337C85">
          <w:rPr>
            <w:rStyle w:val="Hyperlink"/>
            <w:rFonts w:cstheme="minorHAnsi"/>
            <w:szCs w:val="24"/>
          </w:rPr>
          <w:t xml:space="preserve">ISCG / 23-1 / 02 </w:t>
        </w:r>
      </w:hyperlink>
      <w:r w:rsidRPr="00337C85">
        <w:rPr>
          <w:rFonts w:cstheme="minorHAnsi"/>
          <w:szCs w:val="24"/>
        </w:rPr>
        <w:t>التي تحتوي على النص النهائي للقرار 191 (المراجع في بوخارست ، 2022) بصيغته المنقحة في مؤتمر المندوبين المفوضين 2022 ؛ بالإضافة إلى جدول بالتغييرات الرئيسية التي تم إجراؤها ، وتسليط الضوء على الإجراءات التي يتعين على ISCG اتخاذها.</w:t>
      </w:r>
    </w:p>
    <w:p w14:paraId="152FADFC" w14:textId="77777777" w:rsidR="00337C85" w:rsidRPr="00337C85" w:rsidRDefault="00337C85" w:rsidP="00337C85">
      <w:pPr>
        <w:bidi/>
        <w:spacing w:after="120"/>
        <w:rPr>
          <w:rFonts w:cstheme="minorHAnsi"/>
          <w:szCs w:val="24"/>
        </w:rPr>
      </w:pPr>
      <w:r w:rsidRPr="00337C85">
        <w:rPr>
          <w:rFonts w:cstheme="minorHAnsi"/>
          <w:szCs w:val="24"/>
        </w:rPr>
        <w:t>كما أبلغت الأمانة عن آلية التنسيق الجديدة المشتركة بين القطاعات (ISCM) التي ستعرض على مجلس 2023 في يوليو. سيتم توجيه هذه الآلية الداخلية من خلال ثلاثة مسارات ، بناءً على طبيعة الموضوعات التي سيتم تنسيقها (إستراتيجية ، برنامجية ، تشغيلية) ، لتغطية جميع الموضوعات التي تتطلب التنسيق بين القطاعات ، فضلاً عن تسهيل المراقبة وتقييم التقدم المحرز في التنفيذ. . وسيكون لكل فئة تسلسل مختلف للإبلاغ (داخلي) ، وستواصل الأمانة تقديم تقارير سنوية إلى المجلس والاتصال بالأفرقة الاستشارية للقطاعات وفريق ISCG. كما سيتم تنفيذ آلية أخف لتقاسم المعلومات بين القطاعات الثلاثة والأمانة العامة حول جميع الأنشطة التي قد تتطلب التنسيق بين القطاعات.</w:t>
      </w:r>
    </w:p>
    <w:p w14:paraId="6132636D" w14:textId="77777777" w:rsidR="00337C85" w:rsidRPr="00337C85" w:rsidRDefault="00337C85" w:rsidP="00337C85">
      <w:pPr>
        <w:bidi/>
        <w:spacing w:after="120"/>
        <w:rPr>
          <w:rFonts w:cstheme="minorHAnsi"/>
          <w:szCs w:val="24"/>
        </w:rPr>
      </w:pPr>
      <w:r w:rsidRPr="00337C85">
        <w:rPr>
          <w:rFonts w:cstheme="minorHAnsi"/>
          <w:szCs w:val="24"/>
        </w:rPr>
        <w:t>سلط رئيس ISCG الضوء على أهمية استمرار هذه الآلية الجديدة في رفع التقارير إلى ISCG بانتظام ، كما فعلت من قبل فريق عمل التنسيق بين القطاعات (ISC-TF).</w:t>
      </w:r>
    </w:p>
    <w:p w14:paraId="651D465B" w14:textId="77777777" w:rsidR="00337C85" w:rsidRPr="00337C85" w:rsidRDefault="00337C85" w:rsidP="00337C85">
      <w:pPr>
        <w:bidi/>
        <w:spacing w:after="120"/>
        <w:rPr>
          <w:rFonts w:cstheme="minorHAnsi"/>
          <w:szCs w:val="24"/>
        </w:rPr>
      </w:pPr>
      <w:r w:rsidRPr="00337C85">
        <w:rPr>
          <w:rFonts w:cstheme="minorHAnsi"/>
          <w:szCs w:val="24"/>
        </w:rPr>
        <w:t xml:space="preserve">تمت الإشارة إلى أن مفهوم الاتحاد الدولي للاتصالات واحد يحتاج إلى مزيد من التوضيح ، مع مراعاة حاجة الأعضاء إلى خطة تشغيلية مفصلة من كل قطاع ، بينما من ناحية أخرى ، هناك حاجة إلى تحسين آليات التنسيق على نطاق الاتحاد مثل تبسيط القرارات من خلال تطبيق الخرائط المتاحة عبر الإنترنت (انظر </w:t>
      </w:r>
      <w:hyperlink r:id="rId18" w:history="1">
        <w:r w:rsidRPr="00337C85">
          <w:rPr>
            <w:rStyle w:val="Hyperlink"/>
            <w:rFonts w:cstheme="minorHAnsi"/>
            <w:szCs w:val="24"/>
          </w:rPr>
          <w:t xml:space="preserve">هنا </w:t>
        </w:r>
      </w:hyperlink>
      <w:r w:rsidRPr="00337C85">
        <w:rPr>
          <w:rFonts w:cstheme="minorHAnsi"/>
          <w:szCs w:val="24"/>
        </w:rPr>
        <w:t>) ، أو تطبيق نفس الإجراءات المتعلقة بإمكانية الوصول عند تنظيم الاجتماعات ، على سبيل المثال لا الحصر.</w:t>
      </w:r>
    </w:p>
    <w:p w14:paraId="2F20F145" w14:textId="77777777" w:rsidR="00337C85" w:rsidRPr="00337C85" w:rsidRDefault="00337C85" w:rsidP="00337C85">
      <w:pPr>
        <w:bidi/>
        <w:spacing w:after="120"/>
        <w:rPr>
          <w:rFonts w:cstheme="minorHAnsi"/>
          <w:szCs w:val="24"/>
        </w:rPr>
      </w:pPr>
      <w:r w:rsidRPr="00337C85">
        <w:rPr>
          <w:rFonts w:cstheme="minorHAnsi"/>
          <w:szCs w:val="24"/>
        </w:rPr>
        <w:t>ووافق الاجتماع ورحب بالجهود التي تبذلها الأمانة لتعزيز وتحسين آلية التنسيق المشتركة بين القطاعات ، وطلب من الأمانة مواصلة تقديم التقارير عن هذه العملية.</w:t>
      </w:r>
    </w:p>
    <w:p w14:paraId="1DD4A03C" w14:textId="33A83CDA" w:rsidR="00337C85" w:rsidRPr="00337C85" w:rsidRDefault="00337C85" w:rsidP="00337C85">
      <w:pPr>
        <w:pStyle w:val="ListParagraph"/>
        <w:numPr>
          <w:ilvl w:val="1"/>
          <w:numId w:val="11"/>
        </w:numPr>
        <w:tabs>
          <w:tab w:val="clear" w:pos="1134"/>
          <w:tab w:val="clear" w:pos="1871"/>
          <w:tab w:val="clear" w:pos="2268"/>
          <w:tab w:val="left" w:pos="794"/>
          <w:tab w:val="left" w:pos="1191"/>
          <w:tab w:val="left" w:pos="1588"/>
          <w:tab w:val="left" w:pos="1985"/>
        </w:tabs>
        <w:bidi/>
        <w:spacing w:after="120"/>
        <w:ind w:left="539" w:hanging="539"/>
        <w:contextualSpacing w:val="0"/>
        <w:rPr>
          <w:rFonts w:cstheme="minorHAnsi"/>
          <w:b/>
          <w:bCs/>
          <w:szCs w:val="24"/>
        </w:rPr>
      </w:pPr>
      <w:r w:rsidRPr="00337C85">
        <w:rPr>
          <w:rFonts w:cstheme="minorHAnsi"/>
          <w:b/>
          <w:bCs/>
          <w:szCs w:val="24"/>
        </w:rPr>
        <w:t>تقارير حسب المواضيع</w:t>
      </w:r>
    </w:p>
    <w:p w14:paraId="0113F22C" w14:textId="77777777" w:rsidR="00337C85" w:rsidRPr="00337C85" w:rsidRDefault="00337C85" w:rsidP="00337C85">
      <w:pPr>
        <w:tabs>
          <w:tab w:val="clear" w:pos="794"/>
          <w:tab w:val="left" w:pos="567"/>
        </w:tabs>
        <w:bidi/>
        <w:spacing w:after="120"/>
        <w:ind w:left="720" w:hanging="720"/>
        <w:rPr>
          <w:rFonts w:cstheme="minorHAnsi"/>
          <w:b/>
          <w:bCs/>
          <w:szCs w:val="24"/>
        </w:rPr>
      </w:pPr>
      <w:r w:rsidRPr="00337C85">
        <w:rPr>
          <w:rFonts w:cstheme="minorHAnsi"/>
          <w:b/>
          <w:bCs/>
          <w:szCs w:val="24"/>
        </w:rPr>
        <w:t xml:space="preserve">2.2.1 </w:t>
      </w:r>
      <w:r w:rsidRPr="00337C85">
        <w:rPr>
          <w:rFonts w:cstheme="minorHAnsi"/>
          <w:b/>
          <w:bCs/>
          <w:szCs w:val="24"/>
        </w:rPr>
        <w:tab/>
        <w:t>"تغير المناخ"</w:t>
      </w:r>
    </w:p>
    <w:p w14:paraId="753E2353" w14:textId="77777777" w:rsidR="00337C85" w:rsidRPr="00337C85" w:rsidRDefault="00337C85" w:rsidP="00337C85">
      <w:pPr>
        <w:bidi/>
        <w:spacing w:after="120"/>
        <w:rPr>
          <w:rFonts w:cstheme="minorHAnsi"/>
          <w:szCs w:val="24"/>
        </w:rPr>
      </w:pPr>
      <w:r w:rsidRPr="00337C85">
        <w:rPr>
          <w:rFonts w:cstheme="minorHAnsi"/>
          <w:szCs w:val="24"/>
        </w:rPr>
        <w:t xml:space="preserve">قدمت الأمانة تقريراً يتضمن آخر التطورات بشأن النهوض بالعمل الداخلي بشأن أنشطة الاتحاد المتعلقة بتغير المناخ (انظر </w:t>
      </w:r>
      <w:hyperlink r:id="rId19" w:history="1">
        <w:r w:rsidRPr="00337C85">
          <w:rPr>
            <w:rStyle w:val="Hyperlink"/>
            <w:rFonts w:cstheme="minorHAnsi"/>
            <w:szCs w:val="24"/>
          </w:rPr>
          <w:t xml:space="preserve">ISCG / 23-1 / 05b </w:t>
        </w:r>
      </w:hyperlink>
      <w:r w:rsidRPr="00337C85">
        <w:rPr>
          <w:rStyle w:val="Hyperlink"/>
          <w:rFonts w:cstheme="minorHAnsi"/>
          <w:szCs w:val="24"/>
        </w:rPr>
        <w:t xml:space="preserve">) </w:t>
      </w:r>
      <w:r w:rsidRPr="00337C85">
        <w:rPr>
          <w:rFonts w:cstheme="minorHAnsi"/>
          <w:szCs w:val="24"/>
        </w:rPr>
        <w:t>.</w:t>
      </w:r>
    </w:p>
    <w:p w14:paraId="6BDE20D6" w14:textId="77777777" w:rsidR="00337C85" w:rsidRPr="00337C85" w:rsidRDefault="00337C85" w:rsidP="00337C85">
      <w:pPr>
        <w:bidi/>
        <w:spacing w:after="120"/>
        <w:rPr>
          <w:rFonts w:cstheme="minorHAnsi"/>
          <w:szCs w:val="24"/>
        </w:rPr>
      </w:pPr>
      <w:r w:rsidRPr="00337C85">
        <w:rPr>
          <w:rFonts w:cstheme="minorHAnsi"/>
          <w:szCs w:val="24"/>
        </w:rPr>
        <w:t>يعرض التقرير الأنشطة التي نفذتها القطاعات ويسلط الضوء على الخطط لتنظيم "يوم رقمي أخضر" في COP 28 ، بهدف الجمع بين النظام البيئي لتكنولوجيا المعلومات والاتصالات لخلق زخم ، مع التركيز على التأثير ، لضمان أن يؤدي اليوم إلى نتائج إيجابية قابلة للقياس. تأثير على المناخ.</w:t>
      </w:r>
    </w:p>
    <w:p w14:paraId="439E9685" w14:textId="77777777" w:rsidR="00337C85" w:rsidRPr="00337C85" w:rsidRDefault="00337C85" w:rsidP="00337C85">
      <w:pPr>
        <w:bidi/>
        <w:spacing w:after="120"/>
        <w:rPr>
          <w:rFonts w:cstheme="minorHAnsi"/>
          <w:szCs w:val="24"/>
        </w:rPr>
      </w:pPr>
      <w:r w:rsidRPr="00337C85">
        <w:rPr>
          <w:rFonts w:cstheme="minorHAnsi"/>
          <w:szCs w:val="24"/>
        </w:rPr>
        <w:lastRenderedPageBreak/>
        <w:t xml:space="preserve">كما قدم مركز الاتصال بقطاع الاتصالات الراديوية (ITU-R) في الاتحاد الوثيقة </w:t>
      </w:r>
      <w:hyperlink r:id="rId20" w:history="1">
        <w:r w:rsidRPr="00337C85">
          <w:rPr>
            <w:rStyle w:val="Hyperlink"/>
            <w:rFonts w:cstheme="minorHAnsi"/>
            <w:szCs w:val="24"/>
          </w:rPr>
          <w:t xml:space="preserve">ISCG / 23-1 / 06 </w:t>
        </w:r>
      </w:hyperlink>
      <w:r w:rsidRPr="00337C85">
        <w:rPr>
          <w:rFonts w:cstheme="minorHAnsi"/>
          <w:szCs w:val="24"/>
        </w:rPr>
        <w:t>التي تحتوي على العمل الذي يقوم به القطاع فيما يتعلق بتغير المناخ ، وكيف ينظر قطاع الاتصالات الراديوية إلى الصناعة وصناعة الإعلام بشأن هذا الموضوع ، ودعا إلى التنسيق مع قطاع تقييس الاتصالات (ITU-T) لتطوير المعايير.</w:t>
      </w:r>
    </w:p>
    <w:p w14:paraId="360151FF" w14:textId="77777777" w:rsidR="00337C85" w:rsidRPr="00337C85" w:rsidRDefault="00337C85" w:rsidP="00337C85">
      <w:pPr>
        <w:bidi/>
        <w:spacing w:after="120"/>
        <w:rPr>
          <w:rFonts w:cstheme="minorHAnsi"/>
          <w:szCs w:val="24"/>
        </w:rPr>
      </w:pPr>
      <w:r w:rsidRPr="00337C85">
        <w:rPr>
          <w:rFonts w:cstheme="minorHAnsi"/>
          <w:szCs w:val="24"/>
        </w:rPr>
        <w:t>رحب رئيس ISCG بالمعلومات وطلب من منسق تغير المناخ ، السيد باولو جيما ، تقديم تقرير شامل إلى الاجتماع المقبل ، بما في ذلك تقييم انبعاثات قطاع تكنولوجيا المعلومات والاتصالات ، النطاق 3 ، لأنه موضوع يهم القطاعات الثلاثة .</w:t>
      </w:r>
    </w:p>
    <w:p w14:paraId="6BB369C4" w14:textId="77777777" w:rsidR="00337C85" w:rsidRPr="00337C85" w:rsidRDefault="00337C85" w:rsidP="00337C85">
      <w:pPr>
        <w:tabs>
          <w:tab w:val="clear" w:pos="794"/>
          <w:tab w:val="left" w:pos="567"/>
        </w:tabs>
        <w:bidi/>
        <w:spacing w:after="120"/>
        <w:ind w:left="720" w:hanging="720"/>
        <w:rPr>
          <w:rFonts w:cstheme="minorHAnsi"/>
          <w:b/>
          <w:bCs/>
          <w:szCs w:val="24"/>
        </w:rPr>
      </w:pPr>
      <w:r w:rsidRPr="00337C85">
        <w:rPr>
          <w:rFonts w:cstheme="minorHAnsi"/>
          <w:b/>
          <w:bCs/>
          <w:szCs w:val="24"/>
        </w:rPr>
        <w:t xml:space="preserve">2.2.2 </w:t>
      </w:r>
      <w:r w:rsidRPr="00337C85">
        <w:rPr>
          <w:rFonts w:cstheme="minorHAnsi"/>
          <w:b/>
          <w:bCs/>
          <w:szCs w:val="24"/>
        </w:rPr>
        <w:tab/>
        <w:t>"إمكانية الوصول"</w:t>
      </w:r>
    </w:p>
    <w:p w14:paraId="5CED8501" w14:textId="77777777" w:rsidR="00337C85" w:rsidRPr="00337C85" w:rsidRDefault="00337C85" w:rsidP="00337C85">
      <w:pPr>
        <w:bidi/>
        <w:spacing w:after="120"/>
        <w:rPr>
          <w:rFonts w:cstheme="minorHAnsi"/>
          <w:szCs w:val="24"/>
        </w:rPr>
      </w:pPr>
      <w:r w:rsidRPr="00337C85">
        <w:rPr>
          <w:rFonts w:cstheme="minorHAnsi"/>
          <w:szCs w:val="24"/>
        </w:rPr>
        <w:t>دعا رئيس ISCG منسقة الوصول ، السيدة أندريا ساكس ، لتقديم تقرير شفهي. ركز المنسق على ضرورة أن يستخدم الاتحاد المعايير التي تعدها لجنة الدراسات 16 التابعة لقطاع تقييس الاتصالات بشأن الاجتماعات التي يمكن الوصول إليها والمشاركة عن بُعد ، فضلاً عن وضع إجراءات معيارية لاجتماعات الاتحاد.</w:t>
      </w:r>
    </w:p>
    <w:p w14:paraId="1F145A7F" w14:textId="77777777" w:rsidR="00337C85" w:rsidRPr="00337C85" w:rsidRDefault="00337C85" w:rsidP="00337C85">
      <w:pPr>
        <w:bidi/>
        <w:spacing w:after="120"/>
        <w:rPr>
          <w:rFonts w:cstheme="minorHAnsi"/>
          <w:szCs w:val="24"/>
        </w:rPr>
      </w:pPr>
      <w:r w:rsidRPr="00337C85">
        <w:rPr>
          <w:rFonts w:cstheme="minorHAnsi"/>
          <w:szCs w:val="24"/>
        </w:rPr>
        <w:t xml:space="preserve">كما قدمت جهة الاتصال التابعة لقطاع الاتصالات الراديوية معلومات محدثة عن عمل لجنة الدراسات 6 التابعة لقطاع الاتصالات الراديوية فيما يتعلق بالخدمات الإذاعية ، وبشكل أكثر تحديداً حول كيفية تخصيص الوسائط لأي إعاقة (انظر </w:t>
      </w:r>
      <w:hyperlink r:id="rId21" w:history="1">
        <w:r w:rsidRPr="00337C85">
          <w:rPr>
            <w:rStyle w:val="Hyperlink"/>
            <w:rFonts w:cstheme="minorHAnsi"/>
            <w:szCs w:val="24"/>
          </w:rPr>
          <w:t xml:space="preserve">ISCG / 23-1 / 06 </w:t>
        </w:r>
      </w:hyperlink>
      <w:r w:rsidRPr="00337C85">
        <w:rPr>
          <w:rFonts w:cstheme="minorHAnsi"/>
          <w:szCs w:val="24"/>
        </w:rPr>
        <w:t>).</w:t>
      </w:r>
    </w:p>
    <w:p w14:paraId="6AE07986" w14:textId="77777777" w:rsidR="00337C85" w:rsidRPr="00337C85" w:rsidRDefault="00337C85" w:rsidP="00337C85">
      <w:pPr>
        <w:bidi/>
        <w:spacing w:after="120"/>
        <w:rPr>
          <w:rFonts w:cstheme="minorHAnsi"/>
          <w:szCs w:val="24"/>
        </w:rPr>
      </w:pPr>
      <w:r w:rsidRPr="00337C85">
        <w:rPr>
          <w:rFonts w:cstheme="minorHAnsi"/>
          <w:szCs w:val="24"/>
        </w:rPr>
        <w:t xml:space="preserve">قدمت الأمانة تقريراً يتضمن آخر التطورات بشأن النهوض بالعمل الداخلي بشأن أنشطة الاتحاد ذات الصلة بإمكانية الوصول (انظر </w:t>
      </w:r>
      <w:hyperlink r:id="rId22" w:history="1">
        <w:r w:rsidRPr="00337C85">
          <w:rPr>
            <w:rStyle w:val="Hyperlink"/>
            <w:rFonts w:cstheme="minorHAnsi"/>
            <w:szCs w:val="24"/>
          </w:rPr>
          <w:t xml:space="preserve">ISCG / 23-1 / 05a </w:t>
        </w:r>
      </w:hyperlink>
      <w:r w:rsidRPr="00337C85">
        <w:rPr>
          <w:rFonts w:cstheme="minorHAnsi"/>
          <w:szCs w:val="24"/>
        </w:rPr>
        <w:t>). أبرزت جهة الاتصال الخاصة بإمكانية الوصول أيضًا أن مشروع ميزانية الاتحاد للفترة 2024-2025 يتضمن ، لأول مرة ، مبلغًا قدره 100 ألف فرنك سويسري / سنويًا لأنشطة إمكانية الوصول التي تؤدي إلى جعل الاتحاد متاحًا (على سبيل المثال ، توفير التسميات التوضيحية ، وما إلى ذلك).</w:t>
      </w:r>
    </w:p>
    <w:p w14:paraId="40A2FD25" w14:textId="77777777" w:rsidR="00337C85" w:rsidRPr="00337C85" w:rsidRDefault="00337C85" w:rsidP="00337C85">
      <w:pPr>
        <w:bidi/>
        <w:spacing w:after="120"/>
        <w:rPr>
          <w:rFonts w:cstheme="minorHAnsi"/>
          <w:szCs w:val="24"/>
        </w:rPr>
      </w:pPr>
      <w:r w:rsidRPr="00337C85">
        <w:rPr>
          <w:rFonts w:cstheme="minorHAnsi"/>
          <w:szCs w:val="24"/>
        </w:rPr>
        <w:t>وشجع رئيس ISCG المنسق على تقديم تقرير شامل عن جميع الجوانب التي تمت مناقشتها. كما طلب أعضاء ISCG المشاركة في مشروع المبنى الجديد لضمان التفكير في جميع المسائل المتعلقة بإمكانية الوصول.</w:t>
      </w:r>
    </w:p>
    <w:p w14:paraId="47D64AD5" w14:textId="77777777" w:rsidR="00337C85" w:rsidRPr="00337C85" w:rsidRDefault="00337C85" w:rsidP="00337C85">
      <w:pPr>
        <w:pStyle w:val="ListParagraph"/>
        <w:numPr>
          <w:ilvl w:val="2"/>
          <w:numId w:val="8"/>
        </w:numPr>
        <w:tabs>
          <w:tab w:val="clear" w:pos="1134"/>
          <w:tab w:val="clear" w:pos="1871"/>
          <w:tab w:val="clear" w:pos="2268"/>
          <w:tab w:val="left" w:pos="567"/>
          <w:tab w:val="left" w:pos="1191"/>
          <w:tab w:val="left" w:pos="1588"/>
          <w:tab w:val="left" w:pos="1985"/>
        </w:tabs>
        <w:bidi/>
        <w:spacing w:after="120"/>
        <w:contextualSpacing w:val="0"/>
        <w:rPr>
          <w:rFonts w:cstheme="minorHAnsi"/>
          <w:b/>
          <w:bCs/>
          <w:szCs w:val="24"/>
        </w:rPr>
      </w:pPr>
      <w:r w:rsidRPr="00337C85">
        <w:rPr>
          <w:rFonts w:cstheme="minorHAnsi"/>
          <w:b/>
          <w:bCs/>
          <w:szCs w:val="24"/>
        </w:rPr>
        <w:t>المشاركة عن بعد</w:t>
      </w:r>
    </w:p>
    <w:p w14:paraId="0301B7C8" w14:textId="77777777" w:rsidR="00337C85" w:rsidRPr="00337C85" w:rsidRDefault="00337C85" w:rsidP="00337C85">
      <w:pPr>
        <w:bidi/>
        <w:spacing w:after="120"/>
        <w:rPr>
          <w:rFonts w:cstheme="minorHAnsi"/>
          <w:szCs w:val="24"/>
        </w:rPr>
      </w:pPr>
      <w:r w:rsidRPr="00337C85">
        <w:rPr>
          <w:rFonts w:cstheme="minorHAnsi"/>
          <w:szCs w:val="24"/>
        </w:rPr>
        <w:t xml:space="preserve">قدم ممثل الفريق الاستشاري لتقييس الاتصالات (TSAG) المعني بالمشاركة عن بعد وثيقة </w:t>
      </w:r>
      <w:hyperlink r:id="rId23" w:history="1">
        <w:r w:rsidRPr="00337C85">
          <w:rPr>
            <w:rStyle w:val="Hyperlink"/>
            <w:rFonts w:cstheme="minorHAnsi"/>
            <w:szCs w:val="24"/>
          </w:rPr>
          <w:t xml:space="preserve">ISCG / 23-1 / 04 </w:t>
        </w:r>
      </w:hyperlink>
      <w:r w:rsidRPr="00337C85">
        <w:rPr>
          <w:rFonts w:cstheme="minorHAnsi"/>
          <w:szCs w:val="24"/>
        </w:rPr>
        <w:t xml:space="preserve">بشأن التحديثات من العام الماضي. تشير الوثيقة إلى أنه قد تم مراجعة الملحق 4 لسلسلة توصيات قطاع تقييس الاتصالات A ، التي توضح بالتفصيل الإرشادات المتعلقة بالمشاركة عن بُعد. يمكن الاطلاع على النص الكامل في بيان الاتصال المقدم من الفريق الاستشاري لتقييس الاتصالات إلى الاجتماع (انظر </w:t>
      </w:r>
      <w:hyperlink r:id="rId24" w:history="1">
        <w:r w:rsidRPr="00337C85">
          <w:rPr>
            <w:rStyle w:val="Hyperlink"/>
            <w:rFonts w:cstheme="minorHAnsi"/>
            <w:szCs w:val="24"/>
          </w:rPr>
          <w:t xml:space="preserve">TSAG-LS03 </w:t>
        </w:r>
      </w:hyperlink>
      <w:r w:rsidRPr="00337C85">
        <w:rPr>
          <w:rFonts w:cstheme="minorHAnsi"/>
          <w:szCs w:val="24"/>
        </w:rPr>
        <w:t>).</w:t>
      </w:r>
    </w:p>
    <w:p w14:paraId="73F4246F" w14:textId="77777777" w:rsidR="00337C85" w:rsidRPr="00337C85" w:rsidRDefault="00337C85" w:rsidP="00337C85">
      <w:pPr>
        <w:bidi/>
        <w:spacing w:after="120"/>
        <w:rPr>
          <w:rFonts w:cstheme="minorHAnsi"/>
          <w:szCs w:val="24"/>
        </w:rPr>
      </w:pPr>
      <w:r w:rsidRPr="00337C85">
        <w:rPr>
          <w:rFonts w:cstheme="minorHAnsi"/>
          <w:szCs w:val="24"/>
        </w:rPr>
        <w:t>اتفق الاجتماع على أن مجموعة خدمات الدعم الدولية أرسلت بيان اتصال إلى القطاعات لدعوتها إلى مشاركة القواعد التي لديها بشأن حوكمة وإدارة الاجتماعات الافتراضية لمحاولة تحديد أفضل الممارسات المشتركة المتفق عليها على المدى القصير وأن يتم تقديم هذه المعلومات إلى المجلس. لمساعدتهم في مداولاتهم على النحو المنصوص عليه في القرار رقم 167 (المراجع في بوخارست ، 2022) لتطوير نهج مشترك على مستوى الاتحاد على المدى الطويل. كما تم الاتفاق على تعيين السيد فيليب راشتون مسؤول الاتصال.</w:t>
      </w:r>
    </w:p>
    <w:p w14:paraId="782699AE" w14:textId="77777777" w:rsidR="00337C85" w:rsidRPr="00337C85" w:rsidRDefault="00337C85" w:rsidP="00337C85">
      <w:pPr>
        <w:bidi/>
        <w:spacing w:after="120"/>
        <w:rPr>
          <w:rFonts w:cstheme="minorHAnsi"/>
          <w:szCs w:val="24"/>
        </w:rPr>
      </w:pPr>
      <w:r w:rsidRPr="00337C85">
        <w:rPr>
          <w:rFonts w:cstheme="minorHAnsi"/>
          <w:szCs w:val="24"/>
        </w:rPr>
        <w:t>بيان الاتصال الذي سيقدمه ISCG معروض في الملحق 1 بهذا التقرير.</w:t>
      </w:r>
    </w:p>
    <w:p w14:paraId="7BE29394" w14:textId="77777777" w:rsidR="00337C85" w:rsidRPr="00337C85" w:rsidRDefault="00337C85" w:rsidP="00337C85">
      <w:pPr>
        <w:pStyle w:val="ListParagraph"/>
        <w:numPr>
          <w:ilvl w:val="2"/>
          <w:numId w:val="8"/>
        </w:numPr>
        <w:tabs>
          <w:tab w:val="clear" w:pos="1134"/>
          <w:tab w:val="clear" w:pos="1871"/>
          <w:tab w:val="clear" w:pos="2268"/>
          <w:tab w:val="left" w:pos="567"/>
          <w:tab w:val="left" w:pos="1191"/>
          <w:tab w:val="left" w:pos="1588"/>
          <w:tab w:val="left" w:pos="1985"/>
        </w:tabs>
        <w:bidi/>
        <w:spacing w:after="120"/>
        <w:contextualSpacing w:val="0"/>
        <w:rPr>
          <w:rFonts w:cstheme="minorHAnsi"/>
          <w:b/>
          <w:bCs/>
          <w:szCs w:val="24"/>
        </w:rPr>
      </w:pPr>
      <w:r w:rsidRPr="00337C85">
        <w:rPr>
          <w:rFonts w:cstheme="minorHAnsi"/>
          <w:b/>
          <w:bCs/>
          <w:szCs w:val="24"/>
        </w:rPr>
        <w:t>تم استلام المساهمات</w:t>
      </w:r>
    </w:p>
    <w:p w14:paraId="3E44A035" w14:textId="77777777" w:rsidR="00337C85" w:rsidRPr="00337C85" w:rsidRDefault="00337C85" w:rsidP="00337C85">
      <w:pPr>
        <w:bidi/>
        <w:spacing w:after="120"/>
        <w:rPr>
          <w:rFonts w:cstheme="minorHAnsi"/>
          <w:szCs w:val="24"/>
        </w:rPr>
      </w:pPr>
      <w:r w:rsidRPr="00337C85">
        <w:rPr>
          <w:rFonts w:cstheme="minorHAnsi"/>
          <w:szCs w:val="24"/>
        </w:rPr>
        <w:t xml:space="preserve">قدم الاتحاد الروسي الوثيقة </w:t>
      </w:r>
      <w:hyperlink r:id="rId25" w:history="1">
        <w:r w:rsidRPr="00337C85">
          <w:rPr>
            <w:rStyle w:val="Hyperlink"/>
            <w:rFonts w:cstheme="minorHAnsi"/>
            <w:szCs w:val="24"/>
          </w:rPr>
          <w:t xml:space="preserve">ISCG / 23-1 / 03 </w:t>
        </w:r>
      </w:hyperlink>
      <w:r w:rsidRPr="00337C85">
        <w:rPr>
          <w:rFonts w:cstheme="minorHAnsi"/>
          <w:szCs w:val="24"/>
        </w:rPr>
        <w:t>مع الاقتراح التالي:</w:t>
      </w:r>
    </w:p>
    <w:p w14:paraId="69C2EC70"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bidi/>
        <w:spacing w:before="60" w:after="60"/>
        <w:ind w:left="714" w:hanging="357"/>
        <w:contextualSpacing w:val="0"/>
        <w:rPr>
          <w:rFonts w:cstheme="minorHAnsi"/>
          <w:szCs w:val="24"/>
        </w:rPr>
      </w:pPr>
      <w:r w:rsidRPr="00337C85">
        <w:rPr>
          <w:rFonts w:cstheme="minorHAnsi"/>
          <w:szCs w:val="24"/>
        </w:rPr>
        <w:t>(ج) تشجيع الأمانة على تسريع العمل على تنسيق المواقع الإلكترونية لقطاعات الاتحاد لضمان الوضوح وسهولة التصفح وصورة الاتحاد الدولي الموحد ، باستخدام اللغات الرسمية الست للاتحاد على قدم المساواة ؛</w:t>
      </w:r>
    </w:p>
    <w:p w14:paraId="75F5870F"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bidi/>
        <w:spacing w:before="60" w:after="60"/>
        <w:ind w:left="714" w:hanging="357"/>
        <w:contextualSpacing w:val="0"/>
        <w:rPr>
          <w:rFonts w:cstheme="minorHAnsi"/>
          <w:szCs w:val="24"/>
        </w:rPr>
      </w:pPr>
      <w:r w:rsidRPr="00337C85">
        <w:rPr>
          <w:rFonts w:cstheme="minorHAnsi"/>
          <w:szCs w:val="24"/>
        </w:rPr>
        <w:t>لإضافة رابط موقع ISCG على الويب إلى الصفحة الرئيسية للاتحاد ؛</w:t>
      </w:r>
    </w:p>
    <w:p w14:paraId="674B4CBF"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bidi/>
        <w:spacing w:before="60" w:after="60"/>
        <w:ind w:left="714" w:hanging="357"/>
        <w:contextualSpacing w:val="0"/>
        <w:rPr>
          <w:rFonts w:cstheme="minorHAnsi"/>
          <w:szCs w:val="24"/>
        </w:rPr>
      </w:pPr>
      <w:r w:rsidRPr="00337C85">
        <w:rPr>
          <w:rFonts w:cstheme="minorHAnsi"/>
          <w:szCs w:val="24"/>
        </w:rPr>
        <w:t>توجيه انتباه لجنة التنسيق وآلية التنسيق بين القطاعات إلى القلق بشأن نظام البحث في الاتحاد الدولي للاتصالات ؛</w:t>
      </w:r>
    </w:p>
    <w:p w14:paraId="4ECC36CB"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bidi/>
        <w:spacing w:before="60" w:after="60"/>
        <w:ind w:left="714" w:hanging="357"/>
        <w:contextualSpacing w:val="0"/>
        <w:rPr>
          <w:rFonts w:cstheme="minorHAnsi"/>
          <w:szCs w:val="24"/>
        </w:rPr>
      </w:pPr>
      <w:r w:rsidRPr="00337C85">
        <w:rPr>
          <w:rFonts w:cstheme="minorHAnsi"/>
          <w:szCs w:val="24"/>
        </w:rPr>
        <w:t>أن يطلب من الأمانة تقديم معلومات عن تنسيق المواقع الإلكترونية ونظام البحث في الاتحاد الدولي للاتصالات إلى الاجتماع التالي لفريق ISCG.</w:t>
      </w:r>
    </w:p>
    <w:p w14:paraId="0B5EE9CF" w14:textId="77777777" w:rsidR="00337C85" w:rsidRPr="00337C85" w:rsidRDefault="00337C85" w:rsidP="00337C85">
      <w:pPr>
        <w:bidi/>
        <w:spacing w:after="120"/>
        <w:rPr>
          <w:rFonts w:cstheme="minorHAnsi"/>
          <w:szCs w:val="24"/>
        </w:rPr>
      </w:pPr>
      <w:r w:rsidRPr="00337C85">
        <w:rPr>
          <w:rFonts w:cstheme="minorHAnsi"/>
          <w:szCs w:val="24"/>
        </w:rPr>
        <w:t>ووافقت مجموعة ISCG على الاقتراح الذي سيتم إدراجه في التقرير وعلى مطالبة أمانة الاتحاد الدولي للاتصالات بإبلاغ الاجتماع القادم ISCG.</w:t>
      </w:r>
    </w:p>
    <w:p w14:paraId="533C586E" w14:textId="77777777" w:rsidR="00337C85" w:rsidRPr="00337C85" w:rsidRDefault="00337C85" w:rsidP="00337C85">
      <w:pPr>
        <w:bidi/>
        <w:spacing w:after="120"/>
        <w:rPr>
          <w:rFonts w:cstheme="minorHAnsi"/>
          <w:szCs w:val="24"/>
        </w:rPr>
      </w:pPr>
      <w:r w:rsidRPr="00337C85">
        <w:rPr>
          <w:rFonts w:cstheme="minorHAnsi"/>
          <w:szCs w:val="24"/>
        </w:rPr>
        <w:lastRenderedPageBreak/>
        <w:t xml:space="preserve">وقدمت كينيا و ATDI مساهمة أخرى (الوثيقة </w:t>
      </w:r>
      <w:hyperlink r:id="rId26" w:history="1">
        <w:r w:rsidRPr="00337C85">
          <w:rPr>
            <w:rStyle w:val="Hyperlink"/>
            <w:rFonts w:cstheme="minorHAnsi"/>
            <w:szCs w:val="24"/>
          </w:rPr>
          <w:t xml:space="preserve">ISCG / 23-1 / 08 </w:t>
        </w:r>
      </w:hyperlink>
      <w:r w:rsidRPr="00337C85">
        <w:rPr>
          <w:rFonts w:cstheme="minorHAnsi"/>
          <w:szCs w:val="24"/>
        </w:rPr>
        <w:t>) بشأن تنفيذ القرار 9 للمؤتمر العالمي لتنمية الاتصالات والتعاون المطلوب بين قطاع الاتصالات الراديوية وقطاع تنمية الاتصالات. وقدمت هذه الوثيقة أيضاً إلى الفريق الاستشاري للاتصالات الراديوية والفريق الاستشاري لتنمية الاتصالات وأفرقة المقرر المعنية بمسائل قطاع تنمية الاتصالات 1/1 و 2/1 و 4/1 و 5/1 و 1/2 و 7/2.</w:t>
      </w:r>
    </w:p>
    <w:p w14:paraId="4D195092" w14:textId="77777777" w:rsidR="00337C85" w:rsidRPr="00337C85" w:rsidRDefault="00337C85" w:rsidP="00337C85">
      <w:pPr>
        <w:bidi/>
        <w:spacing w:after="120"/>
        <w:rPr>
          <w:rFonts w:cstheme="minorHAnsi"/>
          <w:szCs w:val="24"/>
        </w:rPr>
      </w:pPr>
      <w:r w:rsidRPr="00337C85">
        <w:rPr>
          <w:rFonts w:cstheme="minorHAnsi"/>
          <w:szCs w:val="24"/>
        </w:rPr>
        <w:t>أحاطت مجموعة ISCG علما بالاقتراح وطلبت من المؤيدين إجراء مزيد من المشاورات مع أصحاب المصلحة الآخرين وتقديم مساهمة تقترح مبادئ توجيهية حول كيفية المضي قدما في الاجتماع القادم ISCG.</w:t>
      </w:r>
    </w:p>
    <w:p w14:paraId="5F34DE5C" w14:textId="77777777" w:rsidR="00337C85" w:rsidRPr="00337C85" w:rsidRDefault="00337C85" w:rsidP="00337C85">
      <w:pPr>
        <w:pStyle w:val="ListParagraph"/>
        <w:keepNext/>
        <w:numPr>
          <w:ilvl w:val="2"/>
          <w:numId w:val="8"/>
        </w:numPr>
        <w:tabs>
          <w:tab w:val="clear" w:pos="1134"/>
          <w:tab w:val="clear" w:pos="1871"/>
          <w:tab w:val="clear" w:pos="2268"/>
          <w:tab w:val="left" w:pos="567"/>
          <w:tab w:val="left" w:pos="1191"/>
          <w:tab w:val="left" w:pos="1588"/>
          <w:tab w:val="left" w:pos="1985"/>
        </w:tabs>
        <w:bidi/>
        <w:spacing w:after="120"/>
        <w:contextualSpacing w:val="0"/>
        <w:rPr>
          <w:rFonts w:cstheme="minorHAnsi"/>
          <w:b/>
          <w:bCs/>
          <w:szCs w:val="24"/>
        </w:rPr>
      </w:pPr>
      <w:r w:rsidRPr="00337C85">
        <w:rPr>
          <w:rFonts w:cstheme="minorHAnsi"/>
          <w:b/>
          <w:bCs/>
          <w:szCs w:val="24"/>
        </w:rPr>
        <w:t>موضوعات مستقبلية محتملة</w:t>
      </w:r>
    </w:p>
    <w:p w14:paraId="0A4349CA" w14:textId="77777777" w:rsidR="00337C85" w:rsidRPr="00337C85" w:rsidRDefault="00337C85" w:rsidP="00337C85">
      <w:pPr>
        <w:bidi/>
        <w:spacing w:after="120"/>
        <w:rPr>
          <w:rFonts w:cstheme="minorHAnsi"/>
          <w:szCs w:val="24"/>
        </w:rPr>
      </w:pPr>
      <w:r w:rsidRPr="00337C85">
        <w:rPr>
          <w:rFonts w:cstheme="minorHAnsi"/>
          <w:szCs w:val="24"/>
        </w:rPr>
        <w:t>كان هناك موضوعان مذكوران للنظر فيهما من قبل ISCG:</w:t>
      </w:r>
    </w:p>
    <w:p w14:paraId="5272801B"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bidi/>
        <w:spacing w:before="60" w:after="60"/>
        <w:ind w:left="714" w:hanging="357"/>
        <w:contextualSpacing w:val="0"/>
        <w:rPr>
          <w:rFonts w:cstheme="minorHAnsi"/>
          <w:szCs w:val="24"/>
        </w:rPr>
      </w:pPr>
      <w:r w:rsidRPr="00337C85">
        <w:rPr>
          <w:rFonts w:cstheme="minorHAnsi"/>
          <w:szCs w:val="24"/>
        </w:rPr>
        <w:t>سد الفجوة الرقمية</w:t>
      </w:r>
    </w:p>
    <w:p w14:paraId="0DA96EB8"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bidi/>
        <w:spacing w:before="60" w:after="60"/>
        <w:ind w:left="714" w:hanging="357"/>
        <w:contextualSpacing w:val="0"/>
        <w:rPr>
          <w:rFonts w:cstheme="minorHAnsi"/>
          <w:szCs w:val="24"/>
        </w:rPr>
      </w:pPr>
      <w:r w:rsidRPr="00337C85">
        <w:rPr>
          <w:rFonts w:cstheme="minorHAnsi"/>
          <w:szCs w:val="24"/>
        </w:rPr>
        <w:t>تنسيق موقع الاتحاد الدولي للاتصالات</w:t>
      </w:r>
    </w:p>
    <w:p w14:paraId="38093354" w14:textId="77777777" w:rsidR="00337C85" w:rsidRPr="00337C85" w:rsidRDefault="00337C85" w:rsidP="00337C85">
      <w:pPr>
        <w:bidi/>
        <w:spacing w:after="120"/>
        <w:rPr>
          <w:rFonts w:cstheme="minorHAnsi"/>
          <w:szCs w:val="24"/>
        </w:rPr>
      </w:pPr>
      <w:r w:rsidRPr="00337C85">
        <w:rPr>
          <w:rFonts w:cstheme="minorHAnsi"/>
          <w:szCs w:val="24"/>
        </w:rPr>
        <w:t>دعا رئيس ISCG الأعضاء إلى تقديم مساهمات إلى الاجتماع القادم حول جميع الموضوعات التي يرغبون في أن تناقشها ISCG ، وتقديم مقترحات لتحسين التنسيق والتعاون بين القطاعات الثلاثة والأمانة العامة.</w:t>
      </w:r>
    </w:p>
    <w:p w14:paraId="10C9D061" w14:textId="77777777" w:rsidR="00337C85" w:rsidRPr="00337C85" w:rsidRDefault="00337C85" w:rsidP="00337C85">
      <w:pPr>
        <w:pStyle w:val="ListParagraph"/>
        <w:numPr>
          <w:ilvl w:val="2"/>
          <w:numId w:val="8"/>
        </w:numPr>
        <w:tabs>
          <w:tab w:val="clear" w:pos="1134"/>
          <w:tab w:val="clear" w:pos="1871"/>
          <w:tab w:val="clear" w:pos="2268"/>
          <w:tab w:val="left" w:pos="567"/>
          <w:tab w:val="left" w:pos="1191"/>
          <w:tab w:val="left" w:pos="1588"/>
          <w:tab w:val="left" w:pos="1985"/>
        </w:tabs>
        <w:bidi/>
        <w:spacing w:after="120"/>
        <w:rPr>
          <w:rFonts w:cstheme="minorHAnsi"/>
          <w:b/>
          <w:bCs/>
          <w:szCs w:val="24"/>
        </w:rPr>
      </w:pPr>
      <w:r w:rsidRPr="00337C85">
        <w:rPr>
          <w:rFonts w:cstheme="minorHAnsi"/>
          <w:b/>
          <w:bCs/>
          <w:szCs w:val="24"/>
        </w:rPr>
        <w:t>اختصاصات ISCG</w:t>
      </w:r>
    </w:p>
    <w:p w14:paraId="294BE0DF" w14:textId="77777777" w:rsidR="00337C85" w:rsidRPr="00337C85" w:rsidRDefault="00337C85" w:rsidP="00337C85">
      <w:pPr>
        <w:bidi/>
        <w:spacing w:after="120"/>
        <w:rPr>
          <w:rFonts w:cstheme="minorHAnsi"/>
          <w:szCs w:val="24"/>
        </w:rPr>
      </w:pPr>
      <w:r w:rsidRPr="00337C85">
        <w:rPr>
          <w:rFonts w:cstheme="minorHAnsi"/>
          <w:szCs w:val="24"/>
        </w:rPr>
        <w:t xml:space="preserve">ووافقت ISCG على تحديث </w:t>
      </w:r>
      <w:hyperlink r:id="rId27" w:history="1">
        <w:r w:rsidRPr="00337C85">
          <w:rPr>
            <w:rStyle w:val="Hyperlink"/>
            <w:rFonts w:cstheme="minorHAnsi"/>
            <w:szCs w:val="24"/>
          </w:rPr>
          <w:t xml:space="preserve">الاختصاصات </w:t>
        </w:r>
      </w:hyperlink>
      <w:r w:rsidRPr="00337C85">
        <w:rPr>
          <w:rFonts w:cstheme="minorHAnsi"/>
          <w:szCs w:val="24"/>
        </w:rPr>
        <w:t>مع الممثلين الجدد المعينين من قبل الفريق الاستشاري لتقييس الاتصالات والفريق الاستشاري ، وكذلك بالقرارات المنقحة الصادرة عن مؤتمر المندوبين المفوضين (PP-22) والجمعية العالمية لتقييس الاتصالات لعام 22 والمؤتمر العالمي لتنمية الاتصالات لعام 22.</w:t>
      </w:r>
    </w:p>
    <w:p w14:paraId="5EFE975D"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bidi/>
        <w:spacing w:after="120"/>
        <w:ind w:left="357" w:hanging="357"/>
        <w:contextualSpacing w:val="0"/>
        <w:rPr>
          <w:rFonts w:cstheme="minorHAnsi"/>
          <w:b/>
          <w:bCs/>
          <w:szCs w:val="24"/>
          <w:lang w:val="fr-FR"/>
        </w:rPr>
      </w:pPr>
      <w:bookmarkStart w:id="2" w:name="_Toc22116965"/>
      <w:r w:rsidRPr="00337C85">
        <w:rPr>
          <w:rFonts w:cstheme="minorHAnsi"/>
          <w:b/>
          <w:bCs/>
          <w:szCs w:val="24"/>
          <w:lang w:val="fr-FR"/>
        </w:rPr>
        <w:t>جداول الخرائط</w:t>
      </w:r>
    </w:p>
    <w:p w14:paraId="6801A825" w14:textId="77777777" w:rsidR="00337C85" w:rsidRPr="00337C85" w:rsidRDefault="00337C85" w:rsidP="00337C85">
      <w:pPr>
        <w:bidi/>
        <w:spacing w:after="120"/>
        <w:rPr>
          <w:rFonts w:cstheme="minorHAnsi"/>
          <w:szCs w:val="24"/>
        </w:rPr>
      </w:pPr>
      <w:r w:rsidRPr="00337C85">
        <w:rPr>
          <w:rFonts w:cstheme="minorHAnsi"/>
          <w:szCs w:val="24"/>
        </w:rPr>
        <w:t xml:space="preserve">أبلغت الأمانة أنه تم تحديث </w:t>
      </w:r>
      <w:hyperlink r:id="rId28" w:history="1">
        <w:r w:rsidRPr="00337C85">
          <w:rPr>
            <w:rStyle w:val="Hyperlink"/>
            <w:rFonts w:cstheme="minorHAnsi"/>
            <w:szCs w:val="24"/>
          </w:rPr>
          <w:t xml:space="preserve">رسم خرائط القرارات </w:t>
        </w:r>
      </w:hyperlink>
      <w:r w:rsidRPr="00337C85">
        <w:rPr>
          <w:rFonts w:cstheme="minorHAnsi"/>
          <w:szCs w:val="24"/>
        </w:rPr>
        <w:t>بعد مؤتمر المندوبين المفوضين لعام 22 ويمكن الاطلاع عليه على موقع ISCG على الويب.</w:t>
      </w:r>
    </w:p>
    <w:p w14:paraId="229C79B8" w14:textId="77777777" w:rsidR="00337C85" w:rsidRPr="00337C85" w:rsidRDefault="00337C85" w:rsidP="00337C85">
      <w:pPr>
        <w:bidi/>
        <w:spacing w:after="120"/>
        <w:rPr>
          <w:rFonts w:cstheme="minorHAnsi"/>
          <w:szCs w:val="24"/>
        </w:rPr>
      </w:pPr>
      <w:r w:rsidRPr="00337C85">
        <w:rPr>
          <w:rFonts w:cstheme="minorHAnsi"/>
          <w:szCs w:val="24"/>
        </w:rPr>
        <w:t xml:space="preserve">قام قطاع تقييس الاتصالات وقطاع تنمية الاتصالات بمراجعة </w:t>
      </w:r>
      <w:hyperlink r:id="rId29" w:history="1">
        <w:r w:rsidRPr="00337C85">
          <w:rPr>
            <w:rStyle w:val="Hyperlink"/>
            <w:rFonts w:cstheme="minorHAnsi"/>
            <w:szCs w:val="24"/>
          </w:rPr>
          <w:t xml:space="preserve">الجدول 1 (رسم خرائط قطاع الاتصالات الراديوية وقطاع تنمية الاتصالات) </w:t>
        </w:r>
      </w:hyperlink>
      <w:hyperlink r:id="rId30" w:history="1">
        <w:r w:rsidRPr="00337C85">
          <w:rPr>
            <w:rStyle w:val="Hyperlink"/>
            <w:rFonts w:cstheme="minorHAnsi"/>
            <w:szCs w:val="24"/>
          </w:rPr>
          <w:t xml:space="preserve">والجدول 2 </w:t>
        </w:r>
      </w:hyperlink>
      <w:r w:rsidRPr="00337C85">
        <w:rPr>
          <w:rFonts w:cstheme="minorHAnsi"/>
          <w:szCs w:val="24"/>
        </w:rPr>
        <w:t>(رسم خرائط قطاع الاتصالات الراديوية وقطاع تقييس الاتصالات) وسيتم نشرهما على الموقع الإلكتروني ، مع ملاحظة أن قطاع الاتصالات الراديوية سوف بحاجة إلى مراجعة كلا الجدولين بمجرد اختتام المؤتمر العالمي للاتصالات الراديوية بحلول نهاية عام 2023.</w:t>
      </w:r>
    </w:p>
    <w:p w14:paraId="67F65F5C" w14:textId="77777777" w:rsidR="00337C85" w:rsidRPr="00337C85" w:rsidRDefault="00337C85" w:rsidP="00337C85">
      <w:pPr>
        <w:bidi/>
        <w:spacing w:after="120"/>
        <w:rPr>
          <w:rFonts w:cstheme="minorHAnsi"/>
          <w:szCs w:val="24"/>
        </w:rPr>
      </w:pPr>
      <w:r w:rsidRPr="00337C85">
        <w:rPr>
          <w:rFonts w:cstheme="minorHAnsi"/>
          <w:szCs w:val="24"/>
        </w:rPr>
        <w:t>وسيستمر مناقشة الجدول 3 (رسم خرائط قطاع تقييس الاتصالات وقطاع تنمية الاتصالات) من قبل القطاعين وستُعرض نسخة متفق عليها في الاجتماع القادم لفريق الدعم الدولي.</w:t>
      </w:r>
    </w:p>
    <w:p w14:paraId="71B52C41"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bidi/>
        <w:spacing w:after="120"/>
        <w:ind w:left="357" w:hanging="357"/>
        <w:contextualSpacing w:val="0"/>
        <w:rPr>
          <w:rFonts w:cstheme="minorHAnsi"/>
          <w:b/>
          <w:bCs/>
          <w:szCs w:val="24"/>
          <w:lang w:val="fr-FR"/>
        </w:rPr>
      </w:pPr>
      <w:r w:rsidRPr="00337C85">
        <w:rPr>
          <w:rFonts w:cstheme="minorHAnsi"/>
          <w:b/>
          <w:bCs/>
          <w:szCs w:val="24"/>
          <w:lang w:val="fr-FR"/>
        </w:rPr>
        <w:t>الأنشطة المستقبلية</w:t>
      </w:r>
    </w:p>
    <w:p w14:paraId="4E6F9FAA" w14:textId="77777777" w:rsidR="00337C85" w:rsidRPr="00337C85" w:rsidRDefault="00337C85" w:rsidP="00337C85">
      <w:pPr>
        <w:bidi/>
        <w:spacing w:after="120"/>
        <w:rPr>
          <w:rFonts w:cstheme="minorHAnsi"/>
          <w:szCs w:val="24"/>
        </w:rPr>
      </w:pPr>
      <w:bookmarkStart w:id="3" w:name="_Hlk96717466"/>
      <w:r w:rsidRPr="00337C85">
        <w:rPr>
          <w:rFonts w:cstheme="minorHAnsi"/>
          <w:szCs w:val="24"/>
        </w:rPr>
        <w:t xml:space="preserve">سيقدم رئيس ISCG تقريرًا شفويًا إلى الفريق الاستشاري للاتصالات الراديوية ، بما في ذلك القضايا ذات الصلة التي نوقشت خلال هذا الاجتماع لـ ISCG </w:t>
      </w:r>
      <w:bookmarkEnd w:id="3"/>
      <w:r w:rsidRPr="00337C85">
        <w:rPr>
          <w:rFonts w:cstheme="minorHAnsi"/>
          <w:szCs w:val="24"/>
        </w:rPr>
        <w:t>.</w:t>
      </w:r>
    </w:p>
    <w:p w14:paraId="2B4D25E2" w14:textId="77777777" w:rsidR="00337C85" w:rsidRPr="00337C85" w:rsidRDefault="00337C85" w:rsidP="00337C85">
      <w:pPr>
        <w:bidi/>
        <w:spacing w:after="120"/>
        <w:rPr>
          <w:rFonts w:cstheme="minorHAnsi"/>
          <w:szCs w:val="24"/>
        </w:rPr>
      </w:pPr>
      <w:r w:rsidRPr="00337C85">
        <w:rPr>
          <w:rFonts w:cstheme="minorHAnsi"/>
          <w:szCs w:val="24"/>
        </w:rPr>
        <w:t>وستُقدم التقارير إلى الفريق الاستشاري لتقييس الاتصالات والفريق الاستشاري لتقييس الاتصالات خلال اجتماعات كل منهما في يونيو 2023.</w:t>
      </w:r>
    </w:p>
    <w:p w14:paraId="49B322DF" w14:textId="77777777" w:rsidR="00337C85" w:rsidRPr="00337C85" w:rsidRDefault="00337C85" w:rsidP="00337C85">
      <w:pPr>
        <w:bidi/>
        <w:spacing w:after="120"/>
        <w:rPr>
          <w:rFonts w:cstheme="minorHAnsi"/>
          <w:szCs w:val="24"/>
        </w:rPr>
      </w:pPr>
      <w:r w:rsidRPr="00337C85">
        <w:rPr>
          <w:rFonts w:cstheme="minorHAnsi"/>
          <w:szCs w:val="24"/>
        </w:rPr>
        <w:t>كما سيتم تقديم تحديثات ISCG إلى مجلس 2023 في إطار تنفيذ القرار رقم 191 (المراجع في بوخارست ، 2022).</w:t>
      </w:r>
    </w:p>
    <w:p w14:paraId="784DA1B2" w14:textId="77777777" w:rsidR="00337C85" w:rsidRPr="00337C85" w:rsidRDefault="00337C85" w:rsidP="00337C85">
      <w:pPr>
        <w:pStyle w:val="default-style"/>
        <w:bidi/>
        <w:spacing w:before="120" w:beforeAutospacing="0" w:after="120" w:afterAutospacing="0"/>
        <w:rPr>
          <w:rFonts w:asciiTheme="minorHAnsi" w:eastAsia="Times New Roman" w:hAnsiTheme="minorHAnsi" w:cstheme="minorHAnsi"/>
          <w:sz w:val="24"/>
          <w:szCs w:val="24"/>
          <w:lang w:eastAsia="en-US"/>
        </w:rPr>
      </w:pPr>
      <w:r w:rsidRPr="00337C85">
        <w:rPr>
          <w:rFonts w:asciiTheme="minorHAnsi" w:eastAsia="Times New Roman" w:hAnsiTheme="minorHAnsi" w:cstheme="minorHAnsi"/>
          <w:sz w:val="24"/>
          <w:szCs w:val="24"/>
          <w:lang w:eastAsia="en-US"/>
        </w:rPr>
        <w:t>قررت مجموعة خدمات الدعم الدولية (ISCG) أنه من المقرر عقد اجتماع في النصف الثاني من عام 2023 في أكتوبر. يتم تأكيد التاريخ بعد التشاور مع فريق إدارة ISCG.</w:t>
      </w:r>
    </w:p>
    <w:p w14:paraId="55411DF4"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bidi/>
        <w:spacing w:after="120"/>
        <w:ind w:left="357" w:hanging="357"/>
        <w:contextualSpacing w:val="0"/>
        <w:rPr>
          <w:rFonts w:cstheme="minorHAnsi"/>
          <w:b/>
          <w:bCs/>
          <w:szCs w:val="24"/>
          <w:lang w:val="fr-FR"/>
        </w:rPr>
      </w:pPr>
      <w:r w:rsidRPr="00337C85">
        <w:rPr>
          <w:rFonts w:cstheme="minorHAnsi"/>
          <w:b/>
          <w:bCs/>
          <w:szCs w:val="24"/>
          <w:lang w:val="fr-FR"/>
        </w:rPr>
        <w:t>اختتام الاجتماع</w:t>
      </w:r>
      <w:bookmarkEnd w:id="2"/>
    </w:p>
    <w:p w14:paraId="3E26EFE2" w14:textId="77777777" w:rsidR="00337C85" w:rsidRPr="00337C85" w:rsidRDefault="00337C85" w:rsidP="00337C85">
      <w:pPr>
        <w:bidi/>
        <w:spacing w:after="120"/>
        <w:rPr>
          <w:rFonts w:cstheme="minorHAnsi"/>
          <w:szCs w:val="24"/>
        </w:rPr>
      </w:pPr>
      <w:r w:rsidRPr="00337C85">
        <w:rPr>
          <w:rFonts w:cstheme="minorHAnsi"/>
          <w:szCs w:val="24"/>
        </w:rPr>
        <w:t>السيد Fabio Bigi ، رئيس ISCG ، رئيس الفريق الاستشاري للاتصالات الراديوية ، وممثلي القطاعات الثلاثة ، وجميع المشاركين على دعمهم.</w:t>
      </w:r>
    </w:p>
    <w:p w14:paraId="76CD8D8F" w14:textId="77777777" w:rsidR="00337C85" w:rsidRPr="00337C85" w:rsidRDefault="00337C85" w:rsidP="00337C85">
      <w:pPr>
        <w:bidi/>
        <w:spacing w:after="120"/>
        <w:rPr>
          <w:rFonts w:cstheme="minorHAnsi"/>
          <w:szCs w:val="24"/>
        </w:rPr>
      </w:pPr>
      <w:r w:rsidRPr="00337C85">
        <w:rPr>
          <w:rFonts w:cstheme="minorHAnsi"/>
          <w:szCs w:val="24"/>
        </w:rPr>
        <w:t>كما أعرب الرئيس عن تقديره للأمانة للمساعدة في التحضير للاجتماع.</w:t>
      </w:r>
    </w:p>
    <w:p w14:paraId="7A64A27E" w14:textId="77777777" w:rsidR="00337C85" w:rsidRDefault="00337C85">
      <w:pPr>
        <w:tabs>
          <w:tab w:val="clear" w:pos="794"/>
          <w:tab w:val="clear" w:pos="1191"/>
          <w:tab w:val="clear" w:pos="1588"/>
          <w:tab w:val="clear" w:pos="1985"/>
        </w:tabs>
        <w:overflowPunct/>
        <w:autoSpaceDE/>
        <w:autoSpaceDN/>
        <w:adjustRightInd/>
        <w:spacing w:before="0"/>
        <w:textAlignment w:val="auto"/>
        <w:rPr>
          <w:rFonts w:cstheme="minorHAnsi"/>
          <w:szCs w:val="24"/>
        </w:rPr>
      </w:pPr>
      <w:r>
        <w:rPr>
          <w:rFonts w:cstheme="minorHAnsi"/>
          <w:szCs w:val="24"/>
        </w:rPr>
        <w:br w:type="page"/>
      </w:r>
    </w:p>
    <w:p w14:paraId="3A2BDA3C" w14:textId="00C400F0" w:rsidR="00337C85" w:rsidRPr="00337C85" w:rsidRDefault="00337C85" w:rsidP="00337C85">
      <w:pPr>
        <w:bidi/>
        <w:spacing w:after="120"/>
        <w:jc w:val="center"/>
        <w:rPr>
          <w:rFonts w:cstheme="minorHAnsi"/>
          <w:b/>
          <w:bCs/>
          <w:szCs w:val="24"/>
        </w:rPr>
      </w:pPr>
      <w:r w:rsidRPr="00337C85">
        <w:rPr>
          <w:rFonts w:cstheme="minorHAnsi"/>
          <w:b/>
          <w:bCs/>
          <w:szCs w:val="24"/>
        </w:rPr>
        <w:lastRenderedPageBreak/>
        <w:t>المرفق 1</w:t>
      </w:r>
    </w:p>
    <w:p w14:paraId="3F5FF089" w14:textId="77777777" w:rsidR="00337C85" w:rsidRPr="00337C85" w:rsidRDefault="00337C85" w:rsidP="00337C85">
      <w:pPr>
        <w:tabs>
          <w:tab w:val="center" w:pos="7371"/>
        </w:tabs>
        <w:bidi/>
        <w:spacing w:after="120"/>
        <w:jc w:val="center"/>
        <w:rPr>
          <w:rFonts w:cstheme="minorHAnsi"/>
          <w:szCs w:val="24"/>
        </w:rPr>
      </w:pPr>
      <w:r w:rsidRPr="00337C85">
        <w:rPr>
          <w:rFonts w:cstheme="minorHAnsi"/>
          <w:b/>
          <w:bCs/>
          <w:szCs w:val="24"/>
        </w:rPr>
        <w:t>بيان الارتباط</w:t>
      </w: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337C85" w:rsidRPr="00337C85" w14:paraId="62C6FB89" w14:textId="77777777" w:rsidTr="00495327">
        <w:trPr>
          <w:cantSplit/>
          <w:jc w:val="center"/>
        </w:trPr>
        <w:tc>
          <w:tcPr>
            <w:tcW w:w="1418" w:type="dxa"/>
          </w:tcPr>
          <w:p w14:paraId="42510740" w14:textId="77777777" w:rsidR="00337C85" w:rsidRPr="00337C85" w:rsidRDefault="00337C85" w:rsidP="00337C85">
            <w:pPr>
              <w:bidi/>
              <w:spacing w:after="120"/>
              <w:rPr>
                <w:rFonts w:cstheme="minorHAnsi"/>
                <w:b/>
                <w:bCs/>
                <w:szCs w:val="24"/>
              </w:rPr>
            </w:pPr>
            <w:r w:rsidRPr="00337C85">
              <w:rPr>
                <w:rFonts w:cstheme="minorHAnsi"/>
                <w:b/>
                <w:bCs/>
                <w:szCs w:val="24"/>
              </w:rPr>
              <w:t>مصدر:</w:t>
            </w:r>
          </w:p>
        </w:tc>
        <w:sdt>
          <w:sdtPr>
            <w:rPr>
              <w:rFonts w:cstheme="minorHAnsi"/>
              <w:szCs w:val="24"/>
              <w:rtl/>
            </w:rPr>
            <w:alias w:val="DocumentSource"/>
            <w:tag w:val="DocumentSource"/>
            <w:id w:val="770514636"/>
            <w:placeholder>
              <w:docPart w:val="C0FAC383865E47BE840F392BFA449D1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398FF56C" w14:textId="77777777" w:rsidR="00337C85" w:rsidRPr="00337C85" w:rsidRDefault="00337C85" w:rsidP="00337C85">
                <w:pPr>
                  <w:bidi/>
                  <w:spacing w:after="120"/>
                  <w:rPr>
                    <w:rFonts w:cstheme="minorHAnsi"/>
                    <w:szCs w:val="24"/>
                  </w:rPr>
                </w:pPr>
                <w:r w:rsidRPr="00337C85">
                  <w:rPr>
                    <w:rFonts w:cstheme="minorHAnsi"/>
                    <w:szCs w:val="24"/>
                  </w:rPr>
                  <w:t>ISCG</w:t>
                </w:r>
              </w:p>
            </w:tc>
          </w:sdtContent>
        </w:sdt>
      </w:tr>
      <w:tr w:rsidR="00337C85" w:rsidRPr="00337C85" w14:paraId="75C37EA2" w14:textId="77777777" w:rsidTr="00495327">
        <w:trPr>
          <w:cantSplit/>
          <w:jc w:val="center"/>
        </w:trPr>
        <w:tc>
          <w:tcPr>
            <w:tcW w:w="1418" w:type="dxa"/>
          </w:tcPr>
          <w:p w14:paraId="06ACA5AB" w14:textId="77777777" w:rsidR="00337C85" w:rsidRPr="00337C85" w:rsidRDefault="00337C85" w:rsidP="00337C85">
            <w:pPr>
              <w:bidi/>
              <w:spacing w:after="120"/>
              <w:rPr>
                <w:rFonts w:cstheme="minorHAnsi"/>
                <w:szCs w:val="24"/>
              </w:rPr>
            </w:pPr>
            <w:r w:rsidRPr="00337C85">
              <w:rPr>
                <w:rFonts w:cstheme="minorHAnsi"/>
                <w:b/>
                <w:bCs/>
                <w:szCs w:val="24"/>
              </w:rPr>
              <w:t>عنوان:</w:t>
            </w:r>
          </w:p>
        </w:tc>
        <w:tc>
          <w:tcPr>
            <w:tcW w:w="8222" w:type="dxa"/>
          </w:tcPr>
          <w:p w14:paraId="285C3E01" w14:textId="77777777" w:rsidR="00337C85" w:rsidRPr="00337C85" w:rsidRDefault="00337C85" w:rsidP="00337C85">
            <w:pPr>
              <w:bidi/>
              <w:spacing w:after="120"/>
              <w:rPr>
                <w:rFonts w:cstheme="minorHAnsi"/>
                <w:szCs w:val="24"/>
              </w:rPr>
            </w:pPr>
            <w:r w:rsidRPr="00337C85">
              <w:rPr>
                <w:rFonts w:cstheme="minorHAnsi"/>
                <w:szCs w:val="24"/>
              </w:rPr>
              <w:t>LS بشأن إدارة وإدارة الاجتماعات الافتراضية</w:t>
            </w:r>
          </w:p>
        </w:tc>
      </w:tr>
      <w:tr w:rsidR="00337C85" w:rsidRPr="00337C85" w14:paraId="239AB602" w14:textId="77777777" w:rsidTr="00495327">
        <w:trPr>
          <w:cantSplit/>
          <w:jc w:val="center"/>
        </w:trPr>
        <w:tc>
          <w:tcPr>
            <w:tcW w:w="1418" w:type="dxa"/>
          </w:tcPr>
          <w:p w14:paraId="67DDF79F" w14:textId="77777777" w:rsidR="00337C85" w:rsidRPr="00337C85" w:rsidRDefault="00337C85" w:rsidP="00337C85">
            <w:pPr>
              <w:bidi/>
              <w:spacing w:after="120"/>
              <w:rPr>
                <w:rFonts w:cstheme="minorHAnsi"/>
                <w:b/>
                <w:bCs/>
                <w:szCs w:val="24"/>
              </w:rPr>
            </w:pPr>
            <w:r w:rsidRPr="00337C85">
              <w:rPr>
                <w:rFonts w:cstheme="minorHAnsi"/>
                <w:b/>
                <w:bCs/>
                <w:szCs w:val="24"/>
              </w:rPr>
              <w:t>غاية:</w:t>
            </w:r>
          </w:p>
        </w:tc>
        <w:tc>
          <w:tcPr>
            <w:tcW w:w="8222" w:type="dxa"/>
          </w:tcPr>
          <w:p w14:paraId="497188D2" w14:textId="77777777" w:rsidR="00337C85" w:rsidRPr="00337C85" w:rsidRDefault="00337C85" w:rsidP="00337C85">
            <w:pPr>
              <w:bidi/>
              <w:spacing w:after="120"/>
              <w:rPr>
                <w:rFonts w:cstheme="minorHAnsi"/>
                <w:szCs w:val="24"/>
              </w:rPr>
            </w:pPr>
            <w:r w:rsidRPr="00337C85">
              <w:rPr>
                <w:rFonts w:cstheme="minorHAnsi"/>
                <w:szCs w:val="24"/>
              </w:rPr>
              <w:t>فعل</w:t>
            </w:r>
          </w:p>
        </w:tc>
      </w:tr>
    </w:tbl>
    <w:p w14:paraId="01453CC7" w14:textId="78D3C5D2" w:rsidR="00337C85" w:rsidRPr="00337C85" w:rsidRDefault="00337C85" w:rsidP="0097220C">
      <w:pPr>
        <w:pBdr>
          <w:top w:val="single" w:sz="4" w:space="1" w:color="auto"/>
        </w:pBdr>
        <w:tabs>
          <w:tab w:val="clear" w:pos="794"/>
          <w:tab w:val="clear" w:pos="1191"/>
          <w:tab w:val="clear" w:pos="1588"/>
          <w:tab w:val="clear" w:pos="1985"/>
          <w:tab w:val="left" w:pos="2552"/>
        </w:tabs>
        <w:bidi/>
        <w:spacing w:after="120"/>
        <w:rPr>
          <w:rFonts w:cstheme="minorHAnsi"/>
          <w:szCs w:val="24"/>
        </w:rPr>
      </w:pPr>
      <w:r w:rsidRPr="00337C85">
        <w:rPr>
          <w:rFonts w:cstheme="minorHAnsi"/>
          <w:b/>
          <w:bCs/>
          <w:szCs w:val="24"/>
        </w:rPr>
        <w:t xml:space="preserve">لاتخاذ إجراء من أجل: </w:t>
      </w:r>
      <w:r w:rsidRPr="00337C85">
        <w:rPr>
          <w:rFonts w:cstheme="minorHAnsi"/>
          <w:b/>
          <w:bCs/>
          <w:szCs w:val="24"/>
        </w:rPr>
        <w:tab/>
      </w:r>
      <w:r w:rsidRPr="00337C85">
        <w:rPr>
          <w:rFonts w:cstheme="minorHAnsi"/>
          <w:szCs w:val="24"/>
        </w:rPr>
        <w:t>RAG ، TDAG</w:t>
      </w:r>
    </w:p>
    <w:p w14:paraId="58394DCC" w14:textId="7F5FF9C5" w:rsidR="00337C85" w:rsidRPr="00337C85" w:rsidRDefault="00337C85" w:rsidP="0097220C">
      <w:pPr>
        <w:tabs>
          <w:tab w:val="clear" w:pos="794"/>
          <w:tab w:val="clear" w:pos="1191"/>
          <w:tab w:val="clear" w:pos="1588"/>
          <w:tab w:val="clear" w:pos="1985"/>
          <w:tab w:val="left" w:pos="2552"/>
        </w:tabs>
        <w:bidi/>
        <w:spacing w:after="120"/>
        <w:rPr>
          <w:rFonts w:cstheme="minorHAnsi"/>
          <w:b/>
          <w:bCs/>
          <w:szCs w:val="24"/>
        </w:rPr>
      </w:pPr>
      <w:r w:rsidRPr="00337C85">
        <w:rPr>
          <w:rFonts w:cstheme="minorHAnsi"/>
          <w:b/>
          <w:bCs/>
          <w:szCs w:val="24"/>
        </w:rPr>
        <w:t xml:space="preserve">للتعليق على: </w:t>
      </w:r>
      <w:r w:rsidRPr="00337C85">
        <w:rPr>
          <w:rFonts w:cstheme="minorHAnsi"/>
          <w:b/>
          <w:bCs/>
          <w:szCs w:val="24"/>
        </w:rPr>
        <w:tab/>
      </w:r>
      <w:r w:rsidRPr="00337C85">
        <w:rPr>
          <w:rFonts w:cstheme="minorHAnsi"/>
          <w:szCs w:val="24"/>
        </w:rPr>
        <w:t>-</w:t>
      </w:r>
    </w:p>
    <w:p w14:paraId="296A6B18" w14:textId="4485CB4A" w:rsidR="00337C85" w:rsidRPr="00337C85" w:rsidRDefault="00337C85" w:rsidP="0097220C">
      <w:pPr>
        <w:tabs>
          <w:tab w:val="left" w:pos="2552"/>
        </w:tabs>
        <w:bidi/>
        <w:spacing w:after="120"/>
        <w:rPr>
          <w:rFonts w:cstheme="minorHAnsi"/>
          <w:b/>
          <w:bCs/>
          <w:szCs w:val="24"/>
        </w:rPr>
      </w:pPr>
      <w:r w:rsidRPr="00337C85">
        <w:rPr>
          <w:rFonts w:cstheme="minorHAnsi"/>
          <w:b/>
          <w:bCs/>
          <w:szCs w:val="24"/>
        </w:rPr>
        <w:t xml:space="preserve">للحصول على معلومات إلى: </w:t>
      </w:r>
      <w:r w:rsidR="0097220C">
        <w:rPr>
          <w:rFonts w:cstheme="minorHAnsi"/>
          <w:b/>
          <w:bCs/>
          <w:szCs w:val="24"/>
        </w:rPr>
        <w:tab/>
      </w:r>
      <w:r w:rsidRPr="00337C85">
        <w:rPr>
          <w:rFonts w:cstheme="minorHAnsi"/>
          <w:szCs w:val="24"/>
        </w:rPr>
        <w:t>TSAG</w:t>
      </w:r>
    </w:p>
    <w:p w14:paraId="729B50CE" w14:textId="4EEF832C" w:rsidR="00337C85" w:rsidRPr="00337C85" w:rsidRDefault="00337C85" w:rsidP="0097220C">
      <w:pPr>
        <w:tabs>
          <w:tab w:val="clear" w:pos="794"/>
          <w:tab w:val="clear" w:pos="1191"/>
          <w:tab w:val="clear" w:pos="1588"/>
          <w:tab w:val="clear" w:pos="1985"/>
          <w:tab w:val="left" w:pos="2552"/>
        </w:tabs>
        <w:bidi/>
        <w:spacing w:after="120"/>
        <w:rPr>
          <w:rFonts w:cstheme="minorHAnsi"/>
          <w:szCs w:val="24"/>
        </w:rPr>
      </w:pPr>
      <w:r w:rsidRPr="00337C85">
        <w:rPr>
          <w:rFonts w:cstheme="minorHAnsi"/>
          <w:b/>
          <w:bCs/>
          <w:szCs w:val="24"/>
        </w:rPr>
        <w:t xml:space="preserve">الموافقة: </w:t>
      </w:r>
      <w:r w:rsidRPr="00337C85">
        <w:rPr>
          <w:rFonts w:cstheme="minorHAnsi"/>
          <w:b/>
          <w:bCs/>
          <w:szCs w:val="24"/>
        </w:rPr>
        <w:tab/>
      </w:r>
      <w:r w:rsidRPr="00337C85">
        <w:rPr>
          <w:rFonts w:cstheme="minorHAnsi"/>
          <w:szCs w:val="24"/>
        </w:rPr>
        <w:t>اجتماع ISCG (2 مايو 2023)</w:t>
      </w:r>
    </w:p>
    <w:p w14:paraId="4B77EDEA" w14:textId="55880620" w:rsidR="00337C85" w:rsidRPr="00337C85" w:rsidRDefault="00337C85" w:rsidP="0097220C">
      <w:pPr>
        <w:tabs>
          <w:tab w:val="clear" w:pos="794"/>
          <w:tab w:val="clear" w:pos="1191"/>
          <w:tab w:val="clear" w:pos="1588"/>
          <w:tab w:val="clear" w:pos="1985"/>
          <w:tab w:val="left" w:pos="2552"/>
        </w:tabs>
        <w:bidi/>
        <w:spacing w:after="120"/>
        <w:rPr>
          <w:rFonts w:cstheme="minorHAnsi"/>
          <w:szCs w:val="24"/>
        </w:rPr>
      </w:pPr>
      <w:r w:rsidRPr="00337C85">
        <w:rPr>
          <w:rFonts w:cstheme="minorHAnsi"/>
          <w:b/>
          <w:bCs/>
          <w:szCs w:val="24"/>
        </w:rPr>
        <w:t xml:space="preserve">الموعد النهائي: </w:t>
      </w:r>
      <w:r w:rsidRPr="00337C85">
        <w:rPr>
          <w:rFonts w:cstheme="minorHAnsi"/>
          <w:b/>
          <w:bCs/>
          <w:szCs w:val="24"/>
        </w:rPr>
        <w:tab/>
      </w:r>
      <w:r w:rsidRPr="00337C85">
        <w:rPr>
          <w:rFonts w:cstheme="minorHAnsi"/>
          <w:szCs w:val="24"/>
        </w:rPr>
        <w:t>30 سبتمبر 2023</w:t>
      </w:r>
    </w:p>
    <w:tbl>
      <w:tblPr>
        <w:tblW w:w="9935" w:type="dxa"/>
        <w:tblLayout w:type="fixed"/>
        <w:tblCellMar>
          <w:left w:w="57" w:type="dxa"/>
          <w:right w:w="57" w:type="dxa"/>
        </w:tblCellMar>
        <w:tblLook w:val="0000" w:firstRow="0" w:lastRow="0" w:firstColumn="0" w:lastColumn="0" w:noHBand="0" w:noVBand="0"/>
      </w:tblPr>
      <w:tblGrid>
        <w:gridCol w:w="1643"/>
        <w:gridCol w:w="9"/>
        <w:gridCol w:w="4359"/>
        <w:gridCol w:w="3912"/>
        <w:gridCol w:w="12"/>
      </w:tblGrid>
      <w:tr w:rsidR="00337C85" w:rsidRPr="0047681D" w14:paraId="13BDADAB" w14:textId="77777777" w:rsidTr="00337C85">
        <w:trPr>
          <w:gridAfter w:val="1"/>
          <w:wAfter w:w="12" w:type="dxa"/>
          <w:cantSplit/>
          <w:trHeight w:val="204"/>
        </w:trPr>
        <w:tc>
          <w:tcPr>
            <w:tcW w:w="1652" w:type="dxa"/>
            <w:gridSpan w:val="2"/>
            <w:tcBorders>
              <w:top w:val="single" w:sz="12" w:space="0" w:color="auto"/>
              <w:bottom w:val="single" w:sz="4" w:space="0" w:color="auto"/>
            </w:tcBorders>
          </w:tcPr>
          <w:p w14:paraId="52EF063E" w14:textId="77777777" w:rsidR="00337C85" w:rsidRPr="00337C85" w:rsidRDefault="00337C85" w:rsidP="00337C85">
            <w:pPr>
              <w:bidi/>
              <w:spacing w:after="120"/>
              <w:rPr>
                <w:rFonts w:cstheme="minorHAnsi"/>
                <w:b/>
                <w:bCs/>
                <w:szCs w:val="24"/>
              </w:rPr>
            </w:pPr>
            <w:r w:rsidRPr="00337C85">
              <w:rPr>
                <w:rFonts w:cstheme="minorHAnsi"/>
                <w:b/>
                <w:bCs/>
                <w:szCs w:val="24"/>
              </w:rPr>
              <w:t>اتصال:</w:t>
            </w:r>
          </w:p>
        </w:tc>
        <w:tc>
          <w:tcPr>
            <w:tcW w:w="4359" w:type="dxa"/>
            <w:tcBorders>
              <w:top w:val="single" w:sz="12" w:space="0" w:color="auto"/>
              <w:bottom w:val="single" w:sz="4" w:space="0" w:color="auto"/>
            </w:tcBorders>
          </w:tcPr>
          <w:p w14:paraId="36CF695E" w14:textId="77777777" w:rsidR="00337C85" w:rsidRPr="00337C85" w:rsidRDefault="00337C85" w:rsidP="00337C85">
            <w:pPr>
              <w:bidi/>
              <w:spacing w:after="120"/>
              <w:rPr>
                <w:rFonts w:cstheme="minorHAnsi"/>
                <w:b/>
                <w:bCs/>
                <w:szCs w:val="24"/>
              </w:rPr>
            </w:pPr>
            <w:r w:rsidRPr="00337C85">
              <w:rPr>
                <w:rFonts w:cstheme="minorHAnsi"/>
                <w:szCs w:val="24"/>
                <w:lang w:val="en-AU"/>
              </w:rPr>
              <w:t xml:space="preserve">ممثل شركة </w:t>
            </w:r>
            <w:r w:rsidRPr="00337C85">
              <w:rPr>
                <w:rFonts w:cstheme="minorHAnsi"/>
                <w:szCs w:val="24"/>
              </w:rPr>
              <w:t>Phil Rushton TSAG بشأن المشاركة عن بُعد</w:t>
            </w:r>
            <w:r w:rsidRPr="00337C85">
              <w:rPr>
                <w:rFonts w:cstheme="minorHAnsi"/>
                <w:b/>
                <w:bCs/>
                <w:szCs w:val="24"/>
              </w:rPr>
              <w:br/>
            </w:r>
          </w:p>
        </w:tc>
        <w:tc>
          <w:tcPr>
            <w:tcW w:w="3912" w:type="dxa"/>
            <w:tcBorders>
              <w:top w:val="single" w:sz="12" w:space="0" w:color="auto"/>
              <w:bottom w:val="single" w:sz="4" w:space="0" w:color="auto"/>
            </w:tcBorders>
          </w:tcPr>
          <w:p w14:paraId="713EDD53" w14:textId="31B967A9" w:rsidR="00337C85" w:rsidRPr="00337C85" w:rsidRDefault="00337C85" w:rsidP="00337C85">
            <w:pPr>
              <w:bidi/>
              <w:spacing w:after="120"/>
              <w:rPr>
                <w:rFonts w:cstheme="minorHAnsi"/>
                <w:szCs w:val="24"/>
                <w:lang w:val="de-DE"/>
              </w:rPr>
            </w:pPr>
            <w:r w:rsidRPr="00337C85">
              <w:rPr>
                <w:rFonts w:cstheme="minorHAnsi"/>
                <w:b/>
                <w:bCs/>
                <w:szCs w:val="24"/>
                <w:lang w:val="de-DE"/>
              </w:rPr>
              <w:t xml:space="preserve">البريد الإلكتروني: </w:t>
            </w:r>
            <w:hyperlink r:id="rId31" w:history="1">
              <w:r w:rsidRPr="00337C85">
                <w:rPr>
                  <w:rStyle w:val="Hyperlink"/>
                  <w:rFonts w:cstheme="minorHAnsi"/>
                  <w:szCs w:val="24"/>
                  <w:lang w:val="de-DE"/>
                </w:rPr>
                <w:t>philrushton@rcc-uk.uk</w:t>
              </w:r>
            </w:hyperlink>
            <w:r w:rsidRPr="00337C85">
              <w:rPr>
                <w:rFonts w:cstheme="minorHAnsi"/>
                <w:szCs w:val="24"/>
                <w:lang w:val="fr-FR"/>
              </w:rPr>
              <w:t xml:space="preserve"> </w:t>
            </w:r>
            <w:hyperlink r:id="rId32" w:history="1">
              <w:r w:rsidRPr="00941B18">
                <w:rPr>
                  <w:rStyle w:val="Hyperlink"/>
                  <w:rFonts w:cstheme="minorHAnsi"/>
                  <w:szCs w:val="24"/>
                  <w:lang w:val="fr-FR"/>
                </w:rPr>
                <w:t xml:space="preserve">bruce.gracie@ericsson.com </w:t>
              </w:r>
            </w:hyperlink>
            <w:r>
              <w:rPr>
                <w:rFonts w:cstheme="minorHAnsi"/>
                <w:szCs w:val="24"/>
                <w:lang w:val="fr-FR"/>
              </w:rPr>
              <w:br/>
            </w:r>
            <w:hyperlink r:id="rId33" w:history="1">
              <w:r w:rsidRPr="00337C85">
                <w:rPr>
                  <w:rStyle w:val="Hyperlink"/>
                  <w:rFonts w:cstheme="minorHAnsi"/>
                  <w:szCs w:val="24"/>
                  <w:lang w:val="de-DE"/>
                </w:rPr>
                <w:t>iscg@itu.int</w:t>
              </w:r>
            </w:hyperlink>
            <w:r w:rsidRPr="00337C85">
              <w:rPr>
                <w:rFonts w:cstheme="minorHAnsi"/>
                <w:szCs w:val="24"/>
                <w:lang w:val="de-DE"/>
              </w:rPr>
              <w:t xml:space="preserve"> </w:t>
            </w:r>
          </w:p>
        </w:tc>
      </w:tr>
      <w:tr w:rsidR="00337C85" w:rsidRPr="00337C85" w14:paraId="67777CC9" w14:textId="77777777" w:rsidTr="00495327">
        <w:trPr>
          <w:cantSplit/>
          <w:trHeight w:val="489"/>
        </w:trPr>
        <w:tc>
          <w:tcPr>
            <w:tcW w:w="1643" w:type="dxa"/>
          </w:tcPr>
          <w:p w14:paraId="6EBC3DFA" w14:textId="77777777" w:rsidR="00337C85" w:rsidRPr="00337C85" w:rsidRDefault="00337C85" w:rsidP="00337C85">
            <w:pPr>
              <w:bidi/>
              <w:spacing w:after="120"/>
              <w:rPr>
                <w:rFonts w:cstheme="minorHAnsi"/>
                <w:b/>
                <w:bCs/>
                <w:szCs w:val="24"/>
              </w:rPr>
            </w:pPr>
            <w:r w:rsidRPr="00337C85">
              <w:rPr>
                <w:rFonts w:cstheme="minorHAnsi"/>
                <w:b/>
                <w:bCs/>
                <w:szCs w:val="24"/>
              </w:rPr>
              <w:t>الكلمات الدالة:</w:t>
            </w:r>
          </w:p>
        </w:tc>
        <w:tc>
          <w:tcPr>
            <w:tcW w:w="8292" w:type="dxa"/>
            <w:gridSpan w:val="4"/>
          </w:tcPr>
          <w:p w14:paraId="46A29D40" w14:textId="77777777" w:rsidR="00337C85" w:rsidRPr="00337C85" w:rsidRDefault="00337C85" w:rsidP="00337C85">
            <w:pPr>
              <w:bidi/>
              <w:spacing w:after="120"/>
              <w:rPr>
                <w:rFonts w:cstheme="minorHAnsi"/>
                <w:szCs w:val="24"/>
              </w:rPr>
            </w:pPr>
            <w:r w:rsidRPr="00337C85">
              <w:rPr>
                <w:rFonts w:cstheme="minorHAnsi"/>
                <w:szCs w:val="24"/>
              </w:rPr>
              <w:t>التنسيق بين القطاعات؛ ISCG ، اجتماعات افتراضية ، مشاركة عن بعد.</w:t>
            </w:r>
          </w:p>
        </w:tc>
      </w:tr>
      <w:tr w:rsidR="00337C85" w:rsidRPr="00337C85" w14:paraId="5E94DD6C" w14:textId="77777777" w:rsidTr="00495327">
        <w:trPr>
          <w:cantSplit/>
          <w:trHeight w:val="1094"/>
        </w:trPr>
        <w:tc>
          <w:tcPr>
            <w:tcW w:w="1643" w:type="dxa"/>
          </w:tcPr>
          <w:p w14:paraId="6DFB115E" w14:textId="77777777" w:rsidR="00337C85" w:rsidRPr="00337C85" w:rsidRDefault="00337C85" w:rsidP="00337C85">
            <w:pPr>
              <w:bidi/>
              <w:spacing w:after="120"/>
              <w:rPr>
                <w:rFonts w:cstheme="minorHAnsi"/>
                <w:b/>
                <w:bCs/>
                <w:szCs w:val="24"/>
              </w:rPr>
            </w:pPr>
            <w:r w:rsidRPr="00337C85">
              <w:rPr>
                <w:rFonts w:cstheme="minorHAnsi"/>
                <w:b/>
                <w:bCs/>
                <w:szCs w:val="24"/>
              </w:rPr>
              <w:t>خلاصة:</w:t>
            </w:r>
          </w:p>
        </w:tc>
        <w:tc>
          <w:tcPr>
            <w:tcW w:w="8292" w:type="dxa"/>
            <w:gridSpan w:val="4"/>
          </w:tcPr>
          <w:p w14:paraId="53D647FF" w14:textId="77777777" w:rsidR="00337C85" w:rsidRPr="00337C85" w:rsidRDefault="00337C85" w:rsidP="00337C85">
            <w:pPr>
              <w:bidi/>
              <w:spacing w:after="120"/>
              <w:rPr>
                <w:rFonts w:cstheme="minorHAnsi"/>
                <w:szCs w:val="24"/>
              </w:rPr>
            </w:pPr>
            <w:r w:rsidRPr="00337C85">
              <w:rPr>
                <w:rFonts w:cstheme="minorHAnsi"/>
                <w:szCs w:val="24"/>
              </w:rPr>
              <w:t>تقدم ISCG معلومات عن الاجتماعات الافتراضية وتطلب من المجموعات الاستشارية للقطاعات مشاركة إجراءاتها الخاصة بإدارة تلك الاجتماعات.</w:t>
            </w:r>
          </w:p>
        </w:tc>
      </w:tr>
    </w:tbl>
    <w:p w14:paraId="53EAB2D2" w14:textId="77777777" w:rsidR="00337C85" w:rsidRPr="00337C85" w:rsidRDefault="00337C85" w:rsidP="00337C85">
      <w:pPr>
        <w:bidi/>
        <w:spacing w:after="120"/>
        <w:rPr>
          <w:rFonts w:cstheme="minorHAnsi"/>
          <w:szCs w:val="24"/>
        </w:rPr>
      </w:pPr>
      <w:r w:rsidRPr="00337C85">
        <w:rPr>
          <w:rFonts w:cstheme="minorHAnsi"/>
          <w:szCs w:val="24"/>
        </w:rPr>
        <w:t xml:space="preserve">يود فريق التنسيق بين القطاعات (ISCG) المعني بالقضايا ذات الاهتمام المشترك أن يعرض على الفريق الاستشاري للاتصالات الراديوية (RAG) والفريق الاستشاري لتنمية الاتصالات (TDAG) الوثيقة ISCG / 23-1 / 04 </w:t>
      </w:r>
      <w:hyperlink r:id="rId34" w:history="1">
        <w:r w:rsidRPr="00337C85">
          <w:rPr>
            <w:rStyle w:val="Hyperlink"/>
            <w:rFonts w:cstheme="minorHAnsi"/>
            <w:szCs w:val="24"/>
          </w:rPr>
          <w:t xml:space="preserve">المقدمة </w:t>
        </w:r>
      </w:hyperlink>
      <w:r w:rsidRPr="00337C85">
        <w:rPr>
          <w:rFonts w:cstheme="minorHAnsi"/>
          <w:szCs w:val="24"/>
        </w:rPr>
        <w:t>من ممثل المجموعة الاستشارية لتقييس الاتصالات (TSAG) المعني بالمشاركة عن بُعد في اجتماع ISCG في 2 مايو 2023.</w:t>
      </w:r>
    </w:p>
    <w:p w14:paraId="6DDAFA41" w14:textId="77777777" w:rsidR="00337C85" w:rsidRPr="00337C85" w:rsidRDefault="00337C85" w:rsidP="00337C85">
      <w:pPr>
        <w:bidi/>
        <w:spacing w:after="120"/>
        <w:rPr>
          <w:rFonts w:cstheme="minorHAnsi"/>
          <w:szCs w:val="24"/>
        </w:rPr>
      </w:pPr>
      <w:r w:rsidRPr="00337C85">
        <w:rPr>
          <w:rFonts w:cstheme="minorHAnsi"/>
          <w:szCs w:val="24"/>
        </w:rPr>
        <w:t xml:space="preserve">تود ISCG أيضًا أن تتقاسم مع RAG و TDAG الملحق 4 المنقح لسلسلة توصيات قطاع تقييس الاتصالات A ، </w:t>
      </w:r>
      <w:hyperlink r:id="rId35" w:history="1">
        <w:r w:rsidRPr="00337C85">
          <w:rPr>
            <w:rStyle w:val="Hyperlink"/>
            <w:rFonts w:cstheme="minorHAnsi"/>
            <w:szCs w:val="24"/>
          </w:rPr>
          <w:t xml:space="preserve">ملحق بشأن المبادئ التوجيهية للمشاركة عن بعد </w:t>
        </w:r>
      </w:hyperlink>
      <w:r w:rsidRPr="00337C85">
        <w:rPr>
          <w:rFonts w:cstheme="minorHAnsi"/>
          <w:szCs w:val="24"/>
        </w:rPr>
        <w:t>.</w:t>
      </w:r>
    </w:p>
    <w:p w14:paraId="04BF72E6" w14:textId="77777777" w:rsidR="00337C85" w:rsidRPr="00337C85" w:rsidRDefault="00337C85" w:rsidP="00337C85">
      <w:pPr>
        <w:bidi/>
        <w:spacing w:after="120"/>
        <w:rPr>
          <w:rFonts w:cstheme="minorHAnsi"/>
          <w:szCs w:val="24"/>
        </w:rPr>
      </w:pPr>
      <w:r w:rsidRPr="00337C85">
        <w:rPr>
          <w:rFonts w:cstheme="minorHAnsi"/>
          <w:szCs w:val="24"/>
        </w:rPr>
        <w:t>تدعو ISCG الفريق الاستشاري للاتصالات الراديوية والفريق الاستشاري لتقاسم القواعد التي لديهما بشأن إدارة الاجتماعات الافتراضية وإدارتها لمحاولة تحديد أفضل ممارسة مشتركة متفق عليها لتقديمها إلى مجلس الاتحاد الدولي للاتصالات لمساعدتهم في مداولاتهم على النحو المنصوص عليه في قرار مؤتمر المندوبين المفوضين 167 ( القس بوخارست ، 2022) ، لتطوير نهج مشترك على مستوى الاتحاد على المدى الطويل.</w:t>
      </w:r>
    </w:p>
    <w:p w14:paraId="3FA78898" w14:textId="77777777" w:rsidR="00337C85" w:rsidRPr="00337C85" w:rsidRDefault="00337C85" w:rsidP="00337C85">
      <w:pPr>
        <w:tabs>
          <w:tab w:val="left" w:pos="0"/>
        </w:tabs>
        <w:bidi/>
        <w:spacing w:after="120"/>
        <w:rPr>
          <w:rFonts w:cstheme="minorHAnsi"/>
          <w:szCs w:val="24"/>
        </w:rPr>
      </w:pPr>
      <w:r w:rsidRPr="00337C85">
        <w:rPr>
          <w:rFonts w:cstheme="minorHAnsi"/>
          <w:szCs w:val="24"/>
        </w:rPr>
        <w:t>تتطلع مجموعة ISCG إلى تلقي ملاحظاتك ، وتشكر RAG و TDAG على تعاونهما ومساهماتهما.</w:t>
      </w:r>
    </w:p>
    <w:p w14:paraId="7759C759" w14:textId="11008BBA" w:rsidR="00821996" w:rsidRDefault="003C58BF" w:rsidP="00C053DE">
      <w:pPr>
        <w:tabs>
          <w:tab w:val="clear" w:pos="794"/>
          <w:tab w:val="clear" w:pos="1191"/>
          <w:tab w:val="clear" w:pos="1588"/>
          <w:tab w:val="clear" w:pos="1985"/>
        </w:tabs>
        <w:bidi/>
        <w:spacing w:after="120"/>
        <w:jc w:val="center"/>
      </w:pPr>
      <w:r>
        <w:t>_______________</w:t>
      </w:r>
    </w:p>
    <w:sectPr w:rsidR="00821996" w:rsidSect="00473791">
      <w:headerReference w:type="even" r:id="rId36"/>
      <w:headerReference w:type="default" r:id="rId37"/>
      <w:footerReference w:type="even" r:id="rId38"/>
      <w:footerReference w:type="default" r:id="rId39"/>
      <w:headerReference w:type="first" r:id="rId40"/>
      <w:footerReference w:type="first" r:id="rId4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4497A" w14:textId="77777777" w:rsidR="00DA25D2" w:rsidRDefault="00DA25D2">
      <w:r>
        <w:separator/>
      </w:r>
    </w:p>
  </w:endnote>
  <w:endnote w:type="continuationSeparator" w:id="0">
    <w:p w14:paraId="47E7D672" w14:textId="77777777" w:rsidR="00DA25D2" w:rsidRDefault="00DA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Dubai">
    <w:altName w:val="Arial"/>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03E90" w14:textId="77777777" w:rsidR="00F54981" w:rsidRDefault="00F54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0721B" w14:textId="77777777" w:rsidR="00F54981" w:rsidRDefault="00F54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B6DF2" w14:textId="77777777" w:rsidR="00337C85" w:rsidRPr="00337C85" w:rsidRDefault="00337C85" w:rsidP="00337C85">
    <w:pPr>
      <w:spacing w:before="0"/>
      <w:rPr>
        <w:sz w:val="18"/>
        <w:szCs w:val="14"/>
      </w:rPr>
    </w:pPr>
  </w:p>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bidi/>
            <w:rPr>
              <w:sz w:val="18"/>
              <w:szCs w:val="18"/>
            </w:rPr>
          </w:pPr>
          <w:r w:rsidRPr="004D495C">
            <w:rPr>
              <w:sz w:val="18"/>
              <w:szCs w:val="18"/>
              <w:lang w:val="en-US"/>
            </w:rPr>
            <w:t>اتصال:</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bidi/>
            <w:ind w:left="2302" w:hanging="2302"/>
            <w:rPr>
              <w:sz w:val="18"/>
              <w:szCs w:val="18"/>
              <w:lang w:val="en-US"/>
            </w:rPr>
          </w:pPr>
          <w:r w:rsidRPr="004D495C">
            <w:rPr>
              <w:sz w:val="18"/>
              <w:szCs w:val="18"/>
              <w:lang w:val="en-US"/>
            </w:rPr>
            <w:t>الاسم / المنظمة / الكيان:</w:t>
          </w:r>
        </w:p>
      </w:tc>
      <w:tc>
        <w:tcPr>
          <w:tcW w:w="5987" w:type="dxa"/>
          <w:tcBorders>
            <w:top w:val="single" w:sz="4" w:space="0" w:color="000000"/>
          </w:tcBorders>
        </w:tcPr>
        <w:p w14:paraId="148264AE" w14:textId="67DF8ABB" w:rsidR="0059420B" w:rsidRPr="00AF7A97" w:rsidRDefault="00077DC0" w:rsidP="0059420B">
          <w:pPr>
            <w:pStyle w:val="FirstFooter"/>
            <w:tabs>
              <w:tab w:val="left" w:pos="2302"/>
            </w:tabs>
            <w:bidi/>
            <w:rPr>
              <w:sz w:val="18"/>
              <w:szCs w:val="18"/>
              <w:lang w:val="en-US"/>
            </w:rPr>
          </w:pPr>
          <w:r>
            <w:rPr>
              <w:sz w:val="18"/>
              <w:szCs w:val="18"/>
              <w:lang w:val="en-US"/>
            </w:rPr>
            <w:t>السيد Fabio Bigi ، رئيس ISCG ، إيطاليا</w:t>
          </w:r>
        </w:p>
      </w:tc>
      <w:bookmarkStart w:id="5" w:name="OrgName"/>
      <w:bookmarkEnd w:id="5"/>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bidi/>
            <w:rPr>
              <w:sz w:val="18"/>
              <w:szCs w:val="18"/>
              <w:lang w:val="en-US"/>
            </w:rPr>
          </w:pPr>
          <w:r w:rsidRPr="004D495C">
            <w:rPr>
              <w:sz w:val="18"/>
              <w:szCs w:val="18"/>
              <w:lang w:val="en-US"/>
            </w:rPr>
            <w:t>رقم التليفون:</w:t>
          </w:r>
        </w:p>
      </w:tc>
      <w:tc>
        <w:tcPr>
          <w:tcW w:w="5987" w:type="dxa"/>
        </w:tcPr>
        <w:p w14:paraId="6D7949F0" w14:textId="2CE7DD78" w:rsidR="0059420B" w:rsidRPr="00AF7A97" w:rsidRDefault="00077DC0" w:rsidP="0059420B">
          <w:pPr>
            <w:pStyle w:val="FirstFooter"/>
            <w:tabs>
              <w:tab w:val="left" w:pos="2302"/>
            </w:tabs>
            <w:bidi/>
            <w:rPr>
              <w:sz w:val="18"/>
              <w:szCs w:val="18"/>
              <w:lang w:val="en-US"/>
            </w:rPr>
          </w:pPr>
          <w:r>
            <w:rPr>
              <w:sz w:val="18"/>
              <w:szCs w:val="18"/>
              <w:lang w:val="en-US"/>
            </w:rPr>
            <w:t>غير متوفر</w:t>
          </w:r>
        </w:p>
      </w:tc>
      <w:bookmarkStart w:id="6" w:name="PhoneNo"/>
      <w:bookmarkEnd w:id="6"/>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bidi/>
            <w:rPr>
              <w:sz w:val="18"/>
              <w:szCs w:val="18"/>
              <w:lang w:val="en-US"/>
            </w:rPr>
          </w:pPr>
          <w:r w:rsidRPr="004D495C">
            <w:rPr>
              <w:sz w:val="18"/>
              <w:szCs w:val="18"/>
              <w:lang w:val="en-US"/>
            </w:rPr>
            <w:t>بريد إلكتروني:</w:t>
          </w:r>
        </w:p>
      </w:tc>
      <w:tc>
        <w:tcPr>
          <w:tcW w:w="5987" w:type="dxa"/>
        </w:tcPr>
        <w:p w14:paraId="7EAB0988" w14:textId="7A2D2770" w:rsidR="0059420B" w:rsidRPr="00AF7A97" w:rsidRDefault="00F54981" w:rsidP="0059420B">
          <w:pPr>
            <w:pStyle w:val="FirstFooter"/>
            <w:tabs>
              <w:tab w:val="left" w:pos="2302"/>
            </w:tabs>
            <w:bidi/>
            <w:rPr>
              <w:sz w:val="18"/>
              <w:szCs w:val="18"/>
              <w:lang w:val="en-US"/>
            </w:rPr>
          </w:pPr>
          <w:hyperlink r:id="rId1" w:history="1">
            <w:r w:rsidR="00C053DE" w:rsidRPr="00D87DB8">
              <w:rPr>
                <w:rStyle w:val="Hyperlink"/>
                <w:sz w:val="18"/>
                <w:szCs w:val="18"/>
                <w:lang w:val="en-US"/>
              </w:rPr>
              <w:t>fabio.bigi@virgilio.it</w:t>
            </w:r>
          </w:hyperlink>
          <w:r w:rsidR="00C053DE">
            <w:rPr>
              <w:sz w:val="18"/>
              <w:szCs w:val="18"/>
              <w:lang w:val="en-US"/>
            </w:rPr>
            <w:t xml:space="preserve"> </w:t>
          </w:r>
        </w:p>
      </w:tc>
      <w:bookmarkStart w:id="7" w:name="Email"/>
      <w:bookmarkEnd w:id="7"/>
    </w:tr>
  </w:tbl>
  <w:p w14:paraId="5AEFE7F9" w14:textId="77777777" w:rsidR="0059420B" w:rsidRDefault="0059420B" w:rsidP="00B80157">
    <w:pPr>
      <w:pStyle w:val="Footer"/>
      <w:jc w:val="center"/>
      <w:rPr>
        <w:lang w:val="en-GB"/>
      </w:rPr>
    </w:pPr>
  </w:p>
  <w:p w14:paraId="40A321D0" w14:textId="77777777" w:rsidR="00721657" w:rsidRPr="0059420B" w:rsidRDefault="00F54981" w:rsidP="00B80157">
    <w:pPr>
      <w:pStyle w:val="Footer"/>
      <w:bidi/>
      <w:jc w:val="center"/>
      <w:rPr>
        <w:lang w:val="en-GB"/>
      </w:rPr>
    </w:pPr>
    <w:hyperlink r:id="rId2" w:history="1">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F1DA4" w14:textId="77777777" w:rsidR="00DA25D2" w:rsidRDefault="00DA25D2">
      <w:r>
        <w:t>____________________</w:t>
      </w:r>
    </w:p>
  </w:footnote>
  <w:footnote w:type="continuationSeparator" w:id="0">
    <w:p w14:paraId="400A4919" w14:textId="77777777" w:rsidR="00DA25D2" w:rsidRDefault="00DA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6A688" w14:textId="77777777" w:rsidR="00F54981" w:rsidRDefault="00F54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5A7CCAF5" w:rsidR="00721657" w:rsidRPr="0047681D" w:rsidRDefault="0047681D" w:rsidP="0047681D">
    <w:pPr>
      <w:tabs>
        <w:tab w:val="clear" w:pos="794"/>
        <w:tab w:val="clear" w:pos="1191"/>
        <w:tab w:val="clear" w:pos="1588"/>
        <w:tab w:val="clear" w:pos="1985"/>
        <w:tab w:val="center" w:pos="4820"/>
        <w:tab w:val="right" w:pos="9639"/>
      </w:tabs>
      <w:bidi/>
      <w:ind w:right="1"/>
      <w:rPr>
        <w:rStyle w:val="PageNumber"/>
        <w:smallCaps/>
        <w:spacing w:val="24"/>
        <w:sz w:val="22"/>
        <w:szCs w:val="22"/>
        <w:lang w:val="de-CH"/>
      </w:rPr>
    </w:pPr>
    <w:r w:rsidRPr="00972BCD">
      <w:rPr>
        <w:sz w:val="22"/>
        <w:szCs w:val="22"/>
      </w:rPr>
      <w:tab/>
    </w:r>
    <w:r w:rsidRPr="00A54E72">
      <w:rPr>
        <w:sz w:val="22"/>
        <w:szCs w:val="22"/>
        <w:lang w:val="de-CH"/>
      </w:rPr>
      <w:t>TDAG-23/9(Rev.1)-</w:t>
    </w:r>
    <w:r w:rsidR="00F54981">
      <w:rPr>
        <w:sz w:val="22"/>
        <w:szCs w:val="22"/>
        <w:lang w:val="de-CH"/>
      </w:rPr>
      <w:t>A</w:t>
    </w:r>
    <w:bookmarkStart w:id="4" w:name="_GoBack"/>
    <w:bookmarkEnd w:id="4"/>
    <w:r w:rsidRPr="006D271A">
      <w:rPr>
        <w:sz w:val="22"/>
        <w:szCs w:val="22"/>
        <w:lang w:val="de-CH"/>
      </w:rPr>
      <w:tab/>
      <w:t xml:space="preserve">الصفحة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21AB" w14:textId="77777777" w:rsidR="00F54981" w:rsidRDefault="00F5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B27"/>
    <w:multiLevelType w:val="hybridMultilevel"/>
    <w:tmpl w:val="F834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0319"/>
    <w:multiLevelType w:val="hybridMultilevel"/>
    <w:tmpl w:val="E43A2EA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8F5223"/>
    <w:multiLevelType w:val="hybridMultilevel"/>
    <w:tmpl w:val="7E04F95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6C6B8E"/>
    <w:multiLevelType w:val="hybridMultilevel"/>
    <w:tmpl w:val="DC48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646FA"/>
    <w:multiLevelType w:val="multilevel"/>
    <w:tmpl w:val="3198DFD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3D0EE1"/>
    <w:multiLevelType w:val="hybridMultilevel"/>
    <w:tmpl w:val="735AA0D6"/>
    <w:lvl w:ilvl="0" w:tplc="6FA8E6B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0C4F"/>
    <w:multiLevelType w:val="multilevel"/>
    <w:tmpl w:val="F8C437C8"/>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596373"/>
    <w:multiLevelType w:val="multilevel"/>
    <w:tmpl w:val="6B40D1D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1C0358"/>
    <w:multiLevelType w:val="hybridMultilevel"/>
    <w:tmpl w:val="E3B4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3"/>
  </w:num>
  <w:num w:numId="4">
    <w:abstractNumId w:val="6"/>
  </w:num>
  <w:num w:numId="5">
    <w:abstractNumId w:val="0"/>
  </w:num>
  <w:num w:numId="6">
    <w:abstractNumId w:val="1"/>
  </w:num>
  <w:num w:numId="7">
    <w:abstractNumId w:val="8"/>
  </w:num>
  <w:num w:numId="8">
    <w:abstractNumId w:val="5"/>
  </w:num>
  <w:num w:numId="9">
    <w:abstractNumId w:val="9"/>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224"/>
    <w:rsid w:val="00002716"/>
    <w:rsid w:val="00003C43"/>
    <w:rsid w:val="00005791"/>
    <w:rsid w:val="0000586A"/>
    <w:rsid w:val="00010827"/>
    <w:rsid w:val="00015089"/>
    <w:rsid w:val="0002520B"/>
    <w:rsid w:val="00037A9E"/>
    <w:rsid w:val="00037F91"/>
    <w:rsid w:val="000539F1"/>
    <w:rsid w:val="00054747"/>
    <w:rsid w:val="00054C85"/>
    <w:rsid w:val="00055A2A"/>
    <w:rsid w:val="000615C1"/>
    <w:rsid w:val="00061675"/>
    <w:rsid w:val="000743AA"/>
    <w:rsid w:val="00076FCD"/>
    <w:rsid w:val="00077DC0"/>
    <w:rsid w:val="0009076F"/>
    <w:rsid w:val="0009225C"/>
    <w:rsid w:val="000A17C4"/>
    <w:rsid w:val="000A23DD"/>
    <w:rsid w:val="000A36A4"/>
    <w:rsid w:val="000A5AD8"/>
    <w:rsid w:val="000B2352"/>
    <w:rsid w:val="000C7B84"/>
    <w:rsid w:val="000D261B"/>
    <w:rsid w:val="000D58A3"/>
    <w:rsid w:val="000D5936"/>
    <w:rsid w:val="000E3ED4"/>
    <w:rsid w:val="000E3F9C"/>
    <w:rsid w:val="000F1550"/>
    <w:rsid w:val="000F1E5E"/>
    <w:rsid w:val="000F251B"/>
    <w:rsid w:val="000F5FE8"/>
    <w:rsid w:val="000F6644"/>
    <w:rsid w:val="00100833"/>
    <w:rsid w:val="00102F72"/>
    <w:rsid w:val="00107E85"/>
    <w:rsid w:val="0011197A"/>
    <w:rsid w:val="001120D3"/>
    <w:rsid w:val="00113EE8"/>
    <w:rsid w:val="0011455A"/>
    <w:rsid w:val="00114A65"/>
    <w:rsid w:val="00133061"/>
    <w:rsid w:val="0013590E"/>
    <w:rsid w:val="00141699"/>
    <w:rsid w:val="00147000"/>
    <w:rsid w:val="00163091"/>
    <w:rsid w:val="001645CB"/>
    <w:rsid w:val="00166305"/>
    <w:rsid w:val="00167545"/>
    <w:rsid w:val="001703C6"/>
    <w:rsid w:val="0017052D"/>
    <w:rsid w:val="001726CF"/>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602F"/>
    <w:rsid w:val="001C3444"/>
    <w:rsid w:val="001C3702"/>
    <w:rsid w:val="001C4656"/>
    <w:rsid w:val="001C46BC"/>
    <w:rsid w:val="001D1E06"/>
    <w:rsid w:val="001F23E6"/>
    <w:rsid w:val="001F4238"/>
    <w:rsid w:val="00200A38"/>
    <w:rsid w:val="00200A46"/>
    <w:rsid w:val="00211B6F"/>
    <w:rsid w:val="002125B4"/>
    <w:rsid w:val="00217CC3"/>
    <w:rsid w:val="00220AB6"/>
    <w:rsid w:val="0022120F"/>
    <w:rsid w:val="0022348E"/>
    <w:rsid w:val="0022754A"/>
    <w:rsid w:val="0023633C"/>
    <w:rsid w:val="00236560"/>
    <w:rsid w:val="0023662E"/>
    <w:rsid w:val="00245D0F"/>
    <w:rsid w:val="002548C3"/>
    <w:rsid w:val="00257ACD"/>
    <w:rsid w:val="00262908"/>
    <w:rsid w:val="002650F4"/>
    <w:rsid w:val="002715FD"/>
    <w:rsid w:val="0027683C"/>
    <w:rsid w:val="002770B1"/>
    <w:rsid w:val="00285B33"/>
    <w:rsid w:val="00287A3C"/>
    <w:rsid w:val="002A2FC6"/>
    <w:rsid w:val="002C1EC7"/>
    <w:rsid w:val="002C3015"/>
    <w:rsid w:val="002C34AF"/>
    <w:rsid w:val="002C4342"/>
    <w:rsid w:val="002C7EA3"/>
    <w:rsid w:val="002D20AE"/>
    <w:rsid w:val="002D3134"/>
    <w:rsid w:val="002D6C61"/>
    <w:rsid w:val="002E2104"/>
    <w:rsid w:val="002E2DAC"/>
    <w:rsid w:val="002E6963"/>
    <w:rsid w:val="002E6F8F"/>
    <w:rsid w:val="002F05D8"/>
    <w:rsid w:val="002F2DE0"/>
    <w:rsid w:val="002F5E25"/>
    <w:rsid w:val="0030353C"/>
    <w:rsid w:val="00305B53"/>
    <w:rsid w:val="003125C3"/>
    <w:rsid w:val="00312AE6"/>
    <w:rsid w:val="00317D1A"/>
    <w:rsid w:val="003211FF"/>
    <w:rsid w:val="003242AB"/>
    <w:rsid w:val="00325EC3"/>
    <w:rsid w:val="00326815"/>
    <w:rsid w:val="00327247"/>
    <w:rsid w:val="00327A9D"/>
    <w:rsid w:val="0033130E"/>
    <w:rsid w:val="0033269C"/>
    <w:rsid w:val="00337C85"/>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7215"/>
    <w:rsid w:val="003D451D"/>
    <w:rsid w:val="003F2DD8"/>
    <w:rsid w:val="003F3F2D"/>
    <w:rsid w:val="003F50B2"/>
    <w:rsid w:val="00400CCF"/>
    <w:rsid w:val="00401BFF"/>
    <w:rsid w:val="00404424"/>
    <w:rsid w:val="004079F6"/>
    <w:rsid w:val="0041156B"/>
    <w:rsid w:val="004122C5"/>
    <w:rsid w:val="00413B78"/>
    <w:rsid w:val="004147BE"/>
    <w:rsid w:val="00416DDE"/>
    <w:rsid w:val="0044411E"/>
    <w:rsid w:val="004444D0"/>
    <w:rsid w:val="00453435"/>
    <w:rsid w:val="00460089"/>
    <w:rsid w:val="00466398"/>
    <w:rsid w:val="0047306D"/>
    <w:rsid w:val="0047317F"/>
    <w:rsid w:val="00473791"/>
    <w:rsid w:val="0047681D"/>
    <w:rsid w:val="00476E48"/>
    <w:rsid w:val="004779D8"/>
    <w:rsid w:val="00481DE9"/>
    <w:rsid w:val="0049128B"/>
    <w:rsid w:val="00493B49"/>
    <w:rsid w:val="00495501"/>
    <w:rsid w:val="004A070A"/>
    <w:rsid w:val="004A320E"/>
    <w:rsid w:val="004A4E9C"/>
    <w:rsid w:val="004B1A3C"/>
    <w:rsid w:val="004C363D"/>
    <w:rsid w:val="004C5A77"/>
    <w:rsid w:val="004D2CC3"/>
    <w:rsid w:val="004D35CB"/>
    <w:rsid w:val="004D6BCF"/>
    <w:rsid w:val="004D7DAB"/>
    <w:rsid w:val="004E20E5"/>
    <w:rsid w:val="004E64EA"/>
    <w:rsid w:val="004E7828"/>
    <w:rsid w:val="004F2120"/>
    <w:rsid w:val="004F46AA"/>
    <w:rsid w:val="004F6A70"/>
    <w:rsid w:val="00500AD7"/>
    <w:rsid w:val="00502ABF"/>
    <w:rsid w:val="00504DB0"/>
    <w:rsid w:val="00507C35"/>
    <w:rsid w:val="00510735"/>
    <w:rsid w:val="00514D2F"/>
    <w:rsid w:val="00521722"/>
    <w:rsid w:val="00525B5A"/>
    <w:rsid w:val="0054420E"/>
    <w:rsid w:val="00544D1B"/>
    <w:rsid w:val="00545DC0"/>
    <w:rsid w:val="00545F6C"/>
    <w:rsid w:val="005477D9"/>
    <w:rsid w:val="0055720C"/>
    <w:rsid w:val="00561796"/>
    <w:rsid w:val="005632DD"/>
    <w:rsid w:val="0056423B"/>
    <w:rsid w:val="00573424"/>
    <w:rsid w:val="0057402F"/>
    <w:rsid w:val="00581653"/>
    <w:rsid w:val="00583485"/>
    <w:rsid w:val="005835A8"/>
    <w:rsid w:val="005849D6"/>
    <w:rsid w:val="00585367"/>
    <w:rsid w:val="005871A1"/>
    <w:rsid w:val="0058737E"/>
    <w:rsid w:val="00592518"/>
    <w:rsid w:val="00592E87"/>
    <w:rsid w:val="0059420B"/>
    <w:rsid w:val="00594C4D"/>
    <w:rsid w:val="005A33B0"/>
    <w:rsid w:val="005C0402"/>
    <w:rsid w:val="005C2DC2"/>
    <w:rsid w:val="005C304A"/>
    <w:rsid w:val="005C3D69"/>
    <w:rsid w:val="005C5A93"/>
    <w:rsid w:val="005C7C98"/>
    <w:rsid w:val="005D2C3A"/>
    <w:rsid w:val="005D3E37"/>
    <w:rsid w:val="005D55A4"/>
    <w:rsid w:val="005D57C8"/>
    <w:rsid w:val="005D7761"/>
    <w:rsid w:val="005E0278"/>
    <w:rsid w:val="005E090D"/>
    <w:rsid w:val="005E3CA0"/>
    <w:rsid w:val="005E44B1"/>
    <w:rsid w:val="005E67B0"/>
    <w:rsid w:val="005E7047"/>
    <w:rsid w:val="005E777F"/>
    <w:rsid w:val="005F1CA7"/>
    <w:rsid w:val="005F43DD"/>
    <w:rsid w:val="005F478E"/>
    <w:rsid w:val="005F51A9"/>
    <w:rsid w:val="005F6BE1"/>
    <w:rsid w:val="005F7416"/>
    <w:rsid w:val="00600C11"/>
    <w:rsid w:val="00606B89"/>
    <w:rsid w:val="00611EAF"/>
    <w:rsid w:val="00613C0E"/>
    <w:rsid w:val="00623F30"/>
    <w:rsid w:val="00625FB8"/>
    <w:rsid w:val="006261BD"/>
    <w:rsid w:val="0063348D"/>
    <w:rsid w:val="00635EDB"/>
    <w:rsid w:val="00643BDC"/>
    <w:rsid w:val="0064734E"/>
    <w:rsid w:val="00650137"/>
    <w:rsid w:val="006509D7"/>
    <w:rsid w:val="00651CE8"/>
    <w:rsid w:val="0065521B"/>
    <w:rsid w:val="00665539"/>
    <w:rsid w:val="00671EF6"/>
    <w:rsid w:val="0067205B"/>
    <w:rsid w:val="006748F8"/>
    <w:rsid w:val="00677964"/>
    <w:rsid w:val="00680489"/>
    <w:rsid w:val="00683C32"/>
    <w:rsid w:val="00690BB2"/>
    <w:rsid w:val="00693D09"/>
    <w:rsid w:val="00697F0B"/>
    <w:rsid w:val="006A6549"/>
    <w:rsid w:val="006A7710"/>
    <w:rsid w:val="006A7A61"/>
    <w:rsid w:val="006B1E59"/>
    <w:rsid w:val="006B2FFB"/>
    <w:rsid w:val="006C10A2"/>
    <w:rsid w:val="006C1F18"/>
    <w:rsid w:val="006D40D5"/>
    <w:rsid w:val="006D64F9"/>
    <w:rsid w:val="006F009A"/>
    <w:rsid w:val="006F3D93"/>
    <w:rsid w:val="006F521F"/>
    <w:rsid w:val="007019B1"/>
    <w:rsid w:val="00706778"/>
    <w:rsid w:val="00711AF4"/>
    <w:rsid w:val="00721657"/>
    <w:rsid w:val="007279A8"/>
    <w:rsid w:val="00727B1A"/>
    <w:rsid w:val="00735E3E"/>
    <w:rsid w:val="00741337"/>
    <w:rsid w:val="00752258"/>
    <w:rsid w:val="007529E1"/>
    <w:rsid w:val="00762880"/>
    <w:rsid w:val="00762AD6"/>
    <w:rsid w:val="00762E02"/>
    <w:rsid w:val="00772290"/>
    <w:rsid w:val="00777265"/>
    <w:rsid w:val="007805E7"/>
    <w:rsid w:val="0078222A"/>
    <w:rsid w:val="00787D48"/>
    <w:rsid w:val="00795294"/>
    <w:rsid w:val="00795BBF"/>
    <w:rsid w:val="007A4E50"/>
    <w:rsid w:val="007B18A7"/>
    <w:rsid w:val="007B250E"/>
    <w:rsid w:val="007C0717"/>
    <w:rsid w:val="007C27FC"/>
    <w:rsid w:val="007C51FF"/>
    <w:rsid w:val="007D50E4"/>
    <w:rsid w:val="007E2DC5"/>
    <w:rsid w:val="007F1CC7"/>
    <w:rsid w:val="008027AC"/>
    <w:rsid w:val="008028CE"/>
    <w:rsid w:val="0080332E"/>
    <w:rsid w:val="008141E0"/>
    <w:rsid w:val="00816EE1"/>
    <w:rsid w:val="00816F88"/>
    <w:rsid w:val="00821996"/>
    <w:rsid w:val="00822323"/>
    <w:rsid w:val="008271CB"/>
    <w:rsid w:val="00827BC6"/>
    <w:rsid w:val="008300AD"/>
    <w:rsid w:val="00833024"/>
    <w:rsid w:val="008419B1"/>
    <w:rsid w:val="00844A56"/>
    <w:rsid w:val="00845B11"/>
    <w:rsid w:val="008471FB"/>
    <w:rsid w:val="00852081"/>
    <w:rsid w:val="00853624"/>
    <w:rsid w:val="00872B6E"/>
    <w:rsid w:val="00874DFD"/>
    <w:rsid w:val="008802F9"/>
    <w:rsid w:val="00880C83"/>
    <w:rsid w:val="00883081"/>
    <w:rsid w:val="00883086"/>
    <w:rsid w:val="008879FD"/>
    <w:rsid w:val="00894C37"/>
    <w:rsid w:val="008A00EA"/>
    <w:rsid w:val="008A3F93"/>
    <w:rsid w:val="008A6236"/>
    <w:rsid w:val="008A6E1C"/>
    <w:rsid w:val="008A72FD"/>
    <w:rsid w:val="008B2EDF"/>
    <w:rsid w:val="008B47C7"/>
    <w:rsid w:val="008B54CB"/>
    <w:rsid w:val="008B5A3D"/>
    <w:rsid w:val="008C322F"/>
    <w:rsid w:val="008C4010"/>
    <w:rsid w:val="008C4FDF"/>
    <w:rsid w:val="008C6B1F"/>
    <w:rsid w:val="008D081C"/>
    <w:rsid w:val="008D5E4F"/>
    <w:rsid w:val="008E34F0"/>
    <w:rsid w:val="008F14F5"/>
    <w:rsid w:val="008F1A7C"/>
    <w:rsid w:val="008F4DC8"/>
    <w:rsid w:val="008F71C1"/>
    <w:rsid w:val="009018C0"/>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220C"/>
    <w:rsid w:val="00975786"/>
    <w:rsid w:val="00981CB7"/>
    <w:rsid w:val="00983E1F"/>
    <w:rsid w:val="00993F46"/>
    <w:rsid w:val="00995B12"/>
    <w:rsid w:val="00997358"/>
    <w:rsid w:val="009A452B"/>
    <w:rsid w:val="009B050C"/>
    <w:rsid w:val="009B087F"/>
    <w:rsid w:val="009B2AF4"/>
    <w:rsid w:val="009C110B"/>
    <w:rsid w:val="009C5441"/>
    <w:rsid w:val="009D119F"/>
    <w:rsid w:val="009D49A2"/>
    <w:rsid w:val="009F3940"/>
    <w:rsid w:val="009F3EB2"/>
    <w:rsid w:val="009F6EB1"/>
    <w:rsid w:val="00A11B3B"/>
    <w:rsid w:val="00A11D05"/>
    <w:rsid w:val="00A130A9"/>
    <w:rsid w:val="00A13162"/>
    <w:rsid w:val="00A20267"/>
    <w:rsid w:val="00A219E9"/>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C7772"/>
    <w:rsid w:val="00AD324F"/>
    <w:rsid w:val="00AD4677"/>
    <w:rsid w:val="00AE1057"/>
    <w:rsid w:val="00AE5961"/>
    <w:rsid w:val="00AF0745"/>
    <w:rsid w:val="00AF4971"/>
    <w:rsid w:val="00AF5276"/>
    <w:rsid w:val="00AF7C86"/>
    <w:rsid w:val="00B01046"/>
    <w:rsid w:val="00B13942"/>
    <w:rsid w:val="00B310F9"/>
    <w:rsid w:val="00B37866"/>
    <w:rsid w:val="00B412FB"/>
    <w:rsid w:val="00B41D1A"/>
    <w:rsid w:val="00B44C9A"/>
    <w:rsid w:val="00B455BB"/>
    <w:rsid w:val="00B4576B"/>
    <w:rsid w:val="00B46350"/>
    <w:rsid w:val="00B46DF3"/>
    <w:rsid w:val="00B648C7"/>
    <w:rsid w:val="00B66E8F"/>
    <w:rsid w:val="00B80157"/>
    <w:rsid w:val="00B83D5E"/>
    <w:rsid w:val="00B8460A"/>
    <w:rsid w:val="00B8650D"/>
    <w:rsid w:val="00B879B4"/>
    <w:rsid w:val="00B90F07"/>
    <w:rsid w:val="00B97BB9"/>
    <w:rsid w:val="00BA0009"/>
    <w:rsid w:val="00BA28CB"/>
    <w:rsid w:val="00BA55BA"/>
    <w:rsid w:val="00BB02B5"/>
    <w:rsid w:val="00BB1863"/>
    <w:rsid w:val="00BB25EE"/>
    <w:rsid w:val="00BB363A"/>
    <w:rsid w:val="00BC10A0"/>
    <w:rsid w:val="00BC7BA2"/>
    <w:rsid w:val="00BD1E2E"/>
    <w:rsid w:val="00BD426B"/>
    <w:rsid w:val="00BD79F0"/>
    <w:rsid w:val="00BE02AA"/>
    <w:rsid w:val="00BE2B4D"/>
    <w:rsid w:val="00C015F8"/>
    <w:rsid w:val="00C02C2A"/>
    <w:rsid w:val="00C053DE"/>
    <w:rsid w:val="00C0752E"/>
    <w:rsid w:val="00C07E26"/>
    <w:rsid w:val="00C1011C"/>
    <w:rsid w:val="00C12953"/>
    <w:rsid w:val="00C12F94"/>
    <w:rsid w:val="00C177C5"/>
    <w:rsid w:val="00C3488E"/>
    <w:rsid w:val="00C34EC3"/>
    <w:rsid w:val="00C4038C"/>
    <w:rsid w:val="00C42BA2"/>
    <w:rsid w:val="00C44066"/>
    <w:rsid w:val="00C44D45"/>
    <w:rsid w:val="00C44E13"/>
    <w:rsid w:val="00C60A41"/>
    <w:rsid w:val="00C62DE8"/>
    <w:rsid w:val="00C62DFB"/>
    <w:rsid w:val="00C630E6"/>
    <w:rsid w:val="00C63812"/>
    <w:rsid w:val="00C64AF3"/>
    <w:rsid w:val="00C66F4D"/>
    <w:rsid w:val="00C67BB5"/>
    <w:rsid w:val="00C711A7"/>
    <w:rsid w:val="00C72713"/>
    <w:rsid w:val="00C848EF"/>
    <w:rsid w:val="00C86600"/>
    <w:rsid w:val="00C87BCA"/>
    <w:rsid w:val="00C87EED"/>
    <w:rsid w:val="00C94506"/>
    <w:rsid w:val="00C954BC"/>
    <w:rsid w:val="00C967D7"/>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C72"/>
    <w:rsid w:val="00D013EE"/>
    <w:rsid w:val="00D01F54"/>
    <w:rsid w:val="00D040F7"/>
    <w:rsid w:val="00D04A76"/>
    <w:rsid w:val="00D10FC7"/>
    <w:rsid w:val="00D1519F"/>
    <w:rsid w:val="00D16EC2"/>
    <w:rsid w:val="00D20E99"/>
    <w:rsid w:val="00D21C83"/>
    <w:rsid w:val="00D35BDD"/>
    <w:rsid w:val="00D63006"/>
    <w:rsid w:val="00D65F3E"/>
    <w:rsid w:val="00D71F6D"/>
    <w:rsid w:val="00D72301"/>
    <w:rsid w:val="00D911DE"/>
    <w:rsid w:val="00D91B97"/>
    <w:rsid w:val="00D93ACC"/>
    <w:rsid w:val="00D93C08"/>
    <w:rsid w:val="00D95DAC"/>
    <w:rsid w:val="00DA0B53"/>
    <w:rsid w:val="00DA14B7"/>
    <w:rsid w:val="00DA25D2"/>
    <w:rsid w:val="00DA42DF"/>
    <w:rsid w:val="00DB1171"/>
    <w:rsid w:val="00DB1519"/>
    <w:rsid w:val="00DB274D"/>
    <w:rsid w:val="00DB2840"/>
    <w:rsid w:val="00DC1BD3"/>
    <w:rsid w:val="00DC2C1A"/>
    <w:rsid w:val="00DD66B4"/>
    <w:rsid w:val="00DE1972"/>
    <w:rsid w:val="00DE27AB"/>
    <w:rsid w:val="00DF2AB3"/>
    <w:rsid w:val="00DF7250"/>
    <w:rsid w:val="00E00CAA"/>
    <w:rsid w:val="00E03EBF"/>
    <w:rsid w:val="00E05209"/>
    <w:rsid w:val="00E05AC1"/>
    <w:rsid w:val="00E0633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17BA"/>
    <w:rsid w:val="00E83810"/>
    <w:rsid w:val="00E86933"/>
    <w:rsid w:val="00E9605B"/>
    <w:rsid w:val="00E97298"/>
    <w:rsid w:val="00E97753"/>
    <w:rsid w:val="00EA0C51"/>
    <w:rsid w:val="00EA7DE7"/>
    <w:rsid w:val="00EB7A8A"/>
    <w:rsid w:val="00EC01FE"/>
    <w:rsid w:val="00EC6FED"/>
    <w:rsid w:val="00EC7F3B"/>
    <w:rsid w:val="00ED5299"/>
    <w:rsid w:val="00EE3A64"/>
    <w:rsid w:val="00EE50E5"/>
    <w:rsid w:val="00EF01CF"/>
    <w:rsid w:val="00EF2157"/>
    <w:rsid w:val="00F00B21"/>
    <w:rsid w:val="00F03590"/>
    <w:rsid w:val="00F03622"/>
    <w:rsid w:val="00F077FD"/>
    <w:rsid w:val="00F204F3"/>
    <w:rsid w:val="00F218AB"/>
    <w:rsid w:val="00F238B3"/>
    <w:rsid w:val="00F24FED"/>
    <w:rsid w:val="00F25586"/>
    <w:rsid w:val="00F2651D"/>
    <w:rsid w:val="00F27362"/>
    <w:rsid w:val="00F31498"/>
    <w:rsid w:val="00F32FEF"/>
    <w:rsid w:val="00F34FFE"/>
    <w:rsid w:val="00F41B1C"/>
    <w:rsid w:val="00F42E13"/>
    <w:rsid w:val="00F42F1C"/>
    <w:rsid w:val="00F43B44"/>
    <w:rsid w:val="00F440E5"/>
    <w:rsid w:val="00F448F6"/>
    <w:rsid w:val="00F52741"/>
    <w:rsid w:val="00F53D8A"/>
    <w:rsid w:val="00F54981"/>
    <w:rsid w:val="00F56E56"/>
    <w:rsid w:val="00F626F7"/>
    <w:rsid w:val="00F736F9"/>
    <w:rsid w:val="00F73833"/>
    <w:rsid w:val="00F75D63"/>
    <w:rsid w:val="00F9211C"/>
    <w:rsid w:val="00FA095D"/>
    <w:rsid w:val="00FA6C8B"/>
    <w:rsid w:val="00FA6CDA"/>
    <w:rsid w:val="00FA7C89"/>
    <w:rsid w:val="00FB4139"/>
    <w:rsid w:val="00FB476E"/>
    <w:rsid w:val="00FC0D90"/>
    <w:rsid w:val="00FC2EF9"/>
    <w:rsid w:val="00FC7D8C"/>
    <w:rsid w:val="00FD3980"/>
    <w:rsid w:val="00FD431E"/>
    <w:rsid w:val="00FD5A2C"/>
    <w:rsid w:val="00FE0D47"/>
    <w:rsid w:val="00FE1D5C"/>
    <w:rsid w:val="00FE2F8B"/>
    <w:rsid w:val="00FE3669"/>
    <w:rsid w:val="00FE5204"/>
    <w:rsid w:val="00FF19B2"/>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a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qFormat/>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ar" w:eastAsia="en-US"/>
    </w:rPr>
  </w:style>
  <w:style w:type="character" w:customStyle="1" w:styleId="FooterChar">
    <w:name w:val="Footer Char"/>
    <w:basedOn w:val="DefaultParagraphFont"/>
    <w:link w:val="Footer"/>
    <w:rsid w:val="0056423B"/>
    <w:rPr>
      <w:rFonts w:ascii="Times New Roman" w:hAnsi="Times New Roman"/>
      <w:caps/>
      <w:noProof/>
      <w:sz w:val="16"/>
      <w:lang w:val="a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eastAsia="en-US"/>
    </w:rPr>
  </w:style>
  <w:style w:type="paragraph" w:styleId="ListParagraph">
    <w:name w:val="List Paragraph"/>
    <w:aliases w:val="Recommendation,List Paragraph11,O5,Para_sk,Resume Title,- Bullets"/>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B44C9A"/>
    <w:rPr>
      <w:rFonts w:asciiTheme="minorHAnsi" w:hAnsiTheme="minorHAnsi"/>
      <w:sz w:val="24"/>
      <w:lang w:val="ar" w:eastAsia="en-US"/>
    </w:rPr>
  </w:style>
  <w:style w:type="character" w:styleId="UnresolvedMention">
    <w:name w:val="Unresolved Mention"/>
    <w:basedOn w:val="DefaultParagraphFont"/>
    <w:uiPriority w:val="99"/>
    <w:semiHidden/>
    <w:unhideWhenUsed/>
    <w:rsid w:val="00076FCD"/>
    <w:rPr>
      <w:color w:val="605E5C"/>
      <w:shd w:val="clear" w:color="auto" w:fill="E1DFDD"/>
    </w:rPr>
  </w:style>
  <w:style w:type="paragraph" w:styleId="BalloonText">
    <w:name w:val="Balloon Text"/>
    <w:basedOn w:val="Normal"/>
    <w:link w:val="BalloonTextChar"/>
    <w:semiHidden/>
    <w:unhideWhenUsed/>
    <w:rsid w:val="00337C8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7C85"/>
    <w:rPr>
      <w:rFonts w:ascii="Segoe UI" w:hAnsi="Segoe UI" w:cs="Segoe UI"/>
      <w:sz w:val="18"/>
      <w:szCs w:val="18"/>
      <w:lang w:val="ar" w:eastAsia="en-US"/>
    </w:rPr>
  </w:style>
  <w:style w:type="character" w:customStyle="1" w:styleId="Title1Char">
    <w:name w:val="Title 1 Char"/>
    <w:link w:val="Title1"/>
    <w:qFormat/>
    <w:locked/>
    <w:rsid w:val="00337C85"/>
    <w:rPr>
      <w:rFonts w:asciiTheme="minorHAnsi" w:hAnsiTheme="minorHAnsi" w:cs="Times New Roman Bold"/>
      <w:sz w:val="28"/>
      <w:lang w:val="ar" w:eastAsia="en-US"/>
    </w:rPr>
  </w:style>
  <w:style w:type="paragraph" w:customStyle="1" w:styleId="default-style">
    <w:name w:val="default-style"/>
    <w:basedOn w:val="Normal"/>
    <w:rsid w:val="00337C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DEC-005-A.pdf" TargetMode="External"/><Relationship Id="rId18" Type="http://schemas.openxmlformats.org/officeDocument/2006/relationships/hyperlink" Target="https://www.itu.int/en/general-secretariat/ties/ISCGDocumentLibrary/1st%20Meeting%202023/Mapping-of-resolutions-Updated%20Oct2022.pdf" TargetMode="External"/><Relationship Id="rId26" Type="http://schemas.openxmlformats.org/officeDocument/2006/relationships/hyperlink" Target="https://www.itu.int/en/general-secretariat/ties/ISCGDocumentLibrary/1st%20Meeting%202023/Kenya-ATDI-Contribution%20ISCG%2023-1.docx" TargetMode="External"/><Relationship Id="rId39" Type="http://schemas.openxmlformats.org/officeDocument/2006/relationships/footer" Target="footer2.xml"/><Relationship Id="rId21" Type="http://schemas.openxmlformats.org/officeDocument/2006/relationships/hyperlink" Target="https://www.itu.int/en/general-secretariat/ties/ISCGDocumentLibrary/1st%20Meeting%202023/ITU-R%20Focal%20Point-Contribution%20ISCG%2023-1.docx" TargetMode="External"/><Relationship Id="rId34" Type="http://schemas.openxmlformats.org/officeDocument/2006/relationships/hyperlink" Target="https://www.itu.int/en/general-secretariat/ties/ISCGDocumentLibrary/1st%20Meeting%202023/Virtual%20meetings-Contribution%20ISCG%2023-1.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general-secretariat/Pages/ISCG/default.aspx" TargetMode="External"/><Relationship Id="rId20" Type="http://schemas.openxmlformats.org/officeDocument/2006/relationships/hyperlink" Target="https://www.itu.int/en/general-secretariat/ties/ISCGDocumentLibrary/1st%20Meeting%202023/ITU-R%20Focal%20Point-Contribution%20ISCG%2023-1.docx" TargetMode="External"/><Relationship Id="rId29" Type="http://schemas.openxmlformats.org/officeDocument/2006/relationships/hyperlink" Target="https://www.itu.int/en/general-secretariat/ties/ISCGDocumentLibrary/Liaisons%20Statements%20on%20Inter-Sectoral%20Coordination%20Activities/Table%201.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general-secretariat/ties/ISCGDocumentLibrary/1st%20Meeting%202023/sp17-tsag-oLS-00003.docx" TargetMode="External"/><Relationship Id="rId32" Type="http://schemas.openxmlformats.org/officeDocument/2006/relationships/hyperlink" Target="mailto:bruce.gracie@ericsson.co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en/general-secretariat/ties/ISCGDocumentLibrary/1st%20Meeting%202023/List%20of%20Participants.docx" TargetMode="External"/><Relationship Id="rId23" Type="http://schemas.openxmlformats.org/officeDocument/2006/relationships/hyperlink" Target="https://www.itu.int/en/general-secretariat/ties/ISCGDocumentLibrary/1st%20Meeting%202023/Virtual%20meetings-Contribution%20ISCG%2023-1.docx" TargetMode="External"/><Relationship Id="rId28" Type="http://schemas.openxmlformats.org/officeDocument/2006/relationships/hyperlink" Target="https://www.itu.int/en/general-secretariat/ties/ISCGDocumentLibrary/1st%20Meeting%202023/Mapping-of-resolutions-Updated%20Oct2022.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en/general-secretariat/ties/ISCGDocumentLibrary/1st%20Meeting%202023/Climate%20change.docx" TargetMode="External"/><Relationship Id="rId31" Type="http://schemas.openxmlformats.org/officeDocument/2006/relationships/hyperlink" Target="mailto:philrushton@rcc-uk.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general-secretariat/ties/ISCGDocumentLibrary/1st%20Meeting%202023/ISCG-23-1-01-E-Agenda-R1.docx" TargetMode="External"/><Relationship Id="rId22" Type="http://schemas.openxmlformats.org/officeDocument/2006/relationships/hyperlink" Target="https://www.itu.int/en/general-secretariat/ties/ISCGDocumentLibrary/1st%20Meeting%202023/Accessibility.docx" TargetMode="External"/><Relationship Id="rId27" Type="http://schemas.openxmlformats.org/officeDocument/2006/relationships/hyperlink" Target="https://www.itu.int/en/general-secretariat/Pages/ISCG/Terms-of-reference-for-IST.aspx" TargetMode="External"/><Relationship Id="rId30" Type="http://schemas.openxmlformats.org/officeDocument/2006/relationships/hyperlink" Target="https://www.itu.int/en/general-secretariat/ties/ISCGDocumentLibrary/Liaisons%20Statements%20on%20Inter-Sectoral%20Coordination%20Activities/Table%202.pdf" TargetMode="External"/><Relationship Id="rId35" Type="http://schemas.openxmlformats.org/officeDocument/2006/relationships/hyperlink" Target="https://www.itu.int/rec/T-REC-A.Sup4-202212-I"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council/Documents/basic-texts-2023/RES-191-A.pdf" TargetMode="External"/><Relationship Id="rId17" Type="http://schemas.openxmlformats.org/officeDocument/2006/relationships/hyperlink" Target="https://www.itu.int/en/general-secretariat/ties/ISCGDocumentLibrary/1st%20Meeting%202023/Resolution%20191-Rev%20Bucharest%202022-E.pdf" TargetMode="External"/><Relationship Id="rId25" Type="http://schemas.openxmlformats.org/officeDocument/2006/relationships/hyperlink" Target="https://www.itu.int/en/general-secretariat/ties/ISCGDocumentLibrary/1st%20Meeting%202023/Russian%20Fed-Contribution%20ISCG%2023-1-R1.docx" TargetMode="External"/><Relationship Id="rId33" Type="http://schemas.openxmlformats.org/officeDocument/2006/relationships/hyperlink" Target="mailto:iscg@itu.int" TargetMode="External"/><Relationship Id="rId38"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FAC383865E47BE840F392BFA449D14"/>
        <w:category>
          <w:name w:val="General"/>
          <w:gallery w:val="placeholder"/>
        </w:category>
        <w:types>
          <w:type w:val="bbPlcHdr"/>
        </w:types>
        <w:behaviors>
          <w:behavior w:val="content"/>
        </w:behaviors>
        <w:guid w:val="{B5349837-B49E-4B1F-9A3D-7556646F2AFE}"/>
      </w:docPartPr>
      <w:docPartBody>
        <w:p w:rsidR="00EF0FD4" w:rsidRDefault="003F5449" w:rsidP="003F5449">
          <w:pPr>
            <w:pStyle w:val="C0FAC383865E47BE840F392BFA449D14"/>
            <w:bidi/>
          </w:pPr>
          <w:r w:rsidRPr="00543D41">
            <w:rPr>
              <w:rStyle w:val="PlaceholderText"/>
              <w:highlight w:val="yellow"/>
            </w:rPr>
            <w:t>أدخل المصدر (المصادر)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Dubai">
    <w:altName w:val="Arial"/>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49"/>
    <w:rsid w:val="003F5449"/>
    <w:rsid w:val="00EF0F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a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449"/>
    <w:rPr>
      <w:rFonts w:ascii="Times New Roman" w:hAnsi="Times New Roman"/>
      <w:color w:val="808080"/>
    </w:rPr>
  </w:style>
  <w:style w:type="paragraph" w:customStyle="1" w:styleId="C0FAC383865E47BE840F392BFA449D14">
    <w:name w:val="C0FAC383865E47BE840F392BFA449D14"/>
    <w:rsid w:val="003F5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3D95-8596-4898-95E7-B6BB108DC17A}">
  <ds:schemaRefs>
    <ds:schemaRef ds:uri="http://schemas.microsoft.com/sharepoint/v3/contenttype/forms"/>
  </ds:schemaRefs>
</ds:datastoreItem>
</file>

<file path=customXml/itemProps2.xml><?xml version="1.0" encoding="utf-8"?>
<ds:datastoreItem xmlns:ds="http://schemas.openxmlformats.org/officeDocument/2006/customXml" ds:itemID="{EAAF1051-3405-47E2-AAA7-40BEBB14C7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DD0D8D-2475-411F-9E73-B0A73EEB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A0910-F0BA-46C8-9CF7-1BC123BF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1886</Words>
  <Characters>12479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5</cp:revision>
  <cp:lastPrinted>2014-11-04T09:22:00Z</cp:lastPrinted>
  <dcterms:created xsi:type="dcterms:W3CDTF">2023-06-22T08:13:00Z</dcterms:created>
  <dcterms:modified xsi:type="dcterms:W3CDTF">2023-06-22T08:17:00Z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