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413393" w14:paraId="3F0E9EC4" w14:textId="77777777">
        <w:trPr>
          <w:cantSplit/>
          <w:trHeight w:val="1134"/>
        </w:trPr>
        <w:tc>
          <w:tcPr>
            <w:tcW w:w="6379" w:type="dxa"/>
          </w:tcPr>
          <w:p w14:paraId="1915BB6E" w14:textId="46FF1F99" w:rsidR="00C121C9" w:rsidRDefault="00C121C9" w:rsidP="00156283">
            <w:pPr>
              <w:tabs>
                <w:tab w:val="clear" w:pos="1191"/>
                <w:tab w:val="clear" w:pos="1588"/>
                <w:tab w:val="clear" w:pos="1985"/>
              </w:tabs>
              <w:ind w:left="34"/>
              <w:rPr>
                <w:b/>
                <w:bCs/>
                <w:sz w:val="32"/>
                <w:szCs w:val="32"/>
                <w:lang w:val="fr-FR"/>
              </w:rPr>
            </w:pPr>
            <w:r w:rsidRPr="00C121C9">
              <w:rPr>
                <w:b/>
                <w:bCs/>
                <w:sz w:val="32"/>
                <w:szCs w:val="32"/>
                <w:lang w:val="fr-FR"/>
              </w:rPr>
              <w:t xml:space="preserve">Groupe consultatif pour le développement </w:t>
            </w:r>
            <w:r w:rsidR="00156283">
              <w:rPr>
                <w:b/>
                <w:bCs/>
                <w:sz w:val="32"/>
                <w:szCs w:val="32"/>
                <w:lang w:val="fr-FR"/>
              </w:rPr>
              <w:br/>
            </w:r>
            <w:r w:rsidRPr="00C121C9">
              <w:rPr>
                <w:b/>
                <w:bCs/>
                <w:sz w:val="32"/>
                <w:szCs w:val="32"/>
                <w:lang w:val="fr-FR"/>
              </w:rPr>
              <w:t>des télécommunications (GCDT)</w:t>
            </w:r>
          </w:p>
          <w:p w14:paraId="5F5F590A" w14:textId="362887D8" w:rsidR="00413393" w:rsidRPr="00C121C9" w:rsidRDefault="002936F2" w:rsidP="00C121C9">
            <w:pPr>
              <w:tabs>
                <w:tab w:val="clear" w:pos="1191"/>
                <w:tab w:val="clear" w:pos="1588"/>
                <w:tab w:val="clear" w:pos="1985"/>
              </w:tabs>
              <w:spacing w:before="100" w:after="120"/>
              <w:ind w:left="34"/>
              <w:rPr>
                <w:rFonts w:ascii="Verdana" w:hAnsi="Verdana"/>
                <w:sz w:val="28"/>
                <w:szCs w:val="28"/>
                <w:lang w:val="fr-FR"/>
              </w:rPr>
            </w:pPr>
            <w:r w:rsidRPr="00C121C9">
              <w:rPr>
                <w:b/>
                <w:bCs/>
                <w:sz w:val="26"/>
                <w:szCs w:val="26"/>
                <w:lang w:val="fr-FR"/>
              </w:rPr>
              <w:t>30</w:t>
            </w:r>
            <w:r w:rsidR="00C121C9" w:rsidRPr="00156283">
              <w:rPr>
                <w:b/>
                <w:bCs/>
                <w:sz w:val="26"/>
                <w:szCs w:val="26"/>
                <w:lang w:val="fr-FR"/>
              </w:rPr>
              <w:t>ème</w:t>
            </w:r>
            <w:r w:rsidR="00C121C9">
              <w:rPr>
                <w:b/>
                <w:bCs/>
                <w:sz w:val="26"/>
                <w:szCs w:val="26"/>
                <w:lang w:val="fr-FR"/>
              </w:rPr>
              <w:t xml:space="preserve"> </w:t>
            </w:r>
            <w:r w:rsidRPr="00C121C9">
              <w:rPr>
                <w:b/>
                <w:bCs/>
                <w:sz w:val="26"/>
                <w:szCs w:val="26"/>
                <w:lang w:val="fr-FR"/>
              </w:rPr>
              <w:t>réunion, Genève, Suisse, 19-23 juin 2023</w:t>
            </w:r>
          </w:p>
        </w:tc>
        <w:tc>
          <w:tcPr>
            <w:tcW w:w="3509" w:type="dxa"/>
          </w:tcPr>
          <w:p w14:paraId="67E7B4C4" w14:textId="1428984F" w:rsidR="00413393" w:rsidRDefault="002936F2">
            <w:pPr>
              <w:spacing w:after="120"/>
              <w:ind w:right="142"/>
              <w:jc w:val="right"/>
            </w:pPr>
            <w:r>
              <w:rPr>
                <w:noProof/>
                <w:lang w:val="en-US"/>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13393" w14:paraId="3C13197B" w14:textId="77777777">
        <w:trPr>
          <w:cantSplit/>
        </w:trPr>
        <w:tc>
          <w:tcPr>
            <w:tcW w:w="6379" w:type="dxa"/>
            <w:tcBorders>
              <w:top w:val="single" w:sz="12" w:space="0" w:color="auto"/>
            </w:tcBorders>
          </w:tcPr>
          <w:p w14:paraId="2EED9DB2" w14:textId="77777777" w:rsidR="00413393" w:rsidRDefault="00413393">
            <w:pPr>
              <w:spacing w:before="0"/>
              <w:rPr>
                <w:rFonts w:cs="Arial"/>
                <w:b/>
                <w:bCs/>
                <w:sz w:val="20"/>
              </w:rPr>
            </w:pPr>
          </w:p>
        </w:tc>
        <w:tc>
          <w:tcPr>
            <w:tcW w:w="3509" w:type="dxa"/>
            <w:tcBorders>
              <w:top w:val="single" w:sz="12" w:space="0" w:color="auto"/>
            </w:tcBorders>
          </w:tcPr>
          <w:p w14:paraId="6CC77CFE" w14:textId="77777777" w:rsidR="00413393" w:rsidRDefault="00413393">
            <w:pPr>
              <w:spacing w:before="0"/>
              <w:rPr>
                <w:b/>
                <w:bCs/>
                <w:sz w:val="20"/>
              </w:rPr>
            </w:pPr>
          </w:p>
        </w:tc>
      </w:tr>
      <w:tr w:rsidR="00413393" w14:paraId="0BB3FBC4" w14:textId="77777777">
        <w:trPr>
          <w:cantSplit/>
        </w:trPr>
        <w:tc>
          <w:tcPr>
            <w:tcW w:w="6379" w:type="dxa"/>
          </w:tcPr>
          <w:p w14:paraId="43C54B3D" w14:textId="77777777" w:rsidR="00413393" w:rsidRDefault="00413393">
            <w:pPr>
              <w:pStyle w:val="Committee"/>
              <w:spacing w:before="0"/>
              <w:rPr>
                <w:b w:val="0"/>
                <w:szCs w:val="24"/>
              </w:rPr>
            </w:pPr>
          </w:p>
        </w:tc>
        <w:tc>
          <w:tcPr>
            <w:tcW w:w="3509" w:type="dxa"/>
          </w:tcPr>
          <w:p w14:paraId="02E44EE9" w14:textId="64E01C4B" w:rsidR="00413393" w:rsidRDefault="002936F2">
            <w:pPr>
              <w:spacing w:before="0"/>
              <w:jc w:val="both"/>
              <w:rPr>
                <w:bCs/>
                <w:szCs w:val="24"/>
                <w:lang w:val="en-US"/>
              </w:rPr>
            </w:pPr>
            <w:r>
              <w:rPr>
                <w:b/>
                <w:bCs/>
                <w:lang w:val="en-US"/>
              </w:rPr>
              <w:t xml:space="preserve">Document </w:t>
            </w:r>
            <w:bookmarkStart w:id="0" w:name="DocRef1"/>
            <w:bookmarkEnd w:id="0"/>
            <w:r>
              <w:rPr>
                <w:b/>
                <w:bCs/>
                <w:lang w:val="en-US"/>
              </w:rPr>
              <w:t>TDAG-2</w:t>
            </w:r>
            <w:bookmarkStart w:id="1" w:name="DocNo1"/>
            <w:bookmarkEnd w:id="1"/>
            <w:r>
              <w:rPr>
                <w:b/>
                <w:bCs/>
                <w:lang w:val="en-US"/>
              </w:rPr>
              <w:t>3/9-</w:t>
            </w:r>
            <w:r w:rsidR="00C121C9">
              <w:rPr>
                <w:b/>
                <w:bCs/>
                <w:lang w:val="en-US"/>
              </w:rPr>
              <w:t>F</w:t>
            </w:r>
          </w:p>
        </w:tc>
      </w:tr>
      <w:tr w:rsidR="00413393" w14:paraId="24D04936" w14:textId="77777777">
        <w:trPr>
          <w:cantSplit/>
        </w:trPr>
        <w:tc>
          <w:tcPr>
            <w:tcW w:w="6379" w:type="dxa"/>
          </w:tcPr>
          <w:p w14:paraId="12CE4DBF" w14:textId="77777777" w:rsidR="00413393" w:rsidRDefault="00413393">
            <w:pPr>
              <w:spacing w:before="0"/>
              <w:rPr>
                <w:b/>
                <w:bCs/>
                <w:smallCaps/>
                <w:szCs w:val="24"/>
                <w:lang w:val="en-US"/>
              </w:rPr>
            </w:pPr>
          </w:p>
        </w:tc>
        <w:tc>
          <w:tcPr>
            <w:tcW w:w="3509" w:type="dxa"/>
          </w:tcPr>
          <w:p w14:paraId="0F89640F" w14:textId="6284918B" w:rsidR="00413393" w:rsidRDefault="002936F2">
            <w:pPr>
              <w:spacing w:before="0"/>
              <w:rPr>
                <w:b/>
                <w:szCs w:val="24"/>
              </w:rPr>
            </w:pPr>
            <w:bookmarkStart w:id="2" w:name="CreationDate"/>
            <w:bookmarkEnd w:id="2"/>
            <w:r>
              <w:rPr>
                <w:b/>
                <w:bCs/>
                <w:szCs w:val="28"/>
              </w:rPr>
              <w:t>9 mai 2023</w:t>
            </w:r>
          </w:p>
        </w:tc>
      </w:tr>
      <w:tr w:rsidR="00413393" w14:paraId="7B96545F" w14:textId="77777777">
        <w:trPr>
          <w:cantSplit/>
        </w:trPr>
        <w:tc>
          <w:tcPr>
            <w:tcW w:w="6379" w:type="dxa"/>
          </w:tcPr>
          <w:p w14:paraId="65956FD3" w14:textId="77777777" w:rsidR="00413393" w:rsidRDefault="00413393">
            <w:pPr>
              <w:spacing w:before="0"/>
              <w:rPr>
                <w:b/>
                <w:bCs/>
                <w:smallCaps/>
                <w:szCs w:val="24"/>
              </w:rPr>
            </w:pPr>
          </w:p>
        </w:tc>
        <w:tc>
          <w:tcPr>
            <w:tcW w:w="3509" w:type="dxa"/>
          </w:tcPr>
          <w:p w14:paraId="30EFD39F" w14:textId="37D40EAE" w:rsidR="00413393" w:rsidRDefault="002936F2">
            <w:pPr>
              <w:spacing w:before="0"/>
              <w:rPr>
                <w:szCs w:val="24"/>
              </w:rPr>
            </w:pPr>
            <w:r>
              <w:rPr>
                <w:b/>
              </w:rPr>
              <w:t>Original</w:t>
            </w:r>
            <w:r w:rsidR="00156283">
              <w:rPr>
                <w:b/>
              </w:rPr>
              <w:t>:</w:t>
            </w:r>
            <w:bookmarkStart w:id="3" w:name="Original"/>
            <w:bookmarkEnd w:id="3"/>
            <w:r>
              <w:rPr>
                <w:b/>
              </w:rPr>
              <w:t xml:space="preserve"> anglais</w:t>
            </w:r>
          </w:p>
        </w:tc>
      </w:tr>
      <w:tr w:rsidR="00413393" w:rsidRPr="00156283" w14:paraId="31656E31" w14:textId="77777777">
        <w:trPr>
          <w:cantSplit/>
          <w:trHeight w:val="852"/>
        </w:trPr>
        <w:tc>
          <w:tcPr>
            <w:tcW w:w="9888" w:type="dxa"/>
            <w:gridSpan w:val="2"/>
          </w:tcPr>
          <w:p w14:paraId="512FCA01" w14:textId="16578C93" w:rsidR="00413393" w:rsidRPr="00C121C9" w:rsidRDefault="002936F2">
            <w:pPr>
              <w:pStyle w:val="Source"/>
              <w:rPr>
                <w:lang w:val="fr-FR"/>
              </w:rPr>
            </w:pPr>
            <w:bookmarkStart w:id="4" w:name="Source"/>
            <w:bookmarkEnd w:id="4"/>
            <w:r w:rsidRPr="00C121C9">
              <w:rPr>
                <w:lang w:val="fr-FR"/>
              </w:rPr>
              <w:t xml:space="preserve">Président du </w:t>
            </w:r>
            <w:r w:rsidR="00C121C9">
              <w:rPr>
                <w:lang w:val="fr-FR"/>
              </w:rPr>
              <w:t>G</w:t>
            </w:r>
            <w:r w:rsidRPr="00C121C9">
              <w:rPr>
                <w:lang w:val="fr-FR"/>
              </w:rPr>
              <w:t>roupe de coordination intersectorielle</w:t>
            </w:r>
          </w:p>
        </w:tc>
      </w:tr>
      <w:tr w:rsidR="00413393" w:rsidRPr="00156283" w14:paraId="2CBD3A36" w14:textId="77777777">
        <w:trPr>
          <w:cantSplit/>
        </w:trPr>
        <w:tc>
          <w:tcPr>
            <w:tcW w:w="9888" w:type="dxa"/>
            <w:gridSpan w:val="2"/>
          </w:tcPr>
          <w:p w14:paraId="1B4121DF" w14:textId="071652E5" w:rsidR="00413393" w:rsidRPr="00C121C9" w:rsidRDefault="002936F2">
            <w:pPr>
              <w:pStyle w:val="Title1"/>
              <w:rPr>
                <w:lang w:val="fr-FR"/>
              </w:rPr>
            </w:pPr>
            <w:bookmarkStart w:id="5" w:name="Title"/>
            <w:bookmarkEnd w:id="5"/>
            <w:r w:rsidRPr="00C121C9">
              <w:rPr>
                <w:lang w:val="fr-FR"/>
              </w:rPr>
              <w:t xml:space="preserve">Rapport du </w:t>
            </w:r>
            <w:r w:rsidR="00CC4590">
              <w:rPr>
                <w:lang w:val="fr-FR"/>
              </w:rPr>
              <w:t>G</w:t>
            </w:r>
            <w:r w:rsidRPr="00C121C9">
              <w:rPr>
                <w:lang w:val="fr-FR"/>
              </w:rPr>
              <w:t>roupe de coordination intersectoriel</w:t>
            </w:r>
            <w:r w:rsidR="00CC4590">
              <w:rPr>
                <w:lang w:val="fr-FR"/>
              </w:rPr>
              <w:t xml:space="preserve">le </w:t>
            </w:r>
            <w:r w:rsidRPr="00C121C9">
              <w:rPr>
                <w:lang w:val="fr-FR"/>
              </w:rPr>
              <w:br/>
              <w:t>sur des questions d</w:t>
            </w:r>
            <w:r w:rsidR="00156283">
              <w:rPr>
                <w:lang w:val="fr-FR"/>
              </w:rPr>
              <w:t>'</w:t>
            </w:r>
            <w:r w:rsidRPr="00C121C9">
              <w:rPr>
                <w:lang w:val="fr-FR"/>
              </w:rPr>
              <w:t>intérêt mutuel</w:t>
            </w:r>
            <w:r w:rsidR="00A83398">
              <w:rPr>
                <w:lang w:val="fr-FR"/>
              </w:rPr>
              <w:t xml:space="preserve"> </w:t>
            </w:r>
            <w:r w:rsidR="00CC4590" w:rsidRPr="00C121C9">
              <w:rPr>
                <w:lang w:val="fr-FR"/>
              </w:rPr>
              <w:t>(</w:t>
            </w:r>
            <w:r w:rsidR="00CC4590">
              <w:rPr>
                <w:lang w:val="fr-FR"/>
              </w:rPr>
              <w:t>ISCG</w:t>
            </w:r>
            <w:r w:rsidR="00CC4590" w:rsidRPr="00C121C9">
              <w:rPr>
                <w:lang w:val="fr-FR"/>
              </w:rPr>
              <w:t>)</w:t>
            </w:r>
          </w:p>
        </w:tc>
      </w:tr>
      <w:tr w:rsidR="00413393" w:rsidRPr="00156283" w14:paraId="23A30231" w14:textId="77777777">
        <w:trPr>
          <w:cantSplit/>
        </w:trPr>
        <w:tc>
          <w:tcPr>
            <w:tcW w:w="9888" w:type="dxa"/>
            <w:gridSpan w:val="2"/>
            <w:tcBorders>
              <w:bottom w:val="single" w:sz="4" w:space="0" w:color="auto"/>
            </w:tcBorders>
          </w:tcPr>
          <w:p w14:paraId="726EE70E" w14:textId="77777777" w:rsidR="00413393" w:rsidRPr="00C121C9" w:rsidRDefault="00413393">
            <w:pPr>
              <w:rPr>
                <w:lang w:val="fr-FR"/>
              </w:rPr>
            </w:pPr>
          </w:p>
        </w:tc>
      </w:tr>
      <w:tr w:rsidR="00413393" w:rsidRPr="00B224D3" w14:paraId="590033C8" w14:textId="77777777">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19BDA6AD" w:rsidR="00413393" w:rsidRPr="00C121C9" w:rsidRDefault="002936F2">
            <w:pPr>
              <w:spacing w:after="120"/>
              <w:rPr>
                <w:b/>
                <w:bCs/>
                <w:szCs w:val="24"/>
                <w:lang w:val="fr-FR"/>
              </w:rPr>
            </w:pPr>
            <w:r w:rsidRPr="00C121C9">
              <w:rPr>
                <w:b/>
                <w:bCs/>
                <w:szCs w:val="24"/>
                <w:lang w:val="fr-FR"/>
              </w:rPr>
              <w:t>Résumé</w:t>
            </w:r>
            <w:r w:rsidR="00156283">
              <w:rPr>
                <w:b/>
                <w:bCs/>
                <w:szCs w:val="24"/>
                <w:lang w:val="fr-FR"/>
              </w:rPr>
              <w:t>:</w:t>
            </w:r>
          </w:p>
          <w:p w14:paraId="3523E51D" w14:textId="67BF1380" w:rsidR="00413393" w:rsidRPr="00C121C9" w:rsidRDefault="00CC4590">
            <w:pPr>
              <w:spacing w:after="120"/>
              <w:rPr>
                <w:szCs w:val="24"/>
                <w:lang w:val="fr-FR"/>
              </w:rPr>
            </w:pPr>
            <w:r w:rsidRPr="00CC4590">
              <w:rPr>
                <w:lang w:val="fr-FR"/>
              </w:rPr>
              <w:t>On trouvera dans le présent document un rapport d</w:t>
            </w:r>
            <w:r w:rsidR="00156283">
              <w:rPr>
                <w:lang w:val="fr-FR"/>
              </w:rPr>
              <w:t>'</w:t>
            </w:r>
            <w:r w:rsidRPr="00CC4590">
              <w:rPr>
                <w:lang w:val="fr-FR"/>
              </w:rPr>
              <w:t>activité du Groupe de coordination intersectorielle sur les questions d</w:t>
            </w:r>
            <w:r w:rsidR="00156283">
              <w:rPr>
                <w:lang w:val="fr-FR"/>
              </w:rPr>
              <w:t>'</w:t>
            </w:r>
            <w:r w:rsidRPr="00CC4590">
              <w:rPr>
                <w:lang w:val="fr-FR"/>
              </w:rPr>
              <w:t>intérêt mutuel (ISCG), qui met en avant les conclusions de la dernière réunion du Groupe,</w:t>
            </w:r>
            <w:r>
              <w:rPr>
                <w:lang w:val="fr-FR"/>
              </w:rPr>
              <w:t xml:space="preserve"> tenue le</w:t>
            </w:r>
            <w:r w:rsidR="002936F2" w:rsidRPr="00C121C9">
              <w:rPr>
                <w:lang w:val="fr-FR"/>
              </w:rPr>
              <w:t xml:space="preserve"> 2 mai 2023.</w:t>
            </w:r>
          </w:p>
          <w:p w14:paraId="76A1C541" w14:textId="46AA3F95" w:rsidR="00413393" w:rsidRPr="00C121C9" w:rsidRDefault="00B224D3">
            <w:pPr>
              <w:spacing w:after="120"/>
              <w:rPr>
                <w:b/>
                <w:bCs/>
                <w:szCs w:val="24"/>
                <w:lang w:val="fr-FR"/>
              </w:rPr>
            </w:pPr>
            <w:r>
              <w:rPr>
                <w:b/>
                <w:bCs/>
                <w:lang w:val="fr-FR"/>
              </w:rPr>
              <w:t>Suite à donner</w:t>
            </w:r>
            <w:r w:rsidR="00156283">
              <w:rPr>
                <w:b/>
                <w:bCs/>
                <w:lang w:val="fr-FR"/>
              </w:rPr>
              <w:t>:</w:t>
            </w:r>
          </w:p>
          <w:p w14:paraId="4CD354F3" w14:textId="6CD3CD6D" w:rsidR="00413393" w:rsidRPr="00C121C9" w:rsidRDefault="00CC4590">
            <w:pPr>
              <w:spacing w:after="120"/>
              <w:rPr>
                <w:szCs w:val="24"/>
                <w:lang w:val="fr-FR"/>
              </w:rPr>
            </w:pPr>
            <w:r w:rsidRPr="00CC4590">
              <w:rPr>
                <w:lang w:val="fr-FR"/>
              </w:rPr>
              <w:t xml:space="preserve">Le GCDT est invité à </w:t>
            </w:r>
            <w:r w:rsidRPr="00CC4590">
              <w:rPr>
                <w:b/>
                <w:bCs/>
                <w:lang w:val="fr-FR"/>
              </w:rPr>
              <w:t>prendre note</w:t>
            </w:r>
            <w:r w:rsidRPr="00CC4590">
              <w:rPr>
                <w:lang w:val="fr-FR"/>
              </w:rPr>
              <w:t xml:space="preserve"> du présent document et à fournir les orientations qu</w:t>
            </w:r>
            <w:r w:rsidR="00156283">
              <w:rPr>
                <w:lang w:val="fr-FR"/>
              </w:rPr>
              <w:t>'</w:t>
            </w:r>
            <w:r w:rsidRPr="00CC4590">
              <w:rPr>
                <w:lang w:val="fr-FR"/>
              </w:rPr>
              <w:t>il jugera nécessaires.</w:t>
            </w:r>
          </w:p>
          <w:p w14:paraId="622ACB80" w14:textId="5F53EF0E" w:rsidR="00413393" w:rsidRPr="00C121C9" w:rsidRDefault="002936F2">
            <w:pPr>
              <w:spacing w:after="120"/>
              <w:rPr>
                <w:b/>
                <w:bCs/>
                <w:szCs w:val="24"/>
                <w:lang w:val="fr-FR"/>
              </w:rPr>
            </w:pPr>
            <w:r w:rsidRPr="00C121C9">
              <w:rPr>
                <w:b/>
                <w:bCs/>
                <w:szCs w:val="24"/>
                <w:lang w:val="fr-FR"/>
              </w:rPr>
              <w:t>Références</w:t>
            </w:r>
            <w:r w:rsidR="00156283">
              <w:rPr>
                <w:b/>
                <w:bCs/>
                <w:szCs w:val="24"/>
                <w:lang w:val="fr-FR"/>
              </w:rPr>
              <w:t>:</w:t>
            </w:r>
          </w:p>
          <w:p w14:paraId="1ECDD20E" w14:textId="54391AB4" w:rsidR="00413393" w:rsidRPr="00B224D3" w:rsidRDefault="006F0C87">
            <w:pPr>
              <w:spacing w:after="120"/>
              <w:rPr>
                <w:lang w:val="fr-FR"/>
              </w:rPr>
            </w:pPr>
            <w:hyperlink r:id="rId12" w:history="1">
              <w:r w:rsidR="002936F2" w:rsidRPr="00C121C9">
                <w:rPr>
                  <w:rStyle w:val="Hyperlink"/>
                  <w:lang w:val="fr-FR"/>
                </w:rPr>
                <w:t>Résolution 191</w:t>
              </w:r>
            </w:hyperlink>
            <w:r w:rsidR="002936F2" w:rsidRPr="00C121C9">
              <w:rPr>
                <w:lang w:val="fr-FR"/>
              </w:rPr>
              <w:t xml:space="preserve"> (Rév. Bucarest, 2022) et </w:t>
            </w:r>
            <w:hyperlink r:id="rId13" w:history="1">
              <w:r w:rsidR="002936F2" w:rsidRPr="00C121C9">
                <w:rPr>
                  <w:rStyle w:val="Hyperlink"/>
                  <w:lang w:val="fr-FR"/>
                </w:rPr>
                <w:t>Décision 5</w:t>
              </w:r>
            </w:hyperlink>
            <w:r w:rsidR="002936F2" w:rsidRPr="00C121C9">
              <w:rPr>
                <w:rFonts w:ascii="Calibri" w:hAnsi="Calibri"/>
                <w:i/>
                <w:iCs/>
                <w:sz w:val="22"/>
                <w:szCs w:val="22"/>
                <w:lang w:val="fr-FR"/>
              </w:rPr>
              <w:t xml:space="preserve"> </w:t>
            </w:r>
            <w:r w:rsidR="002936F2" w:rsidRPr="00C121C9">
              <w:rPr>
                <w:lang w:val="fr-FR"/>
              </w:rPr>
              <w:t xml:space="preserve">(Rév. </w:t>
            </w:r>
            <w:r w:rsidR="002936F2" w:rsidRPr="00B224D3">
              <w:rPr>
                <w:lang w:val="fr-FR"/>
              </w:rPr>
              <w:t>Bucarest, 2022)</w:t>
            </w:r>
            <w:r w:rsidR="00B224D3" w:rsidRPr="00B224D3">
              <w:rPr>
                <w:lang w:val="fr-FR"/>
              </w:rPr>
              <w:t xml:space="preserve"> de la Conférence de plénipotentiaires</w:t>
            </w:r>
          </w:p>
        </w:tc>
      </w:tr>
    </w:tbl>
    <w:p w14:paraId="3C140242" w14:textId="0AAE9A57" w:rsidR="00413393" w:rsidRPr="00156283" w:rsidRDefault="00156283" w:rsidP="00156283">
      <w:pPr>
        <w:pStyle w:val="Heading1"/>
        <w:rPr>
          <w:sz w:val="24"/>
          <w:szCs w:val="24"/>
          <w:lang w:val="fr-FR"/>
        </w:rPr>
      </w:pPr>
      <w:r w:rsidRPr="00156283">
        <w:rPr>
          <w:sz w:val="24"/>
          <w:szCs w:val="24"/>
          <w:lang w:val="fr-FR"/>
        </w:rPr>
        <w:t>1</w:t>
      </w:r>
      <w:r w:rsidRPr="00156283">
        <w:rPr>
          <w:sz w:val="24"/>
          <w:szCs w:val="24"/>
          <w:lang w:val="fr-FR"/>
        </w:rPr>
        <w:tab/>
      </w:r>
      <w:r w:rsidR="002936F2" w:rsidRPr="00156283">
        <w:rPr>
          <w:sz w:val="24"/>
          <w:szCs w:val="24"/>
          <w:lang w:val="fr-FR"/>
        </w:rPr>
        <w:t>Introduction</w:t>
      </w:r>
    </w:p>
    <w:p w14:paraId="66A768FA" w14:textId="68202EC2" w:rsidR="00413393" w:rsidRPr="00C121C9" w:rsidRDefault="00CC4590">
      <w:pPr>
        <w:overflowPunct/>
        <w:autoSpaceDE/>
        <w:autoSpaceDN/>
        <w:adjustRightInd/>
        <w:spacing w:after="120"/>
        <w:textAlignment w:val="auto"/>
        <w:rPr>
          <w:rFonts w:cstheme="minorHAnsi"/>
          <w:szCs w:val="24"/>
          <w:lang w:val="fr-FR" w:eastAsia="zh-CN"/>
        </w:rPr>
      </w:pPr>
      <w:r w:rsidRPr="00D80F36">
        <w:rPr>
          <w:lang w:val="fr-FR"/>
        </w:rPr>
        <w:t xml:space="preserve">Le </w:t>
      </w:r>
      <w:hyperlink r:id="rId14" w:history="1">
        <w:r w:rsidRPr="00D80F36">
          <w:rPr>
            <w:rStyle w:val="Hyperlink"/>
            <w:szCs w:val="24"/>
            <w:lang w:val="fr-FR"/>
          </w:rPr>
          <w:t>Groupe de coordination intersectorie</w:t>
        </w:r>
        <w:r w:rsidRPr="00D80F36">
          <w:rPr>
            <w:rStyle w:val="Hyperlink"/>
            <w:szCs w:val="24"/>
            <w:lang w:val="fr-FR"/>
          </w:rPr>
          <w:t>l</w:t>
        </w:r>
        <w:r w:rsidRPr="00D80F36">
          <w:rPr>
            <w:rStyle w:val="Hyperlink"/>
            <w:szCs w:val="24"/>
            <w:lang w:val="fr-FR"/>
          </w:rPr>
          <w:t>le sur les questions d</w:t>
        </w:r>
        <w:r w:rsidR="00156283">
          <w:rPr>
            <w:rStyle w:val="Hyperlink"/>
            <w:szCs w:val="24"/>
            <w:lang w:val="fr-FR"/>
          </w:rPr>
          <w:t>'</w:t>
        </w:r>
        <w:r w:rsidRPr="00D80F36">
          <w:rPr>
            <w:rStyle w:val="Hyperlink"/>
            <w:szCs w:val="24"/>
            <w:lang w:val="fr-FR"/>
          </w:rPr>
          <w:t>intérêt mutuel (ISCG)</w:t>
        </w:r>
      </w:hyperlink>
      <w:r w:rsidRPr="00D80F36">
        <w:rPr>
          <w:lang w:val="fr-FR"/>
        </w:rPr>
        <w:t>, qui est composé de représentants du Groupe consultatif des radiocommunications (GCR), du Groupe consultatif de la normalisation des télécommunications (GCNT) et du Groupe consultatif pour le développement des télécommunications (GCDT), mène des travaux en vue d</w:t>
      </w:r>
      <w:r w:rsidR="00156283">
        <w:rPr>
          <w:lang w:val="fr-FR"/>
        </w:rPr>
        <w:t>'</w:t>
      </w:r>
      <w:r w:rsidRPr="00D80F36">
        <w:rPr>
          <w:lang w:val="fr-FR"/>
        </w:rPr>
        <w:t>identifier les sujets communs aux trois Secteurs et au Secrétariat général, ainsi que les mécanismes visant à renforcer la coopération et la collaboration sur les questions d</w:t>
      </w:r>
      <w:r w:rsidR="00156283">
        <w:rPr>
          <w:lang w:val="fr-FR"/>
        </w:rPr>
        <w:t>'</w:t>
      </w:r>
      <w:r w:rsidRPr="00D80F36">
        <w:rPr>
          <w:lang w:val="fr-FR"/>
        </w:rPr>
        <w:t xml:space="preserve">intérêt mutuel, </w:t>
      </w:r>
      <w:r w:rsidRPr="00D80F36">
        <w:rPr>
          <w:color w:val="000000"/>
          <w:lang w:val="fr-FR"/>
        </w:rPr>
        <w:t>de manière à éviter tout chevauchement d</w:t>
      </w:r>
      <w:r w:rsidR="00156283">
        <w:rPr>
          <w:color w:val="000000"/>
          <w:lang w:val="fr-FR"/>
        </w:rPr>
        <w:t>'</w:t>
      </w:r>
      <w:r w:rsidRPr="00D80F36">
        <w:rPr>
          <w:color w:val="000000"/>
          <w:lang w:val="fr-FR"/>
        </w:rPr>
        <w:t>activité et à optimiser l</w:t>
      </w:r>
      <w:r w:rsidR="00156283">
        <w:rPr>
          <w:color w:val="000000"/>
          <w:lang w:val="fr-FR"/>
        </w:rPr>
        <w:t>'</w:t>
      </w:r>
      <w:r w:rsidRPr="00D80F36">
        <w:rPr>
          <w:color w:val="000000"/>
          <w:lang w:val="fr-FR"/>
        </w:rPr>
        <w:t>utilisation des ressources de l</w:t>
      </w:r>
      <w:r w:rsidR="00156283">
        <w:rPr>
          <w:color w:val="000000"/>
          <w:lang w:val="fr-FR"/>
        </w:rPr>
        <w:t>'</w:t>
      </w:r>
      <w:r w:rsidRPr="00D80F36">
        <w:rPr>
          <w:color w:val="000000"/>
          <w:lang w:val="fr-FR"/>
        </w:rPr>
        <w:t>Union</w:t>
      </w:r>
      <w:r w:rsidRPr="00D80F36">
        <w:rPr>
          <w:lang w:val="fr-FR"/>
        </w:rPr>
        <w:t xml:space="preserve">, conformément à la </w:t>
      </w:r>
      <w:hyperlink r:id="rId15" w:history="1">
        <w:r w:rsidRPr="00D80F36">
          <w:rPr>
            <w:rStyle w:val="Hyperlink"/>
            <w:szCs w:val="24"/>
            <w:lang w:val="fr-FR"/>
          </w:rPr>
          <w:t>Résolution 191 (Rév. Dubaï, 2018)</w:t>
        </w:r>
      </w:hyperlink>
      <w:r w:rsidRPr="00D80F36">
        <w:rPr>
          <w:rFonts w:ascii="Calibri" w:hAnsi="Calibri" w:cs="Calibri"/>
          <w:lang w:val="fr-FR" w:eastAsia="zh-CN"/>
        </w:rPr>
        <w:t xml:space="preserve"> de la Conférence de plénipotentiaires</w:t>
      </w:r>
      <w:r w:rsidRPr="0022703B">
        <w:rPr>
          <w:lang w:val="fr-FR"/>
        </w:rPr>
        <w:t>.</w:t>
      </w:r>
      <w:r w:rsidR="002936F2" w:rsidRPr="00C121C9">
        <w:rPr>
          <w:rFonts w:cstheme="minorHAnsi"/>
          <w:szCs w:val="24"/>
          <w:lang w:val="fr-FR" w:eastAsia="zh-CN"/>
        </w:rPr>
        <w:t xml:space="preserve"> </w:t>
      </w:r>
    </w:p>
    <w:p w14:paraId="3DA53C4E" w14:textId="5A6D95A1" w:rsidR="00413393" w:rsidRPr="00C121C9" w:rsidRDefault="002936F2">
      <w:pPr>
        <w:overflowPunct/>
        <w:autoSpaceDE/>
        <w:autoSpaceDN/>
        <w:adjustRightInd/>
        <w:spacing w:after="120"/>
        <w:textAlignment w:val="auto"/>
        <w:rPr>
          <w:rFonts w:cstheme="minorHAnsi"/>
          <w:szCs w:val="24"/>
          <w:lang w:val="fr-FR"/>
        </w:rPr>
      </w:pPr>
      <w:r w:rsidRPr="00C121C9">
        <w:rPr>
          <w:rFonts w:cstheme="minorHAnsi"/>
          <w:szCs w:val="24"/>
          <w:lang w:val="fr-FR"/>
        </w:rPr>
        <w:t xml:space="preserve">Depuis le dernier rapport présenté au GCDT, le </w:t>
      </w:r>
      <w:r w:rsidR="0022703B">
        <w:rPr>
          <w:rFonts w:cstheme="minorHAnsi"/>
          <w:szCs w:val="24"/>
          <w:lang w:val="fr-FR"/>
        </w:rPr>
        <w:t>Groupe ISCG</w:t>
      </w:r>
      <w:r w:rsidRPr="00C121C9">
        <w:rPr>
          <w:rFonts w:cstheme="minorHAnsi"/>
          <w:szCs w:val="24"/>
          <w:lang w:val="fr-FR"/>
        </w:rPr>
        <w:t xml:space="preserve"> s</w:t>
      </w:r>
      <w:r w:rsidR="00156283">
        <w:rPr>
          <w:rFonts w:cstheme="minorHAnsi"/>
          <w:szCs w:val="24"/>
          <w:lang w:val="fr-FR"/>
        </w:rPr>
        <w:t>'</w:t>
      </w:r>
      <w:r w:rsidRPr="00C121C9">
        <w:rPr>
          <w:rFonts w:cstheme="minorHAnsi"/>
          <w:szCs w:val="24"/>
          <w:lang w:val="fr-FR"/>
        </w:rPr>
        <w:t>est réuni</w:t>
      </w:r>
      <w:r w:rsidR="00156283">
        <w:rPr>
          <w:rFonts w:cstheme="minorHAnsi"/>
          <w:szCs w:val="24"/>
          <w:lang w:val="fr-FR"/>
        </w:rPr>
        <w:t xml:space="preserve"> </w:t>
      </w:r>
      <w:r w:rsidR="006777BA">
        <w:rPr>
          <w:rFonts w:cstheme="minorHAnsi"/>
          <w:szCs w:val="24"/>
          <w:lang w:val="fr-FR"/>
        </w:rPr>
        <w:t>à</w:t>
      </w:r>
      <w:r w:rsidRPr="00C121C9">
        <w:rPr>
          <w:rFonts w:cstheme="minorHAnsi"/>
          <w:szCs w:val="24"/>
          <w:lang w:val="fr-FR"/>
        </w:rPr>
        <w:t xml:space="preserve"> deux</w:t>
      </w:r>
      <w:r w:rsidR="00156283">
        <w:rPr>
          <w:rFonts w:cstheme="minorHAnsi"/>
          <w:szCs w:val="24"/>
          <w:lang w:val="fr-FR"/>
        </w:rPr>
        <w:t xml:space="preserve"> </w:t>
      </w:r>
      <w:r w:rsidR="006777BA">
        <w:rPr>
          <w:rFonts w:cstheme="minorHAnsi"/>
          <w:szCs w:val="24"/>
          <w:lang w:val="fr-FR"/>
        </w:rPr>
        <w:t>reprises</w:t>
      </w:r>
      <w:r w:rsidR="00156283">
        <w:rPr>
          <w:rFonts w:cstheme="minorHAnsi"/>
          <w:szCs w:val="24"/>
          <w:lang w:val="fr-FR"/>
        </w:rPr>
        <w:t>, le 9 février </w:t>
      </w:r>
      <w:r w:rsidRPr="00C121C9">
        <w:rPr>
          <w:rFonts w:cstheme="minorHAnsi"/>
          <w:szCs w:val="24"/>
          <w:lang w:val="fr-FR"/>
        </w:rPr>
        <w:t>2022 et</w:t>
      </w:r>
      <w:r w:rsidR="006777BA">
        <w:rPr>
          <w:rFonts w:cstheme="minorHAnsi"/>
          <w:szCs w:val="24"/>
          <w:lang w:val="fr-FR"/>
        </w:rPr>
        <w:t>,</w:t>
      </w:r>
      <w:r w:rsidRPr="00C121C9">
        <w:rPr>
          <w:rFonts w:cstheme="minorHAnsi"/>
          <w:szCs w:val="24"/>
          <w:lang w:val="fr-FR"/>
        </w:rPr>
        <w:t xml:space="preserve"> récemment, le 2 mai 2023.</w:t>
      </w:r>
    </w:p>
    <w:p w14:paraId="4240069F" w14:textId="651B4A5D" w:rsidR="00413393" w:rsidRPr="00C121C9" w:rsidRDefault="002936F2">
      <w:pPr>
        <w:overflowPunct/>
        <w:autoSpaceDE/>
        <w:autoSpaceDN/>
        <w:adjustRightInd/>
        <w:spacing w:after="120"/>
        <w:textAlignment w:val="auto"/>
        <w:rPr>
          <w:rFonts w:cstheme="minorHAnsi"/>
          <w:szCs w:val="24"/>
          <w:lang w:val="fr-FR"/>
        </w:rPr>
      </w:pPr>
      <w:r w:rsidRPr="00C121C9">
        <w:rPr>
          <w:rFonts w:cstheme="minorHAnsi"/>
          <w:szCs w:val="24"/>
          <w:lang w:val="fr-FR"/>
        </w:rPr>
        <w:t xml:space="preserve">Lors de la dernière réunion </w:t>
      </w:r>
      <w:r w:rsidR="00B2158E">
        <w:rPr>
          <w:rFonts w:cstheme="minorHAnsi"/>
          <w:szCs w:val="24"/>
          <w:lang w:val="fr-FR"/>
        </w:rPr>
        <w:t>Groupe ISCG</w:t>
      </w:r>
      <w:r w:rsidR="00156283">
        <w:rPr>
          <w:rFonts w:cstheme="minorHAnsi"/>
          <w:szCs w:val="24"/>
          <w:lang w:val="fr-FR"/>
        </w:rPr>
        <w:t>, le P</w:t>
      </w:r>
      <w:r w:rsidRPr="00C121C9">
        <w:rPr>
          <w:rFonts w:cstheme="minorHAnsi"/>
          <w:szCs w:val="24"/>
          <w:lang w:val="fr-FR"/>
        </w:rPr>
        <w:t xml:space="preserve">résident </w:t>
      </w:r>
      <w:r w:rsidR="006777BA" w:rsidRPr="00C121C9">
        <w:rPr>
          <w:rFonts w:cstheme="minorHAnsi"/>
          <w:szCs w:val="24"/>
          <w:lang w:val="fr-FR"/>
        </w:rPr>
        <w:t>d</w:t>
      </w:r>
      <w:r w:rsidR="006777BA">
        <w:rPr>
          <w:rFonts w:cstheme="minorHAnsi"/>
          <w:szCs w:val="24"/>
          <w:lang w:val="fr-FR"/>
        </w:rPr>
        <w:t>e ce</w:t>
      </w:r>
      <w:r w:rsidR="006777BA" w:rsidRPr="00C121C9">
        <w:rPr>
          <w:rFonts w:cstheme="minorHAnsi"/>
          <w:szCs w:val="24"/>
          <w:lang w:val="fr-FR"/>
        </w:rPr>
        <w:t xml:space="preserve"> </w:t>
      </w:r>
      <w:r w:rsidR="00B2158E">
        <w:rPr>
          <w:rFonts w:cstheme="minorHAnsi"/>
          <w:szCs w:val="24"/>
          <w:lang w:val="fr-FR"/>
        </w:rPr>
        <w:t xml:space="preserve">Groupe </w:t>
      </w:r>
      <w:r w:rsidRPr="00C121C9">
        <w:rPr>
          <w:rFonts w:cstheme="minorHAnsi"/>
          <w:szCs w:val="24"/>
          <w:lang w:val="fr-FR"/>
        </w:rPr>
        <w:t xml:space="preserve">a </w:t>
      </w:r>
      <w:r w:rsidR="00B2158E">
        <w:rPr>
          <w:rFonts w:cstheme="minorHAnsi"/>
          <w:szCs w:val="24"/>
          <w:lang w:val="fr-FR"/>
        </w:rPr>
        <w:t>souhaité la bienvenue aux</w:t>
      </w:r>
      <w:r w:rsidRPr="00C121C9">
        <w:rPr>
          <w:rFonts w:cstheme="minorHAnsi"/>
          <w:szCs w:val="24"/>
          <w:lang w:val="fr-FR"/>
        </w:rPr>
        <w:t xml:space="preserve"> deux représentants </w:t>
      </w:r>
      <w:r w:rsidR="00B2158E">
        <w:rPr>
          <w:rFonts w:cstheme="minorHAnsi"/>
          <w:szCs w:val="24"/>
          <w:lang w:val="fr-FR"/>
        </w:rPr>
        <w:t>désignés</w:t>
      </w:r>
      <w:r w:rsidRPr="00C121C9">
        <w:rPr>
          <w:rFonts w:cstheme="minorHAnsi"/>
          <w:szCs w:val="24"/>
          <w:lang w:val="fr-FR"/>
        </w:rPr>
        <w:t xml:space="preserve"> par le GCDT </w:t>
      </w:r>
      <w:r w:rsidR="00B2158E">
        <w:rPr>
          <w:rFonts w:cstheme="minorHAnsi"/>
          <w:szCs w:val="24"/>
          <w:lang w:val="fr-FR"/>
        </w:rPr>
        <w:t>à la suite de</w:t>
      </w:r>
      <w:r w:rsidRPr="00C121C9">
        <w:rPr>
          <w:rFonts w:cstheme="minorHAnsi"/>
          <w:szCs w:val="24"/>
          <w:lang w:val="fr-FR"/>
        </w:rPr>
        <w:t xml:space="preserve"> la Conférence mondiale de développement des télécommunications (CMDT)</w:t>
      </w:r>
      <w:r w:rsidR="00156283">
        <w:rPr>
          <w:rFonts w:cstheme="minorHAnsi"/>
          <w:szCs w:val="24"/>
          <w:lang w:val="fr-FR"/>
        </w:rPr>
        <w:t xml:space="preserve"> </w:t>
      </w:r>
      <w:r w:rsidRPr="00C121C9">
        <w:rPr>
          <w:rFonts w:cstheme="minorHAnsi"/>
          <w:szCs w:val="24"/>
          <w:lang w:val="fr-FR"/>
        </w:rPr>
        <w:t xml:space="preserve">tenue en juin 2022, </w:t>
      </w:r>
      <w:r w:rsidR="00A83398">
        <w:rPr>
          <w:rFonts w:cstheme="minorHAnsi"/>
          <w:szCs w:val="24"/>
          <w:lang w:val="fr-FR"/>
        </w:rPr>
        <w:t xml:space="preserve">à savoir </w:t>
      </w:r>
      <w:r w:rsidRPr="00C121C9">
        <w:rPr>
          <w:rFonts w:cstheme="minorHAnsi"/>
          <w:szCs w:val="24"/>
          <w:lang w:val="fr-FR"/>
        </w:rPr>
        <w:t xml:space="preserve">Mme Inga Rimkevičienė (Lituanie) et </w:t>
      </w:r>
      <w:r w:rsidR="00B2158E">
        <w:rPr>
          <w:rFonts w:cstheme="minorHAnsi"/>
          <w:szCs w:val="24"/>
          <w:lang w:val="fr-FR"/>
        </w:rPr>
        <w:t xml:space="preserve">M. </w:t>
      </w:r>
      <w:r w:rsidRPr="00C121C9">
        <w:rPr>
          <w:rFonts w:cstheme="minorHAnsi"/>
          <w:szCs w:val="24"/>
          <w:lang w:val="fr-FR"/>
        </w:rPr>
        <w:t>Ahmad R. Sharafat (Iran (République islamique d</w:t>
      </w:r>
      <w:r w:rsidR="00156283">
        <w:rPr>
          <w:rFonts w:cstheme="minorHAnsi"/>
          <w:szCs w:val="24"/>
          <w:lang w:val="fr-FR"/>
        </w:rPr>
        <w:t>'</w:t>
      </w:r>
      <w:r w:rsidRPr="00C121C9">
        <w:rPr>
          <w:rFonts w:cstheme="minorHAnsi"/>
          <w:szCs w:val="24"/>
          <w:lang w:val="fr-FR"/>
        </w:rPr>
        <w:t>)).</w:t>
      </w:r>
    </w:p>
    <w:p w14:paraId="24ACA546" w14:textId="05515B73" w:rsidR="00413393" w:rsidRPr="008534F4" w:rsidRDefault="008534F4" w:rsidP="008534F4">
      <w:pPr>
        <w:pStyle w:val="Heading1"/>
        <w:rPr>
          <w:rFonts w:cstheme="minorHAnsi"/>
          <w:sz w:val="24"/>
          <w:szCs w:val="24"/>
          <w:lang w:val="fr-FR"/>
        </w:rPr>
      </w:pPr>
      <w:r w:rsidRPr="008534F4">
        <w:rPr>
          <w:sz w:val="24"/>
          <w:szCs w:val="24"/>
          <w:shd w:val="clear" w:color="auto" w:fill="FFFFFF"/>
          <w:lang w:val="fr-FR"/>
        </w:rPr>
        <w:lastRenderedPageBreak/>
        <w:t>2</w:t>
      </w:r>
      <w:r w:rsidRPr="008534F4">
        <w:rPr>
          <w:sz w:val="24"/>
          <w:szCs w:val="24"/>
          <w:shd w:val="clear" w:color="auto" w:fill="FFFFFF"/>
          <w:lang w:val="fr-FR"/>
        </w:rPr>
        <w:tab/>
      </w:r>
      <w:r w:rsidR="006777BA" w:rsidRPr="008534F4">
        <w:rPr>
          <w:sz w:val="24"/>
          <w:szCs w:val="24"/>
          <w:shd w:val="clear" w:color="auto" w:fill="FFFFFF"/>
          <w:lang w:val="fr-FR"/>
        </w:rPr>
        <w:t>Principaux débats</w:t>
      </w:r>
    </w:p>
    <w:p w14:paraId="64073C8C" w14:textId="5218EA2E" w:rsidR="00413393" w:rsidRPr="00C121C9" w:rsidRDefault="002936F2">
      <w:pPr>
        <w:overflowPunct/>
        <w:autoSpaceDE/>
        <w:autoSpaceDN/>
        <w:adjustRightInd/>
        <w:spacing w:after="120"/>
        <w:textAlignment w:val="auto"/>
        <w:rPr>
          <w:szCs w:val="24"/>
          <w:lang w:val="fr-FR"/>
        </w:rPr>
      </w:pPr>
      <w:r w:rsidRPr="00C121C9">
        <w:rPr>
          <w:rFonts w:cstheme="minorHAnsi"/>
          <w:szCs w:val="24"/>
          <w:lang w:val="fr-FR"/>
        </w:rPr>
        <w:t xml:space="preserve">Lors de la dernière réunion, le secrétariat </w:t>
      </w:r>
      <w:r w:rsidR="00B2158E">
        <w:rPr>
          <w:rFonts w:cstheme="minorHAnsi"/>
          <w:szCs w:val="24"/>
          <w:lang w:val="fr-FR"/>
        </w:rPr>
        <w:t>du Groupe ISCG</w:t>
      </w:r>
      <w:r w:rsidR="00B2158E" w:rsidRPr="00C121C9">
        <w:rPr>
          <w:rFonts w:cstheme="minorHAnsi"/>
          <w:szCs w:val="24"/>
          <w:lang w:val="fr-FR"/>
        </w:rPr>
        <w:t xml:space="preserve"> </w:t>
      </w:r>
      <w:r w:rsidR="008534F4">
        <w:rPr>
          <w:rFonts w:cstheme="minorHAnsi"/>
          <w:szCs w:val="24"/>
          <w:lang w:val="fr-FR"/>
        </w:rPr>
        <w:t>a présenté le D</w:t>
      </w:r>
      <w:r w:rsidRPr="00C121C9">
        <w:rPr>
          <w:rFonts w:cstheme="minorHAnsi"/>
          <w:szCs w:val="24"/>
          <w:lang w:val="fr-FR"/>
        </w:rPr>
        <w:t>ocument</w:t>
      </w:r>
      <w:r w:rsidRPr="00C121C9">
        <w:rPr>
          <w:rFonts w:cstheme="minorHAnsi"/>
          <w:lang w:val="fr-FR"/>
        </w:rPr>
        <w:t xml:space="preserve"> </w:t>
      </w:r>
      <w:hyperlink r:id="rId16" w:history="1">
        <w:r w:rsidR="008534F4" w:rsidRPr="008534F4">
          <w:rPr>
            <w:rStyle w:val="Hyperlink"/>
            <w:rFonts w:cstheme="minorHAnsi"/>
            <w:lang w:val="fr-FR"/>
          </w:rPr>
          <w:t>ISCG/23-1/02</w:t>
        </w:r>
      </w:hyperlink>
      <w:r w:rsidR="008534F4">
        <w:rPr>
          <w:rFonts w:cstheme="minorHAnsi"/>
          <w:lang w:val="fr-FR"/>
        </w:rPr>
        <w:t xml:space="preserve">, </w:t>
      </w:r>
      <w:r w:rsidR="00B2158E">
        <w:rPr>
          <w:rFonts w:cstheme="minorHAnsi"/>
          <w:lang w:val="fr-FR"/>
        </w:rPr>
        <w:t>qui contient</w:t>
      </w:r>
      <w:r w:rsidRPr="00C121C9">
        <w:rPr>
          <w:rFonts w:cstheme="minorHAnsi"/>
          <w:szCs w:val="24"/>
          <w:lang w:val="fr-FR"/>
        </w:rPr>
        <w:t xml:space="preserve"> le texte </w:t>
      </w:r>
      <w:r w:rsidR="00B2158E">
        <w:rPr>
          <w:rFonts w:cstheme="minorHAnsi"/>
          <w:szCs w:val="24"/>
          <w:lang w:val="fr-FR"/>
        </w:rPr>
        <w:t xml:space="preserve">définitif </w:t>
      </w:r>
      <w:r w:rsidRPr="00C121C9">
        <w:rPr>
          <w:rFonts w:cstheme="minorHAnsi"/>
          <w:szCs w:val="24"/>
          <w:lang w:val="fr-FR"/>
        </w:rPr>
        <w:t>de la Résolution 191 (R</w:t>
      </w:r>
      <w:r w:rsidR="00B2158E">
        <w:rPr>
          <w:rFonts w:cstheme="minorHAnsi"/>
          <w:szCs w:val="24"/>
          <w:lang w:val="fr-FR"/>
        </w:rPr>
        <w:t>é</w:t>
      </w:r>
      <w:r w:rsidRPr="00C121C9">
        <w:rPr>
          <w:rFonts w:cstheme="minorHAnsi"/>
          <w:szCs w:val="24"/>
          <w:lang w:val="fr-FR"/>
        </w:rPr>
        <w:t>v. Bucarest, 2022)</w:t>
      </w:r>
      <w:r w:rsidR="00B2158E">
        <w:rPr>
          <w:rFonts w:cstheme="minorHAnsi"/>
          <w:szCs w:val="24"/>
          <w:lang w:val="fr-FR"/>
        </w:rPr>
        <w:t>,</w:t>
      </w:r>
      <w:r w:rsidRPr="00C121C9">
        <w:rPr>
          <w:rFonts w:cstheme="minorHAnsi"/>
          <w:szCs w:val="24"/>
          <w:lang w:val="fr-FR"/>
        </w:rPr>
        <w:t xml:space="preserve"> telle que </w:t>
      </w:r>
      <w:r w:rsidR="00B2158E">
        <w:rPr>
          <w:rFonts w:cstheme="minorHAnsi"/>
          <w:szCs w:val="24"/>
          <w:lang w:val="fr-FR"/>
        </w:rPr>
        <w:t>modifiée</w:t>
      </w:r>
      <w:r w:rsidRPr="00C121C9">
        <w:rPr>
          <w:rFonts w:cstheme="minorHAnsi"/>
          <w:szCs w:val="24"/>
          <w:lang w:val="fr-FR"/>
        </w:rPr>
        <w:t xml:space="preserve"> par la Conférence de plénipotentiaires</w:t>
      </w:r>
      <w:r w:rsidR="00CD0630">
        <w:rPr>
          <w:rFonts w:cstheme="minorHAnsi"/>
          <w:szCs w:val="24"/>
          <w:lang w:val="fr-FR"/>
        </w:rPr>
        <w:t xml:space="preserve"> de</w:t>
      </w:r>
      <w:r w:rsidR="00156283">
        <w:rPr>
          <w:rFonts w:cstheme="minorHAnsi"/>
          <w:szCs w:val="24"/>
          <w:lang w:val="fr-FR"/>
        </w:rPr>
        <w:t xml:space="preserve"> </w:t>
      </w:r>
      <w:r w:rsidRPr="00C121C9">
        <w:rPr>
          <w:rFonts w:cstheme="minorHAnsi"/>
          <w:szCs w:val="24"/>
          <w:lang w:val="fr-FR"/>
        </w:rPr>
        <w:t>2022 (PP-22)</w:t>
      </w:r>
      <w:r w:rsidR="00B2158E">
        <w:rPr>
          <w:rFonts w:cstheme="minorHAnsi"/>
          <w:szCs w:val="24"/>
          <w:lang w:val="fr-FR"/>
        </w:rPr>
        <w:t>,</w:t>
      </w:r>
      <w:r w:rsidRPr="00C121C9">
        <w:rPr>
          <w:rFonts w:cstheme="minorHAnsi"/>
          <w:szCs w:val="24"/>
          <w:lang w:val="fr-FR"/>
        </w:rPr>
        <w:t xml:space="preserve"> ainsi qu</w:t>
      </w:r>
      <w:r w:rsidR="00156283">
        <w:rPr>
          <w:rFonts w:cstheme="minorHAnsi"/>
          <w:szCs w:val="24"/>
          <w:lang w:val="fr-FR"/>
        </w:rPr>
        <w:t>'</w:t>
      </w:r>
      <w:r w:rsidRPr="00C121C9">
        <w:rPr>
          <w:rFonts w:cstheme="minorHAnsi"/>
          <w:szCs w:val="24"/>
          <w:lang w:val="fr-FR"/>
        </w:rPr>
        <w:t xml:space="preserve">un tableau reprenant les principales modifications apportées, y compris les mesures </w:t>
      </w:r>
      <w:r w:rsidR="00B2158E">
        <w:rPr>
          <w:rFonts w:cstheme="minorHAnsi"/>
          <w:szCs w:val="24"/>
          <w:lang w:val="fr-FR"/>
        </w:rPr>
        <w:t xml:space="preserve">que le Groupe ISCG doit </w:t>
      </w:r>
      <w:r w:rsidR="00CD0630">
        <w:rPr>
          <w:rFonts w:cstheme="minorHAnsi"/>
          <w:szCs w:val="24"/>
          <w:lang w:val="fr-FR"/>
        </w:rPr>
        <w:t>prendre</w:t>
      </w:r>
      <w:r w:rsidR="008534F4">
        <w:rPr>
          <w:rFonts w:cstheme="minorHAnsi"/>
          <w:szCs w:val="24"/>
          <w:lang w:val="fr-FR"/>
        </w:rPr>
        <w:t>.</w:t>
      </w:r>
    </w:p>
    <w:p w14:paraId="5623FB8D" w14:textId="7DF56F85" w:rsidR="00413393" w:rsidRPr="00C121C9" w:rsidRDefault="002936F2">
      <w:pPr>
        <w:overflowPunct/>
        <w:autoSpaceDE/>
        <w:autoSpaceDN/>
        <w:adjustRightInd/>
        <w:spacing w:after="120"/>
        <w:textAlignment w:val="auto"/>
        <w:rPr>
          <w:szCs w:val="24"/>
          <w:lang w:val="fr-FR"/>
        </w:rPr>
      </w:pPr>
      <w:r w:rsidRPr="00C121C9">
        <w:rPr>
          <w:szCs w:val="24"/>
          <w:lang w:val="fr-FR"/>
        </w:rPr>
        <w:t>Conformément aux instructions de la PP-22, les directeurs régionaux de l</w:t>
      </w:r>
      <w:r w:rsidR="00156283">
        <w:rPr>
          <w:szCs w:val="24"/>
          <w:lang w:val="fr-FR"/>
        </w:rPr>
        <w:t>'</w:t>
      </w:r>
      <w:r w:rsidRPr="00C121C9">
        <w:rPr>
          <w:szCs w:val="24"/>
          <w:lang w:val="fr-FR"/>
        </w:rPr>
        <w:t xml:space="preserve">UIT ont été invités à participer à la réunion du </w:t>
      </w:r>
      <w:r w:rsidR="00B2158E">
        <w:rPr>
          <w:rFonts w:cstheme="minorHAnsi"/>
          <w:szCs w:val="24"/>
          <w:lang w:val="fr-FR"/>
        </w:rPr>
        <w:t>Groupe ISCG</w:t>
      </w:r>
      <w:r w:rsidRPr="00C121C9">
        <w:rPr>
          <w:szCs w:val="24"/>
          <w:lang w:val="fr-FR"/>
        </w:rPr>
        <w:t>.</w:t>
      </w:r>
    </w:p>
    <w:p w14:paraId="62E2D391" w14:textId="3F2AAF2D" w:rsidR="00413393" w:rsidRPr="00C121C9" w:rsidRDefault="002936F2">
      <w:pPr>
        <w:overflowPunct/>
        <w:autoSpaceDE/>
        <w:autoSpaceDN/>
        <w:adjustRightInd/>
        <w:spacing w:after="120"/>
        <w:textAlignment w:val="auto"/>
        <w:rPr>
          <w:szCs w:val="24"/>
          <w:lang w:val="fr-FR"/>
        </w:rPr>
      </w:pPr>
      <w:r w:rsidRPr="00C121C9">
        <w:rPr>
          <w:szCs w:val="24"/>
          <w:lang w:val="fr-FR"/>
        </w:rPr>
        <w:t xml:space="preserve">Le secrétariat du </w:t>
      </w:r>
      <w:r w:rsidR="00B2158E">
        <w:rPr>
          <w:rFonts w:cstheme="minorHAnsi"/>
          <w:szCs w:val="24"/>
          <w:lang w:val="fr-FR"/>
        </w:rPr>
        <w:t>Groupe ISCG</w:t>
      </w:r>
      <w:r w:rsidRPr="00C121C9">
        <w:rPr>
          <w:szCs w:val="24"/>
          <w:lang w:val="fr-FR"/>
        </w:rPr>
        <w:t xml:space="preserve"> a également informé </w:t>
      </w:r>
      <w:r w:rsidR="00B2158E">
        <w:rPr>
          <w:szCs w:val="24"/>
          <w:lang w:val="fr-FR"/>
        </w:rPr>
        <w:t>les participants</w:t>
      </w:r>
      <w:r w:rsidRPr="00C121C9">
        <w:rPr>
          <w:szCs w:val="24"/>
          <w:lang w:val="fr-FR"/>
        </w:rPr>
        <w:t xml:space="preserve"> du nouveau mécanisme de coordination intersectorielle</w:t>
      </w:r>
      <w:r w:rsidR="00CD0630">
        <w:rPr>
          <w:szCs w:val="24"/>
          <w:lang w:val="fr-FR"/>
        </w:rPr>
        <w:t xml:space="preserve"> </w:t>
      </w:r>
      <w:r w:rsidR="00CD0630" w:rsidRPr="00156283">
        <w:rPr>
          <w:szCs w:val="24"/>
          <w:lang w:val="fr-CH"/>
        </w:rPr>
        <w:t>(ISCM)</w:t>
      </w:r>
      <w:r w:rsidR="00CD0630">
        <w:rPr>
          <w:szCs w:val="24"/>
          <w:lang w:val="fr-FR"/>
        </w:rPr>
        <w:t xml:space="preserve"> </w:t>
      </w:r>
      <w:r w:rsidRPr="00C121C9">
        <w:rPr>
          <w:szCs w:val="24"/>
          <w:lang w:val="fr-FR"/>
        </w:rPr>
        <w:t xml:space="preserve">qui sera présenté </w:t>
      </w:r>
      <w:r w:rsidR="00B2158E">
        <w:rPr>
          <w:szCs w:val="24"/>
          <w:lang w:val="fr-FR"/>
        </w:rPr>
        <w:t>à la session de 2023 du</w:t>
      </w:r>
      <w:r w:rsidRPr="00C121C9">
        <w:rPr>
          <w:szCs w:val="24"/>
          <w:lang w:val="fr-FR"/>
        </w:rPr>
        <w:t xml:space="preserve"> Conseil</w:t>
      </w:r>
      <w:r w:rsidR="00156283">
        <w:rPr>
          <w:szCs w:val="24"/>
          <w:lang w:val="fr-FR"/>
        </w:rPr>
        <w:t xml:space="preserve"> </w:t>
      </w:r>
      <w:r w:rsidRPr="00C121C9">
        <w:rPr>
          <w:szCs w:val="24"/>
          <w:lang w:val="fr-FR"/>
        </w:rPr>
        <w:t>en juillet.</w:t>
      </w:r>
    </w:p>
    <w:p w14:paraId="6D7168B5" w14:textId="49B2DD75" w:rsidR="00413393" w:rsidRPr="00C121C9" w:rsidRDefault="00ED290A">
      <w:pPr>
        <w:overflowPunct/>
        <w:autoSpaceDE/>
        <w:autoSpaceDN/>
        <w:adjustRightInd/>
        <w:spacing w:after="120"/>
        <w:textAlignment w:val="auto"/>
        <w:rPr>
          <w:szCs w:val="24"/>
          <w:lang w:val="fr-FR"/>
        </w:rPr>
      </w:pPr>
      <w:r>
        <w:rPr>
          <w:szCs w:val="24"/>
          <w:lang w:val="fr-FR"/>
        </w:rPr>
        <w:t>S</w:t>
      </w:r>
      <w:r w:rsidR="00156283">
        <w:rPr>
          <w:szCs w:val="24"/>
          <w:lang w:val="fr-FR"/>
        </w:rPr>
        <w:t>'</w:t>
      </w:r>
      <w:r>
        <w:rPr>
          <w:szCs w:val="24"/>
          <w:lang w:val="fr-FR"/>
        </w:rPr>
        <w:t>agissant d</w:t>
      </w:r>
      <w:r w:rsidR="002936F2" w:rsidRPr="00C121C9">
        <w:rPr>
          <w:szCs w:val="24"/>
          <w:lang w:val="fr-FR"/>
        </w:rPr>
        <w:t xml:space="preserve">es thèmes </w:t>
      </w:r>
      <w:r>
        <w:rPr>
          <w:szCs w:val="24"/>
          <w:lang w:val="fr-FR"/>
        </w:rPr>
        <w:t xml:space="preserve">traités </w:t>
      </w:r>
      <w:r w:rsidR="002936F2" w:rsidRPr="00C121C9">
        <w:rPr>
          <w:szCs w:val="24"/>
          <w:lang w:val="fr-FR"/>
        </w:rPr>
        <w:t xml:space="preserve">par le </w:t>
      </w:r>
      <w:r w:rsidR="00B2158E">
        <w:rPr>
          <w:rFonts w:cstheme="minorHAnsi"/>
          <w:szCs w:val="24"/>
          <w:lang w:val="fr-FR"/>
        </w:rPr>
        <w:t>Groupe ISCG</w:t>
      </w:r>
      <w:r w:rsidR="002936F2" w:rsidRPr="00C121C9">
        <w:rPr>
          <w:szCs w:val="24"/>
          <w:lang w:val="fr-FR"/>
        </w:rPr>
        <w:t xml:space="preserve">, des rapports ont été </w:t>
      </w:r>
      <w:r w:rsidR="00CD0630">
        <w:rPr>
          <w:szCs w:val="24"/>
          <w:lang w:val="fr-FR"/>
        </w:rPr>
        <w:t xml:space="preserve">établis </w:t>
      </w:r>
      <w:r w:rsidR="002936F2" w:rsidRPr="00C121C9">
        <w:rPr>
          <w:szCs w:val="24"/>
          <w:lang w:val="fr-FR"/>
        </w:rPr>
        <w:t xml:space="preserve">sur les </w:t>
      </w:r>
      <w:r>
        <w:rPr>
          <w:szCs w:val="24"/>
          <w:lang w:val="fr-FR"/>
        </w:rPr>
        <w:t xml:space="preserve">faits nouveaux concernant les </w:t>
      </w:r>
      <w:r w:rsidR="002936F2" w:rsidRPr="00C121C9">
        <w:rPr>
          <w:szCs w:val="24"/>
          <w:lang w:val="fr-FR"/>
        </w:rPr>
        <w:t>changement</w:t>
      </w:r>
      <w:r>
        <w:rPr>
          <w:szCs w:val="24"/>
          <w:lang w:val="fr-FR"/>
        </w:rPr>
        <w:t>s</w:t>
      </w:r>
      <w:r w:rsidR="002936F2" w:rsidRPr="00C121C9">
        <w:rPr>
          <w:szCs w:val="24"/>
          <w:lang w:val="fr-FR"/>
        </w:rPr>
        <w:t xml:space="preserve"> climatique</w:t>
      </w:r>
      <w:r>
        <w:rPr>
          <w:szCs w:val="24"/>
          <w:lang w:val="fr-FR"/>
        </w:rPr>
        <w:t>s</w:t>
      </w:r>
      <w:r w:rsidR="002936F2" w:rsidRPr="00C121C9">
        <w:rPr>
          <w:szCs w:val="24"/>
          <w:lang w:val="fr-FR"/>
        </w:rPr>
        <w:t>, l</w:t>
      </w:r>
      <w:r w:rsidR="00156283">
        <w:rPr>
          <w:szCs w:val="24"/>
          <w:lang w:val="fr-FR"/>
        </w:rPr>
        <w:t>'</w:t>
      </w:r>
      <w:r w:rsidR="002936F2" w:rsidRPr="00C121C9">
        <w:rPr>
          <w:szCs w:val="24"/>
          <w:lang w:val="fr-FR"/>
        </w:rPr>
        <w:t xml:space="preserve">accessibilité et la participation à distance, les informations </w:t>
      </w:r>
      <w:r>
        <w:rPr>
          <w:szCs w:val="24"/>
          <w:lang w:val="fr-FR"/>
        </w:rPr>
        <w:t xml:space="preserve">ci-après présentant un intérêt particulier pour </w:t>
      </w:r>
      <w:r w:rsidR="002936F2" w:rsidRPr="00C121C9">
        <w:rPr>
          <w:szCs w:val="24"/>
          <w:lang w:val="fr-FR"/>
        </w:rPr>
        <w:t>le GCDT</w:t>
      </w:r>
      <w:r w:rsidR="00156283">
        <w:rPr>
          <w:szCs w:val="24"/>
          <w:lang w:val="fr-FR"/>
        </w:rPr>
        <w:t>:</w:t>
      </w:r>
    </w:p>
    <w:p w14:paraId="7A930B66" w14:textId="1AA19562" w:rsidR="00413393" w:rsidRPr="00C121C9" w:rsidRDefault="008534F4" w:rsidP="008534F4">
      <w:pPr>
        <w:pStyle w:val="enumlev1"/>
        <w:rPr>
          <w:lang w:val="fr-FR"/>
        </w:rPr>
      </w:pPr>
      <w:r w:rsidRPr="008534F4">
        <w:rPr>
          <w:lang w:val="fr-FR"/>
        </w:rPr>
        <w:t>–</w:t>
      </w:r>
      <w:r>
        <w:rPr>
          <w:lang w:val="fr-FR"/>
        </w:rPr>
        <w:tab/>
      </w:r>
      <w:r w:rsidR="002936F2" w:rsidRPr="00C121C9">
        <w:rPr>
          <w:lang w:val="fr-FR"/>
        </w:rPr>
        <w:t>L</w:t>
      </w:r>
      <w:r w:rsidR="00156283">
        <w:rPr>
          <w:lang w:val="fr-FR"/>
        </w:rPr>
        <w:t>'</w:t>
      </w:r>
      <w:r w:rsidR="002936F2" w:rsidRPr="00C121C9">
        <w:rPr>
          <w:lang w:val="fr-FR"/>
        </w:rPr>
        <w:t>UIT prévoit d</w:t>
      </w:r>
      <w:r w:rsidR="00156283">
        <w:rPr>
          <w:lang w:val="fr-FR"/>
        </w:rPr>
        <w:t>'</w:t>
      </w:r>
      <w:r w:rsidR="002936F2" w:rsidRPr="00C121C9">
        <w:rPr>
          <w:lang w:val="fr-FR"/>
        </w:rPr>
        <w:t xml:space="preserve">organiser une "Journée </w:t>
      </w:r>
      <w:r w:rsidR="00ED290A">
        <w:rPr>
          <w:lang w:val="fr-FR"/>
        </w:rPr>
        <w:t xml:space="preserve">du numérique </w:t>
      </w:r>
      <w:r w:rsidR="00863FA2">
        <w:rPr>
          <w:lang w:val="fr-FR"/>
        </w:rPr>
        <w:t>vert</w:t>
      </w:r>
      <w:r w:rsidR="002936F2" w:rsidRPr="00C121C9">
        <w:rPr>
          <w:lang w:val="fr-FR"/>
        </w:rPr>
        <w:t>" lors de la COP</w:t>
      </w:r>
      <w:r w:rsidR="00863FA2">
        <w:rPr>
          <w:lang w:val="fr-FR"/>
        </w:rPr>
        <w:t xml:space="preserve"> </w:t>
      </w:r>
      <w:r w:rsidR="002936F2" w:rsidRPr="00C121C9">
        <w:rPr>
          <w:lang w:val="fr-FR"/>
        </w:rPr>
        <w:t xml:space="preserve">28, afin de </w:t>
      </w:r>
      <w:r w:rsidR="00ED290A">
        <w:rPr>
          <w:lang w:val="fr-FR"/>
        </w:rPr>
        <w:t>réunir</w:t>
      </w:r>
      <w:r w:rsidR="002936F2" w:rsidRPr="00C121C9">
        <w:rPr>
          <w:lang w:val="fr-FR"/>
        </w:rPr>
        <w:t xml:space="preserve"> l</w:t>
      </w:r>
      <w:r w:rsidR="00156283">
        <w:rPr>
          <w:lang w:val="fr-FR"/>
        </w:rPr>
        <w:t>'</w:t>
      </w:r>
      <w:r w:rsidR="002936F2" w:rsidRPr="00C121C9">
        <w:rPr>
          <w:lang w:val="fr-FR"/>
        </w:rPr>
        <w:t xml:space="preserve">écosystème des TIC pour </w:t>
      </w:r>
      <w:r w:rsidR="00ED290A">
        <w:rPr>
          <w:lang w:val="fr-FR"/>
        </w:rPr>
        <w:t>susciter</w:t>
      </w:r>
      <w:r w:rsidR="002936F2" w:rsidRPr="00C121C9">
        <w:rPr>
          <w:lang w:val="fr-FR"/>
        </w:rPr>
        <w:t xml:space="preserve"> une dynamique</w:t>
      </w:r>
      <w:r w:rsidR="00ED290A">
        <w:rPr>
          <w:lang w:val="fr-FR"/>
        </w:rPr>
        <w:t xml:space="preserve"> axée sur les effets</w:t>
      </w:r>
      <w:r w:rsidR="002936F2" w:rsidRPr="00C121C9">
        <w:rPr>
          <w:lang w:val="fr-FR"/>
        </w:rPr>
        <w:t xml:space="preserve">, </w:t>
      </w:r>
      <w:r w:rsidR="00ED290A">
        <w:rPr>
          <w:lang w:val="fr-FR"/>
        </w:rPr>
        <w:t>de façon que</w:t>
      </w:r>
      <w:r w:rsidR="002936F2" w:rsidRPr="00C121C9">
        <w:rPr>
          <w:lang w:val="fr-FR"/>
        </w:rPr>
        <w:t xml:space="preserve"> cette </w:t>
      </w:r>
      <w:r w:rsidR="00863FA2">
        <w:rPr>
          <w:lang w:val="fr-FR"/>
        </w:rPr>
        <w:t>J</w:t>
      </w:r>
      <w:r w:rsidR="00863FA2" w:rsidRPr="00C121C9">
        <w:rPr>
          <w:lang w:val="fr-FR"/>
        </w:rPr>
        <w:t xml:space="preserve">ournée </w:t>
      </w:r>
      <w:r w:rsidR="00863FA2">
        <w:rPr>
          <w:lang w:val="fr-FR"/>
        </w:rPr>
        <w:t xml:space="preserve">ait </w:t>
      </w:r>
      <w:r w:rsidR="00ED290A">
        <w:rPr>
          <w:lang w:val="fr-FR"/>
        </w:rPr>
        <w:t>des</w:t>
      </w:r>
      <w:r w:rsidR="00156283">
        <w:rPr>
          <w:lang w:val="fr-FR"/>
        </w:rPr>
        <w:t xml:space="preserve"> </w:t>
      </w:r>
      <w:r w:rsidR="00863FA2">
        <w:rPr>
          <w:lang w:val="fr-FR"/>
        </w:rPr>
        <w:t xml:space="preserve">incidences </w:t>
      </w:r>
      <w:r w:rsidR="002936F2" w:rsidRPr="00C121C9">
        <w:rPr>
          <w:lang w:val="fr-FR"/>
        </w:rPr>
        <w:t>positi</w:t>
      </w:r>
      <w:r w:rsidR="00863FA2">
        <w:rPr>
          <w:lang w:val="fr-FR"/>
        </w:rPr>
        <w:t>ve</w:t>
      </w:r>
      <w:r w:rsidR="00ED290A">
        <w:rPr>
          <w:lang w:val="fr-FR"/>
        </w:rPr>
        <w:t>s</w:t>
      </w:r>
      <w:r w:rsidR="002936F2" w:rsidRPr="00C121C9">
        <w:rPr>
          <w:lang w:val="fr-FR"/>
        </w:rPr>
        <w:t xml:space="preserve"> mesurable</w:t>
      </w:r>
      <w:r w:rsidR="00ED290A">
        <w:rPr>
          <w:lang w:val="fr-FR"/>
        </w:rPr>
        <w:t>s</w:t>
      </w:r>
      <w:r w:rsidR="002936F2" w:rsidRPr="00C121C9">
        <w:rPr>
          <w:lang w:val="fr-FR"/>
        </w:rPr>
        <w:t xml:space="preserve"> sur le climat.</w:t>
      </w:r>
    </w:p>
    <w:p w14:paraId="6CBD96C1" w14:textId="0DD59E3D" w:rsidR="00413393" w:rsidRPr="00C121C9" w:rsidRDefault="008534F4" w:rsidP="008534F4">
      <w:pPr>
        <w:pStyle w:val="enumlev1"/>
        <w:rPr>
          <w:lang w:val="fr-FR"/>
        </w:rPr>
      </w:pPr>
      <w:r w:rsidRPr="008534F4">
        <w:rPr>
          <w:lang w:val="fr-FR"/>
        </w:rPr>
        <w:t>–</w:t>
      </w:r>
      <w:r>
        <w:rPr>
          <w:lang w:val="fr-FR"/>
        </w:rPr>
        <w:tab/>
      </w:r>
      <w:r w:rsidR="002936F2" w:rsidRPr="00C121C9">
        <w:rPr>
          <w:lang w:val="fr-FR"/>
        </w:rPr>
        <w:t xml:space="preserve">Le </w:t>
      </w:r>
      <w:r w:rsidR="00B2158E">
        <w:rPr>
          <w:lang w:val="fr-FR"/>
        </w:rPr>
        <w:t xml:space="preserve">Groupe ISCG </w:t>
      </w:r>
      <w:r w:rsidR="002936F2" w:rsidRPr="00C121C9">
        <w:rPr>
          <w:lang w:val="fr-FR"/>
        </w:rPr>
        <w:t>a souligné la nécessité</w:t>
      </w:r>
      <w:r w:rsidR="00ED290A">
        <w:rPr>
          <w:lang w:val="fr-FR"/>
        </w:rPr>
        <w:t>,</w:t>
      </w:r>
      <w:r w:rsidR="002936F2" w:rsidRPr="00C121C9">
        <w:rPr>
          <w:lang w:val="fr-FR"/>
        </w:rPr>
        <w:t xml:space="preserve"> pour l</w:t>
      </w:r>
      <w:r w:rsidR="00156283">
        <w:rPr>
          <w:lang w:val="fr-FR"/>
        </w:rPr>
        <w:t>'</w:t>
      </w:r>
      <w:r w:rsidR="002936F2" w:rsidRPr="00C121C9">
        <w:rPr>
          <w:lang w:val="fr-FR"/>
        </w:rPr>
        <w:t>UIT</w:t>
      </w:r>
      <w:r w:rsidR="00ED290A">
        <w:rPr>
          <w:lang w:val="fr-FR"/>
        </w:rPr>
        <w:t>,</w:t>
      </w:r>
      <w:r w:rsidR="002936F2" w:rsidRPr="00C121C9">
        <w:rPr>
          <w:lang w:val="fr-FR"/>
        </w:rPr>
        <w:t xml:space="preserve"> d</w:t>
      </w:r>
      <w:r w:rsidR="00156283">
        <w:rPr>
          <w:lang w:val="fr-FR"/>
        </w:rPr>
        <w:t>'</w:t>
      </w:r>
      <w:r w:rsidR="002936F2" w:rsidRPr="00C121C9">
        <w:rPr>
          <w:lang w:val="fr-FR"/>
        </w:rPr>
        <w:t>utiliser les normes élaborées par l</w:t>
      </w:r>
      <w:r w:rsidR="00ED290A">
        <w:rPr>
          <w:lang w:val="fr-FR"/>
        </w:rPr>
        <w:t xml:space="preserve">a Commission </w:t>
      </w:r>
      <w:r w:rsidR="002936F2" w:rsidRPr="00C121C9">
        <w:rPr>
          <w:lang w:val="fr-FR"/>
        </w:rPr>
        <w:t>d</w:t>
      </w:r>
      <w:r w:rsidR="00156283">
        <w:rPr>
          <w:lang w:val="fr-FR"/>
        </w:rPr>
        <w:t>'</w:t>
      </w:r>
      <w:r w:rsidR="002936F2" w:rsidRPr="00C121C9">
        <w:rPr>
          <w:lang w:val="fr-FR"/>
        </w:rPr>
        <w:t>étude</w:t>
      </w:r>
      <w:r w:rsidR="00863FA2">
        <w:rPr>
          <w:lang w:val="fr-FR"/>
        </w:rPr>
        <w:t>s</w:t>
      </w:r>
      <w:r w:rsidR="002936F2" w:rsidRPr="00C121C9">
        <w:rPr>
          <w:lang w:val="fr-FR"/>
        </w:rPr>
        <w:t xml:space="preserve"> 16 de l</w:t>
      </w:r>
      <w:r w:rsidR="00156283">
        <w:rPr>
          <w:lang w:val="fr-FR"/>
        </w:rPr>
        <w:t>'</w:t>
      </w:r>
      <w:r w:rsidR="002936F2" w:rsidRPr="00C121C9">
        <w:rPr>
          <w:lang w:val="fr-FR"/>
        </w:rPr>
        <w:t>UIT-T sur les réunions accessibles et la participation à distance, ainsi que d</w:t>
      </w:r>
      <w:r w:rsidR="00156283">
        <w:rPr>
          <w:lang w:val="fr-FR"/>
        </w:rPr>
        <w:t>'</w:t>
      </w:r>
      <w:r w:rsidR="002936F2" w:rsidRPr="00C121C9">
        <w:rPr>
          <w:lang w:val="fr-FR"/>
        </w:rPr>
        <w:t>établir des procédures normalisées pour les réunions de l</w:t>
      </w:r>
      <w:r w:rsidR="00156283">
        <w:rPr>
          <w:lang w:val="fr-FR"/>
        </w:rPr>
        <w:t>'</w:t>
      </w:r>
      <w:r w:rsidR="002936F2" w:rsidRPr="00C121C9">
        <w:rPr>
          <w:lang w:val="fr-FR"/>
        </w:rPr>
        <w:t>UIT. Dans le même ordre d</w:t>
      </w:r>
      <w:r w:rsidR="00156283">
        <w:rPr>
          <w:lang w:val="fr-FR"/>
        </w:rPr>
        <w:t>'</w:t>
      </w:r>
      <w:r w:rsidR="002936F2" w:rsidRPr="00C121C9">
        <w:rPr>
          <w:lang w:val="fr-FR"/>
        </w:rPr>
        <w:t xml:space="preserve">idées, les membres du </w:t>
      </w:r>
      <w:r w:rsidR="00B2158E">
        <w:rPr>
          <w:lang w:val="fr-FR"/>
        </w:rPr>
        <w:t xml:space="preserve">Groupe ISCG </w:t>
      </w:r>
      <w:r w:rsidR="002936F2" w:rsidRPr="00C121C9">
        <w:rPr>
          <w:lang w:val="fr-FR"/>
        </w:rPr>
        <w:t>ont demandé à être associés au projet de nouveau bâtiment</w:t>
      </w:r>
      <w:r w:rsidR="00ED290A">
        <w:rPr>
          <w:lang w:val="fr-FR"/>
        </w:rPr>
        <w:t>,</w:t>
      </w:r>
      <w:r w:rsidR="002936F2" w:rsidRPr="00C121C9">
        <w:rPr>
          <w:lang w:val="fr-FR"/>
        </w:rPr>
        <w:t xml:space="preserve"> afin de s</w:t>
      </w:r>
      <w:r w:rsidR="00156283">
        <w:rPr>
          <w:lang w:val="fr-FR"/>
        </w:rPr>
        <w:t>'</w:t>
      </w:r>
      <w:r w:rsidR="002936F2" w:rsidRPr="00C121C9">
        <w:rPr>
          <w:lang w:val="fr-FR"/>
        </w:rPr>
        <w:t>assurer que toutes les questions relatives à l</w:t>
      </w:r>
      <w:r w:rsidR="00156283">
        <w:rPr>
          <w:lang w:val="fr-FR"/>
        </w:rPr>
        <w:t>'</w:t>
      </w:r>
      <w:r w:rsidR="002936F2" w:rsidRPr="00C121C9">
        <w:rPr>
          <w:lang w:val="fr-FR"/>
        </w:rPr>
        <w:t>accessibilité so</w:t>
      </w:r>
      <w:r w:rsidR="00ED290A">
        <w:rPr>
          <w:lang w:val="fr-FR"/>
        </w:rPr>
        <w:t>ie</w:t>
      </w:r>
      <w:r w:rsidR="002936F2" w:rsidRPr="00C121C9">
        <w:rPr>
          <w:lang w:val="fr-FR"/>
        </w:rPr>
        <w:t>nt prises en compte.</w:t>
      </w:r>
    </w:p>
    <w:p w14:paraId="0B2CB471" w14:textId="06E81A4C" w:rsidR="00413393" w:rsidRPr="00C121C9" w:rsidRDefault="008534F4" w:rsidP="008534F4">
      <w:pPr>
        <w:pStyle w:val="enumlev1"/>
        <w:rPr>
          <w:lang w:val="fr-FR"/>
        </w:rPr>
      </w:pPr>
      <w:r w:rsidRPr="008534F4">
        <w:rPr>
          <w:lang w:val="fr-FR"/>
        </w:rPr>
        <w:t>–</w:t>
      </w:r>
      <w:r>
        <w:rPr>
          <w:lang w:val="fr-FR"/>
        </w:rPr>
        <w:tab/>
      </w:r>
      <w:r w:rsidR="00ED290A">
        <w:rPr>
          <w:lang w:val="fr-FR"/>
        </w:rPr>
        <w:t>De plus, l</w:t>
      </w:r>
      <w:r w:rsidR="002936F2" w:rsidRPr="00C121C9">
        <w:rPr>
          <w:lang w:val="fr-FR"/>
        </w:rPr>
        <w:t xml:space="preserve">e </w:t>
      </w:r>
      <w:r w:rsidR="00B2158E">
        <w:rPr>
          <w:lang w:val="fr-FR"/>
        </w:rPr>
        <w:t xml:space="preserve">Groupe ISCG </w:t>
      </w:r>
      <w:r w:rsidR="002936F2" w:rsidRPr="00C121C9">
        <w:rPr>
          <w:lang w:val="fr-FR"/>
        </w:rPr>
        <w:t>a décidé d</w:t>
      </w:r>
      <w:r w:rsidR="00156283">
        <w:rPr>
          <w:lang w:val="fr-FR"/>
        </w:rPr>
        <w:t>'</w:t>
      </w:r>
      <w:r w:rsidR="002936F2" w:rsidRPr="00C121C9">
        <w:rPr>
          <w:lang w:val="fr-FR"/>
        </w:rPr>
        <w:t xml:space="preserve">envoyer une </w:t>
      </w:r>
      <w:r w:rsidR="001B5A0B">
        <w:rPr>
          <w:lang w:val="fr-FR"/>
        </w:rPr>
        <w:t>note</w:t>
      </w:r>
      <w:r w:rsidR="002936F2" w:rsidRPr="00C121C9">
        <w:rPr>
          <w:lang w:val="fr-FR"/>
        </w:rPr>
        <w:t xml:space="preserve"> de liaison au GCDT, </w:t>
      </w:r>
      <w:r w:rsidR="00ED290A">
        <w:rPr>
          <w:lang w:val="fr-FR"/>
        </w:rPr>
        <w:t>afin de l</w:t>
      </w:r>
      <w:r w:rsidR="00156283">
        <w:rPr>
          <w:lang w:val="fr-FR"/>
        </w:rPr>
        <w:t>'</w:t>
      </w:r>
      <w:r w:rsidR="00ED290A">
        <w:rPr>
          <w:lang w:val="fr-FR"/>
        </w:rPr>
        <w:t>inviter</w:t>
      </w:r>
      <w:r w:rsidR="002936F2" w:rsidRPr="00C121C9">
        <w:rPr>
          <w:lang w:val="fr-FR"/>
        </w:rPr>
        <w:t xml:space="preserve"> à</w:t>
      </w:r>
      <w:r w:rsidR="00156283">
        <w:rPr>
          <w:lang w:val="fr-FR"/>
        </w:rPr>
        <w:t xml:space="preserve"> </w:t>
      </w:r>
      <w:r w:rsidR="00863FA2">
        <w:rPr>
          <w:lang w:val="fr-FR"/>
        </w:rPr>
        <w:t>communiquer</w:t>
      </w:r>
      <w:r w:rsidR="002936F2" w:rsidRPr="00C121C9">
        <w:rPr>
          <w:lang w:val="fr-FR"/>
        </w:rPr>
        <w:t xml:space="preserve"> les règles </w:t>
      </w:r>
      <w:r w:rsidR="00863FA2">
        <w:rPr>
          <w:lang w:val="fr-FR"/>
        </w:rPr>
        <w:t>qu</w:t>
      </w:r>
      <w:r w:rsidR="00156283">
        <w:rPr>
          <w:lang w:val="fr-FR"/>
        </w:rPr>
        <w:t>'</w:t>
      </w:r>
      <w:r w:rsidR="00ED290A">
        <w:rPr>
          <w:lang w:val="fr-FR"/>
        </w:rPr>
        <w:t>appliqu</w:t>
      </w:r>
      <w:r w:rsidR="00863FA2">
        <w:rPr>
          <w:lang w:val="fr-FR"/>
        </w:rPr>
        <w:t>e</w:t>
      </w:r>
      <w:r w:rsidR="00156283">
        <w:rPr>
          <w:lang w:val="fr-FR"/>
        </w:rPr>
        <w:t xml:space="preserve"> </w:t>
      </w:r>
      <w:r w:rsidR="00ED290A">
        <w:rPr>
          <w:lang w:val="fr-FR"/>
        </w:rPr>
        <w:t>le S</w:t>
      </w:r>
      <w:r w:rsidR="002936F2" w:rsidRPr="00C121C9">
        <w:rPr>
          <w:lang w:val="fr-FR"/>
        </w:rPr>
        <w:t xml:space="preserve">ecteur du développement des télécommunications en matière de gouvernance et de gestion </w:t>
      </w:r>
      <w:r w:rsidR="00F34E3C">
        <w:rPr>
          <w:lang w:val="fr-FR"/>
        </w:rPr>
        <w:t>des réunions virtuelles</w:t>
      </w:r>
      <w:r w:rsidR="002936F2" w:rsidRPr="00C121C9">
        <w:rPr>
          <w:lang w:val="fr-FR"/>
        </w:rPr>
        <w:t xml:space="preserve">, </w:t>
      </w:r>
      <w:r w:rsidR="00F34E3C">
        <w:rPr>
          <w:lang w:val="fr-FR"/>
        </w:rPr>
        <w:t>en vue</w:t>
      </w:r>
      <w:r w:rsidR="002936F2" w:rsidRPr="00C121C9">
        <w:rPr>
          <w:lang w:val="fr-FR"/>
        </w:rPr>
        <w:t xml:space="preserve"> </w:t>
      </w:r>
      <w:r w:rsidR="00863FA2">
        <w:rPr>
          <w:lang w:val="fr-FR"/>
        </w:rPr>
        <w:t>de recenser</w:t>
      </w:r>
      <w:r w:rsidR="00863FA2" w:rsidRPr="00C121C9">
        <w:rPr>
          <w:lang w:val="fr-FR"/>
        </w:rPr>
        <w:t xml:space="preserve"> </w:t>
      </w:r>
      <w:r w:rsidR="002936F2" w:rsidRPr="00C121C9">
        <w:rPr>
          <w:lang w:val="fr-FR"/>
        </w:rPr>
        <w:t xml:space="preserve">les </w:t>
      </w:r>
      <w:r w:rsidR="00F34E3C">
        <w:rPr>
          <w:lang w:val="fr-FR"/>
        </w:rPr>
        <w:t>bonnes</w:t>
      </w:r>
      <w:r w:rsidR="002936F2" w:rsidRPr="00C121C9">
        <w:rPr>
          <w:lang w:val="fr-FR"/>
        </w:rPr>
        <w:t xml:space="preserve"> pratiques à mettre en œuvre.</w:t>
      </w:r>
    </w:p>
    <w:p w14:paraId="5A6B8542" w14:textId="282D4F92" w:rsidR="00413393" w:rsidRPr="00C121C9" w:rsidRDefault="00863FA2">
      <w:pPr>
        <w:overflowPunct/>
        <w:autoSpaceDE/>
        <w:autoSpaceDN/>
        <w:adjustRightInd/>
        <w:spacing w:after="120"/>
        <w:textAlignment w:val="auto"/>
        <w:rPr>
          <w:szCs w:val="24"/>
          <w:lang w:val="fr-FR"/>
        </w:rPr>
      </w:pPr>
      <w:r>
        <w:rPr>
          <w:szCs w:val="24"/>
          <w:lang w:val="fr-FR"/>
        </w:rPr>
        <w:t>Il ressort des</w:t>
      </w:r>
      <w:r w:rsidR="002936F2" w:rsidRPr="00C121C9">
        <w:rPr>
          <w:szCs w:val="24"/>
          <w:lang w:val="fr-FR"/>
        </w:rPr>
        <w:t xml:space="preserve"> contributions reçues</w:t>
      </w:r>
      <w:r>
        <w:rPr>
          <w:szCs w:val="24"/>
          <w:lang w:val="fr-FR"/>
        </w:rPr>
        <w:t xml:space="preserve"> qu</w:t>
      </w:r>
      <w:r w:rsidR="00156283">
        <w:rPr>
          <w:szCs w:val="24"/>
          <w:lang w:val="fr-FR"/>
        </w:rPr>
        <w:t>'</w:t>
      </w:r>
      <w:r w:rsidR="002936F2" w:rsidRPr="00C121C9">
        <w:rPr>
          <w:szCs w:val="24"/>
          <w:lang w:val="fr-FR"/>
        </w:rPr>
        <w:t>il est nécessaire d</w:t>
      </w:r>
      <w:r w:rsidR="00156283">
        <w:rPr>
          <w:szCs w:val="24"/>
          <w:lang w:val="fr-FR"/>
        </w:rPr>
        <w:t>'</w:t>
      </w:r>
      <w:r w:rsidR="002936F2" w:rsidRPr="00C121C9">
        <w:rPr>
          <w:szCs w:val="24"/>
          <w:lang w:val="fr-FR"/>
        </w:rPr>
        <w:t>encourager le secrétariat de l</w:t>
      </w:r>
      <w:r w:rsidR="00156283">
        <w:rPr>
          <w:szCs w:val="24"/>
          <w:lang w:val="fr-FR"/>
        </w:rPr>
        <w:t>'</w:t>
      </w:r>
      <w:r w:rsidR="002936F2" w:rsidRPr="00C121C9">
        <w:rPr>
          <w:szCs w:val="24"/>
          <w:lang w:val="fr-FR"/>
        </w:rPr>
        <w:t xml:space="preserve">UIT à faire avancer les travaux </w:t>
      </w:r>
      <w:r w:rsidR="00F34E3C" w:rsidRPr="00F34E3C">
        <w:rPr>
          <w:szCs w:val="24"/>
          <w:lang w:val="fr-FR"/>
        </w:rPr>
        <w:t>visant à harmoniser les sites web des Secteurs de l</w:t>
      </w:r>
      <w:r w:rsidR="00156283">
        <w:rPr>
          <w:szCs w:val="24"/>
          <w:lang w:val="fr-FR"/>
        </w:rPr>
        <w:t>'</w:t>
      </w:r>
      <w:r w:rsidR="00F34E3C" w:rsidRPr="00F34E3C">
        <w:rPr>
          <w:szCs w:val="24"/>
          <w:lang w:val="fr-FR"/>
        </w:rPr>
        <w:t>UIT, dans un souci de clarté et pour faciliter la navigation, et pour donner l</w:t>
      </w:r>
      <w:r w:rsidR="00156283">
        <w:rPr>
          <w:szCs w:val="24"/>
          <w:lang w:val="fr-FR"/>
        </w:rPr>
        <w:t>'</w:t>
      </w:r>
      <w:r w:rsidR="00F34E3C" w:rsidRPr="00F34E3C">
        <w:rPr>
          <w:szCs w:val="24"/>
          <w:lang w:val="fr-FR"/>
        </w:rPr>
        <w:t>image d</w:t>
      </w:r>
      <w:r w:rsidR="00156283">
        <w:rPr>
          <w:szCs w:val="24"/>
          <w:lang w:val="fr-FR"/>
        </w:rPr>
        <w:t>'</w:t>
      </w:r>
      <w:r w:rsidR="00F34E3C" w:rsidRPr="00F34E3C">
        <w:rPr>
          <w:szCs w:val="24"/>
          <w:lang w:val="fr-FR"/>
        </w:rPr>
        <w:t>une UIT unie dans l</w:t>
      </w:r>
      <w:r w:rsidR="00156283">
        <w:rPr>
          <w:szCs w:val="24"/>
          <w:lang w:val="fr-FR"/>
        </w:rPr>
        <w:t>'</w:t>
      </w:r>
      <w:r w:rsidR="00F34E3C" w:rsidRPr="00F34E3C">
        <w:rPr>
          <w:szCs w:val="24"/>
          <w:lang w:val="fr-FR"/>
        </w:rPr>
        <w:t>action</w:t>
      </w:r>
      <w:r w:rsidR="00F34E3C">
        <w:rPr>
          <w:szCs w:val="24"/>
          <w:lang w:val="fr-FR"/>
        </w:rPr>
        <w:t>, notamment en ce qui concerne</w:t>
      </w:r>
      <w:r w:rsidR="002936F2" w:rsidRPr="00C121C9">
        <w:rPr>
          <w:szCs w:val="24"/>
          <w:lang w:val="fr-FR"/>
        </w:rPr>
        <w:t xml:space="preserve"> l</w:t>
      </w:r>
      <w:r w:rsidR="00156283">
        <w:rPr>
          <w:szCs w:val="24"/>
          <w:lang w:val="fr-FR"/>
        </w:rPr>
        <w:t>'</w:t>
      </w:r>
      <w:r w:rsidR="002936F2" w:rsidRPr="00C121C9">
        <w:rPr>
          <w:szCs w:val="24"/>
          <w:lang w:val="fr-FR"/>
        </w:rPr>
        <w:t>utilisation des six langues officielles de l</w:t>
      </w:r>
      <w:r w:rsidR="00156283">
        <w:rPr>
          <w:szCs w:val="24"/>
          <w:lang w:val="fr-FR"/>
        </w:rPr>
        <w:t>'</w:t>
      </w:r>
      <w:r w:rsidR="002936F2" w:rsidRPr="00C121C9">
        <w:rPr>
          <w:szCs w:val="24"/>
          <w:lang w:val="fr-FR"/>
        </w:rPr>
        <w:t>Union sur un pied d</w:t>
      </w:r>
      <w:r w:rsidR="00156283">
        <w:rPr>
          <w:szCs w:val="24"/>
          <w:lang w:val="fr-FR"/>
        </w:rPr>
        <w:t>'</w:t>
      </w:r>
      <w:r w:rsidR="002936F2" w:rsidRPr="00C121C9">
        <w:rPr>
          <w:szCs w:val="24"/>
          <w:lang w:val="fr-FR"/>
        </w:rPr>
        <w:t>égalité et l</w:t>
      </w:r>
      <w:r w:rsidR="00156283">
        <w:rPr>
          <w:szCs w:val="24"/>
          <w:lang w:val="fr-FR"/>
        </w:rPr>
        <w:t>'</w:t>
      </w:r>
      <w:r w:rsidR="002936F2" w:rsidRPr="00C121C9">
        <w:rPr>
          <w:szCs w:val="24"/>
          <w:lang w:val="fr-FR"/>
        </w:rPr>
        <w:t xml:space="preserve">amélioration du système de recherche, et </w:t>
      </w:r>
      <w:r w:rsidR="00F34E3C">
        <w:rPr>
          <w:szCs w:val="24"/>
          <w:lang w:val="fr-FR"/>
        </w:rPr>
        <w:t xml:space="preserve">à faire figurer </w:t>
      </w:r>
      <w:r w:rsidR="002936F2" w:rsidRPr="00C121C9">
        <w:rPr>
          <w:szCs w:val="24"/>
          <w:lang w:val="fr-FR"/>
        </w:rPr>
        <w:t xml:space="preserve">cette observation dans </w:t>
      </w:r>
      <w:r w:rsidR="00F34E3C">
        <w:rPr>
          <w:szCs w:val="24"/>
          <w:lang w:val="fr-FR"/>
        </w:rPr>
        <w:t>le rapport</w:t>
      </w:r>
      <w:r w:rsidR="00156283">
        <w:rPr>
          <w:szCs w:val="24"/>
          <w:lang w:val="fr-FR"/>
        </w:rPr>
        <w:t xml:space="preserve"> </w:t>
      </w:r>
      <w:r w:rsidR="00F34E3C">
        <w:rPr>
          <w:szCs w:val="24"/>
          <w:lang w:val="fr-FR"/>
        </w:rPr>
        <w:t xml:space="preserve">à la session de 2023 du </w:t>
      </w:r>
      <w:r w:rsidR="002936F2" w:rsidRPr="00C121C9">
        <w:rPr>
          <w:szCs w:val="24"/>
          <w:lang w:val="fr-FR"/>
        </w:rPr>
        <w:t xml:space="preserve">Conseil. Il convient également de proposer des lignes directrices </w:t>
      </w:r>
      <w:r>
        <w:rPr>
          <w:szCs w:val="24"/>
          <w:lang w:val="fr-FR"/>
        </w:rPr>
        <w:t>relatives à</w:t>
      </w:r>
      <w:r w:rsidRPr="00C121C9">
        <w:rPr>
          <w:szCs w:val="24"/>
          <w:lang w:val="fr-FR"/>
        </w:rPr>
        <w:t xml:space="preserve"> </w:t>
      </w:r>
      <w:r w:rsidR="002936F2" w:rsidRPr="00C121C9">
        <w:rPr>
          <w:szCs w:val="24"/>
          <w:lang w:val="fr-FR"/>
        </w:rPr>
        <w:t xml:space="preserve">la mise en œuvre de la Résolution 9 de la CMDT et </w:t>
      </w:r>
      <w:r>
        <w:rPr>
          <w:szCs w:val="24"/>
          <w:lang w:val="fr-FR"/>
        </w:rPr>
        <w:t>la</w:t>
      </w:r>
      <w:r w:rsidR="002936F2" w:rsidRPr="00C121C9">
        <w:rPr>
          <w:szCs w:val="24"/>
          <w:lang w:val="fr-FR"/>
        </w:rPr>
        <w:t xml:space="preserve"> collaboration </w:t>
      </w:r>
      <w:r w:rsidRPr="00C121C9">
        <w:rPr>
          <w:szCs w:val="24"/>
          <w:lang w:val="fr-FR"/>
        </w:rPr>
        <w:t>nécessaire</w:t>
      </w:r>
      <w:r w:rsidR="00156283">
        <w:rPr>
          <w:szCs w:val="24"/>
          <w:lang w:val="fr-FR"/>
        </w:rPr>
        <w:t xml:space="preserve"> </w:t>
      </w:r>
      <w:r w:rsidR="002936F2" w:rsidRPr="00C121C9">
        <w:rPr>
          <w:szCs w:val="24"/>
          <w:lang w:val="fr-FR"/>
        </w:rPr>
        <w:t>entre l</w:t>
      </w:r>
      <w:r w:rsidR="00156283">
        <w:rPr>
          <w:szCs w:val="24"/>
          <w:lang w:val="fr-FR"/>
        </w:rPr>
        <w:t>'</w:t>
      </w:r>
      <w:r w:rsidR="002936F2" w:rsidRPr="00C121C9">
        <w:rPr>
          <w:szCs w:val="24"/>
          <w:lang w:val="fr-FR"/>
        </w:rPr>
        <w:t>UIT-R et l</w:t>
      </w:r>
      <w:r w:rsidR="00156283">
        <w:rPr>
          <w:szCs w:val="24"/>
          <w:lang w:val="fr-FR"/>
        </w:rPr>
        <w:t>'</w:t>
      </w:r>
      <w:r w:rsidR="008534F4">
        <w:rPr>
          <w:szCs w:val="24"/>
          <w:lang w:val="fr-FR"/>
        </w:rPr>
        <w:t>UIT</w:t>
      </w:r>
      <w:r w:rsidR="008534F4">
        <w:rPr>
          <w:szCs w:val="24"/>
          <w:lang w:val="fr-FR"/>
        </w:rPr>
        <w:noBreakHyphen/>
      </w:r>
      <w:r w:rsidR="002936F2" w:rsidRPr="00C121C9">
        <w:rPr>
          <w:szCs w:val="24"/>
          <w:lang w:val="fr-FR"/>
        </w:rPr>
        <w:t xml:space="preserve">D, et de les présenter lors de la prochaine réunion </w:t>
      </w:r>
      <w:r w:rsidR="00F34E3C">
        <w:rPr>
          <w:szCs w:val="24"/>
          <w:lang w:val="fr-FR"/>
        </w:rPr>
        <w:t>du Groupe ISCG.</w:t>
      </w:r>
    </w:p>
    <w:p w14:paraId="296390E5" w14:textId="0D382066" w:rsidR="00413393" w:rsidRPr="00C121C9" w:rsidRDefault="00F34E3C">
      <w:pPr>
        <w:overflowPunct/>
        <w:autoSpaceDE/>
        <w:autoSpaceDN/>
        <w:adjustRightInd/>
        <w:spacing w:after="120"/>
        <w:textAlignment w:val="auto"/>
        <w:rPr>
          <w:szCs w:val="24"/>
          <w:lang w:val="fr-FR"/>
        </w:rPr>
      </w:pPr>
      <w:r>
        <w:rPr>
          <w:szCs w:val="24"/>
          <w:lang w:val="fr-FR"/>
        </w:rPr>
        <w:t>Deux</w:t>
      </w:r>
      <w:r w:rsidR="002936F2" w:rsidRPr="00C121C9">
        <w:rPr>
          <w:szCs w:val="24"/>
          <w:lang w:val="fr-FR"/>
        </w:rPr>
        <w:t xml:space="preserve"> autres thèmes </w:t>
      </w:r>
      <w:r>
        <w:rPr>
          <w:szCs w:val="24"/>
          <w:lang w:val="fr-FR"/>
        </w:rPr>
        <w:t xml:space="preserve">relevant du mandat du </w:t>
      </w:r>
      <w:r w:rsidR="00B2158E">
        <w:rPr>
          <w:szCs w:val="24"/>
          <w:lang w:val="fr-FR"/>
        </w:rPr>
        <w:t xml:space="preserve">Groupe ISCG </w:t>
      </w:r>
      <w:r>
        <w:rPr>
          <w:szCs w:val="24"/>
          <w:lang w:val="fr-FR"/>
        </w:rPr>
        <w:t>ont été mis en avant lors de</w:t>
      </w:r>
      <w:r w:rsidR="002936F2" w:rsidRPr="00C121C9">
        <w:rPr>
          <w:szCs w:val="24"/>
          <w:lang w:val="fr-FR"/>
        </w:rPr>
        <w:t xml:space="preserve"> la réunion</w:t>
      </w:r>
      <w:r>
        <w:rPr>
          <w:szCs w:val="24"/>
          <w:lang w:val="fr-FR"/>
        </w:rPr>
        <w:t>, à savoir</w:t>
      </w:r>
      <w:r w:rsidR="002936F2" w:rsidRPr="00C121C9">
        <w:rPr>
          <w:szCs w:val="24"/>
          <w:lang w:val="fr-FR"/>
        </w:rPr>
        <w:t xml:space="preserve"> la réduction de la fracture numérique et l</w:t>
      </w:r>
      <w:r w:rsidR="00156283">
        <w:rPr>
          <w:szCs w:val="24"/>
          <w:lang w:val="fr-FR"/>
        </w:rPr>
        <w:t>'</w:t>
      </w:r>
      <w:r w:rsidR="002936F2" w:rsidRPr="00C121C9">
        <w:rPr>
          <w:szCs w:val="24"/>
          <w:lang w:val="fr-FR"/>
        </w:rPr>
        <w:t>harmonisation du site web de l</w:t>
      </w:r>
      <w:r w:rsidR="00156283">
        <w:rPr>
          <w:szCs w:val="24"/>
          <w:lang w:val="fr-FR"/>
        </w:rPr>
        <w:t>'</w:t>
      </w:r>
      <w:r w:rsidR="002936F2" w:rsidRPr="00C121C9">
        <w:rPr>
          <w:szCs w:val="24"/>
          <w:lang w:val="fr-FR"/>
        </w:rPr>
        <w:t>UIT.</w:t>
      </w:r>
    </w:p>
    <w:p w14:paraId="6BBA7ABA" w14:textId="50E9FA32" w:rsidR="00413393" w:rsidRPr="00C121C9" w:rsidRDefault="008534F4">
      <w:pPr>
        <w:overflowPunct/>
        <w:autoSpaceDE/>
        <w:autoSpaceDN/>
        <w:adjustRightInd/>
        <w:spacing w:after="120"/>
        <w:textAlignment w:val="auto"/>
        <w:rPr>
          <w:szCs w:val="24"/>
          <w:lang w:val="fr-FR"/>
        </w:rPr>
      </w:pPr>
      <w:r>
        <w:rPr>
          <w:szCs w:val="24"/>
          <w:lang w:val="fr-FR"/>
        </w:rPr>
        <w:t>Le P</w:t>
      </w:r>
      <w:r w:rsidR="002936F2" w:rsidRPr="00C121C9">
        <w:rPr>
          <w:szCs w:val="24"/>
          <w:lang w:val="fr-FR"/>
        </w:rPr>
        <w:t xml:space="preserve">résident du </w:t>
      </w:r>
      <w:r w:rsidR="00B2158E">
        <w:rPr>
          <w:szCs w:val="24"/>
          <w:lang w:val="fr-FR"/>
        </w:rPr>
        <w:t xml:space="preserve">Groupe ISCG </w:t>
      </w:r>
      <w:r w:rsidR="002936F2" w:rsidRPr="00C121C9">
        <w:rPr>
          <w:szCs w:val="24"/>
          <w:lang w:val="fr-FR"/>
        </w:rPr>
        <w:t>a invité les membres à soumettre des contributions à la prochaine réunion sur tous les thèmes qu</w:t>
      </w:r>
      <w:r w:rsidR="00156283">
        <w:rPr>
          <w:szCs w:val="24"/>
          <w:lang w:val="fr-FR"/>
        </w:rPr>
        <w:t>'</w:t>
      </w:r>
      <w:r w:rsidR="002936F2" w:rsidRPr="00C121C9">
        <w:rPr>
          <w:szCs w:val="24"/>
          <w:lang w:val="fr-FR"/>
        </w:rPr>
        <w:t xml:space="preserve">ils souhaiteraient voir aborder par le </w:t>
      </w:r>
      <w:r w:rsidR="00B2158E">
        <w:rPr>
          <w:szCs w:val="24"/>
          <w:lang w:val="fr-FR"/>
        </w:rPr>
        <w:t>Groupe ISCG</w:t>
      </w:r>
      <w:r w:rsidR="002936F2" w:rsidRPr="00C121C9">
        <w:rPr>
          <w:szCs w:val="24"/>
          <w:lang w:val="fr-FR"/>
        </w:rPr>
        <w:t xml:space="preserve"> et à présenter des propositions</w:t>
      </w:r>
      <w:r w:rsidR="00156283">
        <w:rPr>
          <w:szCs w:val="24"/>
          <w:lang w:val="fr-FR"/>
        </w:rPr>
        <w:t xml:space="preserve"> </w:t>
      </w:r>
      <w:r w:rsidR="00863FA2">
        <w:rPr>
          <w:szCs w:val="24"/>
          <w:lang w:val="fr-FR"/>
        </w:rPr>
        <w:t>visant à</w:t>
      </w:r>
      <w:r w:rsidR="00156283">
        <w:rPr>
          <w:szCs w:val="24"/>
          <w:lang w:val="fr-FR"/>
        </w:rPr>
        <w:t xml:space="preserve"> </w:t>
      </w:r>
      <w:r w:rsidR="002936F2" w:rsidRPr="00C121C9">
        <w:rPr>
          <w:szCs w:val="24"/>
          <w:lang w:val="fr-FR"/>
        </w:rPr>
        <w:t>améliorer la coordination et la collaboration entre les trois Secteurs et le Secrétariat général.</w:t>
      </w:r>
    </w:p>
    <w:p w14:paraId="5E8E43E1" w14:textId="2CF01413" w:rsidR="00413393" w:rsidRPr="00C121C9" w:rsidRDefault="008534F4">
      <w:pPr>
        <w:overflowPunct/>
        <w:autoSpaceDE/>
        <w:autoSpaceDN/>
        <w:adjustRightInd/>
        <w:spacing w:after="120"/>
        <w:textAlignment w:val="auto"/>
        <w:rPr>
          <w:szCs w:val="24"/>
          <w:lang w:val="fr-FR"/>
        </w:rPr>
      </w:pPr>
      <w:r>
        <w:rPr>
          <w:szCs w:val="24"/>
          <w:lang w:val="fr-FR"/>
        </w:rPr>
        <w:t>Le P</w:t>
      </w:r>
      <w:r w:rsidR="002936F2" w:rsidRPr="00C121C9">
        <w:rPr>
          <w:szCs w:val="24"/>
          <w:lang w:val="fr-FR"/>
        </w:rPr>
        <w:t>résident d</w:t>
      </w:r>
      <w:r w:rsidR="00F34E3C">
        <w:rPr>
          <w:szCs w:val="24"/>
          <w:lang w:val="fr-FR"/>
        </w:rPr>
        <w:t xml:space="preserve">u Groupe ISCG a également fait savoir que le </w:t>
      </w:r>
      <w:hyperlink r:id="rId17" w:history="1">
        <w:r w:rsidR="00863FA2">
          <w:rPr>
            <w:rStyle w:val="Hyperlink"/>
            <w:szCs w:val="24"/>
            <w:lang w:val="fr-FR"/>
          </w:rPr>
          <w:t>m</w:t>
        </w:r>
        <w:r w:rsidR="00863FA2" w:rsidRPr="00C121C9">
          <w:rPr>
            <w:rStyle w:val="Hyperlink"/>
            <w:szCs w:val="24"/>
            <w:lang w:val="fr-FR"/>
          </w:rPr>
          <w:t>a</w:t>
        </w:r>
        <w:r w:rsidR="00863FA2" w:rsidRPr="00C121C9">
          <w:rPr>
            <w:rStyle w:val="Hyperlink"/>
            <w:szCs w:val="24"/>
            <w:lang w:val="fr-FR"/>
          </w:rPr>
          <w:t>ndat</w:t>
        </w:r>
      </w:hyperlink>
      <w:r w:rsidR="00863FA2" w:rsidRPr="00C121C9">
        <w:rPr>
          <w:szCs w:val="24"/>
          <w:lang w:val="fr-FR"/>
        </w:rPr>
        <w:t xml:space="preserve"> </w:t>
      </w:r>
      <w:r w:rsidR="00F34E3C">
        <w:rPr>
          <w:szCs w:val="24"/>
          <w:lang w:val="fr-FR"/>
        </w:rPr>
        <w:t>du Groupe avait été mis à jour, de même que le</w:t>
      </w:r>
      <w:r w:rsidR="002936F2" w:rsidRPr="00C121C9">
        <w:rPr>
          <w:szCs w:val="24"/>
          <w:lang w:val="fr-FR"/>
        </w:rPr>
        <w:t xml:space="preserve"> </w:t>
      </w:r>
      <w:hyperlink r:id="rId18" w:history="1">
        <w:r w:rsidR="00863FA2">
          <w:rPr>
            <w:rStyle w:val="Hyperlink"/>
            <w:szCs w:val="24"/>
            <w:lang w:val="fr-FR"/>
          </w:rPr>
          <w:t xml:space="preserve">Tableau de mise </w:t>
        </w:r>
        <w:r w:rsidR="00863FA2">
          <w:rPr>
            <w:rStyle w:val="Hyperlink"/>
            <w:szCs w:val="24"/>
            <w:lang w:val="fr-FR"/>
          </w:rPr>
          <w:t>e</w:t>
        </w:r>
        <w:r w:rsidR="00863FA2">
          <w:rPr>
            <w:rStyle w:val="Hyperlink"/>
            <w:szCs w:val="24"/>
            <w:lang w:val="fr-FR"/>
          </w:rPr>
          <w:t>n corre</w:t>
        </w:r>
        <w:r w:rsidR="00863FA2">
          <w:rPr>
            <w:rStyle w:val="Hyperlink"/>
            <w:szCs w:val="24"/>
            <w:lang w:val="fr-FR"/>
          </w:rPr>
          <w:t>s</w:t>
        </w:r>
        <w:r w:rsidR="00863FA2">
          <w:rPr>
            <w:rStyle w:val="Hyperlink"/>
            <w:szCs w:val="24"/>
            <w:lang w:val="fr-FR"/>
          </w:rPr>
          <w:t>pondance des R</w:t>
        </w:r>
        <w:r w:rsidR="00863FA2" w:rsidRPr="00C121C9">
          <w:rPr>
            <w:rStyle w:val="Hyperlink"/>
            <w:szCs w:val="24"/>
            <w:lang w:val="fr-FR"/>
          </w:rPr>
          <w:t>ésoluti</w:t>
        </w:r>
        <w:r>
          <w:rPr>
            <w:rStyle w:val="Hyperlink"/>
            <w:szCs w:val="24"/>
            <w:lang w:val="fr-FR"/>
          </w:rPr>
          <w:t>ons</w:t>
        </w:r>
      </w:hyperlink>
      <w:r w:rsidR="002936F2" w:rsidRPr="00C121C9">
        <w:rPr>
          <w:szCs w:val="24"/>
          <w:lang w:val="fr-FR"/>
        </w:rPr>
        <w:t>,</w:t>
      </w:r>
      <w:r w:rsidR="00156283">
        <w:rPr>
          <w:szCs w:val="24"/>
          <w:lang w:val="fr-FR"/>
        </w:rPr>
        <w:t xml:space="preserve"> </w:t>
      </w:r>
      <w:hyperlink r:id="rId19" w:history="1">
        <w:r w:rsidR="002936F2" w:rsidRPr="00C121C9">
          <w:rPr>
            <w:rStyle w:val="Hyperlink"/>
            <w:szCs w:val="24"/>
            <w:lang w:val="fr-FR"/>
          </w:rPr>
          <w:t>Ta</w:t>
        </w:r>
        <w:r w:rsidR="002936F2" w:rsidRPr="00C121C9">
          <w:rPr>
            <w:rStyle w:val="Hyperlink"/>
            <w:szCs w:val="24"/>
            <w:lang w:val="fr-FR"/>
          </w:rPr>
          <w:t>b</w:t>
        </w:r>
        <w:r w:rsidR="002936F2" w:rsidRPr="00C121C9">
          <w:rPr>
            <w:rStyle w:val="Hyperlink"/>
            <w:szCs w:val="24"/>
            <w:lang w:val="fr-FR"/>
          </w:rPr>
          <w:t>leau 1</w:t>
        </w:r>
      </w:hyperlink>
      <w:r w:rsidR="002936F2" w:rsidRPr="00C121C9">
        <w:rPr>
          <w:szCs w:val="24"/>
          <w:lang w:val="fr-FR"/>
        </w:rPr>
        <w:t xml:space="preserve"> (mise en correspondance </w:t>
      </w:r>
      <w:bookmarkStart w:id="6" w:name="_Hlk134697523"/>
      <w:r w:rsidR="00F34E3C">
        <w:rPr>
          <w:szCs w:val="24"/>
          <w:lang w:val="fr-FR"/>
        </w:rPr>
        <w:t>entre les travaux de</w:t>
      </w:r>
      <w:bookmarkEnd w:id="6"/>
      <w:r w:rsidR="002936F2" w:rsidRPr="00C121C9">
        <w:rPr>
          <w:szCs w:val="24"/>
          <w:lang w:val="fr-FR"/>
        </w:rPr>
        <w:t xml:space="preserve"> l</w:t>
      </w:r>
      <w:r w:rsidR="00156283">
        <w:rPr>
          <w:szCs w:val="24"/>
          <w:lang w:val="fr-FR"/>
        </w:rPr>
        <w:t>'</w:t>
      </w:r>
      <w:r w:rsidR="002936F2" w:rsidRPr="00C121C9">
        <w:rPr>
          <w:szCs w:val="24"/>
          <w:lang w:val="fr-FR"/>
        </w:rPr>
        <w:t>UIT-R et de l</w:t>
      </w:r>
      <w:r w:rsidR="00156283">
        <w:rPr>
          <w:szCs w:val="24"/>
          <w:lang w:val="fr-FR"/>
        </w:rPr>
        <w:t>'</w:t>
      </w:r>
      <w:r w:rsidR="002936F2" w:rsidRPr="00C121C9">
        <w:rPr>
          <w:szCs w:val="24"/>
          <w:lang w:val="fr-FR"/>
        </w:rPr>
        <w:t>UIT-D) et</w:t>
      </w:r>
      <w:r w:rsidR="00156283">
        <w:rPr>
          <w:szCs w:val="24"/>
          <w:lang w:val="fr-FR"/>
        </w:rPr>
        <w:t xml:space="preserve"> </w:t>
      </w:r>
      <w:hyperlink r:id="rId20" w:history="1">
        <w:r w:rsidR="002936F2" w:rsidRPr="00C121C9">
          <w:rPr>
            <w:rStyle w:val="Hyperlink"/>
            <w:szCs w:val="24"/>
            <w:lang w:val="fr-FR"/>
          </w:rPr>
          <w:t>Ta</w:t>
        </w:r>
        <w:r w:rsidR="002936F2" w:rsidRPr="00C121C9">
          <w:rPr>
            <w:rStyle w:val="Hyperlink"/>
            <w:szCs w:val="24"/>
            <w:lang w:val="fr-FR"/>
          </w:rPr>
          <w:t>b</w:t>
        </w:r>
        <w:r w:rsidR="002936F2" w:rsidRPr="00C121C9">
          <w:rPr>
            <w:rStyle w:val="Hyperlink"/>
            <w:szCs w:val="24"/>
            <w:lang w:val="fr-FR"/>
          </w:rPr>
          <w:t>leau 2</w:t>
        </w:r>
      </w:hyperlink>
      <w:r w:rsidR="002936F2" w:rsidRPr="00C121C9">
        <w:rPr>
          <w:szCs w:val="24"/>
          <w:lang w:val="fr-FR"/>
        </w:rPr>
        <w:t xml:space="preserve"> (mise en correspondance </w:t>
      </w:r>
      <w:r w:rsidR="00F34E3C">
        <w:rPr>
          <w:szCs w:val="24"/>
          <w:lang w:val="fr-FR"/>
        </w:rPr>
        <w:t xml:space="preserve">entre les travaux </w:t>
      </w:r>
      <w:r w:rsidR="002936F2" w:rsidRPr="00C121C9">
        <w:rPr>
          <w:szCs w:val="24"/>
          <w:lang w:val="fr-FR"/>
        </w:rPr>
        <w:t>de l</w:t>
      </w:r>
      <w:r w:rsidR="00156283">
        <w:rPr>
          <w:szCs w:val="24"/>
          <w:lang w:val="fr-FR"/>
        </w:rPr>
        <w:t>'</w:t>
      </w:r>
      <w:r w:rsidR="002936F2" w:rsidRPr="00C121C9">
        <w:rPr>
          <w:szCs w:val="24"/>
          <w:lang w:val="fr-FR"/>
        </w:rPr>
        <w:t>UIT-R et de l</w:t>
      </w:r>
      <w:r w:rsidR="00156283">
        <w:rPr>
          <w:szCs w:val="24"/>
          <w:lang w:val="fr-FR"/>
        </w:rPr>
        <w:t>'</w:t>
      </w:r>
      <w:r w:rsidR="002936F2" w:rsidRPr="00C121C9">
        <w:rPr>
          <w:szCs w:val="24"/>
          <w:lang w:val="fr-FR"/>
        </w:rPr>
        <w:t>UIT-T).</w:t>
      </w:r>
    </w:p>
    <w:p w14:paraId="518B65C4" w14:textId="38015A44" w:rsidR="00413393" w:rsidRPr="00C121C9" w:rsidRDefault="002936F2">
      <w:pPr>
        <w:overflowPunct/>
        <w:autoSpaceDE/>
        <w:autoSpaceDN/>
        <w:adjustRightInd/>
        <w:spacing w:after="120"/>
        <w:textAlignment w:val="auto"/>
        <w:rPr>
          <w:szCs w:val="24"/>
          <w:lang w:val="fr-FR"/>
        </w:rPr>
      </w:pPr>
      <w:r w:rsidRPr="00C121C9">
        <w:rPr>
          <w:szCs w:val="24"/>
          <w:lang w:val="fr-FR"/>
        </w:rPr>
        <w:lastRenderedPageBreak/>
        <w:t xml:space="preserve">Le </w:t>
      </w:r>
      <w:r w:rsidR="00A83398">
        <w:rPr>
          <w:szCs w:val="24"/>
          <w:lang w:val="fr-FR"/>
        </w:rPr>
        <w:t>T</w:t>
      </w:r>
      <w:r w:rsidRPr="00C121C9">
        <w:rPr>
          <w:szCs w:val="24"/>
          <w:lang w:val="fr-FR"/>
        </w:rPr>
        <w:t xml:space="preserve">ableau 3 (correspondance </w:t>
      </w:r>
      <w:r w:rsidR="00A83398">
        <w:rPr>
          <w:szCs w:val="24"/>
          <w:lang w:val="fr-FR"/>
        </w:rPr>
        <w:t>entre les travaux de</w:t>
      </w:r>
      <w:r w:rsidR="00A83398" w:rsidRPr="00C121C9">
        <w:rPr>
          <w:szCs w:val="24"/>
          <w:lang w:val="fr-FR"/>
        </w:rPr>
        <w:t xml:space="preserve"> </w:t>
      </w:r>
      <w:r w:rsidRPr="00C121C9">
        <w:rPr>
          <w:szCs w:val="24"/>
          <w:lang w:val="fr-FR"/>
        </w:rPr>
        <w:t>l</w:t>
      </w:r>
      <w:r w:rsidR="00156283">
        <w:rPr>
          <w:szCs w:val="24"/>
          <w:lang w:val="fr-FR"/>
        </w:rPr>
        <w:t>'</w:t>
      </w:r>
      <w:r w:rsidRPr="00C121C9">
        <w:rPr>
          <w:szCs w:val="24"/>
          <w:lang w:val="fr-FR"/>
        </w:rPr>
        <w:t xml:space="preserve">UIT-T et </w:t>
      </w:r>
      <w:r w:rsidR="00A83398">
        <w:rPr>
          <w:szCs w:val="24"/>
          <w:lang w:val="fr-FR"/>
        </w:rPr>
        <w:t xml:space="preserve">de </w:t>
      </w:r>
      <w:r w:rsidRPr="00C121C9">
        <w:rPr>
          <w:szCs w:val="24"/>
          <w:lang w:val="fr-FR"/>
        </w:rPr>
        <w:t>l</w:t>
      </w:r>
      <w:r w:rsidR="00156283">
        <w:rPr>
          <w:szCs w:val="24"/>
          <w:lang w:val="fr-FR"/>
        </w:rPr>
        <w:t>'</w:t>
      </w:r>
      <w:r w:rsidRPr="00C121C9">
        <w:rPr>
          <w:szCs w:val="24"/>
          <w:lang w:val="fr-FR"/>
        </w:rPr>
        <w:t>UIT-D) continue d</w:t>
      </w:r>
      <w:r w:rsidR="00156283">
        <w:rPr>
          <w:szCs w:val="24"/>
          <w:lang w:val="fr-FR"/>
        </w:rPr>
        <w:t>'</w:t>
      </w:r>
      <w:r w:rsidRPr="00C121C9">
        <w:rPr>
          <w:szCs w:val="24"/>
          <w:lang w:val="fr-FR"/>
        </w:rPr>
        <w:t xml:space="preserve">être examiné par les </w:t>
      </w:r>
      <w:r w:rsidR="00A83398">
        <w:rPr>
          <w:szCs w:val="24"/>
          <w:lang w:val="fr-FR"/>
        </w:rPr>
        <w:t>S</w:t>
      </w:r>
      <w:r w:rsidRPr="00C121C9">
        <w:rPr>
          <w:szCs w:val="24"/>
          <w:lang w:val="fr-FR"/>
        </w:rPr>
        <w:t>ecteurs et une version</w:t>
      </w:r>
      <w:r w:rsidR="00156283">
        <w:rPr>
          <w:szCs w:val="24"/>
          <w:lang w:val="fr-FR"/>
        </w:rPr>
        <w:t xml:space="preserve"> </w:t>
      </w:r>
      <w:r w:rsidR="00863FA2">
        <w:rPr>
          <w:szCs w:val="24"/>
          <w:lang w:val="fr-FR"/>
        </w:rPr>
        <w:t xml:space="preserve">convenue </w:t>
      </w:r>
      <w:r w:rsidRPr="00C121C9">
        <w:rPr>
          <w:szCs w:val="24"/>
          <w:lang w:val="fr-FR"/>
        </w:rPr>
        <w:t>sera présentée</w:t>
      </w:r>
      <w:r w:rsidR="00A83398">
        <w:rPr>
          <w:szCs w:val="24"/>
          <w:lang w:val="fr-FR"/>
        </w:rPr>
        <w:t xml:space="preserve"> au Groupe ISCG</w:t>
      </w:r>
      <w:r w:rsidRPr="00C121C9">
        <w:rPr>
          <w:szCs w:val="24"/>
          <w:lang w:val="fr-FR"/>
        </w:rPr>
        <w:t xml:space="preserve"> lors de </w:t>
      </w:r>
      <w:r w:rsidR="00A83398">
        <w:rPr>
          <w:szCs w:val="24"/>
          <w:lang w:val="fr-FR"/>
        </w:rPr>
        <w:t>sa</w:t>
      </w:r>
      <w:r w:rsidRPr="00C121C9">
        <w:rPr>
          <w:szCs w:val="24"/>
          <w:lang w:val="fr-FR"/>
        </w:rPr>
        <w:t xml:space="preserve"> prochaine réunion.</w:t>
      </w:r>
    </w:p>
    <w:p w14:paraId="5B4CDEC4" w14:textId="35832B37" w:rsidR="00413393" w:rsidRPr="00C121C9" w:rsidRDefault="00A83398">
      <w:pPr>
        <w:overflowPunct/>
        <w:autoSpaceDE/>
        <w:autoSpaceDN/>
        <w:adjustRightInd/>
        <w:spacing w:after="120"/>
        <w:textAlignment w:val="auto"/>
        <w:rPr>
          <w:szCs w:val="24"/>
          <w:lang w:val="fr-FR"/>
        </w:rPr>
      </w:pPr>
      <w:r>
        <w:rPr>
          <w:szCs w:val="24"/>
          <w:lang w:val="fr-FR"/>
        </w:rPr>
        <w:t>L</w:t>
      </w:r>
      <w:r w:rsidR="00156283">
        <w:rPr>
          <w:szCs w:val="24"/>
          <w:lang w:val="fr-FR"/>
        </w:rPr>
        <w:t>'</w:t>
      </w:r>
      <w:r>
        <w:rPr>
          <w:szCs w:val="24"/>
          <w:lang w:val="fr-FR"/>
        </w:rPr>
        <w:t>intégralité du rapport</w:t>
      </w:r>
      <w:r w:rsidR="002936F2" w:rsidRPr="00C121C9">
        <w:rPr>
          <w:szCs w:val="24"/>
          <w:lang w:val="fr-FR"/>
        </w:rPr>
        <w:t xml:space="preserve">, ainsi que toutes les informations relatives aux activités de coordination intersectorielle, sont disponibles </w:t>
      </w:r>
      <w:r>
        <w:rPr>
          <w:szCs w:val="24"/>
          <w:lang w:val="fr-FR"/>
        </w:rPr>
        <w:t>sur le</w:t>
      </w:r>
      <w:r w:rsidR="002936F2" w:rsidRPr="00C121C9">
        <w:rPr>
          <w:szCs w:val="24"/>
          <w:lang w:val="fr-FR"/>
        </w:rPr>
        <w:t xml:space="preserve"> </w:t>
      </w:r>
      <w:hyperlink r:id="rId21" w:history="1">
        <w:r w:rsidR="00863FA2" w:rsidRPr="006F0C87">
          <w:rPr>
            <w:rStyle w:val="Hyperlink"/>
            <w:szCs w:val="24"/>
            <w:lang w:val="fr-FR"/>
          </w:rPr>
          <w:t>site web du G</w:t>
        </w:r>
        <w:r w:rsidR="00863FA2" w:rsidRPr="006F0C87">
          <w:rPr>
            <w:rStyle w:val="Hyperlink"/>
            <w:szCs w:val="24"/>
            <w:lang w:val="fr-FR"/>
          </w:rPr>
          <w:t>r</w:t>
        </w:r>
        <w:r w:rsidR="00863FA2" w:rsidRPr="006F0C87">
          <w:rPr>
            <w:rStyle w:val="Hyperlink"/>
            <w:szCs w:val="24"/>
            <w:lang w:val="fr-FR"/>
          </w:rPr>
          <w:t>oupe ISCG</w:t>
        </w:r>
      </w:hyperlink>
      <w:r w:rsidR="00863FA2" w:rsidRPr="006F0C87">
        <w:rPr>
          <w:szCs w:val="24"/>
          <w:lang w:val="fr-FR"/>
        </w:rPr>
        <w:t xml:space="preserve">, </w:t>
      </w:r>
      <w:r w:rsidR="002936F2" w:rsidRPr="00C121C9">
        <w:rPr>
          <w:szCs w:val="24"/>
          <w:lang w:val="fr-FR"/>
        </w:rPr>
        <w:t>dans les six langues officielles de l</w:t>
      </w:r>
      <w:r w:rsidR="00156283">
        <w:rPr>
          <w:szCs w:val="24"/>
          <w:lang w:val="fr-FR"/>
        </w:rPr>
        <w:t>'</w:t>
      </w:r>
      <w:r w:rsidR="002936F2" w:rsidRPr="00C121C9">
        <w:rPr>
          <w:szCs w:val="24"/>
          <w:lang w:val="fr-FR"/>
        </w:rPr>
        <w:t>Union.</w:t>
      </w:r>
    </w:p>
    <w:p w14:paraId="4B3D45A5" w14:textId="2B0CDBB6" w:rsidR="00413393" w:rsidRPr="006F0C87" w:rsidRDefault="006F0C87" w:rsidP="006F0C87">
      <w:pPr>
        <w:pStyle w:val="Heading1"/>
        <w:rPr>
          <w:sz w:val="24"/>
          <w:szCs w:val="24"/>
          <w:lang w:val="fr-FR"/>
        </w:rPr>
      </w:pPr>
      <w:r w:rsidRPr="006F0C87">
        <w:rPr>
          <w:sz w:val="24"/>
          <w:szCs w:val="24"/>
          <w:lang w:val="fr-FR"/>
        </w:rPr>
        <w:t>3</w:t>
      </w:r>
      <w:r w:rsidRPr="006F0C87">
        <w:rPr>
          <w:sz w:val="24"/>
          <w:szCs w:val="24"/>
          <w:lang w:val="fr-FR"/>
        </w:rPr>
        <w:tab/>
      </w:r>
      <w:r w:rsidR="002936F2" w:rsidRPr="006F0C87">
        <w:rPr>
          <w:sz w:val="24"/>
          <w:szCs w:val="24"/>
          <w:lang w:val="fr-FR"/>
        </w:rPr>
        <w:t>Conclusion</w:t>
      </w:r>
    </w:p>
    <w:p w14:paraId="46565B03" w14:textId="000A1AF3" w:rsidR="00A83398" w:rsidRDefault="00A83398" w:rsidP="006F0C87">
      <w:pPr>
        <w:rPr>
          <w:lang w:val="fr-FR"/>
        </w:rPr>
      </w:pPr>
      <w:r w:rsidRPr="00A83398">
        <w:rPr>
          <w:lang w:val="fr-FR"/>
        </w:rPr>
        <w:t xml:space="preserve">Le GCDT est invité à examiner le présent document et à soumettre des </w:t>
      </w:r>
      <w:r>
        <w:rPr>
          <w:lang w:val="fr-FR"/>
        </w:rPr>
        <w:t>observations</w:t>
      </w:r>
      <w:r w:rsidRPr="00A83398">
        <w:rPr>
          <w:lang w:val="fr-FR"/>
        </w:rPr>
        <w:t xml:space="preserve"> et des propositions au Groupe ISCG concernant les thèmes qui </w:t>
      </w:r>
      <w:bookmarkStart w:id="7" w:name="_GoBack"/>
      <w:bookmarkEnd w:id="7"/>
      <w:r w:rsidRPr="00A83398">
        <w:rPr>
          <w:lang w:val="fr-FR"/>
        </w:rPr>
        <w:t xml:space="preserve">ont été présentés et </w:t>
      </w:r>
      <w:r w:rsidR="00863FA2">
        <w:rPr>
          <w:lang w:val="fr-FR"/>
        </w:rPr>
        <w:t>les</w:t>
      </w:r>
      <w:r w:rsidR="00156283">
        <w:rPr>
          <w:lang w:val="fr-FR"/>
        </w:rPr>
        <w:t xml:space="preserve"> </w:t>
      </w:r>
      <w:r w:rsidRPr="00A83398">
        <w:rPr>
          <w:lang w:val="fr-FR"/>
        </w:rPr>
        <w:t>autre</w:t>
      </w:r>
      <w:r w:rsidR="00863FA2">
        <w:rPr>
          <w:lang w:val="fr-FR"/>
        </w:rPr>
        <w:t>s</w:t>
      </w:r>
      <w:r w:rsidRPr="00A83398">
        <w:rPr>
          <w:lang w:val="fr-FR"/>
        </w:rPr>
        <w:t xml:space="preserve"> activité</w:t>
      </w:r>
      <w:r w:rsidR="00863FA2">
        <w:rPr>
          <w:lang w:val="fr-FR"/>
        </w:rPr>
        <w:t>s</w:t>
      </w:r>
      <w:r w:rsidRPr="00A83398">
        <w:rPr>
          <w:lang w:val="fr-FR"/>
        </w:rPr>
        <w:t xml:space="preserve"> qui pourrai</w:t>
      </w:r>
      <w:r w:rsidR="00863FA2">
        <w:rPr>
          <w:lang w:val="fr-FR"/>
        </w:rPr>
        <w:t>en</w:t>
      </w:r>
      <w:r w:rsidRPr="00A83398">
        <w:rPr>
          <w:lang w:val="fr-FR"/>
        </w:rPr>
        <w:t>t être menée</w:t>
      </w:r>
      <w:r w:rsidR="00863FA2">
        <w:rPr>
          <w:lang w:val="fr-FR"/>
        </w:rPr>
        <w:t>s</w:t>
      </w:r>
      <w:r w:rsidRPr="00A83398">
        <w:rPr>
          <w:lang w:val="fr-FR"/>
        </w:rPr>
        <w:t xml:space="preserve"> conjointement par tous les Secteurs ou par deux Secteurs, ainsi que</w:t>
      </w:r>
      <w:r w:rsidR="00156283">
        <w:rPr>
          <w:lang w:val="fr-FR"/>
        </w:rPr>
        <w:t xml:space="preserve"> </w:t>
      </w:r>
      <w:r w:rsidR="00863FA2">
        <w:rPr>
          <w:lang w:val="fr-FR"/>
        </w:rPr>
        <w:t xml:space="preserve">les </w:t>
      </w:r>
      <w:r w:rsidRPr="00A83398">
        <w:rPr>
          <w:lang w:val="fr-FR"/>
        </w:rPr>
        <w:t>mécanismes propres à renforcer la coopération.</w:t>
      </w:r>
    </w:p>
    <w:p w14:paraId="79EE5B7A" w14:textId="78676A31" w:rsidR="00A83398" w:rsidRDefault="00A83398" w:rsidP="006F0C87">
      <w:pPr>
        <w:rPr>
          <w:lang w:val="fr-FR"/>
        </w:rPr>
      </w:pPr>
      <w:r w:rsidRPr="00A83398">
        <w:rPr>
          <w:lang w:val="fr-FR"/>
        </w:rPr>
        <w:t xml:space="preserve">La prochaine réunion du Groupe ISCG </w:t>
      </w:r>
      <w:r w:rsidR="00863FA2">
        <w:rPr>
          <w:lang w:val="fr-FR"/>
        </w:rPr>
        <w:t>doit se tenir</w:t>
      </w:r>
      <w:r>
        <w:rPr>
          <w:lang w:val="fr-FR"/>
        </w:rPr>
        <w:t xml:space="preserve"> au deuxième semestre de 2023, en octobre. La date sera confirmée à l</w:t>
      </w:r>
      <w:r w:rsidR="00156283">
        <w:rPr>
          <w:lang w:val="fr-FR"/>
        </w:rPr>
        <w:t>'</w:t>
      </w:r>
      <w:r>
        <w:rPr>
          <w:lang w:val="fr-FR"/>
        </w:rPr>
        <w:t xml:space="preserve">issue </w:t>
      </w:r>
      <w:r w:rsidR="00863FA2">
        <w:rPr>
          <w:lang w:val="fr-FR"/>
        </w:rPr>
        <w:t>de</w:t>
      </w:r>
      <w:r w:rsidR="00156283">
        <w:rPr>
          <w:lang w:val="fr-FR"/>
        </w:rPr>
        <w:t xml:space="preserve"> </w:t>
      </w:r>
      <w:r>
        <w:rPr>
          <w:lang w:val="fr-FR"/>
        </w:rPr>
        <w:t>consultations avec l</w:t>
      </w:r>
      <w:r w:rsidR="00156283">
        <w:rPr>
          <w:lang w:val="fr-FR"/>
        </w:rPr>
        <w:t>'</w:t>
      </w:r>
      <w:r>
        <w:rPr>
          <w:lang w:val="fr-FR"/>
        </w:rPr>
        <w:t>équipe de direction du Groupe.</w:t>
      </w:r>
      <w:r w:rsidRPr="00A83398">
        <w:rPr>
          <w:lang w:val="fr-FR"/>
        </w:rPr>
        <w:t xml:space="preserve"> Des informations détaillées seront publiées sur le </w:t>
      </w:r>
      <w:hyperlink r:id="rId22" w:history="1">
        <w:r w:rsidRPr="00A83398">
          <w:rPr>
            <w:rStyle w:val="Hyperlink"/>
            <w:szCs w:val="24"/>
            <w:lang w:val="fr-FR"/>
          </w:rPr>
          <w:t>portail des manif</w:t>
        </w:r>
        <w:r w:rsidRPr="00A83398">
          <w:rPr>
            <w:rStyle w:val="Hyperlink"/>
            <w:szCs w:val="24"/>
            <w:lang w:val="fr-FR"/>
          </w:rPr>
          <w:t>e</w:t>
        </w:r>
        <w:r w:rsidRPr="00A83398">
          <w:rPr>
            <w:rStyle w:val="Hyperlink"/>
            <w:szCs w:val="24"/>
            <w:lang w:val="fr-FR"/>
          </w:rPr>
          <w:t>stations de l</w:t>
        </w:r>
        <w:r w:rsidR="00156283">
          <w:rPr>
            <w:rStyle w:val="Hyperlink"/>
            <w:szCs w:val="24"/>
            <w:lang w:val="fr-FR"/>
          </w:rPr>
          <w:t>'</w:t>
        </w:r>
        <w:r w:rsidRPr="00A83398">
          <w:rPr>
            <w:rStyle w:val="Hyperlink"/>
            <w:szCs w:val="24"/>
            <w:lang w:val="fr-FR"/>
          </w:rPr>
          <w:t>UIT</w:t>
        </w:r>
      </w:hyperlink>
      <w:r w:rsidRPr="00A83398">
        <w:rPr>
          <w:lang w:val="fr-FR"/>
        </w:rPr>
        <w:t>.</w:t>
      </w:r>
    </w:p>
    <w:p w14:paraId="7972C158" w14:textId="77777777" w:rsidR="00156283" w:rsidRPr="00A83398" w:rsidRDefault="00156283" w:rsidP="006F0C87">
      <w:pPr>
        <w:rPr>
          <w:lang w:val="fr-FR"/>
        </w:rPr>
      </w:pPr>
    </w:p>
    <w:p w14:paraId="7759C759" w14:textId="11008BBA" w:rsidR="00413393" w:rsidRDefault="002936F2">
      <w:pPr>
        <w:tabs>
          <w:tab w:val="clear" w:pos="794"/>
          <w:tab w:val="clear" w:pos="1191"/>
          <w:tab w:val="clear" w:pos="1588"/>
          <w:tab w:val="clear" w:pos="1985"/>
        </w:tabs>
        <w:spacing w:after="120"/>
        <w:jc w:val="center"/>
      </w:pPr>
      <w:r>
        <w:t>_______________</w:t>
      </w:r>
    </w:p>
    <w:sectPr w:rsidR="00413393">
      <w:headerReference w:type="default" r:id="rId23"/>
      <w:footerReference w:type="defaul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4497A" w14:textId="77777777" w:rsidR="00413393" w:rsidRDefault="002936F2">
      <w:r>
        <w:separator/>
      </w:r>
    </w:p>
  </w:endnote>
  <w:endnote w:type="continuationSeparator" w:id="0">
    <w:p w14:paraId="47E7D672" w14:textId="77777777" w:rsidR="00413393" w:rsidRDefault="0029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8513" w14:textId="0A2CC3D8" w:rsidR="00156283" w:rsidRDefault="00156283" w:rsidP="00156283">
    <w:pPr>
      <w:pStyle w:val="Footer"/>
    </w:pPr>
    <w:r>
      <w:rPr>
        <w:noProof/>
      </w:rPr>
      <w:fldChar w:fldCharType="begin"/>
    </w:r>
    <w:r>
      <w:rPr>
        <w:noProof/>
      </w:rPr>
      <w:instrText xml:space="preserve"> FILENAME \p  \* MERGEFORMAT </w:instrText>
    </w:r>
    <w:r>
      <w:rPr>
        <w:noProof/>
      </w:rPr>
      <w:fldChar w:fldCharType="separate"/>
    </w:r>
    <w:r>
      <w:rPr>
        <w:noProof/>
      </w:rPr>
      <w:t>P:\FRA\ITU-D\CONF-D\TDAG23\TDAG23-30\000\009F.docx</w:t>
    </w:r>
    <w:r>
      <w:rPr>
        <w:noProof/>
      </w:rPr>
      <w:fldChar w:fldCharType="end"/>
    </w:r>
    <w:r>
      <w:rPr>
        <w:noProof/>
      </w:rPr>
      <w:t xml:space="preserve"> (520121)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CC4590" w:rsidRPr="00156283" w14:paraId="695D1810" w14:textId="77777777">
      <w:tc>
        <w:tcPr>
          <w:tcW w:w="1526" w:type="dxa"/>
          <w:tcBorders>
            <w:top w:val="single" w:sz="4" w:space="0" w:color="000000"/>
          </w:tcBorders>
          <w:shd w:val="clear" w:color="auto" w:fill="auto"/>
        </w:tcPr>
        <w:p w14:paraId="746E5A61" w14:textId="2950D757" w:rsidR="00CC4590" w:rsidRPr="00156283" w:rsidRDefault="00CC4590" w:rsidP="00CC4590">
          <w:pPr>
            <w:pStyle w:val="FirstFooter"/>
            <w:tabs>
              <w:tab w:val="left" w:pos="1559"/>
              <w:tab w:val="left" w:pos="3828"/>
            </w:tabs>
            <w:rPr>
              <w:sz w:val="18"/>
              <w:szCs w:val="18"/>
            </w:rPr>
          </w:pPr>
          <w:r w:rsidRPr="00156283">
            <w:rPr>
              <w:sz w:val="18"/>
              <w:szCs w:val="18"/>
              <w:lang w:val="en-US"/>
            </w:rPr>
            <w:t>Contact:</w:t>
          </w:r>
        </w:p>
      </w:tc>
      <w:tc>
        <w:tcPr>
          <w:tcW w:w="2410" w:type="dxa"/>
          <w:tcBorders>
            <w:top w:val="single" w:sz="4" w:space="0" w:color="000000"/>
          </w:tcBorders>
          <w:shd w:val="clear" w:color="auto" w:fill="auto"/>
        </w:tcPr>
        <w:p w14:paraId="488E41E2" w14:textId="4FE77590" w:rsidR="00CC4590" w:rsidRPr="00156283" w:rsidRDefault="00CC4590" w:rsidP="00CC4590">
          <w:pPr>
            <w:pStyle w:val="FirstFooter"/>
            <w:tabs>
              <w:tab w:val="left" w:pos="2302"/>
            </w:tabs>
            <w:ind w:left="2302" w:hanging="2302"/>
            <w:rPr>
              <w:sz w:val="18"/>
              <w:szCs w:val="18"/>
              <w:lang w:val="en-US"/>
            </w:rPr>
          </w:pPr>
          <w:r w:rsidRPr="00156283">
            <w:rPr>
              <w:sz w:val="18"/>
              <w:szCs w:val="18"/>
              <w:lang w:val="en-US"/>
            </w:rPr>
            <w:t>Nom/</w:t>
          </w:r>
          <w:r w:rsidRPr="00156283">
            <w:rPr>
              <w:sz w:val="18"/>
              <w:szCs w:val="18"/>
            </w:rPr>
            <w:t>Organisation</w:t>
          </w:r>
          <w:r w:rsidRPr="00156283">
            <w:rPr>
              <w:sz w:val="18"/>
              <w:szCs w:val="18"/>
              <w:lang w:val="en-US"/>
            </w:rPr>
            <w:t>/</w:t>
          </w:r>
          <w:r w:rsidRPr="00156283">
            <w:rPr>
              <w:sz w:val="18"/>
              <w:szCs w:val="18"/>
            </w:rPr>
            <w:t>Entité</w:t>
          </w:r>
          <w:r w:rsidRPr="00156283">
            <w:rPr>
              <w:sz w:val="18"/>
              <w:szCs w:val="18"/>
              <w:lang w:val="en-US"/>
            </w:rPr>
            <w:t>:</w:t>
          </w:r>
        </w:p>
      </w:tc>
      <w:tc>
        <w:tcPr>
          <w:tcW w:w="5987" w:type="dxa"/>
          <w:tcBorders>
            <w:top w:val="single" w:sz="4" w:space="0" w:color="000000"/>
          </w:tcBorders>
        </w:tcPr>
        <w:p w14:paraId="148264AE" w14:textId="7F88345B" w:rsidR="00CC4590" w:rsidRPr="00156283" w:rsidRDefault="00CC4590" w:rsidP="00CC4590">
          <w:pPr>
            <w:pStyle w:val="FirstFooter"/>
            <w:tabs>
              <w:tab w:val="left" w:pos="2302"/>
            </w:tabs>
            <w:rPr>
              <w:sz w:val="18"/>
              <w:szCs w:val="18"/>
              <w:lang w:val="en-US"/>
            </w:rPr>
          </w:pPr>
          <w:r w:rsidRPr="00156283">
            <w:rPr>
              <w:sz w:val="18"/>
              <w:szCs w:val="18"/>
            </w:rPr>
            <w:t>M. Fabio Bigi</w:t>
          </w:r>
        </w:p>
      </w:tc>
      <w:bookmarkStart w:id="8" w:name="OrgName"/>
      <w:bookmarkEnd w:id="8"/>
    </w:tr>
    <w:tr w:rsidR="00CC4590" w:rsidRPr="00156283" w14:paraId="61167678" w14:textId="77777777">
      <w:tc>
        <w:tcPr>
          <w:tcW w:w="1526" w:type="dxa"/>
          <w:shd w:val="clear" w:color="auto" w:fill="auto"/>
        </w:tcPr>
        <w:p w14:paraId="33710823" w14:textId="77777777" w:rsidR="00CC4590" w:rsidRPr="00156283" w:rsidRDefault="00CC4590" w:rsidP="00CC4590">
          <w:pPr>
            <w:pStyle w:val="FirstFooter"/>
            <w:tabs>
              <w:tab w:val="left" w:pos="1559"/>
              <w:tab w:val="left" w:pos="3828"/>
            </w:tabs>
            <w:rPr>
              <w:sz w:val="18"/>
              <w:szCs w:val="18"/>
              <w:lang w:val="en-US"/>
            </w:rPr>
          </w:pPr>
        </w:p>
      </w:tc>
      <w:tc>
        <w:tcPr>
          <w:tcW w:w="2410" w:type="dxa"/>
          <w:shd w:val="clear" w:color="auto" w:fill="auto"/>
        </w:tcPr>
        <w:p w14:paraId="1251F6E4" w14:textId="66674EC5" w:rsidR="00CC4590" w:rsidRPr="00156283" w:rsidRDefault="00CC4590" w:rsidP="00CC4590">
          <w:pPr>
            <w:pStyle w:val="FirstFooter"/>
            <w:tabs>
              <w:tab w:val="left" w:pos="2302"/>
            </w:tabs>
            <w:rPr>
              <w:sz w:val="18"/>
              <w:szCs w:val="18"/>
              <w:lang w:val="en-US"/>
            </w:rPr>
          </w:pPr>
          <w:r w:rsidRPr="00156283">
            <w:rPr>
              <w:sz w:val="18"/>
              <w:szCs w:val="18"/>
            </w:rPr>
            <w:t>Numéro de téléphone:</w:t>
          </w:r>
        </w:p>
      </w:tc>
      <w:tc>
        <w:tcPr>
          <w:tcW w:w="5987" w:type="dxa"/>
        </w:tcPr>
        <w:p w14:paraId="6D7949F0" w14:textId="29443123" w:rsidR="00CC4590" w:rsidRPr="00156283" w:rsidRDefault="006777BA" w:rsidP="00CC4590">
          <w:pPr>
            <w:pStyle w:val="FirstFooter"/>
            <w:tabs>
              <w:tab w:val="left" w:pos="2302"/>
            </w:tabs>
            <w:rPr>
              <w:sz w:val="18"/>
              <w:szCs w:val="18"/>
              <w:lang w:val="en-US"/>
            </w:rPr>
          </w:pPr>
          <w:r w:rsidRPr="00156283">
            <w:rPr>
              <w:sz w:val="18"/>
              <w:szCs w:val="18"/>
              <w:lang w:val="en-US"/>
            </w:rPr>
            <w:t>sans objet</w:t>
          </w:r>
        </w:p>
      </w:tc>
      <w:bookmarkStart w:id="9" w:name="PhoneNo"/>
      <w:bookmarkEnd w:id="9"/>
    </w:tr>
    <w:tr w:rsidR="00CC4590" w:rsidRPr="00156283" w14:paraId="0299A231" w14:textId="77777777">
      <w:tc>
        <w:tcPr>
          <w:tcW w:w="1526" w:type="dxa"/>
          <w:shd w:val="clear" w:color="auto" w:fill="auto"/>
        </w:tcPr>
        <w:p w14:paraId="35CBC438" w14:textId="77777777" w:rsidR="00CC4590" w:rsidRPr="00156283" w:rsidRDefault="00CC4590" w:rsidP="00CC4590">
          <w:pPr>
            <w:pStyle w:val="FirstFooter"/>
            <w:tabs>
              <w:tab w:val="left" w:pos="1559"/>
              <w:tab w:val="left" w:pos="3828"/>
            </w:tabs>
            <w:rPr>
              <w:sz w:val="18"/>
              <w:szCs w:val="18"/>
              <w:lang w:val="en-US"/>
            </w:rPr>
          </w:pPr>
        </w:p>
      </w:tc>
      <w:tc>
        <w:tcPr>
          <w:tcW w:w="2410" w:type="dxa"/>
          <w:shd w:val="clear" w:color="auto" w:fill="auto"/>
        </w:tcPr>
        <w:p w14:paraId="65335E06" w14:textId="53BB5BD0" w:rsidR="00CC4590" w:rsidRPr="00156283" w:rsidRDefault="00CC4590" w:rsidP="00CC4590">
          <w:pPr>
            <w:pStyle w:val="FirstFooter"/>
            <w:tabs>
              <w:tab w:val="left" w:pos="2302"/>
            </w:tabs>
            <w:rPr>
              <w:sz w:val="18"/>
              <w:szCs w:val="18"/>
              <w:lang w:val="en-US"/>
            </w:rPr>
          </w:pPr>
          <w:r w:rsidRPr="00156283">
            <w:rPr>
              <w:sz w:val="18"/>
              <w:szCs w:val="18"/>
            </w:rPr>
            <w:t>Courriel:</w:t>
          </w:r>
        </w:p>
      </w:tc>
      <w:tc>
        <w:tcPr>
          <w:tcW w:w="5987" w:type="dxa"/>
        </w:tcPr>
        <w:p w14:paraId="7EAB0988" w14:textId="7721B099" w:rsidR="00CC4590" w:rsidRPr="00156283" w:rsidRDefault="006F0C87" w:rsidP="00CC4590">
          <w:pPr>
            <w:pStyle w:val="FirstFooter"/>
            <w:tabs>
              <w:tab w:val="left" w:pos="2302"/>
            </w:tabs>
            <w:rPr>
              <w:sz w:val="18"/>
              <w:szCs w:val="18"/>
              <w:lang w:val="en-US"/>
            </w:rPr>
          </w:pPr>
          <w:hyperlink r:id="rId1" w:history="1">
            <w:r w:rsidR="00CC4590" w:rsidRPr="00156283">
              <w:rPr>
                <w:rStyle w:val="Hyperlink"/>
                <w:sz w:val="18"/>
                <w:szCs w:val="18"/>
              </w:rPr>
              <w:t>fabio.bigi@virgilio.it</w:t>
            </w:r>
          </w:hyperlink>
        </w:p>
      </w:tc>
      <w:bookmarkStart w:id="10" w:name="Email"/>
      <w:bookmarkEnd w:id="10"/>
    </w:tr>
  </w:tbl>
  <w:p w14:paraId="40A321D0" w14:textId="77777777" w:rsidR="00413393" w:rsidRDefault="006F0C87" w:rsidP="00156283">
    <w:pPr>
      <w:pStyle w:val="Footer"/>
      <w:spacing w:before="120"/>
      <w:jc w:val="center"/>
      <w:rPr>
        <w:lang w:val="en-GB"/>
      </w:rPr>
    </w:pPr>
    <w:hyperlink r:id="rId2" w:history="1">
      <w:r w:rsidR="002936F2">
        <w:rPr>
          <w:rStyle w:val="Hyperlink"/>
          <w:caps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F1DA4" w14:textId="77777777" w:rsidR="00413393" w:rsidRDefault="002936F2">
      <w:r>
        <w:t>____________________</w:t>
      </w:r>
    </w:p>
  </w:footnote>
  <w:footnote w:type="continuationSeparator" w:id="0">
    <w:p w14:paraId="400A4919" w14:textId="77777777" w:rsidR="00413393" w:rsidRDefault="00293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E1674" w14:textId="5523A8B0" w:rsidR="00156283" w:rsidRPr="00A525CC" w:rsidRDefault="00156283" w:rsidP="00156283">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w:t>
    </w:r>
    <w:r>
      <w:rPr>
        <w:sz w:val="22"/>
        <w:szCs w:val="22"/>
        <w:lang w:val="de-CH"/>
      </w:rPr>
      <w:t>23</w:t>
    </w:r>
    <w:r w:rsidRPr="007E515B">
      <w:rPr>
        <w:sz w:val="22"/>
        <w:szCs w:val="22"/>
        <w:lang w:val="de-CH"/>
      </w:rPr>
      <w:t>/</w:t>
    </w:r>
    <w:r>
      <w:rPr>
        <w:sz w:val="22"/>
        <w:szCs w:val="22"/>
        <w:lang w:val="de-CH"/>
      </w:rPr>
      <w:t>9</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F0C87">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B27"/>
    <w:multiLevelType w:val="hybridMultilevel"/>
    <w:tmpl w:val="F834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0319"/>
    <w:multiLevelType w:val="hybridMultilevel"/>
    <w:tmpl w:val="E43A2EA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3D0EE1"/>
    <w:multiLevelType w:val="hybridMultilevel"/>
    <w:tmpl w:val="735AA0D6"/>
    <w:lvl w:ilvl="0" w:tplc="6FA8E6B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93"/>
    <w:rsid w:val="00156283"/>
    <w:rsid w:val="001B5A0B"/>
    <w:rsid w:val="0022703B"/>
    <w:rsid w:val="002936F2"/>
    <w:rsid w:val="00413393"/>
    <w:rsid w:val="00516E20"/>
    <w:rsid w:val="006777BA"/>
    <w:rsid w:val="006F0C87"/>
    <w:rsid w:val="008534F4"/>
    <w:rsid w:val="00863FA2"/>
    <w:rsid w:val="009F3AFD"/>
    <w:rsid w:val="00A83398"/>
    <w:rsid w:val="00B2158E"/>
    <w:rsid w:val="00B224D3"/>
    <w:rsid w:val="00C121C9"/>
    <w:rsid w:val="00CC4590"/>
    <w:rsid w:val="00CD0630"/>
    <w:rsid w:val="00ED290A"/>
    <w:rsid w:val="00F34E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794" w:hanging="79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tyle>
  <w:style w:type="paragraph" w:styleId="TOC2">
    <w:name w:val="toc 2"/>
    <w:basedOn w:val="TOC1"/>
    <w:pPr>
      <w:spacing w:before="120"/>
    </w:pPr>
  </w:style>
  <w:style w:type="paragraph" w:styleId="TOC1">
    <w:name w:val="toc 1"/>
    <w:basedOn w:val="Normal"/>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Pr>
      <w:rFonts w:asciiTheme="minorHAnsi" w:hAnsiTheme="minorHAnsi"/>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28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customStyle="1" w:styleId="AnnexNo">
    <w:name w:val="Annex_No"/>
    <w:basedOn w:val="Normal"/>
    <w:next w:val="Annexref"/>
    <w:pPr>
      <w:keepNext/>
      <w:keepLines/>
      <w:spacing w:before="480" w:after="80"/>
      <w:jc w:val="center"/>
    </w:pPr>
    <w:rPr>
      <w:caps/>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Note">
    <w:name w:val="Note"/>
    <w:basedOn w:val="Normal"/>
    <w:pPr>
      <w:spacing w:before="80"/>
    </w:pPr>
  </w:style>
  <w:style w:type="paragraph" w:styleId="TOC9">
    <w:name w:val="toc 9"/>
    <w:basedOn w:val="TOC3"/>
    <w:next w:val="Normal"/>
    <w:semiHidden/>
  </w:style>
  <w:style w:type="paragraph" w:customStyle="1" w:styleId="Source">
    <w:name w:val="Source"/>
    <w:basedOn w:val="Normal"/>
    <w:next w:val="Normalaftertitle"/>
    <w:pPr>
      <w:spacing w:before="240" w:after="240"/>
      <w:jc w:val="center"/>
    </w:pPr>
    <w:rPr>
      <w:b/>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b/>
      <w:sz w:val="28"/>
    </w:rPr>
  </w:style>
  <w:style w:type="character" w:customStyle="1" w:styleId="Appdef">
    <w:name w:val="App_def"/>
    <w:basedOn w:val="DefaultParagraphFont"/>
    <w:rPr>
      <w:rFonts w:asciiTheme="minorHAnsi" w:hAnsiTheme="minorHAnsi"/>
      <w:b/>
    </w:rPr>
  </w:style>
  <w:style w:type="character" w:customStyle="1" w:styleId="Appref">
    <w:name w:val="App_ref"/>
    <w:basedOn w:val="DefaultParagraphFont"/>
    <w:rPr>
      <w:rFonts w:asciiTheme="minorHAnsi" w:hAnsiTheme="minorHAnsi"/>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character" w:customStyle="1" w:styleId="Artdef">
    <w:name w:val="Art_def"/>
    <w:basedOn w:val="DefaultParagraphFont"/>
    <w:rPr>
      <w:rFonts w:asciiTheme="minorHAnsi" w:hAnsiTheme="minorHAnsi"/>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480" w:after="120"/>
      <w:jc w:val="center"/>
    </w:pPr>
    <w:rPr>
      <w:caps/>
    </w:rPr>
  </w:style>
  <w:style w:type="paragraph" w:customStyle="1" w:styleId="Figuretitle">
    <w:name w:val="Figure_title"/>
    <w:basedOn w:val="Tabletitle"/>
    <w:next w:val="Normal"/>
    <w:pPr>
      <w:keepNext w:val="0"/>
      <w:spacing w:after="480"/>
    </w:pPr>
  </w:style>
  <w:style w:type="paragraph" w:customStyle="1" w:styleId="Tabletitle">
    <w:name w:val="Table_title"/>
    <w:basedOn w:val="Normal"/>
    <w:next w:val="Tabletext"/>
    <w:pPr>
      <w:keepNext/>
      <w:keepLines/>
      <w:spacing w:before="0" w:after="12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pPr>
      <w:keepNext w:val="0"/>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character" w:customStyle="1" w:styleId="Recdef">
    <w:name w:val="Rec_def"/>
    <w:basedOn w:val="DefaultParagraphFont"/>
    <w:rPr>
      <w:rFonts w:asciiTheme="minorHAnsi" w:hAnsiTheme="minorHAnsi"/>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basedOn w:val="DefaultParagraphFont"/>
    <w:rPr>
      <w:rFonts w:asciiTheme="minorHAnsi" w:hAnsiTheme="minorHAnsi"/>
      <w:b/>
    </w:rPr>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rPr>
      <w:rFonts w:asciiTheme="minorHAnsi" w:hAnsiTheme="minorHAnsi"/>
      <w:b/>
      <w:color w:val="auto"/>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character" w:styleId="PageNumber">
    <w:name w:val="page number"/>
    <w:basedOn w:val="DefaultParagraphFont"/>
    <w:rPr>
      <w:rFonts w:asciiTheme="minorHAnsi" w:hAnsiTheme="minorHAnsi"/>
    </w:rPr>
  </w:style>
  <w:style w:type="character" w:customStyle="1" w:styleId="HeaderChar">
    <w:name w:val="Header Char"/>
    <w:basedOn w:val="DefaultParagraphFont"/>
    <w:link w:val="Header"/>
    <w:uiPriority w:val="99"/>
    <w:rPr>
      <w:rFonts w:ascii="Times New Roman" w:hAnsi="Times New Roman"/>
      <w:sz w:val="18"/>
      <w:lang w:val="fr-FR" w:eastAsia="en-US"/>
    </w:rPr>
  </w:style>
  <w:style w:type="character" w:customStyle="1" w:styleId="FooterChar">
    <w:name w:val="Footer Char"/>
    <w:basedOn w:val="DefaultParagraphFont"/>
    <w:link w:val="Footer"/>
    <w:rPr>
      <w:rFonts w:ascii="Times New Roman" w:hAnsi="Times New Roman"/>
      <w:caps/>
      <w:sz w:val="16"/>
      <w:lang w:val="fr-FR"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Pr>
      <w:rFonts w:cs="Times New Roman Bold"/>
      <w:b/>
      <w:caps/>
    </w:rPr>
  </w:style>
  <w:style w:type="character" w:styleId="Hyperlink">
    <w:name w:val="Hyperlink"/>
    <w:aliases w:val="CEO_Hyperlink,超级链接,Style 58,超?级链,超????,하이퍼링크2,超链接1"/>
    <w:basedOn w:val="DefaultParagraphFont"/>
    <w:qFormat/>
    <w:rPr>
      <w:color w:val="0000FF" w:themeColor="hyperlink"/>
      <w:u w:val="single"/>
    </w:rPr>
  </w:style>
  <w:style w:type="paragraph" w:customStyle="1" w:styleId="BDTLogo">
    <w:name w:val="BDT_Logo"/>
    <w:uiPriority w:val="99"/>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pPr>
      <w:tabs>
        <w:tab w:val="clear" w:pos="794"/>
        <w:tab w:val="clear" w:pos="1191"/>
        <w:tab w:val="left" w:pos="1134"/>
        <w:tab w:val="left" w:pos="1871"/>
      </w:tabs>
    </w:pPr>
  </w:style>
  <w:style w:type="character" w:styleId="FollowedHyperlink">
    <w:name w:val="FollowedHyperlink"/>
    <w:basedOn w:val="DefaultParagraphFont"/>
    <w:semiHidden/>
    <w:unhideWhenUsed/>
    <w:rPr>
      <w:color w:val="800080" w:themeColor="followedHyperlink"/>
      <w:u w:val="single"/>
    </w:rPr>
  </w:style>
  <w:style w:type="character" w:customStyle="1" w:styleId="ListParagraphChar">
    <w:name w:val="List Paragraph Char"/>
    <w:basedOn w:val="DefaultParagraphFont"/>
    <w:link w:val="ListParagraph"/>
    <w:uiPriority w:val="34"/>
    <w:rPr>
      <w:rFonts w:asciiTheme="minorHAnsi" w:hAnsiTheme="minorHAnsi"/>
      <w:sz w:val="24"/>
      <w:lang w:val="en-GB"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sid w:val="006777B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DEC-005-E.pdf" TargetMode="External"/><Relationship Id="rId18" Type="http://schemas.openxmlformats.org/officeDocument/2006/relationships/hyperlink" Target="https://www.itu.int/en/general-secretariat/ties/ISCGDocumentLibrary/1st%20Meeting%202023/Mapping-of-resolutions-Updated%20Oct202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en/general-secretariat/Pages/ISCG/default.aspx" TargetMode="External"/><Relationship Id="rId7" Type="http://schemas.openxmlformats.org/officeDocument/2006/relationships/settings" Target="settings.xml"/><Relationship Id="rId12" Type="http://schemas.openxmlformats.org/officeDocument/2006/relationships/hyperlink" Target="https://www.itu.int/en/council/Documents/basic-texts-2023/RES-191-E.pdf" TargetMode="External"/><Relationship Id="rId17" Type="http://schemas.openxmlformats.org/officeDocument/2006/relationships/hyperlink" Target="https://www.itu.int/en/general-secretariat/Pages/ISCG/Terms-of-reference-for-IST.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en/general-secretariat/ties/ISCGDocumentLibrary/1st%20Meeting%202023/Resolution%20191-Rev%20Bucharest%202022-E.pdf" TargetMode="External"/><Relationship Id="rId20" Type="http://schemas.openxmlformats.org/officeDocument/2006/relationships/hyperlink" Target="https://www.itu.int/en/general-secretariat/ties/ISCGDocumentLibrary/Liaisons%20Statements%20on%20Inter-Sectoral%20Coordination%20Activities/Table%20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en/council/Documents/basic-texts/RES-191-F.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en/general-secretariat/ties/ISCGDocumentLibrary/Liaisons%20Statements%20on%20Inter-Sectoral%20Coordination%20Activities/Table%2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general-secretariat/Pages/ISCG/default.aspx" TargetMode="External"/><Relationship Id="rId22" Type="http://schemas.openxmlformats.org/officeDocument/2006/relationships/hyperlink" Target="https://www.itu.int/en/events/Pages/default.aspx"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F1051-3405-47E2-AAA7-40BEBB14C7D0}">
  <ds:schemaRefs>
    <ds:schemaRef ds:uri="http://purl.org/dc/elements/1.1/"/>
    <ds:schemaRef ds:uri="http://www.w3.org/XML/1998/namespace"/>
    <ds:schemaRef ds:uri="http://purl.org/dc/terms/"/>
    <ds:schemaRef ds:uri="http://schemas.microsoft.com/office/2006/documentManagement/types"/>
    <ds:schemaRef ds:uri="d4ea696a-cca3-460b-a983-57ac2621983a"/>
    <ds:schemaRef ds:uri="http://purl.org/dc/dcmitype/"/>
    <ds:schemaRef ds:uri="http://schemas.microsoft.com/office/2006/metadata/properties"/>
    <ds:schemaRef ds:uri="http://schemas.openxmlformats.org/package/2006/metadata/core-properties"/>
    <ds:schemaRef ds:uri="http://schemas.microsoft.com/office/infopath/2007/PartnerControls"/>
    <ds:schemaRef ds:uri="29399490-13b9-4c73-b71e-403b715b75a7"/>
  </ds:schemaRefs>
</ds:datastoreItem>
</file>

<file path=customXml/itemProps2.xml><?xml version="1.0" encoding="utf-8"?>
<ds:datastoreItem xmlns:ds="http://schemas.openxmlformats.org/officeDocument/2006/customXml" ds:itemID="{F7B63D95-8596-4898-95E7-B6BB108DC17A}">
  <ds:schemaRefs>
    <ds:schemaRef ds:uri="http://schemas.microsoft.com/sharepoint/v3/contenttype/forms"/>
  </ds:schemaRefs>
</ds:datastoreItem>
</file>

<file path=customXml/itemProps3.xml><?xml version="1.0" encoding="utf-8"?>
<ds:datastoreItem xmlns:ds="http://schemas.openxmlformats.org/officeDocument/2006/customXml" ds:itemID="{04DD0D8D-2475-411F-9E73-B0A73EEB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DA3DE-795B-40D5-9667-CA8FE846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1035</Words>
  <Characters>6870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Royer, Veronique</cp:lastModifiedBy>
  <cp:revision>3</cp:revision>
  <cp:lastPrinted>2014-11-04T09:22:00Z</cp:lastPrinted>
  <dcterms:created xsi:type="dcterms:W3CDTF">2023-05-12T04:54:00Z</dcterms:created>
  <dcterms:modified xsi:type="dcterms:W3CDTF">2023-05-12T05:46:00Z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