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04A4FDA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E4E08B4" w:rsidR="00307769" w:rsidRPr="00844A56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30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次会议，瑞士日内瓦，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19-23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17843C0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9B421C">
              <w:rPr>
                <w:b/>
                <w:bCs/>
                <w:lang w:val="en-US"/>
              </w:rPr>
              <w:t>9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6521C2D5" w:rsidR="00683C32" w:rsidRPr="007F1CC7" w:rsidRDefault="00CE042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F358C6">
              <w:rPr>
                <w:b/>
                <w:bCs/>
                <w:lang w:val="en-US"/>
              </w:rPr>
              <w:t>20</w:t>
            </w:r>
            <w:r w:rsidR="00B648C7" w:rsidRPr="00F358C6">
              <w:rPr>
                <w:b/>
                <w:bCs/>
                <w:lang w:val="en-US"/>
              </w:rPr>
              <w:t>2</w:t>
            </w:r>
            <w:r w:rsidR="00307769" w:rsidRPr="00F358C6">
              <w:rPr>
                <w:b/>
                <w:bCs/>
                <w:lang w:val="en-US"/>
              </w:rPr>
              <w:t>3</w:t>
            </w:r>
            <w:r w:rsidR="00966BA6" w:rsidRPr="00F358C6">
              <w:rPr>
                <w:rFonts w:hint="eastAsia"/>
                <w:b/>
                <w:bCs/>
                <w:lang w:val="en-US"/>
              </w:rPr>
              <w:t>年</w:t>
            </w:r>
            <w:r w:rsidR="009B421C" w:rsidRPr="00F358C6">
              <w:rPr>
                <w:b/>
                <w:bCs/>
                <w:lang w:val="en-US"/>
              </w:rPr>
              <w:t>5</w:t>
            </w:r>
            <w:r w:rsidR="00966BA6" w:rsidRPr="00F358C6">
              <w:rPr>
                <w:rFonts w:hint="eastAsia"/>
                <w:b/>
                <w:bCs/>
                <w:lang w:val="en-US"/>
              </w:rPr>
              <w:t>月</w:t>
            </w:r>
            <w:r w:rsidR="009B421C" w:rsidRPr="00F358C6">
              <w:rPr>
                <w:b/>
                <w:bCs/>
                <w:lang w:val="en-US"/>
              </w:rPr>
              <w:t>9</w:t>
            </w:r>
            <w:r w:rsidR="00966BA6" w:rsidRPr="00F358C6">
              <w:rPr>
                <w:rFonts w:hint="eastAsia"/>
                <w:b/>
                <w:bCs/>
                <w:lang w:val="en-US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67C527F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F5EA06A" w:rsidR="00A13162" w:rsidRPr="0030353C" w:rsidRDefault="009B421C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 w:rsidRPr="00D92562">
              <w:rPr>
                <w:rFonts w:hint="eastAsia"/>
                <w:lang w:eastAsia="zh-CN"/>
              </w:rPr>
              <w:t>跨部门协调组主席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155AEE2" w:rsidR="00AC6F14" w:rsidRPr="0030353C" w:rsidRDefault="009B421C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D92562">
              <w:rPr>
                <w:lang w:eastAsia="zh-CN"/>
              </w:rPr>
              <w:t>共同关心问题跨部门协调</w:t>
            </w:r>
            <w:r w:rsidRPr="00D92562">
              <w:rPr>
                <w:rFonts w:hint="eastAsia"/>
                <w:lang w:eastAsia="zh-CN"/>
              </w:rPr>
              <w:t>组（</w:t>
            </w:r>
            <w:r w:rsidRPr="00D92562">
              <w:rPr>
                <w:rFonts w:hint="eastAsia"/>
                <w:lang w:eastAsia="zh-CN"/>
              </w:rPr>
              <w:t>ISCG</w:t>
            </w:r>
            <w:r w:rsidRPr="00D92562">
              <w:rPr>
                <w:rFonts w:hint="eastAsia"/>
                <w:lang w:eastAsia="zh-CN"/>
              </w:rPr>
              <w:t>）</w:t>
            </w:r>
            <w:r w:rsidR="00F358C6">
              <w:rPr>
                <w:rFonts w:hint="eastAsia"/>
                <w:lang w:eastAsia="zh-CN"/>
              </w:rPr>
              <w:t>的</w:t>
            </w:r>
            <w:r w:rsidRPr="00D92562">
              <w:rPr>
                <w:rFonts w:hint="eastAsia"/>
                <w:lang w:eastAsia="zh-CN"/>
              </w:rPr>
              <w:t>报告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0FB37B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4082D7E8" w14:textId="2660C356" w:rsidR="00A721F4" w:rsidRPr="009B421C" w:rsidRDefault="009B421C" w:rsidP="00F36C5F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本文件介绍了</w:t>
            </w:r>
            <w:r w:rsidRPr="009B421C">
              <w:rPr>
                <w:lang w:eastAsia="zh-CN"/>
              </w:rPr>
              <w:t>共同关心问题跨部门协调</w:t>
            </w:r>
            <w:r w:rsidRPr="009B421C">
              <w:rPr>
                <w:rFonts w:hint="eastAsia"/>
                <w:lang w:eastAsia="zh-CN"/>
              </w:rPr>
              <w:t>组（</w:t>
            </w:r>
            <w:r w:rsidRPr="009B421C">
              <w:rPr>
                <w:rFonts w:hint="eastAsia"/>
                <w:lang w:eastAsia="zh-CN"/>
              </w:rPr>
              <w:t>ISCG</w:t>
            </w:r>
            <w:r w:rsidRPr="009B421C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的进展报告，重点</w:t>
            </w:r>
            <w:r w:rsidR="00B23B18">
              <w:rPr>
                <w:rFonts w:hint="eastAsia"/>
                <w:lang w:eastAsia="zh-CN"/>
              </w:rPr>
              <w:t>介绍</w:t>
            </w:r>
            <w:r>
              <w:rPr>
                <w:rFonts w:hint="eastAsia"/>
                <w:lang w:eastAsia="zh-CN"/>
              </w:rPr>
              <w:t>了该组</w:t>
            </w: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日上</w:t>
            </w:r>
            <w:r w:rsidR="00B23B18"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  <w:lang w:eastAsia="zh-CN"/>
              </w:rPr>
              <w:t>次会议的结论。</w:t>
            </w:r>
          </w:p>
          <w:p w14:paraId="76A1C541" w14:textId="09B592F8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371956FC" w14:textId="49C0FE3D" w:rsidR="00A721F4" w:rsidRPr="00D9621A" w:rsidRDefault="009B421C" w:rsidP="00F36C5F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  <w:lang w:eastAsia="zh-CN"/>
              </w:rPr>
              <w:t>TDAG</w:t>
            </w:r>
            <w:r>
              <w:rPr>
                <w:rFonts w:hint="eastAsia"/>
                <w:lang w:eastAsia="zh-CN"/>
              </w:rPr>
              <w:t>注意本文件并提供适当的指导。</w:t>
            </w:r>
          </w:p>
          <w:p w14:paraId="622ACB80" w14:textId="50AC12B1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1ECDD20E" w14:textId="1E444861" w:rsidR="009B421C" w:rsidRPr="00D9621A" w:rsidRDefault="009B421C" w:rsidP="009B421C">
            <w:pPr>
              <w:spacing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全权代表大会</w:t>
            </w:r>
            <w:hyperlink r:id="rId9" w:history="1">
              <w:r w:rsidRPr="009B421C">
                <w:rPr>
                  <w:rStyle w:val="Hyperlink"/>
                  <w:rFonts w:hint="eastAsia"/>
                  <w:lang w:eastAsia="zh-CN"/>
                </w:rPr>
                <w:t>第</w:t>
              </w:r>
              <w:r w:rsidRPr="009B421C">
                <w:rPr>
                  <w:rStyle w:val="Hyperlink"/>
                  <w:rFonts w:hint="eastAsia"/>
                  <w:lang w:eastAsia="zh-CN"/>
                </w:rPr>
                <w:t>191</w:t>
              </w:r>
              <w:r w:rsidRPr="009B421C">
                <w:rPr>
                  <w:rStyle w:val="Hyperlink"/>
                  <w:rFonts w:hint="eastAsia"/>
                  <w:lang w:eastAsia="zh-CN"/>
                </w:rPr>
                <w:t>号决议</w:t>
              </w:r>
            </w:hyperlink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年，布加勒斯特，修订版）；</w:t>
            </w:r>
            <w:r w:rsidR="00B23B18">
              <w:rPr>
                <w:rFonts w:hint="eastAsia"/>
                <w:lang w:eastAsia="zh-CN"/>
              </w:rPr>
              <w:t>和</w:t>
            </w:r>
            <w:hyperlink r:id="rId10" w:history="1">
              <w:r w:rsidRPr="009B421C">
                <w:rPr>
                  <w:rStyle w:val="Hyperlink"/>
                  <w:rFonts w:hint="eastAsia"/>
                  <w:lang w:eastAsia="zh-CN"/>
                </w:rPr>
                <w:t>第</w:t>
              </w:r>
              <w:r w:rsidRPr="009B421C">
                <w:rPr>
                  <w:rStyle w:val="Hyperlink"/>
                  <w:rFonts w:hint="eastAsia"/>
                  <w:lang w:eastAsia="zh-CN"/>
                </w:rPr>
                <w:t>5</w:t>
              </w:r>
              <w:r w:rsidRPr="009B421C">
                <w:rPr>
                  <w:rStyle w:val="Hyperlink"/>
                  <w:rFonts w:hint="eastAsia"/>
                  <w:lang w:eastAsia="zh-CN"/>
                </w:rPr>
                <w:t>号决定</w:t>
              </w:r>
            </w:hyperlink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</w:t>
            </w:r>
          </w:p>
        </w:tc>
      </w:tr>
    </w:tbl>
    <w:p w14:paraId="78815A5E" w14:textId="2853965F" w:rsidR="009B421C" w:rsidRPr="0026057A" w:rsidRDefault="0026057A" w:rsidP="0026057A">
      <w:pPr>
        <w:pStyle w:val="Heading1"/>
      </w:pPr>
      <w:r>
        <w:rPr>
          <w:lang w:eastAsia="zh-CN"/>
        </w:rPr>
        <w:t>1</w:t>
      </w:r>
      <w:r>
        <w:rPr>
          <w:lang w:eastAsia="zh-CN"/>
        </w:rPr>
        <w:tab/>
      </w:r>
      <w:r w:rsidR="00EC5331" w:rsidRPr="0026057A">
        <w:rPr>
          <w:rFonts w:hint="eastAsia"/>
          <w:lang w:eastAsia="zh-CN"/>
        </w:rPr>
        <w:t>引言</w:t>
      </w:r>
    </w:p>
    <w:p w14:paraId="2CB07720" w14:textId="5D50E972" w:rsidR="00654E06" w:rsidRPr="00EC5331" w:rsidRDefault="00EC5331" w:rsidP="00F36C5F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EC5331">
        <w:rPr>
          <w:rFonts w:cstheme="minorHAnsi" w:hint="eastAsia"/>
          <w:szCs w:val="24"/>
          <w:lang w:eastAsia="zh-CN"/>
        </w:rPr>
        <w:t>由无线电通信</w:t>
      </w:r>
      <w:r>
        <w:rPr>
          <w:rFonts w:cstheme="minorHAnsi" w:hint="eastAsia"/>
          <w:szCs w:val="24"/>
          <w:lang w:eastAsia="zh-CN"/>
        </w:rPr>
        <w:t>顾问组</w:t>
      </w:r>
      <w:r w:rsidRPr="00EC5331">
        <w:rPr>
          <w:rFonts w:cstheme="minorHAnsi" w:hint="eastAsia"/>
          <w:szCs w:val="24"/>
          <w:lang w:eastAsia="zh-CN"/>
        </w:rPr>
        <w:t>（</w:t>
      </w:r>
      <w:r w:rsidRPr="00EC5331">
        <w:rPr>
          <w:rFonts w:cstheme="minorHAnsi" w:hint="eastAsia"/>
          <w:szCs w:val="24"/>
          <w:lang w:eastAsia="zh-CN"/>
        </w:rPr>
        <w:t>RAG</w:t>
      </w:r>
      <w:r w:rsidRPr="00EC5331">
        <w:rPr>
          <w:rFonts w:cstheme="minorHAnsi" w:hint="eastAsia"/>
          <w:szCs w:val="24"/>
          <w:lang w:eastAsia="zh-CN"/>
        </w:rPr>
        <w:t>）、电信标准化</w:t>
      </w:r>
      <w:r>
        <w:rPr>
          <w:rFonts w:cstheme="minorHAnsi" w:hint="eastAsia"/>
          <w:szCs w:val="24"/>
          <w:lang w:eastAsia="zh-CN"/>
        </w:rPr>
        <w:t>顾问组</w:t>
      </w:r>
      <w:r w:rsidRPr="00EC5331">
        <w:rPr>
          <w:rFonts w:cstheme="minorHAnsi" w:hint="eastAsia"/>
          <w:szCs w:val="24"/>
          <w:lang w:eastAsia="zh-CN"/>
        </w:rPr>
        <w:t>（</w:t>
      </w:r>
      <w:r w:rsidRPr="00EC5331">
        <w:rPr>
          <w:rFonts w:cstheme="minorHAnsi" w:hint="eastAsia"/>
          <w:szCs w:val="24"/>
          <w:lang w:eastAsia="zh-CN"/>
        </w:rPr>
        <w:t>TSAG</w:t>
      </w:r>
      <w:r w:rsidRPr="00EC5331">
        <w:rPr>
          <w:rFonts w:cstheme="minorHAnsi" w:hint="eastAsia"/>
          <w:szCs w:val="24"/>
          <w:lang w:eastAsia="zh-CN"/>
        </w:rPr>
        <w:t>）和电信发展</w:t>
      </w:r>
      <w:r>
        <w:rPr>
          <w:rFonts w:cstheme="minorHAnsi" w:hint="eastAsia"/>
          <w:szCs w:val="24"/>
          <w:lang w:eastAsia="zh-CN"/>
        </w:rPr>
        <w:t>顾问组</w:t>
      </w:r>
      <w:r w:rsidRPr="00EC5331">
        <w:rPr>
          <w:rFonts w:cstheme="minorHAnsi" w:hint="eastAsia"/>
          <w:szCs w:val="24"/>
          <w:lang w:eastAsia="zh-CN"/>
        </w:rPr>
        <w:t>（</w:t>
      </w:r>
      <w:r w:rsidRPr="00EC5331">
        <w:rPr>
          <w:rFonts w:cstheme="minorHAnsi" w:hint="eastAsia"/>
          <w:szCs w:val="24"/>
          <w:lang w:eastAsia="zh-CN"/>
        </w:rPr>
        <w:t>TDAG</w:t>
      </w:r>
      <w:r w:rsidRPr="00EC5331">
        <w:rPr>
          <w:rFonts w:cstheme="minorHAnsi" w:hint="eastAsia"/>
          <w:szCs w:val="24"/>
          <w:lang w:eastAsia="zh-CN"/>
        </w:rPr>
        <w:t>）的代表组成的</w:t>
      </w:r>
      <w:r w:rsidRPr="00EC5331">
        <w:rPr>
          <w:rFonts w:cstheme="minorHAnsi"/>
          <w:szCs w:val="24"/>
          <w:lang w:eastAsia="zh-CN"/>
        </w:rPr>
        <w:t>共同关心问题</w:t>
      </w:r>
      <w:hyperlink r:id="rId11" w:history="1">
        <w:r w:rsidRPr="00654E06">
          <w:rPr>
            <w:rStyle w:val="Hyperlink"/>
            <w:rFonts w:cstheme="minorHAnsi" w:hint="eastAsia"/>
            <w:szCs w:val="24"/>
            <w:lang w:eastAsia="zh-CN"/>
          </w:rPr>
          <w:t>跨部门协调组（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ISCG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r w:rsidRPr="00EC5331">
        <w:rPr>
          <w:rFonts w:cstheme="minorHAnsi" w:hint="eastAsia"/>
          <w:szCs w:val="24"/>
          <w:lang w:eastAsia="zh-CN"/>
        </w:rPr>
        <w:t>致力于确定</w:t>
      </w:r>
      <w:r w:rsidR="00654E06">
        <w:rPr>
          <w:rFonts w:cstheme="minorHAnsi" w:hint="eastAsia"/>
          <w:szCs w:val="24"/>
          <w:lang w:eastAsia="zh-CN"/>
        </w:rPr>
        <w:t>涉及</w:t>
      </w:r>
      <w:r w:rsidRPr="00EC5331">
        <w:rPr>
          <w:rFonts w:cstheme="minorHAnsi" w:hint="eastAsia"/>
          <w:szCs w:val="24"/>
          <w:lang w:eastAsia="zh-CN"/>
        </w:rPr>
        <w:t>三个部门和总秘书处的共同议题以及</w:t>
      </w:r>
      <w:r w:rsidR="00654E06" w:rsidRPr="00EC5331">
        <w:rPr>
          <w:rFonts w:cstheme="minorHAnsi" w:hint="eastAsia"/>
          <w:szCs w:val="24"/>
          <w:lang w:eastAsia="zh-CN"/>
        </w:rPr>
        <w:t>加强</w:t>
      </w:r>
      <w:r w:rsidRPr="00EC5331">
        <w:rPr>
          <w:rFonts w:cstheme="minorHAnsi" w:hint="eastAsia"/>
          <w:szCs w:val="24"/>
          <w:lang w:eastAsia="zh-CN"/>
        </w:rPr>
        <w:t>在共</w:t>
      </w:r>
      <w:r w:rsidR="00654E06" w:rsidRPr="00EC5331">
        <w:rPr>
          <w:rFonts w:cstheme="minorHAnsi"/>
          <w:szCs w:val="24"/>
          <w:lang w:eastAsia="zh-CN"/>
        </w:rPr>
        <w:t>关心</w:t>
      </w:r>
      <w:r w:rsidRPr="00EC5331">
        <w:rPr>
          <w:rFonts w:cstheme="minorHAnsi" w:hint="eastAsia"/>
          <w:szCs w:val="24"/>
          <w:lang w:eastAsia="zh-CN"/>
        </w:rPr>
        <w:t>问题</w:t>
      </w:r>
      <w:r w:rsidR="00481547">
        <w:rPr>
          <w:rFonts w:cstheme="minorHAnsi" w:hint="eastAsia"/>
          <w:szCs w:val="24"/>
          <w:lang w:eastAsia="zh-CN"/>
        </w:rPr>
        <w:t>上开展</w:t>
      </w:r>
      <w:r w:rsidRPr="00EC5331">
        <w:rPr>
          <w:rFonts w:cstheme="minorHAnsi" w:hint="eastAsia"/>
          <w:szCs w:val="24"/>
          <w:lang w:eastAsia="zh-CN"/>
        </w:rPr>
        <w:t>合作和协作</w:t>
      </w:r>
      <w:r w:rsidR="00B23B18">
        <w:rPr>
          <w:rFonts w:cstheme="minorHAnsi" w:hint="eastAsia"/>
          <w:szCs w:val="24"/>
          <w:lang w:eastAsia="zh-CN"/>
        </w:rPr>
        <w:t>的</w:t>
      </w:r>
      <w:r w:rsidRPr="00EC5331">
        <w:rPr>
          <w:rFonts w:cstheme="minorHAnsi" w:hint="eastAsia"/>
          <w:szCs w:val="24"/>
          <w:lang w:eastAsia="zh-CN"/>
        </w:rPr>
        <w:t>机制，以避免重复工作，并根据</w:t>
      </w:r>
      <w:hyperlink r:id="rId12" w:history="1">
        <w:r w:rsidRPr="00654E06">
          <w:rPr>
            <w:rStyle w:val="Hyperlink"/>
            <w:rFonts w:cstheme="minorHAnsi" w:hint="eastAsia"/>
            <w:szCs w:val="24"/>
            <w:lang w:eastAsia="zh-CN"/>
          </w:rPr>
          <w:t>第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191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号决议（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2022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年，布加勒斯特</w:t>
        </w:r>
        <w:r w:rsidR="00654E06" w:rsidRPr="00654E06">
          <w:rPr>
            <w:rStyle w:val="Hyperlink"/>
            <w:rFonts w:cstheme="minorHAnsi" w:hint="eastAsia"/>
            <w:szCs w:val="24"/>
            <w:lang w:eastAsia="zh-CN"/>
          </w:rPr>
          <w:t>，</w:t>
        </w:r>
        <w:r w:rsidRPr="00654E06">
          <w:rPr>
            <w:rStyle w:val="Hyperlink"/>
            <w:rFonts w:cstheme="minorHAnsi" w:hint="eastAsia"/>
            <w:szCs w:val="24"/>
            <w:lang w:eastAsia="zh-CN"/>
          </w:rPr>
          <w:t>修订版）</w:t>
        </w:r>
      </w:hyperlink>
      <w:r w:rsidRPr="00EC5331">
        <w:rPr>
          <w:rFonts w:cstheme="minorHAnsi" w:hint="eastAsia"/>
          <w:szCs w:val="24"/>
          <w:lang w:eastAsia="zh-CN"/>
        </w:rPr>
        <w:t>优化</w:t>
      </w:r>
      <w:r w:rsidR="00654E06" w:rsidRPr="00654E06">
        <w:rPr>
          <w:rFonts w:cstheme="minorHAnsi"/>
          <w:szCs w:val="24"/>
          <w:lang w:eastAsia="zh-CN"/>
        </w:rPr>
        <w:t>国际电联</w:t>
      </w:r>
      <w:r w:rsidRPr="00EC5331">
        <w:rPr>
          <w:rFonts w:cstheme="minorHAnsi" w:hint="eastAsia"/>
          <w:szCs w:val="24"/>
          <w:lang w:eastAsia="zh-CN"/>
        </w:rPr>
        <w:t>的资源使用。</w:t>
      </w:r>
    </w:p>
    <w:p w14:paraId="0F924B31" w14:textId="1147EB5D" w:rsidR="00654E06" w:rsidRPr="00BA28CB" w:rsidRDefault="00654E06" w:rsidP="00F36C5F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EC5331">
        <w:rPr>
          <w:rFonts w:cstheme="minorHAnsi" w:hint="eastAsia"/>
          <w:szCs w:val="24"/>
          <w:lang w:eastAsia="zh-CN"/>
        </w:rPr>
        <w:t>自上次向</w:t>
      </w:r>
      <w:r w:rsidRPr="00EC5331">
        <w:rPr>
          <w:rFonts w:cstheme="minorHAnsi" w:hint="eastAsia"/>
          <w:szCs w:val="24"/>
          <w:lang w:eastAsia="zh-CN"/>
        </w:rPr>
        <w:t>TDAG</w:t>
      </w:r>
      <w:r w:rsidRPr="00EC5331">
        <w:rPr>
          <w:rFonts w:cstheme="minorHAnsi" w:hint="eastAsia"/>
          <w:szCs w:val="24"/>
          <w:lang w:eastAsia="zh-CN"/>
        </w:rPr>
        <w:t>提交报告以来，</w:t>
      </w:r>
      <w:r w:rsidRPr="00EC5331">
        <w:rPr>
          <w:rFonts w:cstheme="minorHAnsi" w:hint="eastAsia"/>
          <w:szCs w:val="24"/>
          <w:lang w:eastAsia="zh-CN"/>
        </w:rPr>
        <w:t>ISCG</w:t>
      </w:r>
      <w:r w:rsidRPr="00EC5331">
        <w:rPr>
          <w:rFonts w:cstheme="minorHAnsi" w:hint="eastAsia"/>
          <w:szCs w:val="24"/>
          <w:lang w:eastAsia="zh-CN"/>
        </w:rPr>
        <w:t>于</w:t>
      </w:r>
      <w:r w:rsidRPr="00EC5331">
        <w:rPr>
          <w:rFonts w:cstheme="minorHAnsi" w:hint="eastAsia"/>
          <w:szCs w:val="24"/>
          <w:lang w:eastAsia="zh-CN"/>
        </w:rPr>
        <w:t>2022</w:t>
      </w:r>
      <w:r w:rsidRPr="00EC5331">
        <w:rPr>
          <w:rFonts w:cstheme="minorHAnsi" w:hint="eastAsia"/>
          <w:szCs w:val="24"/>
          <w:lang w:eastAsia="zh-CN"/>
        </w:rPr>
        <w:t>年</w:t>
      </w:r>
      <w:r w:rsidRPr="00EC5331">
        <w:rPr>
          <w:rFonts w:cstheme="minorHAnsi" w:hint="eastAsia"/>
          <w:szCs w:val="24"/>
          <w:lang w:eastAsia="zh-CN"/>
        </w:rPr>
        <w:t>2</w:t>
      </w:r>
      <w:r w:rsidRPr="00EC5331">
        <w:rPr>
          <w:rFonts w:cstheme="minorHAnsi" w:hint="eastAsia"/>
          <w:szCs w:val="24"/>
          <w:lang w:eastAsia="zh-CN"/>
        </w:rPr>
        <w:t>月</w:t>
      </w:r>
      <w:r w:rsidRPr="00EC5331">
        <w:rPr>
          <w:rFonts w:cstheme="minorHAnsi" w:hint="eastAsia"/>
          <w:szCs w:val="24"/>
          <w:lang w:eastAsia="zh-CN"/>
        </w:rPr>
        <w:t>9</w:t>
      </w:r>
      <w:r w:rsidRPr="00EC5331">
        <w:rPr>
          <w:rFonts w:cstheme="minorHAnsi" w:hint="eastAsia"/>
          <w:szCs w:val="24"/>
          <w:lang w:eastAsia="zh-CN"/>
        </w:rPr>
        <w:t>日</w:t>
      </w:r>
      <w:r>
        <w:rPr>
          <w:rFonts w:cstheme="minorHAnsi" w:hint="eastAsia"/>
          <w:szCs w:val="24"/>
          <w:lang w:eastAsia="zh-CN"/>
        </w:rPr>
        <w:t>以及</w:t>
      </w:r>
      <w:r w:rsidRPr="00EC5331">
        <w:rPr>
          <w:rFonts w:cstheme="minorHAnsi" w:hint="eastAsia"/>
          <w:szCs w:val="24"/>
          <w:lang w:eastAsia="zh-CN"/>
        </w:rPr>
        <w:t>最近</w:t>
      </w:r>
      <w:r w:rsidRPr="00EC5331">
        <w:rPr>
          <w:rFonts w:cstheme="minorHAnsi" w:hint="eastAsia"/>
          <w:szCs w:val="24"/>
          <w:lang w:eastAsia="zh-CN"/>
        </w:rPr>
        <w:t>2023</w:t>
      </w:r>
      <w:r w:rsidRPr="00EC5331">
        <w:rPr>
          <w:rFonts w:cstheme="minorHAnsi" w:hint="eastAsia"/>
          <w:szCs w:val="24"/>
          <w:lang w:eastAsia="zh-CN"/>
        </w:rPr>
        <w:t>年</w:t>
      </w:r>
      <w:r w:rsidRPr="00EC5331">
        <w:rPr>
          <w:rFonts w:cstheme="minorHAnsi" w:hint="eastAsia"/>
          <w:szCs w:val="24"/>
          <w:lang w:eastAsia="zh-CN"/>
        </w:rPr>
        <w:t>5</w:t>
      </w:r>
      <w:r w:rsidRPr="00EC5331">
        <w:rPr>
          <w:rFonts w:cstheme="minorHAnsi" w:hint="eastAsia"/>
          <w:szCs w:val="24"/>
          <w:lang w:eastAsia="zh-CN"/>
        </w:rPr>
        <w:t>月</w:t>
      </w:r>
      <w:r w:rsidRPr="00EC5331">
        <w:rPr>
          <w:rFonts w:cstheme="minorHAnsi" w:hint="eastAsia"/>
          <w:szCs w:val="24"/>
          <w:lang w:eastAsia="zh-CN"/>
        </w:rPr>
        <w:t>2</w:t>
      </w:r>
      <w:r w:rsidRPr="00EC5331">
        <w:rPr>
          <w:rFonts w:cstheme="minorHAnsi" w:hint="eastAsia"/>
          <w:szCs w:val="24"/>
          <w:lang w:eastAsia="zh-CN"/>
        </w:rPr>
        <w:t>日召开了两次会议。</w:t>
      </w:r>
    </w:p>
    <w:p w14:paraId="24FF9304" w14:textId="63073C96" w:rsidR="00EC5331" w:rsidRPr="00BA28CB" w:rsidRDefault="00EC5331" w:rsidP="00F36C5F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rFonts w:cstheme="minorHAnsi"/>
          <w:szCs w:val="24"/>
        </w:rPr>
      </w:pPr>
      <w:r w:rsidRPr="00EC5331">
        <w:rPr>
          <w:rFonts w:cstheme="minorHAnsi" w:hint="eastAsia"/>
          <w:szCs w:val="24"/>
        </w:rPr>
        <w:t>在</w:t>
      </w:r>
      <w:r w:rsidRPr="00EC5331">
        <w:rPr>
          <w:rFonts w:cstheme="minorHAnsi"/>
          <w:szCs w:val="24"/>
        </w:rPr>
        <w:t>ISCG</w:t>
      </w:r>
      <w:r w:rsidR="00B23B18" w:rsidRPr="00EC5331">
        <w:rPr>
          <w:rFonts w:cstheme="minorHAnsi" w:hint="eastAsia"/>
          <w:szCs w:val="24"/>
        </w:rPr>
        <w:t>上</w:t>
      </w:r>
      <w:r w:rsidR="00B23B18">
        <w:rPr>
          <w:rFonts w:cstheme="minorHAnsi" w:hint="eastAsia"/>
          <w:szCs w:val="24"/>
          <w:lang w:eastAsia="zh-CN"/>
        </w:rPr>
        <w:t>一</w:t>
      </w:r>
      <w:r w:rsidR="00B23B18" w:rsidRPr="00EC5331">
        <w:rPr>
          <w:rFonts w:cstheme="minorHAnsi" w:hint="eastAsia"/>
          <w:szCs w:val="24"/>
        </w:rPr>
        <w:t>次</w:t>
      </w:r>
      <w:r w:rsidRPr="00EC5331">
        <w:rPr>
          <w:rFonts w:cstheme="minorHAnsi" w:hint="eastAsia"/>
          <w:szCs w:val="24"/>
        </w:rPr>
        <w:t>会议上，</w:t>
      </w:r>
      <w:r w:rsidRPr="00EC5331">
        <w:rPr>
          <w:rFonts w:cstheme="minorHAnsi"/>
          <w:szCs w:val="24"/>
        </w:rPr>
        <w:t>ISCG</w:t>
      </w:r>
      <w:r w:rsidRPr="00EC5331">
        <w:rPr>
          <w:rFonts w:cstheme="minorHAnsi" w:hint="eastAsia"/>
          <w:szCs w:val="24"/>
        </w:rPr>
        <w:t>主席</w:t>
      </w:r>
      <w:r w:rsidR="00481547">
        <w:rPr>
          <w:rFonts w:cstheme="minorHAnsi" w:hint="eastAsia"/>
          <w:szCs w:val="24"/>
          <w:lang w:eastAsia="zh-CN"/>
        </w:rPr>
        <w:t>对</w:t>
      </w:r>
      <w:r w:rsidRPr="00EC5331">
        <w:rPr>
          <w:rFonts w:cstheme="minorHAnsi"/>
          <w:szCs w:val="24"/>
        </w:rPr>
        <w:t>TDAG</w:t>
      </w:r>
      <w:r w:rsidRPr="00EC5331">
        <w:rPr>
          <w:rFonts w:cstheme="minorHAnsi" w:hint="eastAsia"/>
          <w:szCs w:val="24"/>
        </w:rPr>
        <w:t>在</w:t>
      </w:r>
      <w:r w:rsidRPr="00EC5331">
        <w:rPr>
          <w:rFonts w:cstheme="minorHAnsi"/>
          <w:szCs w:val="24"/>
        </w:rPr>
        <w:t>2022</w:t>
      </w:r>
      <w:r w:rsidRPr="00EC5331">
        <w:rPr>
          <w:rFonts w:cstheme="minorHAnsi" w:hint="eastAsia"/>
          <w:szCs w:val="24"/>
        </w:rPr>
        <w:t>年</w:t>
      </w:r>
      <w:r w:rsidRPr="00EC5331">
        <w:rPr>
          <w:rFonts w:cstheme="minorHAnsi"/>
          <w:szCs w:val="24"/>
        </w:rPr>
        <w:t>6</w:t>
      </w:r>
      <w:r w:rsidRPr="00EC5331">
        <w:rPr>
          <w:rFonts w:cstheme="minorHAnsi" w:hint="eastAsia"/>
          <w:szCs w:val="24"/>
        </w:rPr>
        <w:t>月举行的世界电信发展大会</w:t>
      </w:r>
      <w:r w:rsidR="00654E06">
        <w:rPr>
          <w:rFonts w:cstheme="minorHAnsi" w:hint="eastAsia"/>
          <w:szCs w:val="24"/>
          <w:lang w:eastAsia="zh-CN"/>
        </w:rPr>
        <w:t>（</w:t>
      </w:r>
      <w:r w:rsidRPr="00EC5331">
        <w:rPr>
          <w:rFonts w:cstheme="minorHAnsi"/>
          <w:szCs w:val="24"/>
        </w:rPr>
        <w:t>WTDC</w:t>
      </w:r>
      <w:r w:rsidRPr="00EC5331">
        <w:rPr>
          <w:rFonts w:cstheme="minorHAnsi" w:hint="eastAsia"/>
          <w:szCs w:val="24"/>
        </w:rPr>
        <w:t>）之后任命的两名代表</w:t>
      </w:r>
      <w:r w:rsidR="00B23B18">
        <w:rPr>
          <w:rFonts w:cstheme="minorHAnsi" w:hint="eastAsia"/>
          <w:szCs w:val="24"/>
          <w:lang w:eastAsia="zh-CN"/>
        </w:rPr>
        <w:t>：</w:t>
      </w:r>
      <w:r w:rsidRPr="00EC5331">
        <w:rPr>
          <w:rFonts w:cstheme="minorHAnsi"/>
          <w:szCs w:val="24"/>
        </w:rPr>
        <w:t>Inga Rimkevičienė</w:t>
      </w:r>
      <w:r w:rsidRPr="00EC5331">
        <w:rPr>
          <w:rFonts w:cstheme="minorHAnsi" w:hint="eastAsia"/>
          <w:szCs w:val="24"/>
        </w:rPr>
        <w:t>女士（立陶宛）和</w:t>
      </w:r>
      <w:r w:rsidRPr="00EC5331">
        <w:rPr>
          <w:rFonts w:cstheme="minorHAnsi"/>
          <w:szCs w:val="24"/>
        </w:rPr>
        <w:t>Ahmad R. Sharafat</w:t>
      </w:r>
      <w:r w:rsidRPr="00EC5331">
        <w:rPr>
          <w:rFonts w:cstheme="minorHAnsi" w:hint="eastAsia"/>
          <w:szCs w:val="24"/>
        </w:rPr>
        <w:t>教授（伊朗伊斯兰共和国）</w:t>
      </w:r>
      <w:r w:rsidR="00481547">
        <w:rPr>
          <w:rFonts w:cstheme="minorHAnsi" w:hint="eastAsia"/>
          <w:szCs w:val="24"/>
          <w:lang w:eastAsia="zh-CN"/>
        </w:rPr>
        <w:t>表示欢迎</w:t>
      </w:r>
      <w:r w:rsidRPr="00EC5331">
        <w:rPr>
          <w:rFonts w:cstheme="minorHAnsi" w:hint="eastAsia"/>
          <w:szCs w:val="24"/>
        </w:rPr>
        <w:t>。</w:t>
      </w:r>
    </w:p>
    <w:p w14:paraId="3E6B965D" w14:textId="599145F8" w:rsidR="009B421C" w:rsidRPr="0026057A" w:rsidRDefault="0026057A" w:rsidP="0026057A">
      <w:pPr>
        <w:pStyle w:val="Heading1"/>
        <w:rPr>
          <w:rFonts w:cstheme="minorHAnsi"/>
          <w:szCs w:val="24"/>
        </w:rPr>
      </w:pPr>
      <w:r w:rsidRPr="0026057A">
        <w:rPr>
          <w:rFonts w:cstheme="minorHAnsi" w:hint="eastAsia"/>
          <w:bCs/>
          <w:szCs w:val="24"/>
          <w:lang w:eastAsia="zh-CN"/>
        </w:rPr>
        <w:t>2</w:t>
      </w:r>
      <w:r>
        <w:rPr>
          <w:rFonts w:cstheme="minorHAnsi"/>
          <w:b w:val="0"/>
          <w:szCs w:val="24"/>
          <w:lang w:eastAsia="zh-CN"/>
        </w:rPr>
        <w:tab/>
      </w:r>
      <w:r w:rsidR="00654E06" w:rsidRPr="0026057A">
        <w:rPr>
          <w:rFonts w:cstheme="minorHAnsi" w:hint="eastAsia"/>
          <w:szCs w:val="24"/>
          <w:lang w:eastAsia="zh-CN"/>
        </w:rPr>
        <w:t>主要讨论</w:t>
      </w:r>
    </w:p>
    <w:p w14:paraId="0DE91436" w14:textId="2ACA47B1" w:rsidR="00F36C5F" w:rsidRDefault="00654E06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在上</w:t>
      </w:r>
      <w:r w:rsidR="00B23B18">
        <w:rPr>
          <w:rFonts w:cstheme="minorHAnsi" w:hint="eastAsia"/>
          <w:szCs w:val="24"/>
          <w:lang w:eastAsia="zh-CN"/>
        </w:rPr>
        <w:t>一</w:t>
      </w:r>
      <w:r w:rsidRPr="00EC5331">
        <w:rPr>
          <w:rFonts w:hint="eastAsia"/>
          <w:szCs w:val="24"/>
          <w:lang w:eastAsia="zh-CN"/>
        </w:rPr>
        <w:t>次会议期间，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秘书处</w:t>
      </w:r>
      <w:r>
        <w:rPr>
          <w:rFonts w:hint="eastAsia"/>
          <w:szCs w:val="24"/>
          <w:lang w:eastAsia="zh-CN"/>
        </w:rPr>
        <w:t>介绍</w:t>
      </w:r>
      <w:r w:rsidRPr="00EC5331">
        <w:rPr>
          <w:rFonts w:hint="eastAsia"/>
          <w:szCs w:val="24"/>
          <w:lang w:eastAsia="zh-CN"/>
        </w:rPr>
        <w:t>了</w:t>
      </w:r>
      <w:hyperlink r:id="rId13" w:history="1">
        <w:r w:rsidRPr="00BA28CB">
          <w:rPr>
            <w:rStyle w:val="Hyperlink"/>
            <w:rFonts w:cstheme="minorHAnsi"/>
            <w:lang w:eastAsia="zh-CN"/>
          </w:rPr>
          <w:t>ISCG/23-1/02</w:t>
        </w:r>
      </w:hyperlink>
      <w:r w:rsidRPr="00EC5331">
        <w:rPr>
          <w:rFonts w:hint="eastAsia"/>
          <w:szCs w:val="24"/>
          <w:lang w:eastAsia="zh-CN"/>
        </w:rPr>
        <w:t>号文件，其中载有经</w:t>
      </w:r>
      <w:r w:rsidRPr="00EC5331">
        <w:rPr>
          <w:rFonts w:hint="eastAsia"/>
          <w:szCs w:val="24"/>
          <w:lang w:eastAsia="zh-CN"/>
        </w:rPr>
        <w:t>2022</w:t>
      </w:r>
      <w:r w:rsidRPr="00EC5331">
        <w:rPr>
          <w:rFonts w:hint="eastAsia"/>
          <w:szCs w:val="24"/>
          <w:lang w:eastAsia="zh-CN"/>
        </w:rPr>
        <w:t>年全权代表</w:t>
      </w:r>
      <w:r>
        <w:rPr>
          <w:rFonts w:hint="eastAsia"/>
          <w:szCs w:val="24"/>
          <w:lang w:eastAsia="zh-CN"/>
        </w:rPr>
        <w:t>大会</w:t>
      </w:r>
      <w:r w:rsidRPr="00EC5331">
        <w:rPr>
          <w:rFonts w:hint="eastAsia"/>
          <w:szCs w:val="24"/>
          <w:lang w:eastAsia="zh-CN"/>
        </w:rPr>
        <w:t>（</w:t>
      </w:r>
      <w:r w:rsidRPr="00EC5331">
        <w:rPr>
          <w:rFonts w:hint="eastAsia"/>
          <w:szCs w:val="24"/>
          <w:lang w:eastAsia="zh-CN"/>
        </w:rPr>
        <w:t>PP-22</w:t>
      </w:r>
      <w:r w:rsidRPr="00EC5331">
        <w:rPr>
          <w:rFonts w:hint="eastAsia"/>
          <w:szCs w:val="24"/>
          <w:lang w:eastAsia="zh-CN"/>
        </w:rPr>
        <w:t>）修订的</w:t>
      </w:r>
      <w:r w:rsidRPr="00654E06">
        <w:rPr>
          <w:rFonts w:hint="eastAsia"/>
          <w:szCs w:val="24"/>
          <w:lang w:eastAsia="zh-CN"/>
        </w:rPr>
        <w:t>第</w:t>
      </w:r>
      <w:r w:rsidRPr="00654E06">
        <w:rPr>
          <w:rFonts w:hint="eastAsia"/>
          <w:szCs w:val="24"/>
          <w:lang w:eastAsia="zh-CN"/>
        </w:rPr>
        <w:t>191</w:t>
      </w:r>
      <w:r w:rsidRPr="00654E06">
        <w:rPr>
          <w:rFonts w:hint="eastAsia"/>
          <w:szCs w:val="24"/>
          <w:lang w:eastAsia="zh-CN"/>
        </w:rPr>
        <w:t>号决议（</w:t>
      </w:r>
      <w:r w:rsidRPr="00654E06">
        <w:rPr>
          <w:rFonts w:hint="eastAsia"/>
          <w:szCs w:val="24"/>
          <w:lang w:eastAsia="zh-CN"/>
        </w:rPr>
        <w:t>2022</w:t>
      </w:r>
      <w:r w:rsidRPr="00654E06">
        <w:rPr>
          <w:rFonts w:hint="eastAsia"/>
          <w:szCs w:val="24"/>
          <w:lang w:eastAsia="zh-CN"/>
        </w:rPr>
        <w:t>年，布加勒斯特，修订版</w:t>
      </w:r>
      <w:r>
        <w:rPr>
          <w:rFonts w:hint="eastAsia"/>
          <w:szCs w:val="24"/>
          <w:lang w:eastAsia="zh-CN"/>
        </w:rPr>
        <w:t>）</w:t>
      </w:r>
      <w:r w:rsidRPr="00EC5331">
        <w:rPr>
          <w:rFonts w:hint="eastAsia"/>
          <w:szCs w:val="24"/>
          <w:lang w:eastAsia="zh-CN"/>
        </w:rPr>
        <w:t>的最终</w:t>
      </w:r>
      <w:r>
        <w:rPr>
          <w:rFonts w:hint="eastAsia"/>
          <w:szCs w:val="24"/>
          <w:lang w:eastAsia="zh-CN"/>
        </w:rPr>
        <w:t>案文</w:t>
      </w:r>
      <w:r w:rsidR="00B23B18">
        <w:rPr>
          <w:rFonts w:hint="eastAsia"/>
          <w:szCs w:val="24"/>
          <w:lang w:eastAsia="zh-CN"/>
        </w:rPr>
        <w:t>，</w:t>
      </w:r>
      <w:r w:rsidRPr="00EC5331">
        <w:rPr>
          <w:rFonts w:hint="eastAsia"/>
          <w:szCs w:val="24"/>
          <w:lang w:eastAsia="zh-CN"/>
        </w:rPr>
        <w:t>以及一份包含主要修改的表格，包括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要采取的行动。</w:t>
      </w:r>
    </w:p>
    <w:p w14:paraId="4EBFA2C4" w14:textId="26044C1F" w:rsidR="00654E06" w:rsidRPr="00EC5331" w:rsidRDefault="00654E06" w:rsidP="00F36C5F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根据</w:t>
      </w:r>
      <w:r w:rsidRPr="00EC5331">
        <w:rPr>
          <w:rFonts w:hint="eastAsia"/>
          <w:szCs w:val="24"/>
          <w:lang w:eastAsia="zh-CN"/>
        </w:rPr>
        <w:t>PP-22</w:t>
      </w:r>
      <w:r w:rsidRPr="00EC5331">
        <w:rPr>
          <w:rFonts w:hint="eastAsia"/>
          <w:szCs w:val="24"/>
          <w:lang w:eastAsia="zh-CN"/>
        </w:rPr>
        <w:t>的指示，国际电联各区域主任</w:t>
      </w:r>
      <w:r w:rsidR="00E73FAD">
        <w:rPr>
          <w:rFonts w:hint="eastAsia"/>
          <w:szCs w:val="24"/>
          <w:lang w:eastAsia="zh-CN"/>
        </w:rPr>
        <w:t>受邀</w:t>
      </w:r>
      <w:r w:rsidRPr="00EC5331">
        <w:rPr>
          <w:rFonts w:hint="eastAsia"/>
          <w:szCs w:val="24"/>
          <w:lang w:eastAsia="zh-CN"/>
        </w:rPr>
        <w:t>出席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会议。</w:t>
      </w:r>
    </w:p>
    <w:p w14:paraId="28D411B2" w14:textId="2D2D0A53" w:rsidR="00654E06" w:rsidRPr="00EC5331" w:rsidRDefault="00654E06" w:rsidP="00F36C5F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lastRenderedPageBreak/>
        <w:t>ISCG</w:t>
      </w:r>
      <w:r w:rsidRPr="00EC5331">
        <w:rPr>
          <w:rFonts w:hint="eastAsia"/>
          <w:szCs w:val="24"/>
          <w:lang w:eastAsia="zh-CN"/>
        </w:rPr>
        <w:t>秘书处还向会议通报了将于</w:t>
      </w:r>
      <w:r w:rsidRPr="00EC5331">
        <w:rPr>
          <w:rFonts w:hint="eastAsia"/>
          <w:szCs w:val="24"/>
          <w:lang w:eastAsia="zh-CN"/>
        </w:rPr>
        <w:t>7</w:t>
      </w:r>
      <w:r w:rsidRPr="00EC5331">
        <w:rPr>
          <w:rFonts w:hint="eastAsia"/>
          <w:szCs w:val="24"/>
          <w:lang w:eastAsia="zh-CN"/>
        </w:rPr>
        <w:t>月提交</w:t>
      </w:r>
      <w:r w:rsidR="00E73FAD" w:rsidRPr="00EC5331">
        <w:rPr>
          <w:rFonts w:hint="eastAsia"/>
          <w:szCs w:val="24"/>
          <w:lang w:eastAsia="zh-CN"/>
        </w:rPr>
        <w:t>理事会</w:t>
      </w:r>
      <w:r w:rsidRPr="00EC5331">
        <w:rPr>
          <w:rFonts w:hint="eastAsia"/>
          <w:szCs w:val="24"/>
          <w:lang w:eastAsia="zh-CN"/>
        </w:rPr>
        <w:t>2023</w:t>
      </w:r>
      <w:r w:rsidRPr="00EC5331">
        <w:rPr>
          <w:rFonts w:hint="eastAsia"/>
          <w:szCs w:val="24"/>
          <w:lang w:eastAsia="zh-CN"/>
        </w:rPr>
        <w:t>年</w:t>
      </w:r>
      <w:r w:rsidR="00E73FAD">
        <w:rPr>
          <w:rFonts w:hint="eastAsia"/>
          <w:szCs w:val="24"/>
          <w:lang w:eastAsia="zh-CN"/>
        </w:rPr>
        <w:t>会议</w:t>
      </w:r>
      <w:r w:rsidR="00871152">
        <w:rPr>
          <w:rFonts w:hint="eastAsia"/>
          <w:szCs w:val="24"/>
          <w:lang w:eastAsia="zh-CN"/>
        </w:rPr>
        <w:t>的</w:t>
      </w:r>
      <w:r w:rsidR="00B23B18">
        <w:rPr>
          <w:rFonts w:hint="eastAsia"/>
          <w:szCs w:val="24"/>
          <w:lang w:eastAsia="zh-CN"/>
        </w:rPr>
        <w:t>新的</w:t>
      </w:r>
      <w:r w:rsidR="00E73FAD">
        <w:rPr>
          <w:rFonts w:hint="eastAsia"/>
          <w:szCs w:val="24"/>
          <w:lang w:eastAsia="zh-CN"/>
        </w:rPr>
        <w:t>跨</w:t>
      </w:r>
      <w:r w:rsidRPr="00EC5331">
        <w:rPr>
          <w:rFonts w:hint="eastAsia"/>
          <w:szCs w:val="24"/>
          <w:lang w:eastAsia="zh-CN"/>
        </w:rPr>
        <w:t>部门协调机制（</w:t>
      </w:r>
      <w:r w:rsidRPr="00EC5331">
        <w:rPr>
          <w:rFonts w:hint="eastAsia"/>
          <w:szCs w:val="24"/>
          <w:lang w:eastAsia="zh-CN"/>
        </w:rPr>
        <w:t>ISCM</w:t>
      </w:r>
      <w:r w:rsidRPr="00EC5331">
        <w:rPr>
          <w:rFonts w:hint="eastAsia"/>
          <w:szCs w:val="24"/>
          <w:lang w:eastAsia="zh-CN"/>
        </w:rPr>
        <w:t>）的情况。</w:t>
      </w:r>
    </w:p>
    <w:p w14:paraId="0915EE90" w14:textId="77777777" w:rsidR="0026057A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与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讨论的主题相关，</w:t>
      </w:r>
      <w:r>
        <w:rPr>
          <w:rFonts w:hint="eastAsia"/>
          <w:szCs w:val="24"/>
          <w:lang w:eastAsia="zh-CN"/>
        </w:rPr>
        <w:t>提供了</w:t>
      </w:r>
      <w:r w:rsidRPr="00EC5331">
        <w:rPr>
          <w:rFonts w:hint="eastAsia"/>
          <w:szCs w:val="24"/>
          <w:lang w:eastAsia="zh-CN"/>
        </w:rPr>
        <w:t>关于气候变化、无障碍</w:t>
      </w:r>
      <w:r>
        <w:rPr>
          <w:rFonts w:hint="eastAsia"/>
          <w:szCs w:val="24"/>
          <w:lang w:eastAsia="zh-CN"/>
        </w:rPr>
        <w:t>获取</w:t>
      </w:r>
      <w:r w:rsidRPr="00EC5331">
        <w:rPr>
          <w:rFonts w:hint="eastAsia"/>
          <w:szCs w:val="24"/>
          <w:lang w:eastAsia="zh-CN"/>
        </w:rPr>
        <w:t>和远程参与</w:t>
      </w:r>
      <w:r>
        <w:rPr>
          <w:rFonts w:hint="eastAsia"/>
          <w:szCs w:val="24"/>
          <w:lang w:eastAsia="zh-CN"/>
        </w:rPr>
        <w:t>等最新情况</w:t>
      </w:r>
      <w:r w:rsidRPr="00EC5331">
        <w:rPr>
          <w:rFonts w:hint="eastAsia"/>
          <w:szCs w:val="24"/>
          <w:lang w:eastAsia="zh-CN"/>
        </w:rPr>
        <w:t>的报告，其中与</w:t>
      </w:r>
      <w:r w:rsidRPr="00EC5331">
        <w:rPr>
          <w:rFonts w:hint="eastAsia"/>
          <w:szCs w:val="24"/>
          <w:lang w:eastAsia="zh-CN"/>
        </w:rPr>
        <w:t>TDAG</w:t>
      </w:r>
      <w:r w:rsidRPr="00EC5331">
        <w:rPr>
          <w:rFonts w:hint="eastAsia"/>
          <w:szCs w:val="24"/>
          <w:lang w:eastAsia="zh-CN"/>
        </w:rPr>
        <w:t>相关的信息如下：</w:t>
      </w:r>
    </w:p>
    <w:p w14:paraId="523956A3" w14:textId="54475F71" w:rsidR="00B4144A" w:rsidRPr="00B4144A" w:rsidRDefault="00C72AFF" w:rsidP="0026057A">
      <w:pPr>
        <w:pStyle w:val="enumlev1"/>
        <w:rPr>
          <w:szCs w:val="24"/>
          <w:lang w:eastAsia="zh-CN"/>
        </w:rPr>
      </w:pPr>
      <w:r w:rsidRPr="008534F4">
        <w:rPr>
          <w:lang w:val="fr-FR" w:eastAsia="zh-CN"/>
        </w:rPr>
        <w:t>–</w:t>
      </w:r>
      <w:r>
        <w:rPr>
          <w:lang w:val="fr-FR" w:eastAsia="zh-CN"/>
        </w:rPr>
        <w:tab/>
      </w:r>
      <w:r w:rsidR="00B4144A" w:rsidRPr="00B4144A">
        <w:rPr>
          <w:rFonts w:hint="eastAsia"/>
          <w:szCs w:val="24"/>
          <w:lang w:eastAsia="zh-CN"/>
        </w:rPr>
        <w:t>国际电联计划在</w:t>
      </w:r>
      <w:r w:rsidR="00B4144A" w:rsidRPr="00B4144A">
        <w:rPr>
          <w:szCs w:val="24"/>
          <w:lang w:eastAsia="zh-CN"/>
        </w:rPr>
        <w:t>《联合国气候变化框架公约》第二十八次缔约方大会（</w:t>
      </w:r>
      <w:r w:rsidR="00B4144A" w:rsidRPr="00B4144A">
        <w:rPr>
          <w:szCs w:val="24"/>
          <w:lang w:eastAsia="zh-CN"/>
        </w:rPr>
        <w:t>COP28</w:t>
      </w:r>
      <w:r w:rsidR="00B4144A" w:rsidRPr="00B4144A">
        <w:rPr>
          <w:rFonts w:hint="eastAsia"/>
          <w:szCs w:val="24"/>
          <w:lang w:eastAsia="zh-CN"/>
        </w:rPr>
        <w:t>）上组织“绿色数字日”，旨在将</w:t>
      </w:r>
      <w:r w:rsidR="00B4144A">
        <w:rPr>
          <w:rFonts w:hint="eastAsia"/>
          <w:szCs w:val="24"/>
          <w:lang w:eastAsia="zh-CN"/>
        </w:rPr>
        <w:t>ICT</w:t>
      </w:r>
      <w:r w:rsidR="00B4144A" w:rsidRPr="00B4144A">
        <w:rPr>
          <w:rFonts w:hint="eastAsia"/>
          <w:szCs w:val="24"/>
          <w:lang w:eastAsia="zh-CN"/>
        </w:rPr>
        <w:t>生态系统聚集</w:t>
      </w:r>
      <w:r w:rsidR="00B23B18">
        <w:rPr>
          <w:rFonts w:hint="eastAsia"/>
          <w:szCs w:val="24"/>
          <w:lang w:eastAsia="zh-CN"/>
        </w:rPr>
        <w:t>一堂</w:t>
      </w:r>
      <w:r w:rsidR="00B4144A" w:rsidRPr="00B4144A">
        <w:rPr>
          <w:rFonts w:hint="eastAsia"/>
          <w:szCs w:val="24"/>
          <w:lang w:eastAsia="zh-CN"/>
        </w:rPr>
        <w:t>，以影响</w:t>
      </w:r>
      <w:r w:rsidR="00B23B18">
        <w:rPr>
          <w:rFonts w:hint="eastAsia"/>
          <w:szCs w:val="24"/>
          <w:lang w:eastAsia="zh-CN"/>
        </w:rPr>
        <w:t>力</w:t>
      </w:r>
      <w:r w:rsidR="00B4144A" w:rsidRPr="00B4144A">
        <w:rPr>
          <w:rFonts w:hint="eastAsia"/>
          <w:szCs w:val="24"/>
          <w:lang w:eastAsia="zh-CN"/>
        </w:rPr>
        <w:t>为导向，</w:t>
      </w:r>
      <w:r w:rsidR="00B4144A">
        <w:rPr>
          <w:rFonts w:hint="eastAsia"/>
          <w:szCs w:val="24"/>
          <w:lang w:eastAsia="zh-CN"/>
        </w:rPr>
        <w:t>营造</w:t>
      </w:r>
      <w:r w:rsidR="00B4144A" w:rsidRPr="00B4144A">
        <w:rPr>
          <w:rFonts w:hint="eastAsia"/>
          <w:szCs w:val="24"/>
          <w:lang w:eastAsia="zh-CN"/>
        </w:rPr>
        <w:t>势头，确保绿色数字日对气候产生可衡量的积极影响。</w:t>
      </w:r>
    </w:p>
    <w:p w14:paraId="7CBD8008" w14:textId="51255794" w:rsidR="00B4144A" w:rsidRPr="00B4144A" w:rsidRDefault="00C72AFF" w:rsidP="0026057A">
      <w:pPr>
        <w:pStyle w:val="enumlev1"/>
        <w:rPr>
          <w:szCs w:val="24"/>
          <w:lang w:eastAsia="zh-CN"/>
        </w:rPr>
      </w:pPr>
      <w:r w:rsidRPr="008534F4">
        <w:rPr>
          <w:lang w:val="fr-FR" w:eastAsia="zh-CN"/>
        </w:rPr>
        <w:t>–</w:t>
      </w:r>
      <w:r w:rsidR="0026057A">
        <w:rPr>
          <w:szCs w:val="24"/>
          <w:lang w:eastAsia="zh-CN"/>
        </w:rPr>
        <w:tab/>
      </w:r>
      <w:r w:rsidR="00B4144A" w:rsidRPr="00B4144A">
        <w:rPr>
          <w:szCs w:val="24"/>
          <w:lang w:eastAsia="zh-CN"/>
        </w:rPr>
        <w:t>ISCG</w:t>
      </w:r>
      <w:r w:rsidR="00B4144A" w:rsidRPr="00B4144A">
        <w:rPr>
          <w:rFonts w:hint="eastAsia"/>
          <w:szCs w:val="24"/>
          <w:lang w:eastAsia="zh-CN"/>
        </w:rPr>
        <w:t>强调，国际电联有必要使用</w:t>
      </w:r>
      <w:r w:rsidR="00B4144A" w:rsidRPr="00B4144A">
        <w:rPr>
          <w:szCs w:val="24"/>
          <w:lang w:eastAsia="zh-CN"/>
        </w:rPr>
        <w:t>ITU-T</w:t>
      </w:r>
      <w:r w:rsidR="00B4144A" w:rsidRPr="00B4144A">
        <w:rPr>
          <w:rFonts w:hint="eastAsia"/>
          <w:szCs w:val="24"/>
          <w:lang w:eastAsia="zh-CN"/>
        </w:rPr>
        <w:t>第</w:t>
      </w:r>
      <w:r w:rsidR="00B4144A" w:rsidRPr="00B4144A">
        <w:rPr>
          <w:szCs w:val="24"/>
          <w:lang w:eastAsia="zh-CN"/>
        </w:rPr>
        <w:t>16</w:t>
      </w:r>
      <w:r w:rsidR="00B4144A" w:rsidRPr="00B4144A">
        <w:rPr>
          <w:rFonts w:hint="eastAsia"/>
          <w:szCs w:val="24"/>
          <w:lang w:eastAsia="zh-CN"/>
        </w:rPr>
        <w:t>研究组正在制定的关于无障碍会议和远程参与的标准，并为国际电联会议制定标准程序。与同一主题相关</w:t>
      </w:r>
      <w:r w:rsidR="00B4144A">
        <w:rPr>
          <w:rFonts w:hint="eastAsia"/>
          <w:szCs w:val="24"/>
          <w:lang w:eastAsia="zh-CN"/>
        </w:rPr>
        <w:t>，</w:t>
      </w:r>
      <w:r w:rsidR="00B4144A" w:rsidRPr="00B4144A">
        <w:rPr>
          <w:szCs w:val="24"/>
          <w:lang w:eastAsia="zh-CN"/>
        </w:rPr>
        <w:t>ISCG</w:t>
      </w:r>
      <w:r w:rsidR="00B4144A" w:rsidRPr="00B4144A">
        <w:rPr>
          <w:rFonts w:hint="eastAsia"/>
          <w:szCs w:val="24"/>
          <w:lang w:eastAsia="zh-CN"/>
        </w:rPr>
        <w:t>成员还要求参与新大楼项目，以确保考虑到所有无障碍</w:t>
      </w:r>
      <w:r w:rsidR="00B4144A">
        <w:rPr>
          <w:rFonts w:hint="eastAsia"/>
          <w:szCs w:val="24"/>
          <w:lang w:eastAsia="zh-CN"/>
        </w:rPr>
        <w:t>问题</w:t>
      </w:r>
      <w:r w:rsidR="00B4144A" w:rsidRPr="00B4144A">
        <w:rPr>
          <w:rFonts w:hint="eastAsia"/>
          <w:szCs w:val="24"/>
          <w:lang w:eastAsia="zh-CN"/>
        </w:rPr>
        <w:t>。</w:t>
      </w:r>
    </w:p>
    <w:p w14:paraId="4D7D1271" w14:textId="6E3E70A0" w:rsidR="00B4144A" w:rsidRPr="00B4144A" w:rsidRDefault="00C72AFF" w:rsidP="0026057A">
      <w:pPr>
        <w:pStyle w:val="enumlev1"/>
        <w:rPr>
          <w:szCs w:val="24"/>
          <w:lang w:eastAsia="zh-CN"/>
        </w:rPr>
      </w:pPr>
      <w:r w:rsidRPr="008534F4">
        <w:rPr>
          <w:lang w:val="fr-FR" w:eastAsia="zh-CN"/>
        </w:rPr>
        <w:t>–</w:t>
      </w:r>
      <w:r w:rsidR="0026057A">
        <w:rPr>
          <w:szCs w:val="24"/>
          <w:lang w:eastAsia="zh-CN"/>
        </w:rPr>
        <w:tab/>
      </w:r>
      <w:r w:rsidR="00B4144A" w:rsidRPr="00B4144A">
        <w:rPr>
          <w:szCs w:val="24"/>
          <w:lang w:eastAsia="zh-CN"/>
        </w:rPr>
        <w:t>ISCG</w:t>
      </w:r>
      <w:r w:rsidR="00B4144A" w:rsidRPr="00B4144A">
        <w:rPr>
          <w:rFonts w:hint="eastAsia"/>
          <w:szCs w:val="24"/>
          <w:lang w:eastAsia="zh-CN"/>
        </w:rPr>
        <w:t>还同意向</w:t>
      </w:r>
      <w:r w:rsidR="00B4144A" w:rsidRPr="00B4144A">
        <w:rPr>
          <w:szCs w:val="24"/>
          <w:lang w:eastAsia="zh-CN"/>
        </w:rPr>
        <w:t>TDAG</w:t>
      </w:r>
      <w:r w:rsidR="00B4144A" w:rsidRPr="00B4144A">
        <w:rPr>
          <w:rFonts w:hint="eastAsia"/>
          <w:szCs w:val="24"/>
          <w:lang w:eastAsia="zh-CN"/>
        </w:rPr>
        <w:t>发出一份联络声明，邀请其分享电信发展部门在治理和管理虚拟会议方面的规则，以确定需要实施的最佳做法。</w:t>
      </w:r>
    </w:p>
    <w:p w14:paraId="2426E589" w14:textId="513CB2E6" w:rsidR="009B421C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根据收到的</w:t>
      </w:r>
      <w:r>
        <w:rPr>
          <w:rFonts w:hint="eastAsia"/>
          <w:szCs w:val="24"/>
          <w:lang w:eastAsia="zh-CN"/>
        </w:rPr>
        <w:t>文稿</w:t>
      </w:r>
      <w:r w:rsidRPr="00EC5331">
        <w:rPr>
          <w:rFonts w:hint="eastAsia"/>
          <w:szCs w:val="24"/>
          <w:lang w:eastAsia="zh-CN"/>
        </w:rPr>
        <w:t>，有必要鼓励国际电联秘书处推进国际电联各部门网站</w:t>
      </w:r>
      <w:r w:rsidR="000330EB">
        <w:rPr>
          <w:rFonts w:hint="eastAsia"/>
          <w:szCs w:val="24"/>
          <w:lang w:eastAsia="zh-CN"/>
        </w:rPr>
        <w:t>统一</w:t>
      </w:r>
      <w:r w:rsidRPr="00EC5331">
        <w:rPr>
          <w:rFonts w:hint="eastAsia"/>
          <w:szCs w:val="24"/>
          <w:lang w:eastAsia="zh-CN"/>
        </w:rPr>
        <w:t>的工作，以确保清晰、易于浏览和</w:t>
      </w:r>
      <w:r w:rsidR="00AE2F1C">
        <w:rPr>
          <w:rFonts w:hint="eastAsia"/>
          <w:szCs w:val="24"/>
          <w:lang w:eastAsia="zh-CN"/>
        </w:rPr>
        <w:t>“国际电联是一家”</w:t>
      </w:r>
      <w:r w:rsidRPr="00EC5331">
        <w:rPr>
          <w:rFonts w:hint="eastAsia"/>
          <w:szCs w:val="24"/>
          <w:lang w:eastAsia="zh-CN"/>
        </w:rPr>
        <w:t>的形象，包括在平等的基础上使用国际电联的六种官方语言，改进搜索系统，并将此意见纳入提交理事会</w:t>
      </w:r>
      <w:r w:rsidR="00AE2F1C" w:rsidRPr="00EC5331">
        <w:rPr>
          <w:rFonts w:hint="eastAsia"/>
          <w:szCs w:val="24"/>
          <w:lang w:eastAsia="zh-CN"/>
        </w:rPr>
        <w:t>2023</w:t>
      </w:r>
      <w:r w:rsidR="00AE2F1C" w:rsidRPr="00EC5331">
        <w:rPr>
          <w:rFonts w:hint="eastAsia"/>
          <w:szCs w:val="24"/>
          <w:lang w:eastAsia="zh-CN"/>
        </w:rPr>
        <w:t>年</w:t>
      </w:r>
      <w:r w:rsidR="00AE2F1C">
        <w:rPr>
          <w:rFonts w:hint="eastAsia"/>
          <w:szCs w:val="24"/>
          <w:lang w:eastAsia="zh-CN"/>
        </w:rPr>
        <w:t>会议</w:t>
      </w:r>
      <w:r w:rsidRPr="00EC5331">
        <w:rPr>
          <w:rFonts w:hint="eastAsia"/>
          <w:szCs w:val="24"/>
          <w:lang w:eastAsia="zh-CN"/>
        </w:rPr>
        <w:t>的报告。同时提出</w:t>
      </w:r>
      <w:r w:rsidR="00AE2F1C">
        <w:rPr>
          <w:rFonts w:hint="eastAsia"/>
          <w:szCs w:val="24"/>
          <w:lang w:eastAsia="zh-CN"/>
        </w:rPr>
        <w:t>落实</w:t>
      </w:r>
      <w:r w:rsidRPr="00EC5331">
        <w:rPr>
          <w:rFonts w:hint="eastAsia"/>
          <w:szCs w:val="24"/>
          <w:lang w:eastAsia="zh-CN"/>
        </w:rPr>
        <w:t>WTDC</w:t>
      </w:r>
      <w:r w:rsidR="00AE2F1C">
        <w:rPr>
          <w:rFonts w:hint="eastAsia"/>
          <w:szCs w:val="24"/>
          <w:lang w:eastAsia="zh-CN"/>
        </w:rPr>
        <w:t>第</w:t>
      </w:r>
      <w:r w:rsidRPr="00EC5331">
        <w:rPr>
          <w:rFonts w:hint="eastAsia"/>
          <w:szCs w:val="24"/>
          <w:lang w:eastAsia="zh-CN"/>
        </w:rPr>
        <w:t>9</w:t>
      </w:r>
      <w:r w:rsidRPr="00EC5331">
        <w:rPr>
          <w:rFonts w:hint="eastAsia"/>
          <w:szCs w:val="24"/>
          <w:lang w:eastAsia="zh-CN"/>
        </w:rPr>
        <w:t>号决议以及</w:t>
      </w:r>
      <w:r w:rsidR="00AE2F1C">
        <w:rPr>
          <w:rFonts w:hint="eastAsia"/>
          <w:szCs w:val="24"/>
          <w:lang w:eastAsia="zh-CN"/>
        </w:rPr>
        <w:t>加强</w:t>
      </w:r>
      <w:r w:rsidRPr="00EC5331">
        <w:rPr>
          <w:rFonts w:hint="eastAsia"/>
          <w:szCs w:val="24"/>
          <w:lang w:eastAsia="zh-CN"/>
        </w:rPr>
        <w:t>ITU-R</w:t>
      </w:r>
      <w:r w:rsidRPr="00EC5331">
        <w:rPr>
          <w:rFonts w:hint="eastAsia"/>
          <w:szCs w:val="24"/>
          <w:lang w:eastAsia="zh-CN"/>
        </w:rPr>
        <w:t>和</w:t>
      </w:r>
      <w:r w:rsidRPr="00EC5331">
        <w:rPr>
          <w:rFonts w:hint="eastAsia"/>
          <w:szCs w:val="24"/>
          <w:lang w:eastAsia="zh-CN"/>
        </w:rPr>
        <w:t>ITU-D</w:t>
      </w:r>
      <w:r w:rsidR="00AE2F1C">
        <w:rPr>
          <w:rFonts w:hint="eastAsia"/>
          <w:szCs w:val="24"/>
          <w:lang w:eastAsia="zh-CN"/>
        </w:rPr>
        <w:t>协作的指导原则</w:t>
      </w:r>
      <w:r w:rsidRPr="00EC5331">
        <w:rPr>
          <w:rFonts w:hint="eastAsia"/>
          <w:szCs w:val="24"/>
          <w:lang w:eastAsia="zh-CN"/>
        </w:rPr>
        <w:t>，并</w:t>
      </w:r>
      <w:r w:rsidR="00871152">
        <w:rPr>
          <w:rFonts w:hint="eastAsia"/>
          <w:szCs w:val="24"/>
          <w:lang w:eastAsia="zh-CN"/>
        </w:rPr>
        <w:t>将其</w:t>
      </w:r>
      <w:r w:rsidRPr="00EC5331">
        <w:rPr>
          <w:rFonts w:hint="eastAsia"/>
          <w:szCs w:val="24"/>
          <w:lang w:eastAsia="zh-CN"/>
        </w:rPr>
        <w:t>提交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的下一次会议。</w:t>
      </w:r>
    </w:p>
    <w:p w14:paraId="456D685B" w14:textId="20A80297" w:rsidR="00B4144A" w:rsidRPr="00EC5331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在</w:t>
      </w:r>
      <w:r w:rsidRPr="00EC5331">
        <w:rPr>
          <w:rFonts w:hint="eastAsia"/>
          <w:szCs w:val="24"/>
          <w:lang w:eastAsia="zh-CN"/>
        </w:rPr>
        <w:t>ISCG</w:t>
      </w:r>
      <w:r w:rsidR="001A0245">
        <w:rPr>
          <w:rFonts w:hint="eastAsia"/>
          <w:szCs w:val="24"/>
          <w:lang w:eastAsia="zh-CN"/>
        </w:rPr>
        <w:t>审议</w:t>
      </w:r>
      <w:r w:rsidRPr="00EC5331">
        <w:rPr>
          <w:rFonts w:hint="eastAsia"/>
          <w:szCs w:val="24"/>
          <w:lang w:eastAsia="zh-CN"/>
        </w:rPr>
        <w:t>的其他主题中，会议期间提到了两个</w:t>
      </w:r>
      <w:r w:rsidR="00AE2F1C">
        <w:rPr>
          <w:rFonts w:hint="eastAsia"/>
          <w:szCs w:val="24"/>
          <w:lang w:eastAsia="zh-CN"/>
        </w:rPr>
        <w:t>主题</w:t>
      </w:r>
      <w:r w:rsidRPr="00EC5331">
        <w:rPr>
          <w:rFonts w:hint="eastAsia"/>
          <w:szCs w:val="24"/>
          <w:lang w:eastAsia="zh-CN"/>
        </w:rPr>
        <w:t>：弥合数字鸿沟和</w:t>
      </w:r>
      <w:r w:rsidR="00871152">
        <w:rPr>
          <w:rFonts w:hint="eastAsia"/>
          <w:szCs w:val="24"/>
          <w:lang w:eastAsia="zh-CN"/>
        </w:rPr>
        <w:t>统一</w:t>
      </w:r>
      <w:r w:rsidR="00AE2F1C">
        <w:rPr>
          <w:rFonts w:hint="eastAsia"/>
          <w:szCs w:val="24"/>
          <w:lang w:eastAsia="zh-CN"/>
        </w:rPr>
        <w:t>国际电联网</w:t>
      </w:r>
      <w:r w:rsidRPr="00EC5331">
        <w:rPr>
          <w:rFonts w:hint="eastAsia"/>
          <w:szCs w:val="24"/>
          <w:lang w:eastAsia="zh-CN"/>
        </w:rPr>
        <w:t>站。</w:t>
      </w:r>
    </w:p>
    <w:p w14:paraId="42B6FF4C" w14:textId="687816F2" w:rsidR="00B4144A" w:rsidRPr="00EC5331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主席邀请成员就希望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讨论的所有主题向下次会议提交</w:t>
      </w:r>
      <w:r w:rsidR="001A0245">
        <w:rPr>
          <w:rFonts w:hint="eastAsia"/>
          <w:szCs w:val="24"/>
          <w:lang w:eastAsia="zh-CN"/>
        </w:rPr>
        <w:t>文稿</w:t>
      </w:r>
      <w:r w:rsidRPr="00EC5331">
        <w:rPr>
          <w:rFonts w:hint="eastAsia"/>
          <w:szCs w:val="24"/>
          <w:lang w:eastAsia="zh-CN"/>
        </w:rPr>
        <w:t>，并提出</w:t>
      </w:r>
      <w:r w:rsidR="001A0245">
        <w:rPr>
          <w:rFonts w:hint="eastAsia"/>
          <w:szCs w:val="24"/>
          <w:lang w:eastAsia="zh-CN"/>
        </w:rPr>
        <w:t>改进</w:t>
      </w:r>
      <w:r w:rsidRPr="00EC5331">
        <w:rPr>
          <w:rFonts w:hint="eastAsia"/>
          <w:szCs w:val="24"/>
          <w:lang w:eastAsia="zh-CN"/>
        </w:rPr>
        <w:t>三个部门与总秘书处之间协调和</w:t>
      </w:r>
      <w:r w:rsidR="000330EB">
        <w:rPr>
          <w:rFonts w:hint="eastAsia"/>
          <w:szCs w:val="24"/>
          <w:lang w:eastAsia="zh-CN"/>
        </w:rPr>
        <w:t>协作</w:t>
      </w:r>
      <w:r w:rsidRPr="00EC5331">
        <w:rPr>
          <w:rFonts w:hint="eastAsia"/>
          <w:szCs w:val="24"/>
          <w:lang w:eastAsia="zh-CN"/>
        </w:rPr>
        <w:t>的建议。</w:t>
      </w:r>
    </w:p>
    <w:p w14:paraId="0B95FFAF" w14:textId="621535AD" w:rsidR="00EC5331" w:rsidRDefault="00EC5331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主席</w:t>
      </w:r>
      <w:r w:rsidR="001A0245">
        <w:rPr>
          <w:rFonts w:hint="eastAsia"/>
          <w:szCs w:val="24"/>
          <w:lang w:eastAsia="zh-CN"/>
        </w:rPr>
        <w:t>通报称</w:t>
      </w:r>
      <w:r w:rsidRPr="00EC5331">
        <w:rPr>
          <w:rFonts w:hint="eastAsia"/>
          <w:szCs w:val="24"/>
          <w:lang w:eastAsia="zh-CN"/>
        </w:rPr>
        <w:t>，该组的</w:t>
      </w:r>
      <w:hyperlink r:id="rId14" w:history="1">
        <w:r w:rsidR="001A0245" w:rsidRPr="001A0245">
          <w:rPr>
            <w:rStyle w:val="Hyperlink"/>
            <w:rFonts w:hint="eastAsia"/>
            <w:szCs w:val="24"/>
            <w:lang w:eastAsia="zh-CN"/>
          </w:rPr>
          <w:t>职责</w:t>
        </w:r>
        <w:r w:rsidRPr="001A0245">
          <w:rPr>
            <w:rStyle w:val="Hyperlink"/>
            <w:rFonts w:hint="eastAsia"/>
            <w:szCs w:val="24"/>
            <w:lang w:eastAsia="zh-CN"/>
          </w:rPr>
          <w:t>范围</w:t>
        </w:r>
      </w:hyperlink>
      <w:r w:rsidRPr="00EC5331">
        <w:rPr>
          <w:rFonts w:hint="eastAsia"/>
          <w:szCs w:val="24"/>
          <w:lang w:eastAsia="zh-CN"/>
        </w:rPr>
        <w:t>以及决议</w:t>
      </w:r>
      <w:r w:rsidR="001A0245">
        <w:rPr>
          <w:rFonts w:hint="eastAsia"/>
          <w:szCs w:val="24"/>
          <w:lang w:eastAsia="zh-CN"/>
        </w:rPr>
        <w:t>对照关系</w:t>
      </w:r>
      <w:r w:rsidRPr="00EC5331">
        <w:rPr>
          <w:rFonts w:hint="eastAsia"/>
          <w:szCs w:val="24"/>
          <w:lang w:eastAsia="zh-CN"/>
        </w:rPr>
        <w:t>、</w:t>
      </w:r>
      <w:hyperlink r:id="rId15" w:history="1">
        <w:r w:rsidRPr="001A0245">
          <w:rPr>
            <w:rStyle w:val="Hyperlink"/>
            <w:rFonts w:hint="eastAsia"/>
            <w:szCs w:val="24"/>
            <w:lang w:eastAsia="zh-CN"/>
          </w:rPr>
          <w:t>表</w:t>
        </w:r>
        <w:r w:rsidRPr="001A0245">
          <w:rPr>
            <w:rStyle w:val="Hyperlink"/>
            <w:rFonts w:hint="eastAsia"/>
            <w:szCs w:val="24"/>
            <w:lang w:eastAsia="zh-CN"/>
          </w:rPr>
          <w:t>1</w:t>
        </w:r>
      </w:hyperlink>
      <w:r w:rsidRPr="00EC5331">
        <w:rPr>
          <w:rFonts w:hint="eastAsia"/>
          <w:szCs w:val="24"/>
          <w:lang w:eastAsia="zh-CN"/>
        </w:rPr>
        <w:t>（</w:t>
      </w:r>
      <w:r w:rsidRPr="00EC5331">
        <w:rPr>
          <w:rFonts w:hint="eastAsia"/>
          <w:szCs w:val="24"/>
          <w:lang w:eastAsia="zh-CN"/>
        </w:rPr>
        <w:t>ITU-R</w:t>
      </w:r>
      <w:r w:rsidRPr="00EC5331">
        <w:rPr>
          <w:rFonts w:hint="eastAsia"/>
          <w:szCs w:val="24"/>
          <w:lang w:eastAsia="zh-CN"/>
        </w:rPr>
        <w:t>和</w:t>
      </w:r>
      <w:r w:rsidRPr="00EC5331">
        <w:rPr>
          <w:rFonts w:hint="eastAsia"/>
          <w:szCs w:val="24"/>
          <w:lang w:eastAsia="zh-CN"/>
        </w:rPr>
        <w:t>ITU-D</w:t>
      </w:r>
      <w:r w:rsidRPr="00EC5331">
        <w:rPr>
          <w:rFonts w:hint="eastAsia"/>
          <w:szCs w:val="24"/>
          <w:lang w:eastAsia="zh-CN"/>
        </w:rPr>
        <w:t>的</w:t>
      </w:r>
      <w:r w:rsidR="001A0245">
        <w:rPr>
          <w:rFonts w:hint="eastAsia"/>
          <w:szCs w:val="24"/>
          <w:lang w:eastAsia="zh-CN"/>
        </w:rPr>
        <w:t>对照关系</w:t>
      </w:r>
      <w:r w:rsidRPr="00EC5331">
        <w:rPr>
          <w:rFonts w:hint="eastAsia"/>
          <w:szCs w:val="24"/>
          <w:lang w:eastAsia="zh-CN"/>
        </w:rPr>
        <w:t>）和</w:t>
      </w:r>
      <w:hyperlink r:id="rId16" w:history="1">
        <w:r w:rsidRPr="001A0245">
          <w:rPr>
            <w:rStyle w:val="Hyperlink"/>
            <w:rFonts w:hint="eastAsia"/>
            <w:szCs w:val="24"/>
            <w:lang w:eastAsia="zh-CN"/>
          </w:rPr>
          <w:t>表</w:t>
        </w:r>
        <w:r w:rsidRPr="001A0245">
          <w:rPr>
            <w:rStyle w:val="Hyperlink"/>
            <w:rFonts w:hint="eastAsia"/>
            <w:szCs w:val="24"/>
            <w:lang w:eastAsia="zh-CN"/>
          </w:rPr>
          <w:t>2</w:t>
        </w:r>
      </w:hyperlink>
      <w:r w:rsidRPr="00EC5331">
        <w:rPr>
          <w:rFonts w:hint="eastAsia"/>
          <w:szCs w:val="24"/>
          <w:lang w:eastAsia="zh-CN"/>
        </w:rPr>
        <w:t>（</w:t>
      </w:r>
      <w:r w:rsidRPr="00EC5331">
        <w:rPr>
          <w:rFonts w:hint="eastAsia"/>
          <w:szCs w:val="24"/>
          <w:lang w:eastAsia="zh-CN"/>
        </w:rPr>
        <w:t>ITU-R</w:t>
      </w:r>
      <w:r w:rsidRPr="00EC5331">
        <w:rPr>
          <w:rFonts w:hint="eastAsia"/>
          <w:szCs w:val="24"/>
          <w:lang w:eastAsia="zh-CN"/>
        </w:rPr>
        <w:t>和</w:t>
      </w:r>
      <w:r w:rsidRPr="00EC5331">
        <w:rPr>
          <w:rFonts w:hint="eastAsia"/>
          <w:szCs w:val="24"/>
          <w:lang w:eastAsia="zh-CN"/>
        </w:rPr>
        <w:t>ITU-T</w:t>
      </w:r>
      <w:r w:rsidR="001A0245" w:rsidRPr="00EC5331">
        <w:rPr>
          <w:rFonts w:hint="eastAsia"/>
          <w:szCs w:val="24"/>
          <w:lang w:eastAsia="zh-CN"/>
        </w:rPr>
        <w:t>的</w:t>
      </w:r>
      <w:r w:rsidR="001A0245">
        <w:rPr>
          <w:rFonts w:hint="eastAsia"/>
          <w:szCs w:val="24"/>
          <w:lang w:eastAsia="zh-CN"/>
        </w:rPr>
        <w:t>对照关系</w:t>
      </w:r>
      <w:r w:rsidRPr="00EC5331">
        <w:rPr>
          <w:rFonts w:hint="eastAsia"/>
          <w:szCs w:val="24"/>
          <w:lang w:eastAsia="zh-CN"/>
        </w:rPr>
        <w:t>）已经更新。</w:t>
      </w:r>
    </w:p>
    <w:p w14:paraId="23FD7579" w14:textId="623E9749" w:rsidR="00B4144A" w:rsidRPr="00EC5331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表</w:t>
      </w:r>
      <w:r w:rsidRPr="00EC5331">
        <w:rPr>
          <w:rFonts w:hint="eastAsia"/>
          <w:szCs w:val="24"/>
          <w:lang w:eastAsia="zh-CN"/>
        </w:rPr>
        <w:t>3</w:t>
      </w:r>
      <w:r w:rsidRPr="00EC5331">
        <w:rPr>
          <w:rFonts w:hint="eastAsia"/>
          <w:szCs w:val="24"/>
          <w:lang w:eastAsia="zh-CN"/>
        </w:rPr>
        <w:t>（</w:t>
      </w:r>
      <w:r w:rsidRPr="00EC5331">
        <w:rPr>
          <w:rFonts w:hint="eastAsia"/>
          <w:szCs w:val="24"/>
          <w:lang w:eastAsia="zh-CN"/>
        </w:rPr>
        <w:t>ITU-T</w:t>
      </w:r>
      <w:r w:rsidRPr="00EC5331">
        <w:rPr>
          <w:rFonts w:hint="eastAsia"/>
          <w:szCs w:val="24"/>
          <w:lang w:eastAsia="zh-CN"/>
        </w:rPr>
        <w:t>和</w:t>
      </w:r>
      <w:r w:rsidRPr="00EC5331">
        <w:rPr>
          <w:rFonts w:hint="eastAsia"/>
          <w:szCs w:val="24"/>
          <w:lang w:eastAsia="zh-CN"/>
        </w:rPr>
        <w:t>ITU-D</w:t>
      </w:r>
      <w:r w:rsidRPr="00EC5331">
        <w:rPr>
          <w:rFonts w:hint="eastAsia"/>
          <w:szCs w:val="24"/>
          <w:lang w:eastAsia="zh-CN"/>
        </w:rPr>
        <w:t>的</w:t>
      </w:r>
      <w:r w:rsidR="001A0245">
        <w:rPr>
          <w:rFonts w:hint="eastAsia"/>
          <w:szCs w:val="24"/>
          <w:lang w:eastAsia="zh-CN"/>
        </w:rPr>
        <w:t>对照关系</w:t>
      </w:r>
      <w:r w:rsidRPr="00EC5331">
        <w:rPr>
          <w:rFonts w:hint="eastAsia"/>
          <w:szCs w:val="24"/>
          <w:lang w:eastAsia="zh-CN"/>
        </w:rPr>
        <w:t>）继续由各部门讨论，商定的版本将提交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下次会议。</w:t>
      </w:r>
    </w:p>
    <w:p w14:paraId="4E4B2539" w14:textId="730EF293" w:rsidR="00B4144A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完整的报告以及与</w:t>
      </w:r>
      <w:r w:rsidR="001A0245">
        <w:rPr>
          <w:rFonts w:hint="eastAsia"/>
          <w:szCs w:val="24"/>
          <w:lang w:eastAsia="zh-CN"/>
        </w:rPr>
        <w:t>跨</w:t>
      </w:r>
      <w:r w:rsidRPr="00EC5331">
        <w:rPr>
          <w:rFonts w:hint="eastAsia"/>
          <w:szCs w:val="24"/>
          <w:lang w:eastAsia="zh-CN"/>
        </w:rPr>
        <w:t>部门协调活动有关的所有信息都可以在</w:t>
      </w:r>
      <w:hyperlink r:id="rId17" w:history="1">
        <w:r w:rsidRPr="001A0245">
          <w:rPr>
            <w:rStyle w:val="Hyperlink"/>
            <w:rFonts w:hint="eastAsia"/>
            <w:szCs w:val="24"/>
            <w:lang w:eastAsia="zh-CN"/>
          </w:rPr>
          <w:t>ISCG</w:t>
        </w:r>
        <w:r w:rsidRPr="001A0245">
          <w:rPr>
            <w:rStyle w:val="Hyperlink"/>
            <w:rFonts w:hint="eastAsia"/>
            <w:szCs w:val="24"/>
            <w:lang w:eastAsia="zh-CN"/>
          </w:rPr>
          <w:t>网站</w:t>
        </w:r>
      </w:hyperlink>
      <w:r w:rsidRPr="00EC5331">
        <w:rPr>
          <w:rFonts w:hint="eastAsia"/>
          <w:szCs w:val="24"/>
          <w:lang w:eastAsia="zh-CN"/>
        </w:rPr>
        <w:t>上</w:t>
      </w:r>
      <w:r w:rsidR="00871152">
        <w:rPr>
          <w:rFonts w:hint="eastAsia"/>
          <w:szCs w:val="24"/>
          <w:lang w:eastAsia="zh-CN"/>
        </w:rPr>
        <w:t>找到</w:t>
      </w:r>
      <w:r w:rsidRPr="00EC5331">
        <w:rPr>
          <w:rFonts w:hint="eastAsia"/>
          <w:szCs w:val="24"/>
          <w:lang w:eastAsia="zh-CN"/>
        </w:rPr>
        <w:t>，并以</w:t>
      </w:r>
      <w:r w:rsidR="001A0245">
        <w:rPr>
          <w:rFonts w:hint="eastAsia"/>
          <w:szCs w:val="24"/>
          <w:lang w:eastAsia="zh-CN"/>
        </w:rPr>
        <w:t>国际电联</w:t>
      </w:r>
      <w:r w:rsidRPr="00EC5331">
        <w:rPr>
          <w:rFonts w:hint="eastAsia"/>
          <w:szCs w:val="24"/>
          <w:lang w:eastAsia="zh-CN"/>
        </w:rPr>
        <w:t>的六种官方语言提供。</w:t>
      </w:r>
    </w:p>
    <w:p w14:paraId="3F373389" w14:textId="0337B55F" w:rsidR="009B421C" w:rsidRPr="0026057A" w:rsidRDefault="0026057A" w:rsidP="0026057A">
      <w:pPr>
        <w:pStyle w:val="Heading1"/>
        <w:rPr>
          <w:szCs w:val="24"/>
          <w:lang w:eastAsia="zh-CN"/>
        </w:rPr>
      </w:pPr>
      <w:r w:rsidRPr="0026057A">
        <w:rPr>
          <w:rFonts w:hint="eastAsia"/>
          <w:bCs/>
          <w:szCs w:val="24"/>
        </w:rPr>
        <w:t>3</w:t>
      </w:r>
      <w:r>
        <w:rPr>
          <w:b w:val="0"/>
          <w:szCs w:val="24"/>
        </w:rPr>
        <w:tab/>
      </w:r>
      <w:r w:rsidR="00B4144A" w:rsidRPr="0026057A">
        <w:rPr>
          <w:rFonts w:hint="eastAsia"/>
          <w:szCs w:val="24"/>
          <w:lang w:eastAsia="zh-CN"/>
        </w:rPr>
        <w:t>结论</w:t>
      </w:r>
    </w:p>
    <w:p w14:paraId="68B54D51" w14:textId="0B35A2C1" w:rsidR="00EC5331" w:rsidRPr="00EC5331" w:rsidRDefault="00EC5331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szCs w:val="24"/>
          <w:lang w:eastAsia="zh-CN"/>
        </w:rPr>
      </w:pPr>
      <w:r w:rsidRPr="00EC5331">
        <w:rPr>
          <w:rFonts w:hint="eastAsia"/>
          <w:szCs w:val="24"/>
          <w:lang w:eastAsia="zh-CN"/>
        </w:rPr>
        <w:t>请</w:t>
      </w:r>
      <w:r w:rsidRPr="00EC5331">
        <w:rPr>
          <w:rFonts w:hint="eastAsia"/>
          <w:szCs w:val="24"/>
          <w:lang w:eastAsia="zh-CN"/>
        </w:rPr>
        <w:t>TDAG</w:t>
      </w:r>
      <w:r w:rsidRPr="00EC5331">
        <w:rPr>
          <w:rFonts w:hint="eastAsia"/>
          <w:szCs w:val="24"/>
          <w:lang w:eastAsia="zh-CN"/>
        </w:rPr>
        <w:t>讨论本文件，并就所提出的主题、所有部门之间和</w:t>
      </w:r>
      <w:r w:rsidRPr="00EC5331">
        <w:rPr>
          <w:rFonts w:hint="eastAsia"/>
          <w:szCs w:val="24"/>
          <w:lang w:eastAsia="zh-CN"/>
        </w:rPr>
        <w:t>/</w:t>
      </w:r>
      <w:r w:rsidRPr="00EC5331">
        <w:rPr>
          <w:rFonts w:hint="eastAsia"/>
          <w:szCs w:val="24"/>
          <w:lang w:eastAsia="zh-CN"/>
        </w:rPr>
        <w:t>或</w:t>
      </w:r>
      <w:r w:rsidR="001A0245">
        <w:rPr>
          <w:rFonts w:hint="eastAsia"/>
          <w:szCs w:val="24"/>
          <w:lang w:eastAsia="zh-CN"/>
        </w:rPr>
        <w:t>两个部门之间</w:t>
      </w:r>
      <w:r w:rsidRPr="00EC5331">
        <w:rPr>
          <w:rFonts w:hint="eastAsia"/>
          <w:szCs w:val="24"/>
          <w:lang w:eastAsia="zh-CN"/>
        </w:rPr>
        <w:t>的任何其他可能的联合活动以及加强合作的机制，向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提出意见和建议。</w:t>
      </w:r>
    </w:p>
    <w:p w14:paraId="5852953E" w14:textId="23B18429" w:rsidR="009B421C" w:rsidRDefault="00B4144A" w:rsidP="0026057A">
      <w:pPr>
        <w:overflowPunct/>
        <w:autoSpaceDE/>
        <w:autoSpaceDN/>
        <w:adjustRightInd/>
        <w:spacing w:after="120"/>
        <w:ind w:firstLineChars="200" w:firstLine="480"/>
        <w:textAlignment w:val="auto"/>
        <w:rPr>
          <w:lang w:eastAsia="zh-CN"/>
        </w:rPr>
      </w:pP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的下一次会议安排在</w:t>
      </w:r>
      <w:r w:rsidRPr="00EC5331">
        <w:rPr>
          <w:rFonts w:hint="eastAsia"/>
          <w:szCs w:val="24"/>
          <w:lang w:eastAsia="zh-CN"/>
        </w:rPr>
        <w:t>2023</w:t>
      </w:r>
      <w:r w:rsidRPr="00EC5331">
        <w:rPr>
          <w:rFonts w:hint="eastAsia"/>
          <w:szCs w:val="24"/>
          <w:lang w:eastAsia="zh-CN"/>
        </w:rPr>
        <w:t>年下半年</w:t>
      </w:r>
      <w:r w:rsidRPr="00EC5331">
        <w:rPr>
          <w:rFonts w:hint="eastAsia"/>
          <w:szCs w:val="24"/>
          <w:lang w:eastAsia="zh-CN"/>
        </w:rPr>
        <w:t>10</w:t>
      </w:r>
      <w:r w:rsidRPr="00EC5331">
        <w:rPr>
          <w:rFonts w:hint="eastAsia"/>
          <w:szCs w:val="24"/>
          <w:lang w:eastAsia="zh-CN"/>
        </w:rPr>
        <w:t>月</w:t>
      </w:r>
      <w:r w:rsidR="001A0245">
        <w:rPr>
          <w:rFonts w:hint="eastAsia"/>
          <w:szCs w:val="24"/>
          <w:lang w:eastAsia="zh-CN"/>
        </w:rPr>
        <w:t>召开</w:t>
      </w:r>
      <w:r w:rsidRPr="00EC5331">
        <w:rPr>
          <w:rFonts w:hint="eastAsia"/>
          <w:szCs w:val="24"/>
          <w:lang w:eastAsia="zh-CN"/>
        </w:rPr>
        <w:t>。日期将在与</w:t>
      </w:r>
      <w:r w:rsidRPr="00EC5331">
        <w:rPr>
          <w:rFonts w:hint="eastAsia"/>
          <w:szCs w:val="24"/>
          <w:lang w:eastAsia="zh-CN"/>
        </w:rPr>
        <w:t>ISCG</w:t>
      </w:r>
      <w:r w:rsidRPr="00EC5331">
        <w:rPr>
          <w:rFonts w:hint="eastAsia"/>
          <w:szCs w:val="24"/>
          <w:lang w:eastAsia="zh-CN"/>
        </w:rPr>
        <w:t>管理</w:t>
      </w:r>
      <w:r w:rsidR="001A0245">
        <w:rPr>
          <w:rFonts w:hint="eastAsia"/>
          <w:szCs w:val="24"/>
          <w:lang w:eastAsia="zh-CN"/>
        </w:rPr>
        <w:t>班子</w:t>
      </w:r>
      <w:r w:rsidRPr="00EC5331">
        <w:rPr>
          <w:rFonts w:hint="eastAsia"/>
          <w:szCs w:val="24"/>
          <w:lang w:eastAsia="zh-CN"/>
        </w:rPr>
        <w:t>协商后确认。详细信息将在</w:t>
      </w:r>
      <w:hyperlink r:id="rId18" w:history="1">
        <w:r w:rsidR="001A0245" w:rsidRPr="001A0245">
          <w:rPr>
            <w:rStyle w:val="Hyperlink"/>
            <w:rFonts w:hint="eastAsia"/>
            <w:szCs w:val="24"/>
            <w:lang w:eastAsia="zh-CN"/>
          </w:rPr>
          <w:t>国际电联</w:t>
        </w:r>
        <w:r w:rsidRPr="001A0245">
          <w:rPr>
            <w:rStyle w:val="Hyperlink"/>
            <w:rFonts w:hint="eastAsia"/>
            <w:szCs w:val="24"/>
            <w:lang w:eastAsia="zh-CN"/>
          </w:rPr>
          <w:t>活动门户网站</w:t>
        </w:r>
      </w:hyperlink>
      <w:r w:rsidRPr="00EC5331">
        <w:rPr>
          <w:rFonts w:hint="eastAsia"/>
          <w:szCs w:val="24"/>
          <w:lang w:eastAsia="zh-CN"/>
        </w:rPr>
        <w:t>上</w:t>
      </w:r>
      <w:r w:rsidR="00597E4B">
        <w:rPr>
          <w:rFonts w:hint="eastAsia"/>
          <w:szCs w:val="24"/>
          <w:lang w:eastAsia="zh-CN"/>
        </w:rPr>
        <w:t>予以</w:t>
      </w:r>
      <w:r w:rsidRPr="00EC5331">
        <w:rPr>
          <w:rFonts w:hint="eastAsia"/>
          <w:szCs w:val="24"/>
          <w:lang w:eastAsia="zh-CN"/>
        </w:rPr>
        <w:t>公布。</w:t>
      </w:r>
    </w:p>
    <w:p w14:paraId="73345219" w14:textId="77777777" w:rsidR="009B421C" w:rsidRDefault="009B421C" w:rsidP="009B421C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sectPr w:rsidR="009B421C" w:rsidSect="00473791">
      <w:headerReference w:type="default" r:id="rId19"/>
      <w:foot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BDC1" w14:textId="77777777" w:rsidR="0092694E" w:rsidRDefault="0092694E">
      <w:r>
        <w:separator/>
      </w:r>
    </w:p>
  </w:endnote>
  <w:endnote w:type="continuationSeparator" w:id="0">
    <w:p w14:paraId="09B9775B" w14:textId="77777777" w:rsidR="0092694E" w:rsidRDefault="009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8868" w14:textId="33A8435F" w:rsidR="00F36C5F" w:rsidRDefault="00F36C5F" w:rsidP="00F36C5F">
    <w:pPr>
      <w:pStyle w:val="Footer"/>
    </w:pPr>
    <w:fldSimple w:instr=" FILENAME \p  \* MERGEFORMAT ">
      <w:r>
        <w:t>P:\CHI\ITU-D\CONF-D\TDAG23\TDAG23-30\000\009C.docx</w:t>
      </w:r>
    </w:fldSimple>
    <w:r>
      <w:t xml:space="preserve"> (</w:t>
    </w:r>
    <w:r w:rsidRPr="00F36C5F">
      <w:t>520121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66BA6" w:rsidRPr="004D495C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14DFDCE3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07DE1">
            <w:rPr>
              <w:rFonts w:hint="eastAsia"/>
              <w:sz w:val="18"/>
              <w:szCs w:val="18"/>
              <w:lang w:val="en-US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2A129C70" w:rsidR="00966BA6" w:rsidRPr="004D495C" w:rsidRDefault="00966BA6" w:rsidP="00966BA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组织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实体</w:t>
          </w:r>
          <w:r w:rsidRPr="00807DE1">
            <w:rPr>
              <w:sz w:val="18"/>
              <w:szCs w:val="18"/>
            </w:rPr>
            <w:t>/</w:t>
          </w:r>
          <w:r w:rsidRPr="00807DE1">
            <w:rPr>
              <w:rFonts w:hint="eastAsia"/>
              <w:sz w:val="18"/>
              <w:szCs w:val="18"/>
            </w:rPr>
            <w:t>姓名：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5C43EE54" w:rsidR="00966BA6" w:rsidRPr="00AF7A97" w:rsidRDefault="00EC5331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意大利</w:t>
          </w:r>
          <w:r>
            <w:rPr>
              <w:sz w:val="18"/>
              <w:szCs w:val="18"/>
              <w:lang w:val="en-US"/>
            </w:rPr>
            <w:t>Fabio Bigi</w:t>
          </w:r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5" w:name="OrgName"/>
      <w:bookmarkEnd w:id="5"/>
    </w:tr>
    <w:tr w:rsidR="00966BA6" w:rsidRPr="004D495C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966BA6" w:rsidRPr="004D495C" w:rsidRDefault="00966BA6" w:rsidP="00966BA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3EA6C08" w:rsidR="00966BA6" w:rsidRPr="004D495C" w:rsidRDefault="00966BA6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电话号码：</w:t>
          </w:r>
        </w:p>
      </w:tc>
      <w:tc>
        <w:tcPr>
          <w:tcW w:w="5987" w:type="dxa"/>
        </w:tcPr>
        <w:p w14:paraId="6D7949F0" w14:textId="3C2DEF9C" w:rsidR="00966BA6" w:rsidRPr="00AF7A97" w:rsidRDefault="006724CB" w:rsidP="00966BA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未提供</w:t>
          </w:r>
        </w:p>
      </w:tc>
      <w:bookmarkStart w:id="6" w:name="PhoneNo"/>
      <w:bookmarkEnd w:id="6"/>
    </w:tr>
    <w:tr w:rsidR="00EC5331" w:rsidRPr="004D495C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EC5331" w:rsidRPr="004D495C" w:rsidRDefault="00EC5331" w:rsidP="00EC53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367EADA3" w:rsidR="00EC5331" w:rsidRPr="004D495C" w:rsidRDefault="00EC5331" w:rsidP="00EC53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07DE1">
            <w:rPr>
              <w:rFonts w:hint="eastAsia"/>
              <w:sz w:val="18"/>
              <w:szCs w:val="18"/>
            </w:rPr>
            <w:t>电子邮件：</w:t>
          </w:r>
        </w:p>
      </w:tc>
      <w:tc>
        <w:tcPr>
          <w:tcW w:w="5987" w:type="dxa"/>
        </w:tcPr>
        <w:p w14:paraId="7EAB0988" w14:textId="2865807C" w:rsidR="00EC5331" w:rsidRPr="00AF7A97" w:rsidRDefault="006E4986" w:rsidP="00EC53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C5331" w:rsidRPr="00D87DB8">
              <w:rPr>
                <w:rStyle w:val="Hyperlink"/>
                <w:sz w:val="18"/>
                <w:szCs w:val="18"/>
                <w:lang w:val="en-US"/>
              </w:rPr>
              <w:t>fabio.bigi@virgilio.it</w:t>
            </w:r>
          </w:hyperlink>
          <w:r w:rsidR="00EC5331">
            <w:rPr>
              <w:sz w:val="18"/>
              <w:szCs w:val="18"/>
              <w:lang w:val="en-US"/>
            </w:rPr>
            <w:t xml:space="preserve"> </w:t>
          </w:r>
        </w:p>
      </w:tc>
      <w:bookmarkStart w:id="7" w:name="Email"/>
      <w:bookmarkEnd w:id="7"/>
    </w:tr>
  </w:tbl>
  <w:p w14:paraId="5AEFE7F9" w14:textId="2F0CB09A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6E4986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4700" w14:textId="77777777" w:rsidR="0092694E" w:rsidRDefault="0092694E">
      <w:r>
        <w:t>____________________</w:t>
      </w:r>
    </w:p>
  </w:footnote>
  <w:footnote w:type="continuationSeparator" w:id="0">
    <w:p w14:paraId="34D08E17" w14:textId="77777777" w:rsidR="0092694E" w:rsidRDefault="0092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37A2EEE5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6724CB">
      <w:rPr>
        <w:sz w:val="22"/>
        <w:szCs w:val="22"/>
        <w:lang w:val="de-CH"/>
      </w:rPr>
      <w:t>9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319"/>
    <w:multiLevelType w:val="hybridMultilevel"/>
    <w:tmpl w:val="E43A2EA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D3E3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0037523">
    <w:abstractNumId w:val="1"/>
  </w:num>
  <w:num w:numId="2" w16cid:durableId="2106027323">
    <w:abstractNumId w:val="2"/>
  </w:num>
  <w:num w:numId="3" w16cid:durableId="91678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30EB"/>
    <w:rsid w:val="00037A9E"/>
    <w:rsid w:val="00037F91"/>
    <w:rsid w:val="000539F1"/>
    <w:rsid w:val="00054747"/>
    <w:rsid w:val="00055A2A"/>
    <w:rsid w:val="000615C1"/>
    <w:rsid w:val="00061675"/>
    <w:rsid w:val="00070370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0245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057A"/>
    <w:rsid w:val="00262908"/>
    <w:rsid w:val="002650F4"/>
    <w:rsid w:val="002715FD"/>
    <w:rsid w:val="002770B1"/>
    <w:rsid w:val="00281AA4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92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547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E4B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4E06"/>
    <w:rsid w:val="0065521B"/>
    <w:rsid w:val="00671EF6"/>
    <w:rsid w:val="0067205B"/>
    <w:rsid w:val="006724C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D502F"/>
    <w:rsid w:val="006E4986"/>
    <w:rsid w:val="006F009A"/>
    <w:rsid w:val="006F3D93"/>
    <w:rsid w:val="007019B1"/>
    <w:rsid w:val="00721657"/>
    <w:rsid w:val="007279A8"/>
    <w:rsid w:val="00727B1A"/>
    <w:rsid w:val="00727E84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1152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694E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421C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2F1C"/>
    <w:rsid w:val="00AE5961"/>
    <w:rsid w:val="00AF0745"/>
    <w:rsid w:val="00AF4971"/>
    <w:rsid w:val="00AF5276"/>
    <w:rsid w:val="00AF7C86"/>
    <w:rsid w:val="00B01046"/>
    <w:rsid w:val="00B23B18"/>
    <w:rsid w:val="00B310F9"/>
    <w:rsid w:val="00B37866"/>
    <w:rsid w:val="00B412FB"/>
    <w:rsid w:val="00B4144A"/>
    <w:rsid w:val="00B4576B"/>
    <w:rsid w:val="00B46350"/>
    <w:rsid w:val="00B46DF3"/>
    <w:rsid w:val="00B648C7"/>
    <w:rsid w:val="00B66E8F"/>
    <w:rsid w:val="00B80157"/>
    <w:rsid w:val="00B83D5E"/>
    <w:rsid w:val="00B8460A"/>
    <w:rsid w:val="00B85A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073"/>
    <w:rsid w:val="00C62DE8"/>
    <w:rsid w:val="00C62DFB"/>
    <w:rsid w:val="00C630E6"/>
    <w:rsid w:val="00C63812"/>
    <w:rsid w:val="00C64AF3"/>
    <w:rsid w:val="00C66F4D"/>
    <w:rsid w:val="00C67BB5"/>
    <w:rsid w:val="00C72713"/>
    <w:rsid w:val="00C72AFF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3FAD"/>
    <w:rsid w:val="00E83810"/>
    <w:rsid w:val="00E86933"/>
    <w:rsid w:val="00E9605B"/>
    <w:rsid w:val="00E97298"/>
    <w:rsid w:val="00E97753"/>
    <w:rsid w:val="00EA0C51"/>
    <w:rsid w:val="00EA7DE7"/>
    <w:rsid w:val="00EB7A8A"/>
    <w:rsid w:val="00EC5331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273DC"/>
    <w:rsid w:val="00F31498"/>
    <w:rsid w:val="00F32FEF"/>
    <w:rsid w:val="00F358C6"/>
    <w:rsid w:val="00F36C5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F240D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超链接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421C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421C"/>
    <w:rPr>
      <w:color w:val="605E5C"/>
      <w:shd w:val="clear" w:color="auto" w:fill="E1DFDD"/>
    </w:rPr>
  </w:style>
  <w:style w:type="character" w:customStyle="1" w:styleId="bri2">
    <w:name w:val="bri2"/>
    <w:basedOn w:val="DefaultParagraphFont"/>
    <w:rsid w:val="00654E06"/>
  </w:style>
  <w:style w:type="character" w:styleId="Strong">
    <w:name w:val="Strong"/>
    <w:basedOn w:val="DefaultParagraphFont"/>
    <w:uiPriority w:val="22"/>
    <w:qFormat/>
    <w:rsid w:val="00B4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general-secretariat/ties/ISCGDocumentLibrary/1st%20Meeting%202023/Resolution%20191-Rev%20Bucharest%202022-E.pdf" TargetMode="External"/><Relationship Id="rId18" Type="http://schemas.openxmlformats.org/officeDocument/2006/relationships/hyperlink" Target="https://www.itu.int/en/events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91-E.pdf" TargetMode="External"/><Relationship Id="rId17" Type="http://schemas.openxmlformats.org/officeDocument/2006/relationships/hyperlink" Target="https://www.itu.int/en/general-secretariat/Pages/ISCG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general-secretariat/ties/ISCGDocumentLibrary/Liaisons%20Statements%20on%20Inter-Sectoral%20Coordination%20Activities/Table%20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general-secretariat/Pages/ISCG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general-secretariat/ties/ISCGDocumentLibrary/Liaisons%20Statements%20on%20Inter-Sectoral%20Coordination%20Activities/Table%20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-2023/DEC-005-E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91-E.pdf" TargetMode="External"/><Relationship Id="rId14" Type="http://schemas.openxmlformats.org/officeDocument/2006/relationships/hyperlink" Target="https://www.itu.int/en/general-secretariat/Pages/ISCG/Terms-of-reference-for-IS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E266-4D4B-41F2-801B-B55B8C5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1402</Words>
  <Characters>1421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Li, Yong</cp:lastModifiedBy>
  <cp:revision>16</cp:revision>
  <cp:lastPrinted>2014-11-04T09:22:00Z</cp:lastPrinted>
  <dcterms:created xsi:type="dcterms:W3CDTF">2023-05-15T05:13:00Z</dcterms:created>
  <dcterms:modified xsi:type="dcterms:W3CDTF">2023-05-15T12:29:00Z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