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0AADF1B2" w14:textId="77777777" w:rsidTr="00952667">
        <w:trPr>
          <w:cantSplit/>
          <w:trHeight w:val="1134"/>
        </w:trPr>
        <w:tc>
          <w:tcPr>
            <w:tcW w:w="6379" w:type="dxa"/>
          </w:tcPr>
          <w:p w14:paraId="2F969314" w14:textId="77777777"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3E9534B7" w14:textId="77777777"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Suiza,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7D143122" w14:textId="77777777"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9872B51" wp14:editId="5195BA3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4784D21D" w14:textId="77777777" w:rsidTr="0009076F">
        <w:trPr>
          <w:cantSplit/>
        </w:trPr>
        <w:tc>
          <w:tcPr>
            <w:tcW w:w="6379" w:type="dxa"/>
            <w:tcBorders>
              <w:top w:val="single" w:sz="12" w:space="0" w:color="auto"/>
            </w:tcBorders>
          </w:tcPr>
          <w:p w14:paraId="4E1DF56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E5B8186" w14:textId="77777777" w:rsidR="00683C32" w:rsidRPr="00D8041C" w:rsidRDefault="00683C32" w:rsidP="00107E85">
            <w:pPr>
              <w:spacing w:before="0"/>
              <w:rPr>
                <w:b/>
                <w:bCs/>
                <w:sz w:val="20"/>
                <w:lang w:val="es-ES_tradnl"/>
              </w:rPr>
            </w:pPr>
          </w:p>
        </w:tc>
      </w:tr>
      <w:tr w:rsidR="00683C32" w:rsidRPr="00D8041C" w14:paraId="05E618F0" w14:textId="77777777" w:rsidTr="0009076F">
        <w:trPr>
          <w:cantSplit/>
        </w:trPr>
        <w:tc>
          <w:tcPr>
            <w:tcW w:w="6379" w:type="dxa"/>
          </w:tcPr>
          <w:p w14:paraId="4D7D73AF" w14:textId="77777777" w:rsidR="00683C32" w:rsidRPr="00D8041C" w:rsidRDefault="00683C32" w:rsidP="00400CCF">
            <w:pPr>
              <w:pStyle w:val="Committee"/>
              <w:spacing w:before="0"/>
              <w:rPr>
                <w:b w:val="0"/>
                <w:szCs w:val="24"/>
                <w:lang w:val="es-ES_tradnl"/>
              </w:rPr>
            </w:pPr>
          </w:p>
        </w:tc>
        <w:tc>
          <w:tcPr>
            <w:tcW w:w="3509" w:type="dxa"/>
          </w:tcPr>
          <w:p w14:paraId="60CBCF8C" w14:textId="36F68638"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172D06">
              <w:rPr>
                <w:b/>
                <w:bCs/>
                <w:lang w:val="es-ES_tradnl"/>
              </w:rPr>
              <w:t>8</w:t>
            </w:r>
            <w:r w:rsidR="00636E67">
              <w:rPr>
                <w:b/>
                <w:bCs/>
                <w:lang w:val="es-ES_tradnl"/>
              </w:rPr>
              <w:t>(Rev.1)</w:t>
            </w:r>
            <w:r w:rsidRPr="00D8041C">
              <w:rPr>
                <w:b/>
                <w:bCs/>
                <w:lang w:val="es-ES_tradnl"/>
              </w:rPr>
              <w:t>-</w:t>
            </w:r>
            <w:r w:rsidR="00B42366" w:rsidRPr="00D8041C">
              <w:rPr>
                <w:b/>
                <w:bCs/>
                <w:lang w:val="es-ES_tradnl"/>
              </w:rPr>
              <w:t>S</w:t>
            </w:r>
          </w:p>
        </w:tc>
      </w:tr>
      <w:tr w:rsidR="00683C32" w:rsidRPr="00D8041C" w14:paraId="5CC848BB" w14:textId="77777777" w:rsidTr="0009076F">
        <w:trPr>
          <w:cantSplit/>
        </w:trPr>
        <w:tc>
          <w:tcPr>
            <w:tcW w:w="6379" w:type="dxa"/>
          </w:tcPr>
          <w:p w14:paraId="675751F4" w14:textId="77777777" w:rsidR="00683C32" w:rsidRPr="00D8041C" w:rsidRDefault="00683C32" w:rsidP="00400CCF">
            <w:pPr>
              <w:spacing w:before="0"/>
              <w:rPr>
                <w:b/>
                <w:bCs/>
                <w:smallCaps/>
                <w:szCs w:val="24"/>
                <w:lang w:val="es-ES_tradnl"/>
              </w:rPr>
            </w:pPr>
          </w:p>
        </w:tc>
        <w:tc>
          <w:tcPr>
            <w:tcW w:w="3509" w:type="dxa"/>
          </w:tcPr>
          <w:p w14:paraId="1BEFE246" w14:textId="35BE7690" w:rsidR="00683C32" w:rsidRPr="00D8041C" w:rsidRDefault="00636E67" w:rsidP="00B648C7">
            <w:pPr>
              <w:spacing w:before="0"/>
              <w:rPr>
                <w:b/>
                <w:szCs w:val="24"/>
                <w:lang w:val="es-ES_tradnl"/>
              </w:rPr>
            </w:pPr>
            <w:bookmarkStart w:id="2" w:name="CreationDate"/>
            <w:bookmarkEnd w:id="2"/>
            <w:r>
              <w:rPr>
                <w:b/>
                <w:bCs/>
                <w:szCs w:val="28"/>
                <w:lang w:val="es-ES_tradnl"/>
              </w:rPr>
              <w:t>22</w:t>
            </w:r>
            <w:r w:rsidR="00172D06" w:rsidRPr="008013F3">
              <w:rPr>
                <w:b/>
                <w:bCs/>
                <w:szCs w:val="28"/>
                <w:lang w:val="es-ES_tradnl"/>
              </w:rPr>
              <w:t xml:space="preserve"> de mayo de 2023</w:t>
            </w:r>
          </w:p>
        </w:tc>
      </w:tr>
      <w:tr w:rsidR="00683C32" w:rsidRPr="00D8041C" w14:paraId="5E2EDC40" w14:textId="77777777" w:rsidTr="0009076F">
        <w:trPr>
          <w:cantSplit/>
        </w:trPr>
        <w:tc>
          <w:tcPr>
            <w:tcW w:w="6379" w:type="dxa"/>
          </w:tcPr>
          <w:p w14:paraId="0A9B1BB5" w14:textId="77777777" w:rsidR="00683C32" w:rsidRPr="00D8041C" w:rsidRDefault="00683C32" w:rsidP="00400CCF">
            <w:pPr>
              <w:spacing w:before="0"/>
              <w:rPr>
                <w:b/>
                <w:bCs/>
                <w:smallCaps/>
                <w:szCs w:val="24"/>
                <w:lang w:val="es-ES_tradnl"/>
              </w:rPr>
            </w:pPr>
          </w:p>
        </w:tc>
        <w:tc>
          <w:tcPr>
            <w:tcW w:w="3509" w:type="dxa"/>
          </w:tcPr>
          <w:p w14:paraId="7B82A633"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636E67" w14:paraId="77E8F95E" w14:textId="77777777" w:rsidTr="00107E85">
        <w:trPr>
          <w:cantSplit/>
          <w:trHeight w:val="852"/>
        </w:trPr>
        <w:tc>
          <w:tcPr>
            <w:tcW w:w="9888" w:type="dxa"/>
            <w:gridSpan w:val="2"/>
          </w:tcPr>
          <w:p w14:paraId="46C4687A" w14:textId="3677652A" w:rsidR="00A13162" w:rsidRPr="00D8041C" w:rsidRDefault="00172D06" w:rsidP="0030353C">
            <w:pPr>
              <w:pStyle w:val="Source"/>
              <w:rPr>
                <w:lang w:val="es-ES_tradnl"/>
              </w:rPr>
            </w:pPr>
            <w:bookmarkStart w:id="4" w:name="Source"/>
            <w:bookmarkEnd w:id="4"/>
            <w:r w:rsidRPr="008013F3">
              <w:rPr>
                <w:lang w:val="es-ES_tradnl"/>
              </w:rPr>
              <w:t>Director de la Oficina de Desarrollo de las Telecomunicaciones</w:t>
            </w:r>
          </w:p>
        </w:tc>
      </w:tr>
      <w:tr w:rsidR="00AC6F14" w:rsidRPr="00636E67" w14:paraId="6401A3F1" w14:textId="77777777" w:rsidTr="00107E85">
        <w:trPr>
          <w:cantSplit/>
        </w:trPr>
        <w:tc>
          <w:tcPr>
            <w:tcW w:w="9888" w:type="dxa"/>
            <w:gridSpan w:val="2"/>
          </w:tcPr>
          <w:p w14:paraId="3FB37E50" w14:textId="4B14867F" w:rsidR="00AC6F14" w:rsidRPr="00D8041C" w:rsidRDefault="00172D06" w:rsidP="0030353C">
            <w:pPr>
              <w:pStyle w:val="Title1"/>
              <w:rPr>
                <w:lang w:val="es-ES_tradnl"/>
              </w:rPr>
            </w:pPr>
            <w:bookmarkStart w:id="5" w:name="Title"/>
            <w:bookmarkEnd w:id="5"/>
            <w:r w:rsidRPr="008013F3">
              <w:rPr>
                <w:lang w:val="es-ES_tradnl"/>
              </w:rPr>
              <w:t>Miembros de Sector, Asociados e Instituciones Académicas</w:t>
            </w:r>
            <w:r>
              <w:rPr>
                <w:lang w:val="es-ES_tradnl"/>
              </w:rPr>
              <w:t xml:space="preserve"> </w:t>
            </w:r>
            <w:r w:rsidRPr="008013F3">
              <w:rPr>
                <w:lang w:val="es-ES_tradnl"/>
              </w:rPr>
              <w:t>del UIT-D</w:t>
            </w:r>
          </w:p>
        </w:tc>
      </w:tr>
      <w:tr w:rsidR="00A721F4" w:rsidRPr="00636E67" w14:paraId="1D232AF8" w14:textId="77777777" w:rsidTr="00A721F4">
        <w:trPr>
          <w:cantSplit/>
        </w:trPr>
        <w:tc>
          <w:tcPr>
            <w:tcW w:w="9888" w:type="dxa"/>
            <w:gridSpan w:val="2"/>
            <w:tcBorders>
              <w:bottom w:val="single" w:sz="4" w:space="0" w:color="auto"/>
            </w:tcBorders>
          </w:tcPr>
          <w:p w14:paraId="2DFB4F6F" w14:textId="77777777" w:rsidR="00A721F4" w:rsidRPr="00D8041C" w:rsidRDefault="00A721F4" w:rsidP="0030353C">
            <w:pPr>
              <w:rPr>
                <w:lang w:val="es-ES_tradnl"/>
              </w:rPr>
            </w:pPr>
          </w:p>
        </w:tc>
      </w:tr>
      <w:tr w:rsidR="00A721F4" w:rsidRPr="00636E67" w14:paraId="7CF32E27"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934372B"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13356CFA" w14:textId="22C9D61D" w:rsidR="00A721F4" w:rsidRPr="00D8041C" w:rsidRDefault="00172D06" w:rsidP="00EA0C51">
            <w:pPr>
              <w:spacing w:after="120"/>
              <w:rPr>
                <w:szCs w:val="24"/>
                <w:lang w:val="es-ES_tradnl"/>
              </w:rPr>
            </w:pPr>
            <w:r w:rsidRPr="008013F3">
              <w:rPr>
                <w:rFonts w:ascii="Calibri" w:eastAsia="SimSun" w:hAnsi="Calibri"/>
                <w:szCs w:val="24"/>
                <w:lang w:val="es-ES_tradnl" w:eastAsia="zh-CN"/>
              </w:rPr>
              <w:t xml:space="preserve">El presente documento </w:t>
            </w:r>
            <w:r w:rsidRPr="008013F3">
              <w:rPr>
                <w:rFonts w:ascii="Calibri" w:eastAsia="SimSun" w:hAnsi="Calibri"/>
                <w:szCs w:val="24"/>
                <w:lang w:val="es-ES_tradnl"/>
              </w:rPr>
              <w:t>ofrece una visión general de la evolución de los miembros del UIT-D en 2021, 2022 y hasta el 5 de mayo de 2023.</w:t>
            </w:r>
            <w:r w:rsidRPr="008013F3">
              <w:rPr>
                <w:lang w:val="es-ES_tradnl"/>
              </w:rPr>
              <w:t xml:space="preserve"> También se recomiendan varias medidas destinadas a proseguir los esfuerzos para</w:t>
            </w:r>
            <w:r w:rsidRPr="008013F3">
              <w:rPr>
                <w:rFonts w:ascii="Calibri" w:eastAsia="SimSun" w:hAnsi="Calibri"/>
                <w:szCs w:val="24"/>
                <w:lang w:val="es-ES_tradnl"/>
              </w:rPr>
              <w:t xml:space="preserve"> captar y conservar a más miembros, con arreglo a los resultados de la Conferencia Mundial de Desarrollo de las Telecomunicaciones de 2022 (CMDT-22) y la Conferencia de Plenipotenciarios de 2022. El UIT-D está integrado por Miembros de Sector, Asociados e Instituciones Académicas</w:t>
            </w:r>
            <w:r w:rsidRPr="008013F3">
              <w:rPr>
                <w:rFonts w:ascii="Calibri" w:eastAsia="SimSun" w:hAnsi="Calibri"/>
                <w:szCs w:val="24"/>
                <w:vertAlign w:val="superscript"/>
                <w:lang w:val="es-ES_tradnl"/>
              </w:rPr>
              <w:footnoteReference w:id="1"/>
            </w:r>
            <w:r w:rsidRPr="008013F3">
              <w:rPr>
                <w:rFonts w:ascii="Calibri" w:eastAsia="SimSun" w:hAnsi="Calibri"/>
                <w:szCs w:val="24"/>
                <w:lang w:val="es-ES_tradnl"/>
              </w:rPr>
              <w:t xml:space="preserve"> .</w:t>
            </w:r>
          </w:p>
          <w:p w14:paraId="03A26C12"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09189954" w14:textId="2A234569" w:rsidR="00A721F4" w:rsidRPr="00D8041C" w:rsidRDefault="00172D06" w:rsidP="00EA0C51">
            <w:pPr>
              <w:spacing w:after="120"/>
              <w:rPr>
                <w:szCs w:val="24"/>
                <w:lang w:val="es-ES_tradnl"/>
              </w:rPr>
            </w:pPr>
            <w:r w:rsidRPr="008013F3">
              <w:rPr>
                <w:rFonts w:ascii="Calibri" w:hAnsi="Calibri"/>
                <w:szCs w:val="24"/>
                <w:lang w:val="es-ES_tradnl"/>
              </w:rPr>
              <w:t>Se invita al GADT a</w:t>
            </w:r>
            <w:r w:rsidRPr="008013F3">
              <w:rPr>
                <w:lang w:val="es-ES_tradnl"/>
              </w:rPr>
              <w:t xml:space="preserve"> tomar nota del presente documento y formular las observaciones que estime oportunas</w:t>
            </w:r>
            <w:r w:rsidRPr="008013F3">
              <w:rPr>
                <w:rFonts w:ascii="Calibri" w:hAnsi="Calibri"/>
                <w:szCs w:val="24"/>
                <w:lang w:val="es-ES_tradnl"/>
              </w:rPr>
              <w:t>.</w:t>
            </w:r>
          </w:p>
          <w:p w14:paraId="0FBED421"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6DCBAB3" w14:textId="5C62C1B7" w:rsidR="00A721F4" w:rsidRPr="00D8041C" w:rsidRDefault="00172D06" w:rsidP="00EA0C51">
            <w:pPr>
              <w:spacing w:after="120"/>
              <w:rPr>
                <w:lang w:val="es-ES_tradnl"/>
              </w:rPr>
            </w:pPr>
            <w:r w:rsidRPr="008013F3">
              <w:rPr>
                <w:rFonts w:ascii="Calibri" w:hAnsi="Calibri"/>
                <w:lang w:val="es-ES_tradnl"/>
              </w:rPr>
              <w:t>Resolución 71 (Rev. Kigali, 2022) de la CMDT; Resoluciones 169 (Rev. Bucarest, 2022), 205</w:t>
            </w:r>
            <w:r>
              <w:rPr>
                <w:rFonts w:ascii="Calibri" w:hAnsi="Calibri"/>
                <w:lang w:val="es-ES_tradnl"/>
              </w:rPr>
              <w:t> </w:t>
            </w:r>
            <w:r w:rsidRPr="008013F3">
              <w:rPr>
                <w:rFonts w:ascii="Calibri" w:hAnsi="Calibri"/>
                <w:lang w:val="es-ES_tradnl"/>
              </w:rPr>
              <w:t>(Rev.</w:t>
            </w:r>
            <w:r>
              <w:rPr>
                <w:rFonts w:ascii="Calibri" w:hAnsi="Calibri"/>
                <w:lang w:val="es-ES_tradnl"/>
              </w:rPr>
              <w:t> </w:t>
            </w:r>
            <w:r w:rsidRPr="008013F3">
              <w:rPr>
                <w:rFonts w:ascii="Calibri" w:hAnsi="Calibri"/>
                <w:lang w:val="es-ES_tradnl"/>
              </w:rPr>
              <w:t xml:space="preserve">Bucarest, 2022) y 209 (Rev. Bucarest, 2022) de </w:t>
            </w:r>
            <w:r w:rsidRPr="008013F3">
              <w:rPr>
                <w:rFonts w:ascii="Calibri" w:hAnsi="Calibri"/>
                <w:szCs w:val="24"/>
                <w:lang w:val="es-ES_tradnl"/>
              </w:rPr>
              <w:t>la Conferencia de Plenipotenciarios</w:t>
            </w:r>
            <w:r w:rsidRPr="008013F3">
              <w:rPr>
                <w:rFonts w:ascii="Calibri" w:hAnsi="Calibri"/>
                <w:lang w:val="es-ES_tradnl"/>
              </w:rPr>
              <w:t>.</w:t>
            </w:r>
          </w:p>
        </w:tc>
      </w:tr>
    </w:tbl>
    <w:p w14:paraId="638C00D9"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7BAED1D1" w14:textId="64FCA8C2" w:rsidR="00172D06" w:rsidRPr="00B36238" w:rsidRDefault="00172D06" w:rsidP="00172D06">
      <w:pPr>
        <w:pStyle w:val="Heading1"/>
        <w:rPr>
          <w:rFonts w:eastAsia="SimSun"/>
          <w:sz w:val="24"/>
          <w:szCs w:val="24"/>
          <w:lang w:val="es-ES_tradnl" w:eastAsia="zh-CN"/>
        </w:rPr>
      </w:pPr>
      <w:r w:rsidRPr="00B36238">
        <w:rPr>
          <w:rFonts w:eastAsia="SimSun"/>
          <w:sz w:val="24"/>
          <w:szCs w:val="24"/>
          <w:lang w:val="es-ES_tradnl" w:eastAsia="zh-CN"/>
        </w:rPr>
        <w:lastRenderedPageBreak/>
        <w:t>1</w:t>
      </w:r>
      <w:r w:rsidRPr="00B36238">
        <w:rPr>
          <w:rFonts w:eastAsia="SimSun"/>
          <w:sz w:val="24"/>
          <w:szCs w:val="24"/>
          <w:lang w:val="es-ES_tradnl" w:eastAsia="zh-CN"/>
        </w:rPr>
        <w:tab/>
        <w:t>Antecedentes</w:t>
      </w:r>
    </w:p>
    <w:p w14:paraId="7CB433CF" w14:textId="77777777" w:rsidR="00172D06" w:rsidRPr="008013F3" w:rsidRDefault="00172D06" w:rsidP="00172D06">
      <w:pPr>
        <w:rPr>
          <w:rFonts w:eastAsia="SimSun"/>
          <w:lang w:val="es-ES_tradnl"/>
        </w:rPr>
      </w:pPr>
      <w:r w:rsidRPr="008013F3">
        <w:rPr>
          <w:rFonts w:eastAsia="SimSun"/>
          <w:lang w:val="es-ES_tradnl"/>
        </w:rPr>
        <w:t>En la Conferencia Mundial de Desarrollo de las Telecomunicaciones de 2022 (CMDT-22) se revisó y aprobó la Resolución 71 (Rev. Kigali, 2022</w:t>
      </w:r>
      <w:r w:rsidRPr="008013F3">
        <w:rPr>
          <w:rFonts w:eastAsia="SimSun"/>
          <w:vertAlign w:val="superscript"/>
          <w:lang w:val="es-ES_tradnl"/>
        </w:rPr>
        <w:footnoteReference w:id="2"/>
      </w:r>
      <w:r w:rsidRPr="008013F3">
        <w:rPr>
          <w:rFonts w:eastAsia="SimSun"/>
          <w:lang w:val="es-ES_tradnl"/>
        </w:rPr>
        <w:t>), a fin de promover la participación eficaz de los actuales Miembros de Sector, Asociados e Instituciones Académicas en las actividades del UIT-D, incluida su participación en los trabajos de las Comisiones de Estudio del UIT-D, y atraer a nuevos miembros de los sectores público, privado y académico.</w:t>
      </w:r>
    </w:p>
    <w:p w14:paraId="28349A31" w14:textId="77777777" w:rsidR="00172D06" w:rsidRPr="008013F3" w:rsidRDefault="00172D06" w:rsidP="00172D06">
      <w:pPr>
        <w:rPr>
          <w:rFonts w:eastAsia="SimSun"/>
          <w:lang w:val="es-ES_tradnl"/>
        </w:rPr>
      </w:pPr>
      <w:r w:rsidRPr="008013F3">
        <w:rPr>
          <w:rFonts w:eastAsia="SimSun"/>
          <w:lang w:val="es-ES_tradnl"/>
        </w:rPr>
        <w:t>La Resolución 71 se centra en el fortalecimiento de la cooperación entre los Estados Miembros, los Miembros de Sector, los Asociados y las Instituciones Académicas del UIT-D y, en ella, se encarga a la BDT que siga colaborando estrechamente con los Miembros de Sector, los Asociados y las Instituciones Académicas del UIT-D para</w:t>
      </w:r>
      <w:r>
        <w:rPr>
          <w:rFonts w:eastAsia="SimSun"/>
          <w:lang w:val="es-ES_tradnl"/>
        </w:rPr>
        <w:t xml:space="preserve"> que</w:t>
      </w:r>
      <w:r w:rsidRPr="008013F3">
        <w:rPr>
          <w:rFonts w:eastAsia="SimSun"/>
          <w:lang w:val="es-ES_tradnl"/>
        </w:rPr>
        <w:t xml:space="preserve"> particip</w:t>
      </w:r>
      <w:r>
        <w:rPr>
          <w:rFonts w:eastAsia="SimSun"/>
          <w:lang w:val="es-ES_tradnl"/>
        </w:rPr>
        <w:t>en</w:t>
      </w:r>
      <w:r w:rsidRPr="008013F3">
        <w:rPr>
          <w:rFonts w:eastAsia="SimSun"/>
          <w:lang w:val="es-ES_tradnl"/>
        </w:rPr>
        <w:t xml:space="preserve"> en la aplicación satisfactoria del Plan de Acción de Kigali y continúe organizando reuniones para altos ejecutivos de la industria, por ejemplo</w:t>
      </w:r>
      <w:r>
        <w:rPr>
          <w:rFonts w:eastAsia="SimSun"/>
          <w:lang w:val="es-ES_tradnl"/>
        </w:rPr>
        <w:t>,</w:t>
      </w:r>
      <w:r w:rsidRPr="008013F3">
        <w:rPr>
          <w:rFonts w:eastAsia="SimSun"/>
          <w:lang w:val="es-ES_tradnl"/>
        </w:rPr>
        <w:t xml:space="preserve"> reuniones del </w:t>
      </w:r>
      <w:bookmarkStart w:id="6" w:name="_Hlk134699918"/>
      <w:r w:rsidRPr="008013F3">
        <w:rPr>
          <w:rFonts w:eastAsia="SimSun"/>
          <w:lang w:val="es-ES_tradnl"/>
        </w:rPr>
        <w:t xml:space="preserve">Grupo Asesor de la Industria sobre cuestiones de desarrollo y los Directores de Reglamentación del sector privado </w:t>
      </w:r>
      <w:bookmarkEnd w:id="6"/>
      <w:r w:rsidRPr="008013F3">
        <w:rPr>
          <w:rFonts w:eastAsia="SimSun"/>
          <w:lang w:val="es-ES_tradnl"/>
        </w:rPr>
        <w:t>(IAGDI-CRO).</w:t>
      </w:r>
    </w:p>
    <w:p w14:paraId="050C055F" w14:textId="621EBB68" w:rsidR="00172D06" w:rsidRPr="00B36238" w:rsidRDefault="00172D06" w:rsidP="00172D06">
      <w:pPr>
        <w:pStyle w:val="Heading1"/>
        <w:rPr>
          <w:rFonts w:eastAsia="SimSun"/>
          <w:sz w:val="24"/>
          <w:szCs w:val="24"/>
          <w:lang w:val="es-ES_tradnl" w:eastAsia="zh-CN"/>
        </w:rPr>
      </w:pPr>
      <w:r w:rsidRPr="00B36238">
        <w:rPr>
          <w:rFonts w:eastAsia="SimSun"/>
          <w:sz w:val="24"/>
          <w:szCs w:val="24"/>
          <w:lang w:val="es-ES_tradnl" w:eastAsia="zh-CN"/>
        </w:rPr>
        <w:t>2</w:t>
      </w:r>
      <w:r w:rsidRPr="00B36238">
        <w:rPr>
          <w:rFonts w:eastAsia="SimSun"/>
          <w:sz w:val="24"/>
          <w:szCs w:val="24"/>
          <w:lang w:val="es-ES_tradnl" w:eastAsia="zh-CN"/>
        </w:rPr>
        <w:tab/>
        <w:t>Evolución de los miembros del UIT-D</w:t>
      </w:r>
    </w:p>
    <w:p w14:paraId="3936D080" w14:textId="77777777" w:rsidR="00172D06" w:rsidRPr="008013F3" w:rsidRDefault="00172D06" w:rsidP="00172D06">
      <w:pPr>
        <w:rPr>
          <w:rFonts w:eastAsia="SimSun" w:cs="Arial"/>
          <w:lang w:val="es-ES_tradnl" w:eastAsia="zh-CN"/>
        </w:rPr>
      </w:pPr>
      <w:r w:rsidRPr="008013F3">
        <w:rPr>
          <w:rFonts w:eastAsia="SimSun"/>
          <w:b/>
          <w:bCs/>
          <w:szCs w:val="24"/>
          <w:lang w:val="es-ES_tradnl" w:eastAsia="zh-CN"/>
        </w:rPr>
        <w:t xml:space="preserve">Los gráficos 1 y 2 </w:t>
      </w:r>
      <w:r w:rsidRPr="008013F3">
        <w:rPr>
          <w:rFonts w:eastAsia="SimSun"/>
          <w:szCs w:val="24"/>
          <w:lang w:val="es-ES_tradnl" w:eastAsia="zh-CN"/>
        </w:rPr>
        <w:t xml:space="preserve">ilustran </w:t>
      </w:r>
      <w:r w:rsidRPr="008013F3">
        <w:rPr>
          <w:rFonts w:eastAsia="SimSun" w:cs="Arial"/>
          <w:lang w:val="es-ES_tradnl" w:eastAsia="zh-CN"/>
        </w:rPr>
        <w:t xml:space="preserve">la evolución de los miembros del UIT-D </w:t>
      </w:r>
      <w:r w:rsidRPr="008013F3">
        <w:rPr>
          <w:lang w:val="es-ES_tradnl"/>
        </w:rPr>
        <w:t>(Miembros de Sector, Asociados e Instituciones Académicas</w:t>
      </w:r>
      <w:r w:rsidRPr="008013F3">
        <w:rPr>
          <w:rFonts w:eastAsia="SimSun"/>
          <w:lang w:val="es-ES_tradnl"/>
        </w:rPr>
        <w:t xml:space="preserve">). En el gráfico se muestra </w:t>
      </w:r>
      <w:r w:rsidRPr="008013F3">
        <w:rPr>
          <w:rFonts w:eastAsia="SimSun" w:cs="Arial"/>
          <w:lang w:val="es-ES_tradnl" w:eastAsia="zh-CN"/>
        </w:rPr>
        <w:t xml:space="preserve">el número total de nuevos Miembros de Sector </w:t>
      </w:r>
      <w:r w:rsidRPr="008013F3">
        <w:rPr>
          <w:lang w:val="es-ES_tradnl"/>
        </w:rPr>
        <w:t>e Instituciones Académicas</w:t>
      </w:r>
      <w:r w:rsidRPr="008013F3">
        <w:rPr>
          <w:rFonts w:eastAsia="SimSun" w:cs="Arial"/>
          <w:lang w:val="es-ES_tradnl" w:eastAsia="zh-CN"/>
        </w:rPr>
        <w:t xml:space="preserve"> del UIT-D en diciembre de 2021 y diciembre de 2022 y las cifras absolutas al 5 de mayo de 2023.</w:t>
      </w:r>
    </w:p>
    <w:p w14:paraId="06E980D1" w14:textId="5A625FFE" w:rsidR="00172D06" w:rsidRPr="008013F3" w:rsidRDefault="00636E67" w:rsidP="00172D06">
      <w:pPr>
        <w:jc w:val="center"/>
        <w:rPr>
          <w:rFonts w:ascii="Calibri" w:eastAsia="SimSun" w:hAnsi="Calibri" w:cs="Arial"/>
          <w:lang w:val="es-ES_tradnl" w:eastAsia="zh-CN"/>
        </w:rPr>
      </w:pPr>
      <w:r>
        <w:rPr>
          <w:noProof/>
        </w:rPr>
        <w:drawing>
          <wp:inline distT="0" distB="0" distL="0" distR="0" wp14:anchorId="0B098BC3" wp14:editId="1768E6A2">
            <wp:extent cx="264795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72D06" w:rsidRPr="008013F3">
        <w:rPr>
          <w:rFonts w:ascii="Calibri" w:eastAsia="SimSun" w:hAnsi="Calibri" w:cs="Arial"/>
          <w:lang w:val="es-ES_tradnl" w:eastAsia="zh-CN"/>
        </w:rPr>
        <w:t xml:space="preserve">      </w:t>
      </w:r>
      <w:r w:rsidR="00172D06" w:rsidRPr="008013F3">
        <w:rPr>
          <w:noProof/>
          <w:lang w:val="es-ES_tradnl"/>
        </w:rPr>
        <w:drawing>
          <wp:inline distT="0" distB="0" distL="0" distR="0" wp14:anchorId="054486D6" wp14:editId="24D2EF65">
            <wp:extent cx="2657475" cy="32004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F7BE3" w14:textId="7B9D2E55" w:rsidR="00172D06" w:rsidRPr="008013F3" w:rsidRDefault="00172D06" w:rsidP="00172D06">
      <w:pPr>
        <w:pStyle w:val="Heading2"/>
        <w:rPr>
          <w:rFonts w:eastAsia="SimSun"/>
          <w:lang w:val="es-ES_tradnl" w:eastAsia="zh-CN"/>
        </w:rPr>
      </w:pPr>
      <w:r w:rsidRPr="008013F3">
        <w:rPr>
          <w:rFonts w:eastAsia="SimSun"/>
          <w:lang w:val="es-ES_tradnl" w:eastAsia="zh-CN"/>
        </w:rPr>
        <w:lastRenderedPageBreak/>
        <w:t>2.1</w:t>
      </w:r>
      <w:r>
        <w:rPr>
          <w:rFonts w:eastAsia="SimSun"/>
          <w:lang w:val="es-ES_tradnl" w:eastAsia="zh-CN"/>
        </w:rPr>
        <w:tab/>
      </w:r>
      <w:r w:rsidRPr="008013F3">
        <w:rPr>
          <w:rFonts w:eastAsia="SimSun"/>
          <w:lang w:val="es-ES_tradnl" w:eastAsia="zh-CN"/>
        </w:rPr>
        <w:t>Nuevos Miembros de Sector y Asociados</w:t>
      </w:r>
    </w:p>
    <w:p w14:paraId="52408283" w14:textId="557EFD8D" w:rsidR="00172D06" w:rsidRPr="008013F3" w:rsidRDefault="00172D06" w:rsidP="00172D06">
      <w:pPr>
        <w:rPr>
          <w:noProof/>
          <w:lang w:val="es-ES_tradnl"/>
        </w:rPr>
      </w:pPr>
      <w:r w:rsidRPr="008013F3">
        <w:rPr>
          <w:rFonts w:eastAsia="SimSun"/>
          <w:b/>
          <w:bCs/>
          <w:lang w:val="es-ES_tradnl" w:eastAsia="zh-CN"/>
        </w:rPr>
        <w:t xml:space="preserve">El gráfico 3 </w:t>
      </w:r>
      <w:r w:rsidRPr="008013F3">
        <w:rPr>
          <w:rFonts w:eastAsia="SimSun"/>
          <w:lang w:val="es-ES_tradnl" w:eastAsia="zh-CN"/>
        </w:rPr>
        <w:t xml:space="preserve">muestra que, en diciembre de 2022, el UIT-D había atraído a </w:t>
      </w:r>
      <w:r w:rsidRPr="008013F3">
        <w:rPr>
          <w:rFonts w:eastAsia="SimSun"/>
          <w:b/>
          <w:bCs/>
          <w:lang w:val="es-ES_tradnl" w:eastAsia="zh-CN"/>
        </w:rPr>
        <w:t xml:space="preserve">diecisiete nuevos Miembros de </w:t>
      </w:r>
      <w:r w:rsidRPr="008013F3">
        <w:rPr>
          <w:rFonts w:eastAsia="SimSun"/>
          <w:b/>
          <w:bCs/>
          <w:lang w:val="es-ES_tradnl"/>
        </w:rPr>
        <w:t>Sector y un nuevo miembro Asociado</w:t>
      </w:r>
      <w:r w:rsidRPr="002206FA">
        <w:rPr>
          <w:rFonts w:eastAsia="SimSun"/>
          <w:position w:val="6"/>
          <w:sz w:val="18"/>
          <w:lang w:val="es-ES_tradnl"/>
        </w:rPr>
        <w:footnoteReference w:id="3"/>
      </w:r>
      <w:r w:rsidRPr="002206FA">
        <w:rPr>
          <w:rFonts w:eastAsia="SimSun"/>
          <w:lang w:val="es-ES_tradnl" w:eastAsia="zh-CN"/>
        </w:rPr>
        <w:t xml:space="preserve">. </w:t>
      </w:r>
      <w:r w:rsidRPr="008013F3">
        <w:rPr>
          <w:rFonts w:eastAsia="SimSun"/>
          <w:lang w:val="es-ES_tradnl" w:eastAsia="zh-CN"/>
        </w:rPr>
        <w:t xml:space="preserve">Además, al 5 de mayo de 2023, el UIT-D había atraído a </w:t>
      </w:r>
      <w:r w:rsidR="00636E67">
        <w:rPr>
          <w:rFonts w:eastAsia="SimSun"/>
          <w:b/>
          <w:bCs/>
          <w:lang w:val="es-ES_tradnl" w:eastAsia="zh-CN"/>
        </w:rPr>
        <w:t>diecinueve</w:t>
      </w:r>
      <w:r w:rsidRPr="008013F3">
        <w:rPr>
          <w:rFonts w:eastAsia="SimSun"/>
          <w:b/>
          <w:bCs/>
          <w:lang w:val="es-ES_tradnl" w:eastAsia="zh-CN"/>
        </w:rPr>
        <w:t xml:space="preserve"> </w:t>
      </w:r>
      <w:r w:rsidRPr="008013F3">
        <w:rPr>
          <w:rFonts w:eastAsia="SimSun"/>
          <w:lang w:val="es-ES_tradnl" w:eastAsia="zh-CN"/>
        </w:rPr>
        <w:t xml:space="preserve">nuevos </w:t>
      </w:r>
      <w:r w:rsidRPr="008013F3">
        <w:rPr>
          <w:rFonts w:eastAsia="SimSun"/>
          <w:b/>
          <w:bCs/>
          <w:lang w:val="es-ES_tradnl" w:eastAsia="zh-CN"/>
        </w:rPr>
        <w:t xml:space="preserve">Miembros de Sector </w:t>
      </w:r>
      <w:r w:rsidRPr="008013F3">
        <w:rPr>
          <w:rFonts w:eastAsia="SimSun"/>
          <w:lang w:val="es-ES_tradnl" w:eastAsia="zh-CN"/>
        </w:rPr>
        <w:t xml:space="preserve">y </w:t>
      </w:r>
      <w:r w:rsidRPr="008013F3">
        <w:rPr>
          <w:rFonts w:eastAsia="SimSun"/>
          <w:b/>
          <w:bCs/>
          <w:lang w:val="es-ES_tradnl" w:eastAsia="zh-CN"/>
        </w:rPr>
        <w:t>Asociados</w:t>
      </w:r>
      <w:r w:rsidRPr="008013F3">
        <w:rPr>
          <w:rFonts w:eastAsia="SimSun"/>
          <w:b/>
          <w:bCs/>
          <w:i/>
          <w:iCs/>
          <w:lang w:val="es-ES_tradnl" w:eastAsia="zh-CN"/>
        </w:rPr>
        <w:t xml:space="preserve">. </w:t>
      </w:r>
      <w:r w:rsidR="00636E67">
        <w:rPr>
          <w:rFonts w:eastAsia="SimSun"/>
          <w:b/>
          <w:bCs/>
          <w:lang w:val="es-ES_tradnl" w:eastAsia="zh-CN"/>
        </w:rPr>
        <w:t>Cuatro</w:t>
      </w:r>
      <w:r w:rsidRPr="008013F3">
        <w:rPr>
          <w:rFonts w:eastAsia="SimSun"/>
          <w:b/>
          <w:bCs/>
          <w:lang w:val="es-ES_tradnl" w:eastAsia="zh-CN"/>
        </w:rPr>
        <w:t xml:space="preserve"> </w:t>
      </w:r>
      <w:r w:rsidRPr="008013F3">
        <w:rPr>
          <w:rFonts w:eastAsia="SimSun"/>
          <w:lang w:val="es-ES_tradnl" w:eastAsia="zh-CN"/>
        </w:rPr>
        <w:t xml:space="preserve">Miembros de Sector y </w:t>
      </w:r>
      <w:r w:rsidRPr="008013F3">
        <w:rPr>
          <w:rFonts w:eastAsia="SimSun"/>
          <w:b/>
          <w:bCs/>
          <w:lang w:val="es-ES_tradnl" w:eastAsia="zh-CN"/>
        </w:rPr>
        <w:t xml:space="preserve">un </w:t>
      </w:r>
      <w:r w:rsidRPr="008013F3">
        <w:rPr>
          <w:rFonts w:eastAsia="SimSun"/>
          <w:lang w:val="es-ES_tradnl" w:eastAsia="zh-CN"/>
        </w:rPr>
        <w:t xml:space="preserve">Asociado están plenamente </w:t>
      </w:r>
      <w:r w:rsidRPr="002206FA">
        <w:rPr>
          <w:rFonts w:eastAsia="SimSun"/>
          <w:lang w:val="es-ES_tradnl" w:eastAsia="zh-CN"/>
        </w:rPr>
        <w:t>activos</w:t>
      </w:r>
      <w:r w:rsidRPr="002206FA">
        <w:rPr>
          <w:rStyle w:val="FootnoteReference"/>
          <w:rFonts w:eastAsia="SimSun" w:cs="Arial"/>
          <w:lang w:val="es-ES_tradnl" w:eastAsia="zh-CN"/>
        </w:rPr>
        <w:footnoteReference w:id="4"/>
      </w:r>
      <w:r w:rsidRPr="002206FA">
        <w:rPr>
          <w:rFonts w:eastAsia="SimSun"/>
          <w:lang w:val="es-ES_tradnl" w:eastAsia="zh-CN"/>
        </w:rPr>
        <w:t>.</w:t>
      </w:r>
      <w:r w:rsidRPr="008013F3">
        <w:rPr>
          <w:rFonts w:eastAsia="SimSun"/>
          <w:lang w:val="es-ES_tradnl" w:eastAsia="zh-CN"/>
        </w:rPr>
        <w:t xml:space="preserve"> </w:t>
      </w:r>
      <w:r w:rsidR="00636E67">
        <w:rPr>
          <w:rFonts w:eastAsia="SimSun"/>
          <w:b/>
          <w:bCs/>
          <w:lang w:val="es-ES_tradnl" w:eastAsia="zh-CN"/>
        </w:rPr>
        <w:t>Un</w:t>
      </w:r>
      <w:r w:rsidRPr="008013F3">
        <w:rPr>
          <w:rFonts w:eastAsia="SimSun"/>
          <w:b/>
          <w:bCs/>
          <w:lang w:val="es-ES_tradnl" w:eastAsia="zh-CN"/>
        </w:rPr>
        <w:t xml:space="preserve"> </w:t>
      </w:r>
      <w:r w:rsidRPr="008013F3">
        <w:rPr>
          <w:rFonts w:eastAsia="SimSun"/>
          <w:lang w:val="es-ES_tradnl" w:eastAsia="zh-CN"/>
        </w:rPr>
        <w:t xml:space="preserve">Miembro de Sector y </w:t>
      </w:r>
      <w:r w:rsidRPr="008013F3">
        <w:rPr>
          <w:rFonts w:eastAsia="SimSun"/>
          <w:b/>
          <w:bCs/>
          <w:lang w:val="es-ES_tradnl" w:eastAsia="zh-CN"/>
        </w:rPr>
        <w:t xml:space="preserve">cinco </w:t>
      </w:r>
      <w:r w:rsidRPr="008013F3">
        <w:rPr>
          <w:rFonts w:eastAsia="SimSun"/>
          <w:lang w:val="es-ES_tradnl" w:eastAsia="zh-CN"/>
        </w:rPr>
        <w:t>Asociados están finalizando el proceso de pago</w:t>
      </w:r>
      <w:r w:rsidRPr="008013F3">
        <w:rPr>
          <w:rStyle w:val="FootnoteReference"/>
          <w:rFonts w:eastAsia="SimSun" w:cs="Arial"/>
          <w:lang w:val="es-ES_tradnl" w:eastAsia="zh-CN"/>
        </w:rPr>
        <w:footnoteReference w:id="5"/>
      </w:r>
      <w:r w:rsidRPr="008013F3">
        <w:rPr>
          <w:rFonts w:eastAsia="SimSun"/>
          <w:lang w:val="es-ES_tradnl" w:eastAsia="zh-CN"/>
        </w:rPr>
        <w:t xml:space="preserve">. </w:t>
      </w:r>
    </w:p>
    <w:p w14:paraId="0FDBCDA2" w14:textId="77777777" w:rsidR="00172D06" w:rsidRPr="008013F3" w:rsidRDefault="00172D06" w:rsidP="00172D06">
      <w:pPr>
        <w:pStyle w:val="FigureNo"/>
        <w:rPr>
          <w:noProof/>
          <w:lang w:val="es-ES_tradnl"/>
        </w:rPr>
      </w:pPr>
      <w:r w:rsidRPr="008013F3">
        <w:rPr>
          <w:noProof/>
          <w:lang w:val="es-ES_tradnl"/>
        </w:rPr>
        <w:drawing>
          <wp:inline distT="0" distB="0" distL="0" distR="0" wp14:anchorId="53747B76" wp14:editId="207CF414">
            <wp:extent cx="6120765" cy="1809750"/>
            <wp:effectExtent l="0" t="0" r="1333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490767" w14:textId="74BCA7C8" w:rsidR="00636E67" w:rsidRDefault="00636E67" w:rsidP="00636E67">
      <w:pPr>
        <w:rPr>
          <w:rFonts w:eastAsia="SimSun"/>
          <w:lang w:val="es-ES_tradnl" w:eastAsia="zh-CN"/>
        </w:rPr>
      </w:pPr>
      <w:r>
        <w:rPr>
          <w:rFonts w:eastAsia="SimSun"/>
          <w:b/>
          <w:bCs/>
          <w:lang w:val="es-ES_tradnl" w:eastAsia="zh-CN"/>
        </w:rPr>
        <w:t>Ocho</w:t>
      </w:r>
      <w:r w:rsidRPr="008013F3" w:rsidDel="00AE7696">
        <w:rPr>
          <w:rFonts w:eastAsia="SimSun"/>
          <w:b/>
          <w:bCs/>
          <w:lang w:val="es-ES_tradnl" w:eastAsia="zh-CN"/>
        </w:rPr>
        <w:t xml:space="preserve"> </w:t>
      </w:r>
      <w:r w:rsidRPr="008013F3" w:rsidDel="00AE7696">
        <w:rPr>
          <w:rFonts w:eastAsia="SimSun"/>
          <w:lang w:val="es-ES_tradnl" w:eastAsia="zh-CN"/>
        </w:rPr>
        <w:t>entidades están pendientes de la aprobación de su respectiva administración, según se indica en el Cuadro 1</w:t>
      </w:r>
      <w:r>
        <w:rPr>
          <w:rFonts w:eastAsia="SimSun"/>
          <w:lang w:val="es-ES_tradnl" w:eastAsia="zh-CN"/>
        </w:rPr>
        <w:t xml:space="preserve">. </w:t>
      </w:r>
      <w:r w:rsidRPr="00AE7696">
        <w:rPr>
          <w:rFonts w:eastAsia="SimSun"/>
          <w:lang w:val="es-ES_tradnl" w:eastAsia="zh-CN"/>
        </w:rPr>
        <w:t xml:space="preserve">Quisiéramos dar las gracias a las Administraciones de las entidades del sector privado </w:t>
      </w:r>
      <w:r>
        <w:rPr>
          <w:rFonts w:eastAsia="SimSun"/>
          <w:lang w:val="es-ES_tradnl" w:eastAsia="zh-CN"/>
        </w:rPr>
        <w:t>mencionadas</w:t>
      </w:r>
      <w:r w:rsidRPr="00AE7696">
        <w:rPr>
          <w:rFonts w:eastAsia="SimSun"/>
          <w:lang w:val="es-ES_tradnl" w:eastAsia="zh-CN"/>
        </w:rPr>
        <w:t xml:space="preserve"> en el </w:t>
      </w:r>
      <w:r>
        <w:rPr>
          <w:rFonts w:eastAsia="SimSun"/>
          <w:lang w:val="es-ES_tradnl" w:eastAsia="zh-CN"/>
        </w:rPr>
        <w:t>C</w:t>
      </w:r>
      <w:r w:rsidRPr="00AE7696">
        <w:rPr>
          <w:rFonts w:eastAsia="SimSun"/>
          <w:lang w:val="es-ES_tradnl" w:eastAsia="zh-CN"/>
        </w:rPr>
        <w:t xml:space="preserve">uadro 1, que entendemos prestan la debida atención a las solicitudes que se les presentan </w:t>
      </w:r>
      <w:r>
        <w:rPr>
          <w:rFonts w:eastAsia="SimSun"/>
          <w:lang w:val="es-ES_tradnl" w:eastAsia="zh-CN"/>
        </w:rPr>
        <w:t>a efectos de la</w:t>
      </w:r>
      <w:r w:rsidRPr="00AE7696">
        <w:rPr>
          <w:rFonts w:eastAsia="SimSun"/>
          <w:lang w:val="es-ES_tradnl" w:eastAsia="zh-CN"/>
        </w:rPr>
        <w:t xml:space="preserve"> adhesión al UIT-D, y esperamos recibir sus aprobaciones, o decisiones.</w:t>
      </w:r>
    </w:p>
    <w:p w14:paraId="6F674B89" w14:textId="77777777" w:rsidR="00E95F30" w:rsidRDefault="00E95F30">
      <w:pPr>
        <w:tabs>
          <w:tab w:val="clear" w:pos="794"/>
          <w:tab w:val="clear" w:pos="1191"/>
          <w:tab w:val="clear" w:pos="1588"/>
          <w:tab w:val="clear" w:pos="1985"/>
        </w:tabs>
        <w:overflowPunct/>
        <w:autoSpaceDE/>
        <w:autoSpaceDN/>
        <w:adjustRightInd/>
        <w:spacing w:before="0"/>
        <w:textAlignment w:val="auto"/>
        <w:rPr>
          <w:rFonts w:eastAsia="SimSun"/>
          <w:b/>
          <w:lang w:val="es-ES_tradnl" w:eastAsia="zh-CN"/>
        </w:rPr>
      </w:pPr>
      <w:r>
        <w:rPr>
          <w:rFonts w:eastAsia="SimSun"/>
          <w:lang w:val="es-ES_tradnl" w:eastAsia="zh-CN"/>
        </w:rPr>
        <w:br w:type="page"/>
      </w:r>
    </w:p>
    <w:p w14:paraId="7E6C84DB" w14:textId="30E229B8" w:rsidR="00172D06" w:rsidRPr="008013F3" w:rsidRDefault="00172D06" w:rsidP="00B36238">
      <w:pPr>
        <w:pStyle w:val="Tabletitle"/>
        <w:spacing w:before="240"/>
        <w:rPr>
          <w:rFonts w:eastAsia="SimSun"/>
          <w:lang w:val="es-ES_tradnl" w:eastAsia="zh-CN"/>
        </w:rPr>
      </w:pPr>
      <w:r w:rsidRPr="008013F3">
        <w:rPr>
          <w:rFonts w:eastAsia="SimSun"/>
          <w:lang w:val="es-ES_tradnl" w:eastAsia="zh-CN"/>
        </w:rPr>
        <w:lastRenderedPageBreak/>
        <w:t>Cuadro 1</w:t>
      </w:r>
      <w:r>
        <w:rPr>
          <w:rFonts w:eastAsia="SimSun"/>
          <w:lang w:val="es-ES_tradnl" w:eastAsia="zh-CN"/>
        </w:rPr>
        <w:t xml:space="preserve"> </w:t>
      </w:r>
      <w:r w:rsidRPr="00172D06">
        <w:rPr>
          <w:rFonts w:eastAsia="SimSun"/>
          <w:lang w:val="es-ES_tradnl" w:eastAsia="zh-CN"/>
        </w:rPr>
        <w:t>–</w:t>
      </w:r>
      <w:r w:rsidRPr="008013F3">
        <w:rPr>
          <w:rFonts w:eastAsia="SimSun"/>
          <w:lang w:val="es-ES_tradnl" w:eastAsia="zh-CN"/>
        </w:rPr>
        <w:t xml:space="preserve"> Entidades pendientes de la aprobación de su respectiva Administración,</w:t>
      </w:r>
      <w:r>
        <w:rPr>
          <w:rFonts w:eastAsia="SimSun"/>
          <w:lang w:val="es-ES_tradnl" w:eastAsia="zh-CN"/>
        </w:rPr>
        <w:br/>
      </w:r>
      <w:r w:rsidRPr="008013F3">
        <w:rPr>
          <w:rFonts w:eastAsia="SimSun"/>
          <w:lang w:val="es-ES_tradnl" w:eastAsia="zh-CN"/>
        </w:rPr>
        <w:t>por fecha de solicitud.</w:t>
      </w:r>
    </w:p>
    <w:tbl>
      <w:tblPr>
        <w:tblStyle w:val="TableGrid"/>
        <w:tblW w:w="9634" w:type="dxa"/>
        <w:tblLook w:val="04A0" w:firstRow="1" w:lastRow="0" w:firstColumn="1" w:lastColumn="0" w:noHBand="0" w:noVBand="1"/>
      </w:tblPr>
      <w:tblGrid>
        <w:gridCol w:w="2547"/>
        <w:gridCol w:w="2835"/>
        <w:gridCol w:w="1984"/>
        <w:gridCol w:w="2268"/>
      </w:tblGrid>
      <w:tr w:rsidR="00172D06" w:rsidRPr="00B36238" w14:paraId="710591E0" w14:textId="77777777" w:rsidTr="00B36238">
        <w:tc>
          <w:tcPr>
            <w:tcW w:w="2547" w:type="dxa"/>
            <w:shd w:val="clear" w:color="auto" w:fill="95B3D7" w:themeFill="accent1" w:themeFillTint="99"/>
          </w:tcPr>
          <w:p w14:paraId="2431D0ED"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País</w:t>
            </w:r>
          </w:p>
        </w:tc>
        <w:tc>
          <w:tcPr>
            <w:tcW w:w="2835" w:type="dxa"/>
            <w:shd w:val="clear" w:color="auto" w:fill="95B3D7" w:themeFill="accent1" w:themeFillTint="99"/>
          </w:tcPr>
          <w:p w14:paraId="2628E83E"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Nombre de la entidad</w:t>
            </w:r>
          </w:p>
        </w:tc>
        <w:tc>
          <w:tcPr>
            <w:tcW w:w="1984" w:type="dxa"/>
            <w:shd w:val="clear" w:color="auto" w:fill="95B3D7" w:themeFill="accent1" w:themeFillTint="99"/>
          </w:tcPr>
          <w:p w14:paraId="0A626BB1"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Tipo de afiliación</w:t>
            </w:r>
          </w:p>
        </w:tc>
        <w:tc>
          <w:tcPr>
            <w:tcW w:w="2268" w:type="dxa"/>
            <w:shd w:val="clear" w:color="auto" w:fill="95B3D7" w:themeFill="accent1" w:themeFillTint="99"/>
          </w:tcPr>
          <w:p w14:paraId="7CCA1E9E" w14:textId="77777777" w:rsidR="00172D06" w:rsidRPr="00B36238" w:rsidRDefault="00172D06" w:rsidP="00172D06">
            <w:pPr>
              <w:pStyle w:val="Tablehead"/>
              <w:spacing w:before="0" w:after="0"/>
              <w:rPr>
                <w:rFonts w:eastAsia="SimSun"/>
                <w:sz w:val="20"/>
                <w:lang w:val="es-ES_tradnl"/>
              </w:rPr>
            </w:pPr>
            <w:r w:rsidRPr="00B36238">
              <w:rPr>
                <w:rFonts w:eastAsia="SimSun"/>
                <w:sz w:val="20"/>
                <w:lang w:val="es-ES_tradnl"/>
              </w:rPr>
              <w:t>Fecha de la comunicación</w:t>
            </w:r>
          </w:p>
        </w:tc>
      </w:tr>
      <w:tr w:rsidR="00172D06" w:rsidRPr="00B36238" w14:paraId="74F969F8" w14:textId="77777777" w:rsidTr="00B36238">
        <w:tc>
          <w:tcPr>
            <w:tcW w:w="2547" w:type="dxa"/>
            <w:shd w:val="clear" w:color="auto" w:fill="DBE5F1" w:themeFill="accent1" w:themeFillTint="33"/>
          </w:tcPr>
          <w:p w14:paraId="7DBA2F97"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Nigeria</w:t>
            </w:r>
          </w:p>
        </w:tc>
        <w:tc>
          <w:tcPr>
            <w:tcW w:w="2835" w:type="dxa"/>
          </w:tcPr>
          <w:p w14:paraId="6AC09F60"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ARCROTGIS Consult</w:t>
            </w:r>
          </w:p>
        </w:tc>
        <w:tc>
          <w:tcPr>
            <w:tcW w:w="1984" w:type="dxa"/>
          </w:tcPr>
          <w:p w14:paraId="7AAF18E3"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2A5AB5B3"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11 de enero de 2023</w:t>
            </w:r>
          </w:p>
        </w:tc>
      </w:tr>
      <w:tr w:rsidR="00172D06" w:rsidRPr="00B36238" w14:paraId="4256CC2B" w14:textId="77777777" w:rsidTr="00B36238">
        <w:tc>
          <w:tcPr>
            <w:tcW w:w="2547" w:type="dxa"/>
            <w:shd w:val="clear" w:color="auto" w:fill="DBE5F1" w:themeFill="accent1" w:themeFillTint="33"/>
          </w:tcPr>
          <w:p w14:paraId="4AD3C9A2"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Singapur</w:t>
            </w:r>
          </w:p>
        </w:tc>
        <w:tc>
          <w:tcPr>
            <w:tcW w:w="2835" w:type="dxa"/>
          </w:tcPr>
          <w:p w14:paraId="39EB186E"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SAP Asia Pte Ltd.</w:t>
            </w:r>
          </w:p>
        </w:tc>
        <w:tc>
          <w:tcPr>
            <w:tcW w:w="1984" w:type="dxa"/>
          </w:tcPr>
          <w:p w14:paraId="0B14FFDE"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3FA89B33"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23 de febrero de 2023</w:t>
            </w:r>
          </w:p>
        </w:tc>
      </w:tr>
      <w:tr w:rsidR="00172D06" w:rsidRPr="00B36238" w14:paraId="7408EE86" w14:textId="77777777" w:rsidTr="00B36238">
        <w:tc>
          <w:tcPr>
            <w:tcW w:w="2547" w:type="dxa"/>
            <w:shd w:val="clear" w:color="auto" w:fill="DBE5F1" w:themeFill="accent1" w:themeFillTint="33"/>
          </w:tcPr>
          <w:p w14:paraId="16E362E4"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Madagascar</w:t>
            </w:r>
          </w:p>
        </w:tc>
        <w:tc>
          <w:tcPr>
            <w:tcW w:w="2835" w:type="dxa"/>
          </w:tcPr>
          <w:p w14:paraId="2C55936E"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Axian Telecom</w:t>
            </w:r>
          </w:p>
        </w:tc>
        <w:tc>
          <w:tcPr>
            <w:tcW w:w="1984" w:type="dxa"/>
          </w:tcPr>
          <w:p w14:paraId="6A05AB31"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76855488"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17 de marzo de 2023</w:t>
            </w:r>
          </w:p>
        </w:tc>
      </w:tr>
      <w:tr w:rsidR="00172D06" w:rsidRPr="00B36238" w14:paraId="36562F3D" w14:textId="77777777" w:rsidTr="00B36238">
        <w:tc>
          <w:tcPr>
            <w:tcW w:w="2547" w:type="dxa"/>
            <w:shd w:val="clear" w:color="auto" w:fill="DBE5F1" w:themeFill="accent1" w:themeFillTint="33"/>
          </w:tcPr>
          <w:p w14:paraId="15B3741B"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China</w:t>
            </w:r>
          </w:p>
        </w:tc>
        <w:tc>
          <w:tcPr>
            <w:tcW w:w="2835" w:type="dxa"/>
          </w:tcPr>
          <w:p w14:paraId="2079F92A"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China Tower Corporation Limited</w:t>
            </w:r>
          </w:p>
        </w:tc>
        <w:tc>
          <w:tcPr>
            <w:tcW w:w="1984" w:type="dxa"/>
          </w:tcPr>
          <w:p w14:paraId="0258936F"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1B1CAE44"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11 de abril de 2023</w:t>
            </w:r>
          </w:p>
        </w:tc>
      </w:tr>
      <w:tr w:rsidR="00172D06" w:rsidRPr="00B36238" w14:paraId="4AB1B095" w14:textId="77777777" w:rsidTr="00B36238">
        <w:tc>
          <w:tcPr>
            <w:tcW w:w="2547" w:type="dxa"/>
            <w:shd w:val="clear" w:color="auto" w:fill="DBE5F1" w:themeFill="accent1" w:themeFillTint="33"/>
          </w:tcPr>
          <w:p w14:paraId="235EFB0C"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2835" w:type="dxa"/>
          </w:tcPr>
          <w:p w14:paraId="0DD1C491"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 xml:space="preserve">Fortinet Inc. </w:t>
            </w:r>
          </w:p>
        </w:tc>
        <w:tc>
          <w:tcPr>
            <w:tcW w:w="1984" w:type="dxa"/>
          </w:tcPr>
          <w:p w14:paraId="436EB3E9"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Miembro de Sector</w:t>
            </w:r>
          </w:p>
        </w:tc>
        <w:tc>
          <w:tcPr>
            <w:tcW w:w="2268" w:type="dxa"/>
          </w:tcPr>
          <w:p w14:paraId="08F8C531"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12 de abril de 2023</w:t>
            </w:r>
          </w:p>
        </w:tc>
      </w:tr>
      <w:tr w:rsidR="00172D06" w:rsidRPr="00B36238" w14:paraId="56109A61" w14:textId="77777777" w:rsidTr="00B36238">
        <w:tc>
          <w:tcPr>
            <w:tcW w:w="2547" w:type="dxa"/>
            <w:shd w:val="clear" w:color="auto" w:fill="DBE5F1" w:themeFill="accent1" w:themeFillTint="33"/>
          </w:tcPr>
          <w:p w14:paraId="1DD01E6B"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2835" w:type="dxa"/>
          </w:tcPr>
          <w:p w14:paraId="542BC3FD"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 xml:space="preserve">Bloxtel Inc. </w:t>
            </w:r>
          </w:p>
        </w:tc>
        <w:tc>
          <w:tcPr>
            <w:tcW w:w="1984" w:type="dxa"/>
          </w:tcPr>
          <w:p w14:paraId="2E0AA7F0" w14:textId="392F557E"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Asociado de la CE</w:t>
            </w:r>
            <w:r w:rsidR="00B36238">
              <w:rPr>
                <w:rFonts w:eastAsia="SimSun"/>
                <w:sz w:val="20"/>
                <w:lang w:val="es-ES_tradnl"/>
              </w:rPr>
              <w:t xml:space="preserve"> </w:t>
            </w:r>
            <w:r w:rsidRPr="00B36238">
              <w:rPr>
                <w:rFonts w:eastAsia="SimSun"/>
                <w:sz w:val="20"/>
                <w:lang w:val="es-ES_tradnl"/>
              </w:rPr>
              <w:t>1</w:t>
            </w:r>
          </w:p>
        </w:tc>
        <w:tc>
          <w:tcPr>
            <w:tcW w:w="2268" w:type="dxa"/>
          </w:tcPr>
          <w:p w14:paraId="69D972A9"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21 de febrero de 2023</w:t>
            </w:r>
          </w:p>
        </w:tc>
      </w:tr>
      <w:tr w:rsidR="00172D06" w:rsidRPr="00B36238" w14:paraId="215701B3" w14:textId="77777777" w:rsidTr="00B36238">
        <w:tc>
          <w:tcPr>
            <w:tcW w:w="2547" w:type="dxa"/>
            <w:shd w:val="clear" w:color="auto" w:fill="DBE5F1" w:themeFill="accent1" w:themeFillTint="33"/>
          </w:tcPr>
          <w:p w14:paraId="55FF6509"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Estados Unidos de América</w:t>
            </w:r>
          </w:p>
        </w:tc>
        <w:tc>
          <w:tcPr>
            <w:tcW w:w="2835" w:type="dxa"/>
          </w:tcPr>
          <w:p w14:paraId="41D3F664"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Onward Technologies</w:t>
            </w:r>
          </w:p>
        </w:tc>
        <w:tc>
          <w:tcPr>
            <w:tcW w:w="1984" w:type="dxa"/>
          </w:tcPr>
          <w:p w14:paraId="7BA03849" w14:textId="67EF99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Asociado de la CE</w:t>
            </w:r>
            <w:r w:rsidR="00B36238">
              <w:rPr>
                <w:rFonts w:eastAsia="SimSun"/>
                <w:sz w:val="20"/>
                <w:lang w:val="es-ES_tradnl"/>
              </w:rPr>
              <w:t xml:space="preserve"> </w:t>
            </w:r>
            <w:r w:rsidRPr="00B36238">
              <w:rPr>
                <w:rFonts w:eastAsia="SimSun"/>
                <w:sz w:val="20"/>
                <w:lang w:val="es-ES_tradnl"/>
              </w:rPr>
              <w:t>2</w:t>
            </w:r>
          </w:p>
        </w:tc>
        <w:tc>
          <w:tcPr>
            <w:tcW w:w="2268" w:type="dxa"/>
          </w:tcPr>
          <w:p w14:paraId="4C9C402E"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23 de febrero de 2023</w:t>
            </w:r>
          </w:p>
        </w:tc>
      </w:tr>
      <w:tr w:rsidR="00172D06" w:rsidRPr="00B36238" w14:paraId="4F722F13" w14:textId="77777777" w:rsidTr="00B36238">
        <w:tc>
          <w:tcPr>
            <w:tcW w:w="2547" w:type="dxa"/>
            <w:shd w:val="clear" w:color="auto" w:fill="DBE5F1" w:themeFill="accent1" w:themeFillTint="33"/>
          </w:tcPr>
          <w:p w14:paraId="21E8F377" w14:textId="77777777" w:rsidR="00172D06" w:rsidRPr="00B36238" w:rsidRDefault="00172D06" w:rsidP="00172D06">
            <w:pPr>
              <w:pStyle w:val="Tabletext"/>
              <w:spacing w:before="0" w:after="0"/>
              <w:rPr>
                <w:rFonts w:eastAsia="SimSun"/>
                <w:b/>
                <w:bCs/>
                <w:sz w:val="20"/>
                <w:lang w:val="es-ES_tradnl"/>
              </w:rPr>
            </w:pPr>
            <w:r w:rsidRPr="00B36238">
              <w:rPr>
                <w:rFonts w:eastAsia="SimSun"/>
                <w:b/>
                <w:bCs/>
                <w:sz w:val="20"/>
                <w:lang w:val="es-ES_tradnl"/>
              </w:rPr>
              <w:t>Alemania</w:t>
            </w:r>
          </w:p>
        </w:tc>
        <w:tc>
          <w:tcPr>
            <w:tcW w:w="2835" w:type="dxa"/>
          </w:tcPr>
          <w:p w14:paraId="00D0E1FE" w14:textId="77777777" w:rsidR="00172D06" w:rsidRPr="00B36238" w:rsidRDefault="00172D06" w:rsidP="00172D06">
            <w:pPr>
              <w:pStyle w:val="Tabletext"/>
              <w:spacing w:before="0" w:after="0"/>
              <w:rPr>
                <w:rFonts w:eastAsia="SimSun"/>
                <w:sz w:val="20"/>
                <w:lang w:val="es-ES_tradnl"/>
              </w:rPr>
            </w:pPr>
            <w:r w:rsidRPr="00B36238">
              <w:rPr>
                <w:rFonts w:eastAsia="SimSun"/>
                <w:sz w:val="20"/>
                <w:lang w:val="es-ES_tradnl"/>
              </w:rPr>
              <w:t>Avataa GmbH</w:t>
            </w:r>
          </w:p>
        </w:tc>
        <w:tc>
          <w:tcPr>
            <w:tcW w:w="1984" w:type="dxa"/>
          </w:tcPr>
          <w:p w14:paraId="687A84DE" w14:textId="6DDF4A23"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Asociado de la CE</w:t>
            </w:r>
            <w:r w:rsidR="00B36238">
              <w:rPr>
                <w:rFonts w:eastAsia="SimSun"/>
                <w:sz w:val="20"/>
                <w:lang w:val="es-ES_tradnl"/>
              </w:rPr>
              <w:t xml:space="preserve"> </w:t>
            </w:r>
            <w:r w:rsidRPr="00B36238">
              <w:rPr>
                <w:rFonts w:eastAsia="SimSun"/>
                <w:sz w:val="20"/>
                <w:lang w:val="es-ES_tradnl"/>
              </w:rPr>
              <w:t>2</w:t>
            </w:r>
          </w:p>
        </w:tc>
        <w:tc>
          <w:tcPr>
            <w:tcW w:w="2268" w:type="dxa"/>
          </w:tcPr>
          <w:p w14:paraId="3F48304F" w14:textId="77777777" w:rsidR="00172D06" w:rsidRPr="00B36238" w:rsidRDefault="00172D06" w:rsidP="00172D06">
            <w:pPr>
              <w:pStyle w:val="Tabletext"/>
              <w:spacing w:before="0" w:after="0"/>
              <w:jc w:val="center"/>
              <w:rPr>
                <w:rFonts w:eastAsia="SimSun"/>
                <w:sz w:val="20"/>
                <w:lang w:val="es-ES_tradnl"/>
              </w:rPr>
            </w:pPr>
            <w:r w:rsidRPr="00B36238">
              <w:rPr>
                <w:rFonts w:eastAsia="SimSun"/>
                <w:sz w:val="20"/>
                <w:lang w:val="es-ES_tradnl"/>
              </w:rPr>
              <w:t>26 de abril de 2023</w:t>
            </w:r>
          </w:p>
        </w:tc>
      </w:tr>
    </w:tbl>
    <w:p w14:paraId="6A84C6B7" w14:textId="39A92676" w:rsidR="00172D06" w:rsidRPr="008013F3" w:rsidRDefault="00172D06" w:rsidP="00DA2169">
      <w:pPr>
        <w:pStyle w:val="Heading2"/>
        <w:spacing w:before="360"/>
        <w:rPr>
          <w:rFonts w:eastAsia="SimSun"/>
          <w:lang w:val="es-ES_tradnl" w:eastAsia="zh-CN"/>
        </w:rPr>
      </w:pPr>
      <w:r w:rsidRPr="008013F3">
        <w:rPr>
          <w:rFonts w:eastAsia="SimSun"/>
          <w:lang w:val="es-ES_tradnl" w:eastAsia="zh-CN"/>
        </w:rPr>
        <w:t>2.2</w:t>
      </w:r>
      <w:r>
        <w:rPr>
          <w:rFonts w:eastAsia="SimSun"/>
          <w:lang w:val="es-ES_tradnl" w:eastAsia="zh-CN"/>
        </w:rPr>
        <w:tab/>
      </w:r>
      <w:r w:rsidRPr="008013F3">
        <w:rPr>
          <w:rFonts w:eastAsia="SimSun"/>
          <w:lang w:val="es-ES_tradnl" w:eastAsia="zh-CN"/>
        </w:rPr>
        <w:t>Solicitudes de exención del pago de tasas</w:t>
      </w:r>
    </w:p>
    <w:p w14:paraId="02C83A05" w14:textId="77777777" w:rsidR="00172D06" w:rsidRPr="008013F3" w:rsidRDefault="00172D06" w:rsidP="00172D06">
      <w:pPr>
        <w:rPr>
          <w:rFonts w:eastAsia="SimSun"/>
          <w:lang w:val="es-ES_tradnl" w:eastAsia="zh-CN"/>
        </w:rPr>
      </w:pPr>
      <w:r w:rsidRPr="008013F3">
        <w:rPr>
          <w:rFonts w:eastAsia="SimSun"/>
          <w:lang w:val="es-ES_tradnl" w:eastAsia="zh-CN"/>
        </w:rPr>
        <w:t>La BDT recibió cuatro solicitudes de exención del pago de tasas</w:t>
      </w:r>
      <w:r>
        <w:rPr>
          <w:rFonts w:eastAsia="SimSun"/>
          <w:lang w:val="es-ES_tradnl" w:eastAsia="zh-CN"/>
        </w:rPr>
        <w:t>,</w:t>
      </w:r>
      <w:r w:rsidRPr="008013F3">
        <w:rPr>
          <w:rFonts w:eastAsia="SimSun"/>
          <w:lang w:val="es-ES_tradnl" w:eastAsia="zh-CN"/>
        </w:rPr>
        <w:t xml:space="preserve"> que se someterán a la consideración del Consejo de la UIT. Las entidades solicitantes son: </w:t>
      </w:r>
    </w:p>
    <w:p w14:paraId="566675A2" w14:textId="012393D6"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Organización de la Liga Árabe para la Educación, la Cultura y la Ciencia (ALECSO);</w:t>
      </w:r>
    </w:p>
    <w:p w14:paraId="33BB9AF3" w14:textId="7611C63F"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Asociación de Organismos Reguladores de las Comunicaciones de África Meridional (CRASA);</w:t>
      </w:r>
    </w:p>
    <w:p w14:paraId="3F34379E" w14:textId="5151276F"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asociación Global Digital Inclusion Partnership, Global Impact (GDIP); y</w:t>
      </w:r>
    </w:p>
    <w:p w14:paraId="51466BFC" w14:textId="30D92640" w:rsidR="00172D06" w:rsidRPr="008013F3" w:rsidRDefault="00172D06" w:rsidP="00172D06">
      <w:pPr>
        <w:pStyle w:val="enumlev1"/>
        <w:rPr>
          <w:rFonts w:eastAsia="SimSun"/>
          <w:lang w:val="es-ES_tradnl" w:eastAsia="zh-CN"/>
        </w:rPr>
      </w:pPr>
      <w:r w:rsidRPr="00172D06">
        <w:rPr>
          <w:rFonts w:eastAsia="SimSun"/>
          <w:lang w:val="es-ES_tradnl" w:eastAsia="zh-CN"/>
        </w:rPr>
        <w:t>–</w:t>
      </w:r>
      <w:r>
        <w:rPr>
          <w:rFonts w:eastAsia="SimSun"/>
          <w:lang w:val="es-ES_tradnl" w:eastAsia="zh-CN"/>
        </w:rPr>
        <w:tab/>
      </w:r>
      <w:r w:rsidRPr="008013F3">
        <w:rPr>
          <w:rFonts w:eastAsia="SimSun"/>
          <w:lang w:val="es-ES_tradnl" w:eastAsia="zh-CN"/>
        </w:rPr>
        <w:t>la Federación Mundial de Organizaciones de Ingenieros (FMOI).</w:t>
      </w:r>
    </w:p>
    <w:p w14:paraId="15A9763F" w14:textId="293544CD" w:rsidR="00172D06" w:rsidRPr="008013F3" w:rsidRDefault="00172D06" w:rsidP="00172D06">
      <w:pPr>
        <w:pStyle w:val="Heading2"/>
        <w:rPr>
          <w:rFonts w:eastAsia="SimSun"/>
          <w:lang w:val="es-ES_tradnl" w:eastAsia="zh-CN"/>
        </w:rPr>
      </w:pPr>
      <w:r w:rsidRPr="008013F3">
        <w:rPr>
          <w:rFonts w:eastAsia="SimSun"/>
          <w:lang w:val="es-ES_tradnl" w:eastAsia="zh-CN"/>
        </w:rPr>
        <w:t>2.3</w:t>
      </w:r>
      <w:r>
        <w:rPr>
          <w:rFonts w:eastAsia="SimSun"/>
          <w:lang w:val="es-ES_tradnl" w:eastAsia="zh-CN"/>
        </w:rPr>
        <w:tab/>
      </w:r>
      <w:r w:rsidRPr="008013F3">
        <w:rPr>
          <w:rFonts w:eastAsia="SimSun"/>
          <w:lang w:val="es-ES_tradnl" w:eastAsia="zh-CN"/>
        </w:rPr>
        <w:t>Nuevas Instituciones Académicas miembros</w:t>
      </w:r>
    </w:p>
    <w:p w14:paraId="2129FE3E" w14:textId="1CCD39BF" w:rsidR="00172D06" w:rsidRPr="008013F3" w:rsidRDefault="00172D06" w:rsidP="00172D06">
      <w:pPr>
        <w:rPr>
          <w:rFonts w:eastAsia="SimSun"/>
          <w:lang w:val="es-ES_tradnl"/>
        </w:rPr>
      </w:pPr>
      <w:r w:rsidRPr="008013F3">
        <w:rPr>
          <w:rFonts w:eastAsia="SimSun" w:cs="Arial"/>
          <w:lang w:val="es-ES_tradnl" w:eastAsia="zh-CN"/>
        </w:rPr>
        <w:t>En lo que respecta a las Instituciones Académicas</w:t>
      </w:r>
      <w:r w:rsidRPr="008013F3">
        <w:rPr>
          <w:rFonts w:eastAsia="SimSun" w:cs="Arial"/>
          <w:position w:val="6"/>
          <w:sz w:val="18"/>
          <w:lang w:val="es-ES_tradnl" w:eastAsia="zh-CN"/>
        </w:rPr>
        <w:footnoteReference w:id="6"/>
      </w:r>
      <w:r w:rsidRPr="008013F3">
        <w:rPr>
          <w:rFonts w:eastAsia="SimSun"/>
          <w:lang w:val="es-ES_tradnl"/>
        </w:rPr>
        <w:t>, el</w:t>
      </w:r>
      <w:r w:rsidRPr="008013F3">
        <w:rPr>
          <w:rFonts w:eastAsia="SimSun"/>
          <w:b/>
          <w:bCs/>
          <w:lang w:val="es-ES_tradnl"/>
        </w:rPr>
        <w:t xml:space="preserve"> Gráfico 4 </w:t>
      </w:r>
      <w:r w:rsidRPr="008013F3">
        <w:rPr>
          <w:rFonts w:eastAsia="SimSun"/>
          <w:lang w:val="es-ES_tradnl"/>
        </w:rPr>
        <w:t xml:space="preserve">muestra que, en diciembre de 2022, gracias a </w:t>
      </w:r>
      <w:r>
        <w:rPr>
          <w:rFonts w:eastAsia="SimSun"/>
          <w:lang w:val="es-ES_tradnl"/>
        </w:rPr>
        <w:t>una serie de</w:t>
      </w:r>
      <w:r w:rsidRPr="008013F3">
        <w:rPr>
          <w:rFonts w:eastAsia="SimSun"/>
          <w:lang w:val="es-ES_tradnl"/>
        </w:rPr>
        <w:t xml:space="preserve"> esfuerzos coordinados con la Secretaría General, se había</w:t>
      </w:r>
      <w:r>
        <w:rPr>
          <w:rFonts w:eastAsia="SimSun"/>
          <w:lang w:val="es-ES_tradnl"/>
        </w:rPr>
        <w:t xml:space="preserve"> logrado atraer a</w:t>
      </w:r>
      <w:r w:rsidRPr="008013F3">
        <w:rPr>
          <w:rFonts w:eastAsia="SimSun"/>
          <w:lang w:val="es-ES_tradnl"/>
        </w:rPr>
        <w:t xml:space="preserve"> </w:t>
      </w:r>
      <w:r w:rsidRPr="008013F3">
        <w:rPr>
          <w:rFonts w:eastAsia="SimSun"/>
          <w:b/>
          <w:bCs/>
          <w:lang w:val="es-ES_tradnl"/>
        </w:rPr>
        <w:t>veintiuna</w:t>
      </w:r>
      <w:r w:rsidRPr="008013F3">
        <w:rPr>
          <w:rFonts w:eastAsia="SimSun" w:cs="Arial"/>
          <w:b/>
          <w:bCs/>
          <w:lang w:val="es-ES_tradnl" w:eastAsia="zh-CN"/>
        </w:rPr>
        <w:t xml:space="preserve"> Instituciones Académicas </w:t>
      </w:r>
      <w:r w:rsidRPr="008013F3">
        <w:rPr>
          <w:rFonts w:eastAsia="SimSun"/>
          <w:b/>
          <w:bCs/>
          <w:lang w:val="es-ES_tradnl"/>
        </w:rPr>
        <w:t>nuevas</w:t>
      </w:r>
      <w:r w:rsidRPr="008013F3">
        <w:rPr>
          <w:rFonts w:eastAsia="SimSun"/>
          <w:b/>
          <w:bCs/>
          <w:i/>
          <w:iCs/>
          <w:position w:val="6"/>
          <w:sz w:val="18"/>
          <w:lang w:val="es-ES_tradnl"/>
        </w:rPr>
        <w:footnoteReference w:id="7"/>
      </w:r>
      <w:r w:rsidRPr="008013F3">
        <w:rPr>
          <w:rFonts w:eastAsia="SimSun"/>
          <w:lang w:val="es-ES_tradnl"/>
        </w:rPr>
        <w:t xml:space="preserve">. Además, al </w:t>
      </w:r>
      <w:r w:rsidR="00F51052" w:rsidRPr="008013F3">
        <w:rPr>
          <w:rFonts w:eastAsia="SimSun"/>
          <w:lang w:val="es-ES_tradnl"/>
        </w:rPr>
        <w:t>5</w:t>
      </w:r>
      <w:r w:rsidR="00F51052" w:rsidRPr="008013F3">
        <w:rPr>
          <w:rFonts w:eastAsia="SimSun"/>
          <w:vertAlign w:val="superscript"/>
          <w:lang w:val="es-ES_tradnl"/>
        </w:rPr>
        <w:t xml:space="preserve"> </w:t>
      </w:r>
      <w:r w:rsidR="00F51052" w:rsidRPr="008013F3">
        <w:rPr>
          <w:rFonts w:eastAsia="SimSun"/>
          <w:lang w:val="es-ES_tradnl"/>
        </w:rPr>
        <w:t>de</w:t>
      </w:r>
      <w:r w:rsidRPr="008013F3">
        <w:rPr>
          <w:rFonts w:eastAsia="SimSun"/>
          <w:lang w:val="es-ES_tradnl"/>
        </w:rPr>
        <w:t xml:space="preserve"> mayo de 2023, se </w:t>
      </w:r>
      <w:r>
        <w:rPr>
          <w:rFonts w:eastAsia="SimSun"/>
          <w:lang w:val="es-ES_tradnl"/>
        </w:rPr>
        <w:t>habían sumado</w:t>
      </w:r>
      <w:r w:rsidRPr="008013F3">
        <w:rPr>
          <w:rFonts w:eastAsia="SimSun"/>
          <w:lang w:val="es-ES_tradnl"/>
        </w:rPr>
        <w:t xml:space="preserve"> </w:t>
      </w:r>
      <w:r w:rsidR="00636E67">
        <w:rPr>
          <w:rFonts w:eastAsia="SimSun"/>
          <w:b/>
          <w:bCs/>
          <w:lang w:val="es-ES_tradnl"/>
        </w:rPr>
        <w:t>dieciséis</w:t>
      </w:r>
      <w:r w:rsidRPr="008013F3">
        <w:rPr>
          <w:rFonts w:eastAsia="SimSun"/>
          <w:b/>
          <w:bCs/>
          <w:lang w:val="es-ES_tradnl"/>
        </w:rPr>
        <w:t xml:space="preserve"> </w:t>
      </w:r>
      <w:r w:rsidRPr="008013F3">
        <w:rPr>
          <w:rFonts w:eastAsia="SimSun" w:cs="Arial"/>
          <w:b/>
          <w:bCs/>
          <w:lang w:val="es-ES_tradnl" w:eastAsia="zh-CN"/>
        </w:rPr>
        <w:t xml:space="preserve">Instituciones Académicas </w:t>
      </w:r>
      <w:r w:rsidRPr="008013F3">
        <w:rPr>
          <w:rFonts w:eastAsia="SimSun"/>
          <w:lang w:val="es-ES_tradnl"/>
        </w:rPr>
        <w:t>más</w:t>
      </w:r>
      <w:r w:rsidRPr="008013F3">
        <w:rPr>
          <w:rFonts w:eastAsia="SimSun"/>
          <w:b/>
          <w:bCs/>
          <w:i/>
          <w:iCs/>
          <w:lang w:val="es-ES_tradnl"/>
        </w:rPr>
        <w:t xml:space="preserve">. </w:t>
      </w:r>
      <w:r w:rsidRPr="008013F3">
        <w:rPr>
          <w:rFonts w:eastAsia="SimSun" w:cs="Arial"/>
          <w:b/>
          <w:bCs/>
          <w:lang w:val="es-ES_tradnl" w:eastAsia="zh-CN"/>
        </w:rPr>
        <w:t xml:space="preserve">Cinco </w:t>
      </w:r>
      <w:r w:rsidRPr="008013F3">
        <w:rPr>
          <w:rFonts w:eastAsia="SimSun" w:cs="Arial"/>
          <w:lang w:val="es-ES_tradnl" w:eastAsia="zh-CN"/>
        </w:rPr>
        <w:t>de ellas están plenamente activas</w:t>
      </w:r>
      <w:r w:rsidRPr="008013F3">
        <w:rPr>
          <w:rStyle w:val="FootnoteReference"/>
          <w:rFonts w:eastAsia="SimSun" w:cs="Arial"/>
          <w:lang w:val="es-ES_tradnl" w:eastAsia="zh-CN"/>
        </w:rPr>
        <w:footnoteReference w:id="8"/>
      </w:r>
      <w:r w:rsidRPr="008013F3">
        <w:rPr>
          <w:rFonts w:eastAsia="SimSun" w:cs="Arial"/>
          <w:lang w:val="es-ES_tradnl" w:eastAsia="zh-CN"/>
        </w:rPr>
        <w:t xml:space="preserve"> y </w:t>
      </w:r>
      <w:r w:rsidRPr="008013F3">
        <w:rPr>
          <w:rFonts w:eastAsia="SimSun" w:cs="Arial"/>
          <w:b/>
          <w:bCs/>
          <w:lang w:val="es-ES_tradnl" w:eastAsia="zh-CN"/>
        </w:rPr>
        <w:t xml:space="preserve">siete </w:t>
      </w:r>
      <w:r w:rsidRPr="008013F3">
        <w:rPr>
          <w:rFonts w:eastAsia="SimSun" w:cs="Arial"/>
          <w:lang w:val="es-ES_tradnl" w:eastAsia="zh-CN"/>
        </w:rPr>
        <w:lastRenderedPageBreak/>
        <w:t>están finalizando el proceso de pago</w:t>
      </w:r>
      <w:r w:rsidRPr="008013F3">
        <w:rPr>
          <w:rStyle w:val="FootnoteReference"/>
          <w:rFonts w:eastAsia="SimSun" w:cs="Arial"/>
          <w:lang w:val="es-ES_tradnl" w:eastAsia="zh-CN"/>
        </w:rPr>
        <w:footnoteReference w:id="9"/>
      </w:r>
      <w:r w:rsidRPr="008013F3">
        <w:rPr>
          <w:rFonts w:eastAsia="SimSun" w:cs="Arial"/>
          <w:lang w:val="es-ES_tradnl" w:eastAsia="zh-CN"/>
        </w:rPr>
        <w:t xml:space="preserve">. </w:t>
      </w:r>
      <w:r w:rsidRPr="008013F3">
        <w:rPr>
          <w:rFonts w:eastAsia="SimSun"/>
          <w:b/>
          <w:bCs/>
          <w:lang w:val="es-ES_tradnl"/>
        </w:rPr>
        <w:t xml:space="preserve">Cuatro </w:t>
      </w:r>
      <w:r w:rsidRPr="008013F3">
        <w:rPr>
          <w:rFonts w:eastAsia="SimSun" w:cs="Arial"/>
          <w:lang w:val="es-ES_tradnl" w:eastAsia="zh-CN"/>
        </w:rPr>
        <w:t>están pendientes de la aprobación de su respectiva administración</w:t>
      </w:r>
      <w:r w:rsidRPr="008013F3">
        <w:rPr>
          <w:rStyle w:val="FootnoteReference"/>
          <w:rFonts w:eastAsia="SimSun"/>
          <w:lang w:val="es-ES_tradnl"/>
        </w:rPr>
        <w:footnoteReference w:id="10"/>
      </w:r>
      <w:r w:rsidRPr="008013F3">
        <w:rPr>
          <w:rFonts w:eastAsia="SimSun"/>
          <w:lang w:val="es-ES_tradnl"/>
        </w:rPr>
        <w:t xml:space="preserve"> .</w:t>
      </w:r>
    </w:p>
    <w:p w14:paraId="630B6291" w14:textId="77777777" w:rsidR="00172D06" w:rsidRPr="008013F3" w:rsidRDefault="00172D06" w:rsidP="00172D06">
      <w:pPr>
        <w:pStyle w:val="FigureNo"/>
        <w:rPr>
          <w:rFonts w:ascii="Calibri" w:eastAsia="SimSun" w:hAnsi="Calibri"/>
          <w:lang w:val="es-ES_tradnl"/>
        </w:rPr>
      </w:pPr>
      <w:r w:rsidRPr="008013F3">
        <w:rPr>
          <w:noProof/>
          <w:lang w:val="es-ES_tradnl"/>
        </w:rPr>
        <w:drawing>
          <wp:inline distT="0" distB="0" distL="0" distR="0" wp14:anchorId="4BB7FE20" wp14:editId="794B7359">
            <wp:extent cx="6096000" cy="1762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D150E8" w14:textId="3DD9A5B7" w:rsidR="00172D06" w:rsidRPr="00AB67C4" w:rsidRDefault="00172D06" w:rsidP="00172D06">
      <w:pPr>
        <w:pStyle w:val="Heading1"/>
        <w:rPr>
          <w:rFonts w:eastAsia="SimSun"/>
          <w:sz w:val="24"/>
          <w:szCs w:val="24"/>
          <w:lang w:val="es-ES_tradnl"/>
        </w:rPr>
      </w:pPr>
      <w:r w:rsidRPr="00AB67C4">
        <w:rPr>
          <w:rFonts w:eastAsia="SimSun"/>
          <w:sz w:val="24"/>
          <w:szCs w:val="24"/>
          <w:lang w:val="es-ES_tradnl"/>
        </w:rPr>
        <w:t>2.4</w:t>
      </w:r>
      <w:r w:rsidRPr="00AB67C4">
        <w:rPr>
          <w:rFonts w:eastAsia="SimSun"/>
          <w:sz w:val="24"/>
          <w:szCs w:val="24"/>
          <w:lang w:val="es-ES_tradnl"/>
        </w:rPr>
        <w:tab/>
        <w:t>Denuncias y exclusiones de miembros e Instituciones Académicas del UIT-D:</w:t>
      </w:r>
    </w:p>
    <w:p w14:paraId="6719B443" w14:textId="77777777" w:rsidR="00172D06" w:rsidRPr="008013F3" w:rsidRDefault="00172D06" w:rsidP="00172D06">
      <w:pPr>
        <w:rPr>
          <w:rFonts w:eastAsia="SimSun"/>
          <w:lang w:val="es-ES_tradnl"/>
        </w:rPr>
      </w:pPr>
      <w:r w:rsidRPr="008013F3">
        <w:rPr>
          <w:rFonts w:eastAsia="SimSun"/>
          <w:lang w:val="es-ES_tradnl"/>
        </w:rPr>
        <w:t xml:space="preserve">El </w:t>
      </w:r>
      <w:r w:rsidRPr="008013F3">
        <w:rPr>
          <w:rFonts w:eastAsia="SimSun"/>
          <w:b/>
          <w:bCs/>
          <w:lang w:val="es-ES_tradnl"/>
        </w:rPr>
        <w:t xml:space="preserve">Gráfico 5 </w:t>
      </w:r>
      <w:r w:rsidRPr="008013F3">
        <w:rPr>
          <w:rFonts w:eastAsia="SimSun"/>
          <w:lang w:val="es-ES_tradnl"/>
        </w:rPr>
        <w:t xml:space="preserve">muestra una comparativa de las bajas de miembros e Instituciones Académicas del UIT-D entre 2021 y 2022. A pesar de que en 2022 se registró un mayor número de cuentas en riesgo por impago, </w:t>
      </w:r>
      <w:r>
        <w:rPr>
          <w:rFonts w:eastAsia="SimSun"/>
          <w:lang w:val="es-ES_tradnl"/>
        </w:rPr>
        <w:t xml:space="preserve">el </w:t>
      </w:r>
      <w:r w:rsidRPr="008013F3">
        <w:rPr>
          <w:rFonts w:eastAsia="SimSun"/>
          <w:color w:val="000000" w:themeColor="text1"/>
          <w:lang w:val="es-ES_tradnl"/>
        </w:rPr>
        <w:t xml:space="preserve">número </w:t>
      </w:r>
      <w:r w:rsidRPr="008013F3">
        <w:rPr>
          <w:rFonts w:eastAsia="SimSun"/>
          <w:lang w:val="es-ES_tradnl"/>
        </w:rPr>
        <w:t>de denuncias y exclusiones de miembros e Instituciones Académicas del UIT-D</w:t>
      </w:r>
      <w:r>
        <w:rPr>
          <w:rFonts w:eastAsia="SimSun"/>
          <w:lang w:val="es-ES_tradnl"/>
        </w:rPr>
        <w:t xml:space="preserve"> fue</w:t>
      </w:r>
      <w:r w:rsidRPr="008013F3">
        <w:rPr>
          <w:rFonts w:eastAsia="SimSun"/>
          <w:lang w:val="es-ES_tradnl"/>
        </w:rPr>
        <w:t xml:space="preserve"> </w:t>
      </w:r>
      <w:r w:rsidRPr="008013F3">
        <w:rPr>
          <w:rFonts w:eastAsia="SimSun"/>
          <w:color w:val="000000" w:themeColor="text1"/>
          <w:lang w:val="es-ES_tradnl"/>
        </w:rPr>
        <w:t xml:space="preserve">menor </w:t>
      </w:r>
      <w:r w:rsidRPr="008013F3">
        <w:rPr>
          <w:rFonts w:eastAsia="SimSun"/>
          <w:lang w:val="es-ES_tradnl"/>
        </w:rPr>
        <w:t>que en 2021</w:t>
      </w:r>
      <w:r>
        <w:rPr>
          <w:rFonts w:eastAsia="SimSun"/>
          <w:lang w:val="es-ES_tradnl"/>
        </w:rPr>
        <w:t xml:space="preserve"> gracias a la</w:t>
      </w:r>
      <w:r w:rsidRPr="008013F3">
        <w:rPr>
          <w:rFonts w:eastAsia="SimSun"/>
          <w:color w:val="000000" w:themeColor="text1"/>
          <w:lang w:val="es-ES_tradnl"/>
        </w:rPr>
        <w:t xml:space="preserve"> reactivación de cuentas</w:t>
      </w:r>
      <w:r>
        <w:rPr>
          <w:rFonts w:eastAsia="SimSun"/>
          <w:color w:val="000000" w:themeColor="text1"/>
          <w:lang w:val="es-ES_tradnl"/>
        </w:rPr>
        <w:t xml:space="preserve"> propiciada por</w:t>
      </w:r>
      <w:r w:rsidRPr="008013F3">
        <w:rPr>
          <w:rFonts w:eastAsia="SimSun"/>
          <w:color w:val="000000" w:themeColor="text1"/>
          <w:lang w:val="es-ES_tradnl"/>
        </w:rPr>
        <w:t xml:space="preserve"> los esfuerzos concertados con la Secretaría General</w:t>
      </w:r>
      <w:r w:rsidRPr="008013F3">
        <w:rPr>
          <w:rFonts w:eastAsia="SimSun"/>
          <w:lang w:val="es-ES_tradnl"/>
        </w:rPr>
        <w:t xml:space="preserve">. </w:t>
      </w:r>
    </w:p>
    <w:p w14:paraId="60256254" w14:textId="77777777" w:rsidR="00172D06" w:rsidRPr="008013F3" w:rsidRDefault="00172D06" w:rsidP="00172D06">
      <w:pPr>
        <w:rPr>
          <w:rFonts w:eastAsia="SimSun"/>
          <w:lang w:val="es-ES_tradnl"/>
        </w:rPr>
      </w:pPr>
      <w:r w:rsidRPr="008013F3">
        <w:rPr>
          <w:rFonts w:eastAsia="SimSun"/>
          <w:lang w:val="es-ES_tradnl"/>
        </w:rPr>
        <w:t xml:space="preserve">En 2022, el UIT-D perdió un total de </w:t>
      </w:r>
      <w:r w:rsidRPr="008013F3">
        <w:rPr>
          <w:rFonts w:eastAsia="SimSun"/>
          <w:b/>
          <w:bCs/>
          <w:lang w:val="es-ES_tradnl"/>
        </w:rPr>
        <w:t>14 cuentas</w:t>
      </w:r>
      <w:r w:rsidRPr="008013F3">
        <w:rPr>
          <w:rFonts w:eastAsia="SimSun"/>
          <w:lang w:val="es-ES_tradnl"/>
        </w:rPr>
        <w:t xml:space="preserve">: </w:t>
      </w:r>
      <w:r w:rsidRPr="008013F3">
        <w:rPr>
          <w:rFonts w:eastAsia="SimSun"/>
          <w:b/>
          <w:bCs/>
          <w:lang w:val="es-ES_tradnl"/>
        </w:rPr>
        <w:t>ocho por denuncia</w:t>
      </w:r>
      <w:r w:rsidRPr="008013F3">
        <w:rPr>
          <w:rFonts w:eastAsia="SimSun"/>
          <w:b/>
          <w:bCs/>
          <w:position w:val="6"/>
          <w:sz w:val="18"/>
          <w:lang w:val="es-ES_tradnl"/>
        </w:rPr>
        <w:footnoteReference w:id="11"/>
      </w:r>
      <w:r w:rsidRPr="008013F3">
        <w:rPr>
          <w:rFonts w:eastAsia="SimSun"/>
          <w:lang w:val="es-ES_tradnl"/>
        </w:rPr>
        <w:t xml:space="preserve"> y </w:t>
      </w:r>
      <w:r w:rsidRPr="008013F3">
        <w:rPr>
          <w:rFonts w:eastAsia="SimSun"/>
          <w:b/>
          <w:bCs/>
          <w:lang w:val="es-ES_tradnl"/>
        </w:rPr>
        <w:t>seis por exclusión</w:t>
      </w:r>
      <w:r w:rsidRPr="008013F3">
        <w:rPr>
          <w:rFonts w:eastAsia="SimSun"/>
          <w:b/>
          <w:bCs/>
          <w:position w:val="6"/>
          <w:sz w:val="18"/>
          <w:lang w:val="es-ES_tradnl"/>
        </w:rPr>
        <w:footnoteReference w:id="12"/>
      </w:r>
      <w:r w:rsidRPr="008013F3">
        <w:rPr>
          <w:rFonts w:eastAsia="SimSun"/>
          <w:lang w:val="es-ES_tradnl"/>
        </w:rPr>
        <w:t xml:space="preserve"> (debido a la clausura del programa, </w:t>
      </w:r>
      <w:r>
        <w:rPr>
          <w:rFonts w:eastAsia="SimSun"/>
          <w:lang w:val="es-ES_tradnl"/>
        </w:rPr>
        <w:t xml:space="preserve">a </w:t>
      </w:r>
      <w:r w:rsidRPr="008013F3">
        <w:rPr>
          <w:rFonts w:eastAsia="SimSun"/>
          <w:lang w:val="es-ES_tradnl"/>
        </w:rPr>
        <w:t xml:space="preserve">la revisión de la estrategia institucional, </w:t>
      </w:r>
      <w:r>
        <w:rPr>
          <w:rFonts w:eastAsia="SimSun"/>
          <w:lang w:val="es-ES_tradnl"/>
        </w:rPr>
        <w:t xml:space="preserve">a </w:t>
      </w:r>
      <w:r w:rsidRPr="008013F3">
        <w:rPr>
          <w:rFonts w:eastAsia="SimSun"/>
          <w:lang w:val="es-ES_tradnl"/>
        </w:rPr>
        <w:t xml:space="preserve">dificultades financieras para liquidar las tasas </w:t>
      </w:r>
      <w:r>
        <w:rPr>
          <w:rFonts w:eastAsia="SimSun"/>
          <w:lang w:val="es-ES_tradnl"/>
        </w:rPr>
        <w:t>o a</w:t>
      </w:r>
      <w:r w:rsidRPr="008013F3">
        <w:rPr>
          <w:rFonts w:eastAsia="SimSun"/>
          <w:lang w:val="es-ES_tradnl"/>
        </w:rPr>
        <w:t xml:space="preserve"> otras razones no indicadas). Gracias al esfuerzo coordinado en el que participó nuestro personal en el terreno, se logró conservar </w:t>
      </w:r>
      <w:r w:rsidRPr="008013F3">
        <w:rPr>
          <w:rFonts w:eastAsia="SimSun"/>
          <w:b/>
          <w:bCs/>
          <w:lang w:val="es-ES_tradnl"/>
        </w:rPr>
        <w:t>diez</w:t>
      </w:r>
      <w:r w:rsidRPr="008013F3">
        <w:rPr>
          <w:rFonts w:eastAsia="SimSun"/>
          <w:lang w:val="es-ES_tradnl"/>
        </w:rPr>
        <w:t xml:space="preserve"> cuentas de Miembros de Sector en peligro (mediante la liquidación de tasas o anulación de la denuncia). </w:t>
      </w:r>
    </w:p>
    <w:p w14:paraId="153A1140" w14:textId="77777777" w:rsidR="00172D06" w:rsidRPr="008013F3" w:rsidRDefault="00172D06" w:rsidP="00172D06">
      <w:pPr>
        <w:pStyle w:val="FigureNo"/>
        <w:rPr>
          <w:rFonts w:eastAsia="SimSun"/>
          <w:lang w:val="es-ES_tradnl"/>
        </w:rPr>
      </w:pPr>
      <w:r w:rsidRPr="008013F3">
        <w:rPr>
          <w:noProof/>
          <w:lang w:val="es-ES_tradnl"/>
        </w:rPr>
        <w:lastRenderedPageBreak/>
        <w:drawing>
          <wp:inline distT="0" distB="0" distL="0" distR="0" wp14:anchorId="5E0FE2B9" wp14:editId="07DA6E46">
            <wp:extent cx="6105525" cy="16573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B48AD4" w14:textId="4DF18987" w:rsidR="00172D06" w:rsidRPr="00AB67C4" w:rsidRDefault="00172D06" w:rsidP="00172D06">
      <w:pPr>
        <w:pStyle w:val="Heading1"/>
        <w:rPr>
          <w:rFonts w:eastAsia="SimSun"/>
          <w:sz w:val="24"/>
          <w:szCs w:val="24"/>
          <w:lang w:val="es-ES_tradnl" w:eastAsia="zh-CN"/>
        </w:rPr>
      </w:pPr>
      <w:r w:rsidRPr="00AB67C4">
        <w:rPr>
          <w:rFonts w:eastAsia="SimSun"/>
          <w:sz w:val="24"/>
          <w:szCs w:val="24"/>
          <w:lang w:val="es-ES_tradnl" w:eastAsia="zh-CN"/>
        </w:rPr>
        <w:t>3</w:t>
      </w:r>
      <w:r w:rsidRPr="00AB67C4">
        <w:rPr>
          <w:rFonts w:eastAsia="SimSun"/>
          <w:sz w:val="24"/>
          <w:szCs w:val="24"/>
          <w:lang w:val="es-ES_tradnl" w:eastAsia="zh-CN"/>
        </w:rPr>
        <w:tab/>
        <w:t>Participación, conservación, promoción y captación</w:t>
      </w:r>
    </w:p>
    <w:p w14:paraId="7C3EEB43" w14:textId="77777777" w:rsidR="00172D06" w:rsidRPr="008013F3" w:rsidRDefault="00172D06" w:rsidP="00172D06">
      <w:pPr>
        <w:rPr>
          <w:rFonts w:eastAsia="SimSun"/>
          <w:lang w:val="es-ES_tradnl"/>
        </w:rPr>
      </w:pPr>
      <w:r w:rsidRPr="008013F3">
        <w:rPr>
          <w:rFonts w:eastAsia="SimSun"/>
          <w:color w:val="000000" w:themeColor="text1"/>
          <w:lang w:val="es-ES_tradnl"/>
        </w:rPr>
        <w:t xml:space="preserve">Además de las habituales iniciativas </w:t>
      </w:r>
      <w:r w:rsidRPr="008013F3">
        <w:rPr>
          <w:rFonts w:eastAsia="SimSun"/>
          <w:lang w:val="es-ES_tradnl"/>
        </w:rPr>
        <w:t xml:space="preserve">de captación, participación y conservación de miembros, la BDT dio continuidad a las siguientes: </w:t>
      </w:r>
    </w:p>
    <w:p w14:paraId="14D45A1C" w14:textId="26B0434E"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 xml:space="preserve">El </w:t>
      </w:r>
      <w:r w:rsidRPr="008013F3">
        <w:rPr>
          <w:rFonts w:eastAsia="SimSun"/>
          <w:b/>
          <w:bCs/>
          <w:lang w:val="es-ES_tradnl"/>
        </w:rPr>
        <w:t xml:space="preserve">Grupo Asesor de la Industria sobre cuestiones de desarrollo y los Directores de Reglamentación del sector privado (IAGDI-CRO) </w:t>
      </w:r>
      <w:r w:rsidRPr="008013F3">
        <w:rPr>
          <w:rFonts w:eastAsia="SimSun"/>
          <w:lang w:val="es-ES_tradnl"/>
        </w:rPr>
        <w:t xml:space="preserve">celebraron dos </w:t>
      </w:r>
      <w:r w:rsidRPr="008013F3">
        <w:rPr>
          <w:lang w:val="es-ES_tradnl"/>
        </w:rPr>
        <w:t>sesiones en línea el 24 de febrero de 2022, en las que la industria y los miembros del sector privado anunciaron promesas y compromisos futuros y compartieron experiencias sobre los resultados concretos que la Coalición Digital Partner2Connect</w:t>
      </w:r>
      <w:r w:rsidRPr="007559B0">
        <w:rPr>
          <w:lang w:val="es-ES_tradnl"/>
        </w:rPr>
        <w:t xml:space="preserve"> </w:t>
      </w:r>
      <w:r w:rsidRPr="008013F3">
        <w:rPr>
          <w:lang w:val="es-ES_tradnl"/>
        </w:rPr>
        <w:t>puede aportar, en términos de proyectos viables y financiables, para una conectividad efectiva. Para más información, véanse l</w:t>
      </w:r>
      <w:r w:rsidRPr="008013F3">
        <w:rPr>
          <w:rFonts w:eastAsia="SimSun"/>
          <w:lang w:val="es-ES_tradnl"/>
        </w:rPr>
        <w:t xml:space="preserve">a </w:t>
      </w:r>
      <w:hyperlink r:id="rId14">
        <w:r w:rsidRPr="008013F3">
          <w:rPr>
            <w:rFonts w:eastAsia="SimSun"/>
            <w:color w:val="0000FF" w:themeColor="hyperlink"/>
            <w:u w:val="single"/>
            <w:lang w:val="es-ES_tradnl"/>
          </w:rPr>
          <w:t>Declaración final</w:t>
        </w:r>
      </w:hyperlink>
      <w:r w:rsidRPr="008013F3">
        <w:rPr>
          <w:rFonts w:eastAsia="SimSun"/>
          <w:lang w:val="es-ES_tradnl"/>
        </w:rPr>
        <w:t xml:space="preserve"> y el </w:t>
      </w:r>
      <w:hyperlink r:id="rId15" w:history="1">
        <w:r w:rsidRPr="008013F3">
          <w:rPr>
            <w:rStyle w:val="Hyperlink"/>
            <w:rFonts w:ascii="Calibri" w:eastAsia="SimSun" w:hAnsi="Calibri" w:cs="Calibri"/>
            <w:lang w:val="es-ES_tradnl"/>
          </w:rPr>
          <w:t>Informe del Presidente</w:t>
        </w:r>
      </w:hyperlink>
      <w:r w:rsidRPr="008013F3">
        <w:rPr>
          <w:rFonts w:eastAsia="SimSun"/>
          <w:lang w:val="es-ES_tradnl"/>
        </w:rPr>
        <w:t>. La próxima reunión de</w:t>
      </w:r>
      <w:r>
        <w:rPr>
          <w:rFonts w:eastAsia="SimSun"/>
          <w:lang w:val="es-ES_tradnl"/>
        </w:rPr>
        <w:t>l</w:t>
      </w:r>
      <w:r w:rsidRPr="008013F3">
        <w:rPr>
          <w:rFonts w:eastAsia="SimSun"/>
          <w:lang w:val="es-ES_tradnl"/>
        </w:rPr>
        <w:t xml:space="preserve"> IAGDI-CRO tendrá lugar el 5 de junio de 2023, justo antes del Simposio Mundial para Organismos Reguladores, y la Declaración Final se compartirá con el GADT.</w:t>
      </w:r>
    </w:p>
    <w:p w14:paraId="3191A5E3" w14:textId="18C63E76"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La</w:t>
      </w:r>
      <w:r w:rsidRPr="008013F3">
        <w:rPr>
          <w:rFonts w:eastAsia="SimSun"/>
          <w:b/>
          <w:bCs/>
          <w:lang w:val="es-ES_tradnl"/>
        </w:rPr>
        <w:t xml:space="preserve"> Coalición Digital Partner-to-Connect </w:t>
      </w:r>
      <w:r w:rsidRPr="008013F3">
        <w:rPr>
          <w:rFonts w:eastAsia="SimSun"/>
          <w:lang w:val="es-ES_tradnl"/>
        </w:rPr>
        <w:t>ha logrado que 120 Miembros de Sector del UIT-D asuman compromisos específicos por un valor estimado de 8 800 millones de dólares de los Estados Unidos, como resultado de los arduos esfuerzos realizados</w:t>
      </w:r>
      <w:r>
        <w:rPr>
          <w:rFonts w:eastAsia="SimSun"/>
          <w:lang w:val="es-ES_tradnl"/>
        </w:rPr>
        <w:t xml:space="preserve"> a tal efecto</w:t>
      </w:r>
      <w:r w:rsidRPr="008013F3">
        <w:rPr>
          <w:rFonts w:eastAsia="SimSun"/>
          <w:lang w:val="es-ES_tradnl"/>
        </w:rPr>
        <w:t xml:space="preserve"> por la</w:t>
      </w:r>
      <w:r w:rsidR="00AB67C4">
        <w:rPr>
          <w:rFonts w:eastAsia="SimSun"/>
          <w:lang w:val="es-ES_tradnl"/>
        </w:rPr>
        <w:t> </w:t>
      </w:r>
      <w:r w:rsidRPr="008013F3">
        <w:rPr>
          <w:rFonts w:eastAsia="SimSun"/>
          <w:lang w:val="es-ES_tradnl"/>
        </w:rPr>
        <w:t xml:space="preserve">BDT en 2022 y hasta mayo de 2023. </w:t>
      </w:r>
    </w:p>
    <w:p w14:paraId="3B95B468" w14:textId="68789253" w:rsidR="00172D06" w:rsidRPr="008013F3" w:rsidRDefault="00172D06" w:rsidP="00172D06">
      <w:pPr>
        <w:pStyle w:val="enumlev1"/>
        <w:rPr>
          <w:rFonts w:eastAsia="SimSun"/>
          <w:lang w:val="es-ES_tradnl"/>
        </w:rPr>
      </w:pPr>
      <w:r w:rsidRPr="00172D06">
        <w:rPr>
          <w:szCs w:val="24"/>
          <w:lang w:val="es-ES_tradnl"/>
        </w:rPr>
        <w:t>–</w:t>
      </w:r>
      <w:r>
        <w:rPr>
          <w:szCs w:val="24"/>
          <w:lang w:val="es-ES_tradnl"/>
        </w:rPr>
        <w:tab/>
      </w:r>
      <w:r w:rsidRPr="008013F3">
        <w:rPr>
          <w:szCs w:val="24"/>
          <w:lang w:val="es-ES_tradnl"/>
        </w:rPr>
        <w:t>En el marco de la</w:t>
      </w:r>
      <w:r w:rsidRPr="008013F3">
        <w:rPr>
          <w:b/>
          <w:bCs/>
          <w:szCs w:val="24"/>
          <w:lang w:val="es-ES_tradnl"/>
        </w:rPr>
        <w:t xml:space="preserve"> Campaña de testimonios de</w:t>
      </w:r>
      <w:r w:rsidRPr="008013F3">
        <w:rPr>
          <w:rFonts w:eastAsia="SimSun"/>
          <w:b/>
          <w:bCs/>
          <w:szCs w:val="24"/>
          <w:lang w:val="es-ES_tradnl" w:eastAsia="zh-CN"/>
        </w:rPr>
        <w:t xml:space="preserve"> los miembros del UIT-D</w:t>
      </w:r>
      <w:r w:rsidRPr="008013F3">
        <w:rPr>
          <w:rFonts w:eastAsia="SimSun"/>
          <w:szCs w:val="24"/>
          <w:lang w:val="es-ES_tradnl" w:eastAsia="zh-CN"/>
        </w:rPr>
        <w:t xml:space="preserve">, se seguirán recabando </w:t>
      </w:r>
      <w:r w:rsidRPr="008013F3">
        <w:rPr>
          <w:szCs w:val="24"/>
          <w:lang w:val="es-ES_tradnl"/>
        </w:rPr>
        <w:t>opiniones</w:t>
      </w:r>
      <w:r>
        <w:rPr>
          <w:szCs w:val="24"/>
          <w:lang w:val="es-ES_tradnl"/>
        </w:rPr>
        <w:t xml:space="preserve"> entre los</w:t>
      </w:r>
      <w:r w:rsidRPr="008013F3">
        <w:rPr>
          <w:szCs w:val="24"/>
          <w:lang w:val="es-ES_tradnl"/>
        </w:rPr>
        <w:t xml:space="preserve"> Miembros de Sector </w:t>
      </w:r>
      <w:r>
        <w:rPr>
          <w:szCs w:val="24"/>
          <w:lang w:val="es-ES_tradnl"/>
        </w:rPr>
        <w:t xml:space="preserve">que ocupan altos cargos ejecutivos </w:t>
      </w:r>
      <w:r w:rsidRPr="008013F3">
        <w:rPr>
          <w:szCs w:val="24"/>
          <w:lang w:val="es-ES_tradnl"/>
        </w:rPr>
        <w:t>sobre el valor de la afiliación al UIT-D</w:t>
      </w:r>
      <w:r>
        <w:rPr>
          <w:szCs w:val="24"/>
          <w:lang w:val="es-ES_tradnl"/>
        </w:rPr>
        <w:t>, que se promocionará</w:t>
      </w:r>
      <w:r w:rsidRPr="008013F3">
        <w:rPr>
          <w:szCs w:val="24"/>
          <w:lang w:val="es-ES_tradnl"/>
        </w:rPr>
        <w:t xml:space="preserve"> en eventos de la UIT y medios sociales, con el objetivo tanto de expresar reconocimiento a los miembros como de atraer a nuevos interesados.</w:t>
      </w:r>
    </w:p>
    <w:p w14:paraId="7936C36F" w14:textId="3022611D" w:rsidR="00172D06" w:rsidRPr="008013F3" w:rsidRDefault="00172D06" w:rsidP="00172D06">
      <w:pPr>
        <w:pStyle w:val="enumlev1"/>
        <w:rPr>
          <w:rFonts w:eastAsia="SimSun"/>
          <w:lang w:val="es-ES_tradnl"/>
        </w:rPr>
      </w:pPr>
      <w:r w:rsidRPr="00172D06">
        <w:rPr>
          <w:rFonts w:eastAsia="SimSun"/>
          <w:lang w:val="es-ES_tradnl"/>
        </w:rPr>
        <w:t>–</w:t>
      </w:r>
      <w:r>
        <w:rPr>
          <w:rFonts w:eastAsia="SimSun"/>
          <w:lang w:val="es-ES_tradnl"/>
        </w:rPr>
        <w:tab/>
      </w:r>
      <w:r w:rsidRPr="008013F3">
        <w:rPr>
          <w:rFonts w:eastAsia="SimSun"/>
          <w:lang w:val="es-ES_tradnl"/>
        </w:rPr>
        <w:t>La</w:t>
      </w:r>
      <w:r w:rsidRPr="008013F3">
        <w:rPr>
          <w:rFonts w:eastAsia="SimSun"/>
          <w:b/>
          <w:bCs/>
          <w:lang w:val="es-ES_tradnl"/>
        </w:rPr>
        <w:t xml:space="preserve"> serie Conozca a sus Miembros </w:t>
      </w:r>
      <w:r w:rsidRPr="008013F3">
        <w:rPr>
          <w:rFonts w:eastAsia="SimSun"/>
          <w:lang w:val="es-ES_tradnl"/>
        </w:rPr>
        <w:t xml:space="preserve">y la </w:t>
      </w:r>
      <w:r w:rsidRPr="008013F3">
        <w:rPr>
          <w:rFonts w:eastAsia="SimSun"/>
          <w:b/>
          <w:bCs/>
          <w:lang w:val="es-ES_tradnl"/>
        </w:rPr>
        <w:t xml:space="preserve">serie de Charlas Técnicas </w:t>
      </w:r>
      <w:r w:rsidRPr="008013F3">
        <w:rPr>
          <w:rFonts w:eastAsia="SimSun"/>
          <w:lang w:val="es-ES_tradnl"/>
        </w:rPr>
        <w:t>siguen ofreciendo a los miembros una plataforma exclusiva para efectuar consultas a la dirección e intercambiar conocimientos con colegas del sector y</w:t>
      </w:r>
      <w:r>
        <w:rPr>
          <w:rFonts w:eastAsia="SimSun"/>
          <w:lang w:val="es-ES_tradnl"/>
        </w:rPr>
        <w:t xml:space="preserve"> miembros del</w:t>
      </w:r>
      <w:r w:rsidRPr="008013F3">
        <w:rPr>
          <w:rFonts w:eastAsia="SimSun"/>
          <w:lang w:val="es-ES_tradnl"/>
        </w:rPr>
        <w:t xml:space="preserve"> personal de la UIT. La BDT celebró sesiones con miembros de Instituciones Académicas y de empresas de explotación reconocidas (EER) del UIT-D y recopiló información sobre los ámbitos en que es posible mejorar la colaboración.</w:t>
      </w:r>
    </w:p>
    <w:p w14:paraId="44F4685E" w14:textId="1C5EB47B" w:rsidR="00172D06" w:rsidRPr="00AB67C4" w:rsidRDefault="00172D06" w:rsidP="00172D06">
      <w:pPr>
        <w:pStyle w:val="Heading1"/>
        <w:rPr>
          <w:rFonts w:eastAsia="SimSun"/>
          <w:sz w:val="24"/>
          <w:szCs w:val="24"/>
          <w:lang w:val="es-ES_tradnl" w:eastAsia="zh-CN"/>
        </w:rPr>
      </w:pPr>
      <w:r w:rsidRPr="00AB67C4">
        <w:rPr>
          <w:rFonts w:eastAsia="SimSun"/>
          <w:sz w:val="24"/>
          <w:szCs w:val="24"/>
          <w:lang w:val="es-ES_tradnl" w:eastAsia="zh-CN"/>
        </w:rPr>
        <w:t>4</w:t>
      </w:r>
      <w:r w:rsidRPr="00AB67C4">
        <w:rPr>
          <w:rFonts w:eastAsia="SimSun"/>
          <w:sz w:val="24"/>
          <w:szCs w:val="24"/>
          <w:lang w:val="es-ES_tradnl" w:eastAsia="zh-CN"/>
        </w:rPr>
        <w:tab/>
        <w:t>Conclusiones</w:t>
      </w:r>
    </w:p>
    <w:p w14:paraId="6F54BF7A" w14:textId="77777777" w:rsidR="00172D06" w:rsidRPr="008013F3" w:rsidRDefault="00172D06" w:rsidP="00172D06">
      <w:pPr>
        <w:rPr>
          <w:rFonts w:eastAsia="SimSun"/>
          <w:lang w:val="es-ES_tradnl"/>
        </w:rPr>
      </w:pPr>
      <w:r w:rsidRPr="008013F3">
        <w:rPr>
          <w:rFonts w:eastAsia="SimSun"/>
          <w:lang w:val="es-ES_tradnl"/>
        </w:rPr>
        <w:t>La BDT está decidida a:</w:t>
      </w:r>
    </w:p>
    <w:p w14:paraId="2142A9A7" w14:textId="7CD12744" w:rsidR="00172D06" w:rsidRPr="008013F3" w:rsidRDefault="00172D06" w:rsidP="00172D06">
      <w:pPr>
        <w:pStyle w:val="enumlev1"/>
        <w:rPr>
          <w:rFonts w:eastAsia="SimSun"/>
          <w:lang w:val="es-ES_tradnl"/>
        </w:rPr>
      </w:pPr>
      <w:r>
        <w:rPr>
          <w:rFonts w:eastAsia="SimSun"/>
          <w:lang w:val="es-ES_tradnl"/>
        </w:rPr>
        <w:t>a)</w:t>
      </w:r>
      <w:r>
        <w:rPr>
          <w:rFonts w:eastAsia="SimSun"/>
          <w:lang w:val="es-ES_tradnl"/>
        </w:rPr>
        <w:tab/>
      </w:r>
      <w:r w:rsidRPr="008013F3">
        <w:rPr>
          <w:rFonts w:eastAsia="SimSun"/>
          <w:lang w:val="es-ES_tradnl"/>
        </w:rPr>
        <w:t>reforzar el compromiso con los miembros del UIT-D en el marco de la aplicación del Plan de Acción de Kigali, mediante sesiones informativas y misiones oficiales, demostrando el valor conexo y forjando asociaciones que desbloqueen los recursos financieros necesarios para financiar proyectos e iniciativas de gran alcance;</w:t>
      </w:r>
    </w:p>
    <w:p w14:paraId="157328BD" w14:textId="276E7DE4" w:rsidR="00172D06" w:rsidRPr="008013F3" w:rsidRDefault="00172D06" w:rsidP="00172D06">
      <w:pPr>
        <w:pStyle w:val="enumlev1"/>
        <w:rPr>
          <w:rFonts w:eastAsia="SimSun"/>
          <w:lang w:val="es-ES_tradnl"/>
        </w:rPr>
      </w:pPr>
      <w:r>
        <w:rPr>
          <w:rFonts w:eastAsia="SimSun"/>
          <w:lang w:val="es-ES_tradnl"/>
        </w:rPr>
        <w:lastRenderedPageBreak/>
        <w:t>b)</w:t>
      </w:r>
      <w:r>
        <w:rPr>
          <w:rFonts w:eastAsia="SimSun"/>
          <w:lang w:val="es-ES_tradnl"/>
        </w:rPr>
        <w:tab/>
        <w:t>d</w:t>
      </w:r>
      <w:r w:rsidRPr="008013F3">
        <w:rPr>
          <w:rFonts w:eastAsia="SimSun"/>
          <w:lang w:val="es-ES_tradnl"/>
        </w:rPr>
        <w:t xml:space="preserve">irigirse a los Miembros no activos del UIT-D a fin de mejorar su nivel de participación en las actividades del UIT-D, incluidos eventos tales como las reuniones de las Comisiones de Estudio del UIT-D, el Simposio Mundial para Organismos Reguladores y los Foros de Desarrollo Regional; </w:t>
      </w:r>
      <w:r>
        <w:rPr>
          <w:rFonts w:eastAsia="SimSun"/>
          <w:lang w:val="es-ES_tradnl"/>
        </w:rPr>
        <w:t>y</w:t>
      </w:r>
    </w:p>
    <w:p w14:paraId="7DEE8F8E" w14:textId="740FD9D0" w:rsidR="00172D06" w:rsidRPr="008013F3" w:rsidRDefault="00172D06" w:rsidP="00172D06">
      <w:pPr>
        <w:pStyle w:val="enumlev1"/>
        <w:rPr>
          <w:rFonts w:eastAsia="SimSun"/>
          <w:lang w:val="es-ES_tradnl"/>
        </w:rPr>
      </w:pPr>
      <w:r>
        <w:rPr>
          <w:rFonts w:eastAsia="SimSun"/>
          <w:lang w:val="es-ES_tradnl"/>
        </w:rPr>
        <w:t>c)</w:t>
      </w:r>
      <w:r>
        <w:rPr>
          <w:rFonts w:eastAsia="SimSun"/>
          <w:lang w:val="es-ES_tradnl"/>
        </w:rPr>
        <w:tab/>
      </w:r>
      <w:r w:rsidRPr="008013F3">
        <w:rPr>
          <w:rFonts w:eastAsia="SimSun"/>
          <w:lang w:val="es-ES_tradnl"/>
        </w:rPr>
        <w:t>seguir recopilando información y comentarios de los miembros y las Instituciones Académicas del UIT-D a efectos de la mejora de las herramientas, los procesos y los servicios que fomentan el compromiso y la participación efectivos en los trabajos del</w:t>
      </w:r>
      <w:r w:rsidR="00AB67C4">
        <w:rPr>
          <w:rFonts w:eastAsia="SimSun"/>
          <w:lang w:val="es-ES_tradnl"/>
        </w:rPr>
        <w:t> </w:t>
      </w:r>
      <w:r w:rsidRPr="008013F3">
        <w:rPr>
          <w:rFonts w:eastAsia="SimSun"/>
          <w:lang w:val="es-ES_tradnl"/>
        </w:rPr>
        <w:t>UIT</w:t>
      </w:r>
      <w:r w:rsidR="00AB67C4">
        <w:rPr>
          <w:rFonts w:eastAsia="SimSun"/>
          <w:lang w:val="es-ES_tradnl"/>
        </w:rPr>
        <w:noBreakHyphen/>
      </w:r>
      <w:r w:rsidRPr="008013F3">
        <w:rPr>
          <w:rFonts w:eastAsia="SimSun"/>
          <w:lang w:val="es-ES_tradnl"/>
        </w:rPr>
        <w:t xml:space="preserve">D. </w:t>
      </w:r>
    </w:p>
    <w:p w14:paraId="440643EE" w14:textId="14488691" w:rsidR="00172D06" w:rsidRPr="00AB67C4" w:rsidRDefault="00172D06" w:rsidP="00172D06">
      <w:pPr>
        <w:pStyle w:val="Heading1"/>
        <w:rPr>
          <w:rFonts w:eastAsia="SimSun"/>
          <w:sz w:val="24"/>
          <w:szCs w:val="24"/>
          <w:lang w:val="es-ES_tradnl"/>
        </w:rPr>
      </w:pPr>
      <w:r w:rsidRPr="00AB67C4">
        <w:rPr>
          <w:rFonts w:eastAsia="SimSun"/>
          <w:sz w:val="24"/>
          <w:szCs w:val="24"/>
          <w:lang w:val="es-ES_tradnl" w:eastAsia="zh-CN"/>
        </w:rPr>
        <w:t>5</w:t>
      </w:r>
      <w:r w:rsidRPr="00AB67C4">
        <w:rPr>
          <w:rFonts w:eastAsia="SimSun"/>
          <w:sz w:val="24"/>
          <w:szCs w:val="24"/>
          <w:lang w:val="es-ES_tradnl" w:eastAsia="zh-CN"/>
        </w:rPr>
        <w:tab/>
        <w:t>Petición de apoyo</w:t>
      </w:r>
    </w:p>
    <w:p w14:paraId="3F68D95A" w14:textId="77777777" w:rsidR="00172D06" w:rsidRPr="008013F3" w:rsidRDefault="00172D06" w:rsidP="00172D06">
      <w:pPr>
        <w:rPr>
          <w:rFonts w:eastAsia="SimSun"/>
          <w:lang w:val="es-ES_tradnl"/>
        </w:rPr>
      </w:pPr>
      <w:r w:rsidRPr="008013F3">
        <w:rPr>
          <w:rFonts w:eastAsia="SimSun"/>
          <w:lang w:val="es-ES_tradnl"/>
        </w:rPr>
        <w:t>Se invita a los Estados Miembros a participar y a promover, en colaboración con el sector privado, la industria y las universidades de su país</w:t>
      </w:r>
      <w:r>
        <w:rPr>
          <w:rFonts w:eastAsia="SimSun"/>
          <w:lang w:val="es-ES_tradnl"/>
        </w:rPr>
        <w:t xml:space="preserve">, </w:t>
      </w:r>
      <w:r w:rsidRPr="008013F3">
        <w:rPr>
          <w:rFonts w:eastAsia="SimSun"/>
          <w:lang w:val="es-ES_tradnl"/>
        </w:rPr>
        <w:t xml:space="preserve">los beneficios de formar parte del UIT-D. Se alienta a los Estados Miembros a completar oportunamente los trámites de diligencia debida de las nuevas solicitudes, de tal manera que las entidades solicitantes </w:t>
      </w:r>
      <w:r>
        <w:rPr>
          <w:rFonts w:eastAsia="SimSun"/>
          <w:lang w:val="es-ES_tradnl"/>
        </w:rPr>
        <w:t>no pierdan l</w:t>
      </w:r>
      <w:r w:rsidRPr="008013F3">
        <w:rPr>
          <w:rFonts w:eastAsia="SimSun"/>
          <w:lang w:val="es-ES_tradnl"/>
        </w:rPr>
        <w:t>a motivación para completar el proceso de afiliación.</w:t>
      </w:r>
    </w:p>
    <w:p w14:paraId="0D0978AD" w14:textId="77777777" w:rsidR="00EC6FED" w:rsidRPr="00D8041C" w:rsidRDefault="00EC6FED" w:rsidP="00935FF0">
      <w:pPr>
        <w:rPr>
          <w:lang w:val="es-ES_tradnl"/>
        </w:rPr>
      </w:pPr>
    </w:p>
    <w:p w14:paraId="74DA65FA" w14:textId="4E0DF58A" w:rsidR="00821996" w:rsidRPr="00D8041C" w:rsidRDefault="003C58BF" w:rsidP="00AB67C4">
      <w:pPr>
        <w:tabs>
          <w:tab w:val="clear" w:pos="794"/>
          <w:tab w:val="clear" w:pos="1191"/>
          <w:tab w:val="clear" w:pos="1588"/>
          <w:tab w:val="clear" w:pos="1985"/>
        </w:tabs>
        <w:spacing w:after="120"/>
        <w:jc w:val="center"/>
        <w:rPr>
          <w:lang w:val="es-ES_tradnl"/>
        </w:rPr>
      </w:pPr>
      <w:bookmarkStart w:id="7" w:name="Proposal"/>
      <w:bookmarkEnd w:id="7"/>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C5AF" w14:textId="77777777" w:rsidR="00172D06" w:rsidRDefault="00172D06">
      <w:r>
        <w:separator/>
      </w:r>
    </w:p>
  </w:endnote>
  <w:endnote w:type="continuationSeparator" w:id="0">
    <w:p w14:paraId="0D439B1F" w14:textId="77777777" w:rsidR="00172D06" w:rsidRDefault="0017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A9F" w14:textId="2E02B599" w:rsidR="00F51052" w:rsidRDefault="008469E2" w:rsidP="00F51052">
    <w:pPr>
      <w:pStyle w:val="Footer"/>
    </w:pPr>
    <w:r>
      <w:fldChar w:fldCharType="begin"/>
    </w:r>
    <w:r>
      <w:instrText xml:space="preserve"> FILENAME \p  \* MERGEFORMAT </w:instrText>
    </w:r>
    <w:r>
      <w:fldChar w:fldCharType="separate"/>
    </w:r>
    <w:r w:rsidR="00BC4238">
      <w:t>P:\ESP\ITU-D\CONF-D\TDAG23\TDAG23-30\000\008REV1S.docx</w:t>
    </w:r>
    <w:r>
      <w:fldChar w:fldCharType="end"/>
    </w:r>
    <w:r w:rsidR="00F51052">
      <w:t xml:space="preserve"> (</w:t>
    </w:r>
    <w:r w:rsidR="00BC4238">
      <w:t>523125</w:t>
    </w:r>
    <w:r w:rsidR="00F5105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636E67" w14:paraId="2E606AA0" w14:textId="77777777" w:rsidTr="004E3CF5">
      <w:tc>
        <w:tcPr>
          <w:tcW w:w="1526" w:type="dxa"/>
          <w:tcBorders>
            <w:top w:val="single" w:sz="4" w:space="0" w:color="000000"/>
          </w:tcBorders>
          <w:shd w:val="clear" w:color="auto" w:fill="auto"/>
        </w:tcPr>
        <w:p w14:paraId="0BB6F544"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04EBF691"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6B5EC960" w14:textId="5D7FF408" w:rsidR="0059420B" w:rsidRPr="00842E57" w:rsidRDefault="00172D06" w:rsidP="0059420B">
          <w:pPr>
            <w:pStyle w:val="FirstFooter"/>
            <w:tabs>
              <w:tab w:val="left" w:pos="2302"/>
            </w:tabs>
            <w:rPr>
              <w:sz w:val="18"/>
              <w:szCs w:val="18"/>
              <w:lang w:val="es-ES_tradnl"/>
            </w:rPr>
          </w:pPr>
          <w:r w:rsidRPr="00FF0ACB">
            <w:rPr>
              <w:sz w:val="18"/>
              <w:szCs w:val="18"/>
              <w:lang w:val="es-ES"/>
            </w:rPr>
            <w:t>Sr. Marco Obiso, Jefe</w:t>
          </w:r>
          <w:r>
            <w:rPr>
              <w:sz w:val="18"/>
              <w:szCs w:val="18"/>
              <w:lang w:val="es-ES"/>
            </w:rPr>
            <w:t xml:space="preserve"> en funciones</w:t>
          </w:r>
          <w:r w:rsidRPr="00FF0ACB">
            <w:rPr>
              <w:sz w:val="18"/>
              <w:szCs w:val="18"/>
              <w:lang w:val="es-ES"/>
            </w:rPr>
            <w:t xml:space="preserve"> del Departamento de Asociaciones para el Desarrollo Digital, Oficina de Desarrollo de las Telecomunicaciones</w:t>
          </w:r>
        </w:p>
      </w:tc>
      <w:bookmarkStart w:id="8" w:name="OrgName"/>
      <w:bookmarkEnd w:id="8"/>
    </w:tr>
    <w:tr w:rsidR="0059420B" w:rsidRPr="00842E57" w14:paraId="18123DC7" w14:textId="77777777" w:rsidTr="004E3CF5">
      <w:tc>
        <w:tcPr>
          <w:tcW w:w="1526" w:type="dxa"/>
          <w:shd w:val="clear" w:color="auto" w:fill="auto"/>
        </w:tcPr>
        <w:p w14:paraId="43E7549E"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CA5F8BC"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2643F4C7" w14:textId="0791A9B5" w:rsidR="0059420B" w:rsidRPr="00842E57" w:rsidRDefault="00172D06" w:rsidP="0059420B">
          <w:pPr>
            <w:pStyle w:val="FirstFooter"/>
            <w:tabs>
              <w:tab w:val="left" w:pos="2302"/>
            </w:tabs>
            <w:rPr>
              <w:sz w:val="18"/>
              <w:szCs w:val="18"/>
              <w:lang w:val="es-ES_tradnl"/>
            </w:rPr>
          </w:pPr>
          <w:r>
            <w:rPr>
              <w:sz w:val="18"/>
              <w:szCs w:val="18"/>
              <w:lang w:val="en-US"/>
            </w:rPr>
            <w:t>+41 22 730 6760</w:t>
          </w:r>
        </w:p>
      </w:tc>
      <w:bookmarkStart w:id="9" w:name="PhoneNo"/>
      <w:bookmarkEnd w:id="9"/>
    </w:tr>
    <w:tr w:rsidR="0059420B" w:rsidRPr="00842E57" w14:paraId="12D74B0E" w14:textId="77777777" w:rsidTr="004E3CF5">
      <w:tc>
        <w:tcPr>
          <w:tcW w:w="1526" w:type="dxa"/>
          <w:shd w:val="clear" w:color="auto" w:fill="auto"/>
        </w:tcPr>
        <w:p w14:paraId="0ED8B9B6"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2B593A5C"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19209A97" w14:textId="33CDFF7A" w:rsidR="0059420B" w:rsidRPr="00842E57" w:rsidRDefault="008469E2" w:rsidP="0059420B">
          <w:pPr>
            <w:pStyle w:val="FirstFooter"/>
            <w:tabs>
              <w:tab w:val="left" w:pos="2302"/>
            </w:tabs>
            <w:rPr>
              <w:sz w:val="18"/>
              <w:szCs w:val="18"/>
              <w:lang w:val="es-ES_tradnl"/>
            </w:rPr>
          </w:pPr>
          <w:hyperlink r:id="rId1" w:history="1">
            <w:r w:rsidR="00172D06" w:rsidRPr="00383E73">
              <w:rPr>
                <w:rStyle w:val="Hyperlink"/>
                <w:sz w:val="18"/>
                <w:szCs w:val="18"/>
                <w:lang w:val="en-US"/>
              </w:rPr>
              <w:t>marco.obiso@itu.int</w:t>
            </w:r>
          </w:hyperlink>
        </w:p>
      </w:tc>
      <w:bookmarkStart w:id="10" w:name="Email"/>
      <w:bookmarkEnd w:id="10"/>
    </w:tr>
  </w:tbl>
  <w:p w14:paraId="68671467" w14:textId="77777777" w:rsidR="0059420B" w:rsidRDefault="0059420B" w:rsidP="00B80157">
    <w:pPr>
      <w:pStyle w:val="Footer"/>
      <w:jc w:val="center"/>
      <w:rPr>
        <w:lang w:val="en-GB"/>
      </w:rPr>
    </w:pPr>
  </w:p>
  <w:p w14:paraId="558695B9" w14:textId="77777777" w:rsidR="00721657" w:rsidRPr="003C6C09" w:rsidRDefault="008469E2"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7AB7" w14:textId="77777777" w:rsidR="00172D06" w:rsidRDefault="00172D06">
      <w:r>
        <w:t>____________________</w:t>
      </w:r>
    </w:p>
  </w:footnote>
  <w:footnote w:type="continuationSeparator" w:id="0">
    <w:p w14:paraId="61BE2413" w14:textId="77777777" w:rsidR="00172D06" w:rsidRDefault="00172D06">
      <w:r>
        <w:continuationSeparator/>
      </w:r>
    </w:p>
  </w:footnote>
  <w:footnote w:id="1">
    <w:p w14:paraId="34D5ECB0" w14:textId="37F288F0" w:rsidR="00172D06" w:rsidRPr="00E65635" w:rsidRDefault="00172D06" w:rsidP="00172D06">
      <w:pPr>
        <w:pStyle w:val="FootnoteText"/>
        <w:keepLines w:val="0"/>
        <w:spacing w:after="240"/>
        <w:ind w:left="0" w:firstLine="0"/>
        <w:rPr>
          <w:sz w:val="20"/>
          <w:lang w:val="es-ES_tradnl"/>
        </w:rPr>
      </w:pPr>
      <w:r w:rsidRPr="00172D06">
        <w:rPr>
          <w:rStyle w:val="FootnoteReference"/>
          <w:szCs w:val="18"/>
          <w:lang w:val="es-ES_tradnl"/>
        </w:rPr>
        <w:footnoteRef/>
      </w:r>
      <w:r>
        <w:rPr>
          <w:sz w:val="18"/>
          <w:szCs w:val="18"/>
          <w:lang w:val="es-ES_tradnl"/>
        </w:rPr>
        <w:tab/>
      </w:r>
      <w:r w:rsidRPr="00E65635">
        <w:rPr>
          <w:sz w:val="20"/>
          <w:lang w:val="es-ES_tradnl"/>
        </w:rPr>
        <w:t>Véase la Resolución 169 (Guadalajara, 2010) de la Conferencia de Plenipotenciarios, en la que se resuelve admitir la participación de las instituciones académicas en los trabajos de la Unión</w:t>
      </w:r>
      <w:r>
        <w:rPr>
          <w:sz w:val="20"/>
          <w:lang w:val="es-ES_tradnl"/>
        </w:rPr>
        <w:t xml:space="preserve"> en el marco de una nueva categoría</w:t>
      </w:r>
      <w:r w:rsidRPr="00E65635">
        <w:rPr>
          <w:sz w:val="20"/>
          <w:lang w:val="es-ES_tradnl"/>
        </w:rPr>
        <w:t xml:space="preserve">. </w:t>
      </w:r>
    </w:p>
  </w:footnote>
  <w:footnote w:id="2">
    <w:p w14:paraId="3562C3D2" w14:textId="008FB620" w:rsidR="00172D06" w:rsidRPr="00E65635" w:rsidRDefault="00172D06" w:rsidP="00172D06">
      <w:pPr>
        <w:pStyle w:val="FootnoteText"/>
        <w:keepLines w:val="0"/>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Resolución 71 (Rev. Kigali, 2022), </w:t>
      </w:r>
      <w:r w:rsidRPr="00E65635">
        <w:rPr>
          <w:i/>
          <w:iCs/>
          <w:sz w:val="20"/>
          <w:lang w:val="es-ES_tradnl"/>
        </w:rPr>
        <w:t>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r w:rsidRPr="00E65635">
        <w:rPr>
          <w:sz w:val="20"/>
          <w:lang w:val="es-ES_tradnl"/>
        </w:rPr>
        <w:t>.</w:t>
      </w:r>
    </w:p>
  </w:footnote>
  <w:footnote w:id="3">
    <w:p w14:paraId="28FF1400" w14:textId="432D3DD0"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18"/>
          <w:szCs w:val="18"/>
          <w:lang w:val="es-ES_tradnl"/>
        </w:rPr>
        <w:tab/>
      </w:r>
      <w:r w:rsidRPr="00E65635">
        <w:rPr>
          <w:sz w:val="20"/>
          <w:lang w:val="es-ES_tradnl"/>
        </w:rPr>
        <w:t>Entidades enumeradas por fecha de activación de la cuenta: Nokia Corporation (Finlandia), Softbank Corporation (Japón), Access Partnership Limited (Reino Unido), Organización para la Cooperación Digital (Arabia Saudita), Afnic</w:t>
      </w:r>
      <w:r w:rsidR="00B36238">
        <w:rPr>
          <w:sz w:val="20"/>
          <w:lang w:val="es-ES_tradnl"/>
        </w:rPr>
        <w:t> </w:t>
      </w:r>
      <w:r w:rsidRPr="00E65635">
        <w:rPr>
          <w:sz w:val="20"/>
          <w:lang w:val="es-ES_tradnl"/>
        </w:rPr>
        <w:t xml:space="preserve">(Francia), E-Space Inc (Estados Unidos de América), RKF Engineering Solutions, LLC (Estados Unidos de América), Cameroon Telecommunications (Camerún), Mozilla Corporation (Estados Unidos de América), Cámara de Comercio Internacional (Francia), Liquid Intelligent Technologies Group (Mauricio), Fundación de las Naciones Unidas, Digital Impact Alliance (Estados Unidos de América), NeuStar Inc. (Estados Unidos de América), Dreamlab Technologies (Suiza), ApplianSys (Reino Unido), Everycode-inSuit (España), Mediafon de México (México), FPT Corporation (Vietnam). </w:t>
      </w:r>
    </w:p>
  </w:footnote>
  <w:footnote w:id="4">
    <w:p w14:paraId="5CAF0D21" w14:textId="1203A2A4" w:rsidR="00172D06" w:rsidRPr="00E65635" w:rsidRDefault="00172D06" w:rsidP="00172D06">
      <w:pPr>
        <w:pStyle w:val="FootnoteText"/>
        <w:spacing w:before="0"/>
        <w:ind w:left="0" w:firstLine="0"/>
        <w:rPr>
          <w:sz w:val="20"/>
          <w:lang w:val="es-ES_tradnl"/>
        </w:rPr>
      </w:pPr>
      <w:r w:rsidRPr="00B36238">
        <w:rPr>
          <w:rStyle w:val="FootnoteReference"/>
          <w:lang w:val="es-ES"/>
        </w:rPr>
        <w:t>4</w:t>
      </w:r>
      <w:r w:rsidR="00B36238" w:rsidRPr="00B36238">
        <w:rPr>
          <w:rStyle w:val="FootnoteReference"/>
          <w:lang w:val="es-ES"/>
        </w:rPr>
        <w:tab/>
      </w:r>
      <w:r w:rsidRPr="00E65635">
        <w:rPr>
          <w:sz w:val="20"/>
          <w:lang w:val="es-ES_tradnl"/>
        </w:rPr>
        <w:t>Entidades enumeradas por fecha de activación de la cuenta: Everybridge One2many (Países Bajos), Jordan Mobile Telecommunications Services - ZAIN Jordan (Jordania), AST &amp; Science SpaceMobile (Estados Unidos de América), Cyber Security Africa Limited (Kenya)</w:t>
      </w:r>
      <w:r w:rsidR="00636E67">
        <w:rPr>
          <w:sz w:val="20"/>
          <w:lang w:val="es-ES_tradnl"/>
        </w:rPr>
        <w:t>,</w:t>
      </w:r>
      <w:r w:rsidR="00636E67" w:rsidRPr="00BA62AF">
        <w:rPr>
          <w:sz w:val="20"/>
          <w:lang w:val="es-ES"/>
        </w:rPr>
        <w:t xml:space="preserve"> Kacific Broadband Satellites (Singap</w:t>
      </w:r>
      <w:r w:rsidR="00636E67">
        <w:rPr>
          <w:sz w:val="20"/>
          <w:lang w:val="es-ES"/>
        </w:rPr>
        <w:t>u</w:t>
      </w:r>
      <w:r w:rsidR="00636E67" w:rsidRPr="00BA62AF">
        <w:rPr>
          <w:sz w:val="20"/>
          <w:lang w:val="es-ES"/>
        </w:rPr>
        <w:t>r</w:t>
      </w:r>
      <w:r w:rsidR="00636E67">
        <w:rPr>
          <w:sz w:val="20"/>
          <w:lang w:val="es-ES"/>
        </w:rPr>
        <w:t>)</w:t>
      </w:r>
      <w:r w:rsidRPr="00E65635">
        <w:rPr>
          <w:sz w:val="20"/>
          <w:lang w:val="es-ES_tradnl"/>
        </w:rPr>
        <w:t>.</w:t>
      </w:r>
    </w:p>
  </w:footnote>
  <w:footnote w:id="5">
    <w:p w14:paraId="42978F9E" w14:textId="5D20EE2C"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Entidades enumeradas por fecha de recepción de la aprobación de la Administración: Minutes Network Limited (Reino Unido), Aminia Dada Innovations (Kenya), F24 France SAS (Francia), Powertel Communications (Zimbabwe), PNG Dataco Limited (Papua Nueva Guinea), mU Space and Advanced Technology Company (Tailandia).</w:t>
      </w:r>
    </w:p>
  </w:footnote>
  <w:footnote w:id="6">
    <w:p w14:paraId="4B6D7810" w14:textId="1BFFC129"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Las Instituciones Académicas miembros participan en los trabajos de los tres Sectores de la UIT, incluidos sus Grupos Asesores. También participan en las conferencias mundiales y regionales, los talleres y las actividades de la</w:t>
      </w:r>
      <w:r w:rsidR="00B36238">
        <w:rPr>
          <w:sz w:val="20"/>
          <w:lang w:val="es-ES_tradnl"/>
        </w:rPr>
        <w:t> </w:t>
      </w:r>
      <w:r w:rsidRPr="00E65635">
        <w:rPr>
          <w:sz w:val="20"/>
          <w:lang w:val="es-ES_tradnl"/>
        </w:rPr>
        <w:t>Unión, a excepción de las Conferencias de Plenipotenciarios, las Conferencias Mundiales de Radiocomunicaciones, las Conferencias Mundiales de Telecomunicaciones Internacionales y las reuniones del Consejo de la UIT, de conformidad con el reglamento interno de cada uno de los Sectores.</w:t>
      </w:r>
    </w:p>
  </w:footnote>
  <w:footnote w:id="7">
    <w:p w14:paraId="41A3EB95" w14:textId="775639BB" w:rsidR="00172D06" w:rsidRPr="00E65635" w:rsidRDefault="00172D06" w:rsidP="00172D06">
      <w:pPr>
        <w:pStyle w:val="FootnoteText"/>
        <w:spacing w:before="0"/>
        <w:ind w:left="0" w:firstLine="0"/>
        <w:rPr>
          <w:sz w:val="20"/>
          <w:lang w:val="es-ES_tradnl" w:eastAsia="zh-CN"/>
        </w:rPr>
      </w:pPr>
      <w:r w:rsidRPr="00B36238">
        <w:rPr>
          <w:rStyle w:val="FootnoteReference"/>
          <w:szCs w:val="18"/>
          <w:lang w:val="es-ES_tradnl"/>
        </w:rPr>
        <w:footnoteRef/>
      </w:r>
      <w:r w:rsidR="00B36238">
        <w:rPr>
          <w:sz w:val="20"/>
          <w:lang w:val="es-ES_tradnl" w:eastAsia="zh-CN"/>
        </w:rPr>
        <w:tab/>
      </w:r>
      <w:r w:rsidRPr="00E65635">
        <w:rPr>
          <w:sz w:val="20"/>
          <w:lang w:val="es-ES_tradnl"/>
        </w:rPr>
        <w:t>Entidades enumeradas por</w:t>
      </w:r>
      <w:r w:rsidRPr="00E65635">
        <w:rPr>
          <w:sz w:val="20"/>
          <w:lang w:val="es-ES_tradnl" w:eastAsia="zh-CN"/>
        </w:rPr>
        <w:t xml:space="preserve"> fecha de activación de la cuenta: Universidad de las Indias Occidentales (Barbados), Universi</w:t>
      </w:r>
      <w:r>
        <w:rPr>
          <w:sz w:val="20"/>
          <w:lang w:val="es-ES_tradnl" w:eastAsia="zh-CN"/>
        </w:rPr>
        <w:t>dad de</w:t>
      </w:r>
      <w:r w:rsidRPr="00E65635">
        <w:rPr>
          <w:sz w:val="20"/>
          <w:lang w:val="es-ES_tradnl" w:eastAsia="zh-CN"/>
        </w:rPr>
        <w:t xml:space="preserve"> Pennsylvania (Estados Unidos de América), Instituto Nacional de Investigación y Desarrollo en Informática (Rumania), Facultad de Estudios Marítimos (Croacia), Universidad Nacional de Córdoba (Argentina), Instituto Nacional de Tecnología Visvesvaraya (India), Instituto Indio de Gestión </w:t>
      </w:r>
      <w:r>
        <w:rPr>
          <w:sz w:val="20"/>
          <w:lang w:val="es-ES_tradnl" w:eastAsia="zh-CN"/>
        </w:rPr>
        <w:t xml:space="preserve">de </w:t>
      </w:r>
      <w:r w:rsidRPr="00E65635">
        <w:rPr>
          <w:sz w:val="20"/>
          <w:lang w:val="es-ES_tradnl" w:eastAsia="zh-CN"/>
        </w:rPr>
        <w:t xml:space="preserve">Kashipur (India), </w:t>
      </w:r>
      <w:r>
        <w:rPr>
          <w:sz w:val="20"/>
          <w:lang w:val="es-ES_tradnl" w:eastAsia="zh-CN"/>
        </w:rPr>
        <w:t xml:space="preserve">Laboratorio de </w:t>
      </w:r>
      <w:r w:rsidRPr="00E65635">
        <w:rPr>
          <w:sz w:val="20"/>
          <w:lang w:val="es-ES_tradnl" w:eastAsia="zh-CN"/>
        </w:rPr>
        <w:t>Peng Chang (China),</w:t>
      </w:r>
      <w:r>
        <w:rPr>
          <w:sz w:val="20"/>
          <w:lang w:val="es-ES_tradnl" w:eastAsia="zh-CN"/>
        </w:rPr>
        <w:t xml:space="preserve"> Universidad </w:t>
      </w:r>
      <w:r w:rsidRPr="00E65635">
        <w:rPr>
          <w:sz w:val="20"/>
          <w:lang w:val="es-ES_tradnl" w:eastAsia="zh-CN"/>
        </w:rPr>
        <w:t>Baylor (Estados Unidos de América), Universi</w:t>
      </w:r>
      <w:r>
        <w:rPr>
          <w:sz w:val="20"/>
          <w:lang w:val="es-ES_tradnl" w:eastAsia="zh-CN"/>
        </w:rPr>
        <w:t xml:space="preserve">dad </w:t>
      </w:r>
      <w:r w:rsidRPr="00E65635">
        <w:rPr>
          <w:sz w:val="20"/>
          <w:lang w:val="es-ES_tradnl" w:eastAsia="zh-CN"/>
        </w:rPr>
        <w:t>Jiaotong</w:t>
      </w:r>
      <w:r>
        <w:rPr>
          <w:sz w:val="20"/>
          <w:lang w:val="es-ES_tradnl" w:eastAsia="zh-CN"/>
        </w:rPr>
        <w:t xml:space="preserve"> de</w:t>
      </w:r>
      <w:r w:rsidRPr="00E65635">
        <w:rPr>
          <w:sz w:val="20"/>
          <w:lang w:val="es-ES_tradnl" w:eastAsia="zh-CN"/>
        </w:rPr>
        <w:t xml:space="preserve"> Beijing (China), Instituto de Comunicaciones de China (China), Universidad de Geociencias de China (China), sucursal de</w:t>
      </w:r>
      <w:r>
        <w:rPr>
          <w:sz w:val="20"/>
          <w:lang w:val="es-ES_tradnl" w:eastAsia="zh-CN"/>
        </w:rPr>
        <w:t>l</w:t>
      </w:r>
      <w:r w:rsidRPr="00E65635">
        <w:rPr>
          <w:sz w:val="20"/>
          <w:lang w:val="es-ES_tradnl" w:eastAsia="zh-CN"/>
        </w:rPr>
        <w:t xml:space="preserve"> Instituto de Redes Futur</w:t>
      </w:r>
      <w:r>
        <w:rPr>
          <w:sz w:val="20"/>
          <w:lang w:val="es-ES_tradnl" w:eastAsia="zh-CN"/>
        </w:rPr>
        <w:t>as</w:t>
      </w:r>
      <w:r w:rsidRPr="00E65635">
        <w:rPr>
          <w:sz w:val="20"/>
          <w:lang w:val="es-ES_tradnl" w:eastAsia="zh-CN"/>
        </w:rPr>
        <w:t xml:space="preserve"> de</w:t>
      </w:r>
      <w:r>
        <w:rPr>
          <w:sz w:val="20"/>
          <w:lang w:val="es-ES_tradnl" w:eastAsia="zh-CN"/>
        </w:rPr>
        <w:t>l grupo</w:t>
      </w:r>
      <w:r w:rsidRPr="00E65635">
        <w:rPr>
          <w:sz w:val="20"/>
          <w:lang w:val="es-ES_tradnl" w:eastAsia="zh-CN"/>
        </w:rPr>
        <w:t xml:space="preserve"> BRICS </w:t>
      </w:r>
      <w:r>
        <w:rPr>
          <w:sz w:val="20"/>
          <w:lang w:val="es-ES_tradnl" w:eastAsia="zh-CN"/>
        </w:rPr>
        <w:t xml:space="preserve">en China </w:t>
      </w:r>
      <w:r w:rsidRPr="00E65635">
        <w:rPr>
          <w:sz w:val="20"/>
          <w:lang w:val="es-ES_tradnl" w:eastAsia="zh-CN"/>
        </w:rPr>
        <w:t xml:space="preserve">(China), </w:t>
      </w:r>
      <w:r>
        <w:rPr>
          <w:sz w:val="20"/>
          <w:lang w:val="es-ES_tradnl" w:eastAsia="zh-CN"/>
        </w:rPr>
        <w:t xml:space="preserve">Laboratorios </w:t>
      </w:r>
      <w:r w:rsidRPr="00E65635">
        <w:rPr>
          <w:sz w:val="20"/>
          <w:lang w:val="es-ES_tradnl" w:eastAsia="zh-CN"/>
        </w:rPr>
        <w:t xml:space="preserve">Purple Mountain (China), </w:t>
      </w:r>
      <w:r>
        <w:rPr>
          <w:sz w:val="20"/>
          <w:lang w:val="es-ES_tradnl" w:eastAsia="zh-CN"/>
        </w:rPr>
        <w:t xml:space="preserve">Universidad de </w:t>
      </w:r>
      <w:r w:rsidRPr="00E65635">
        <w:rPr>
          <w:sz w:val="20"/>
          <w:lang w:val="es-ES_tradnl" w:eastAsia="zh-CN"/>
        </w:rPr>
        <w:t>Daejeon</w:t>
      </w:r>
      <w:r w:rsidR="00AB67C4">
        <w:rPr>
          <w:sz w:val="20"/>
          <w:lang w:val="es-ES_tradnl" w:eastAsia="zh-CN"/>
        </w:rPr>
        <w:t> </w:t>
      </w:r>
      <w:r w:rsidRPr="00E65635">
        <w:rPr>
          <w:sz w:val="20"/>
          <w:lang w:val="es-ES_tradnl" w:eastAsia="zh-CN"/>
        </w:rPr>
        <w:t>(Corea,</w:t>
      </w:r>
      <w:r w:rsidR="00AB67C4">
        <w:rPr>
          <w:sz w:val="20"/>
          <w:lang w:val="es-ES_tradnl" w:eastAsia="zh-CN"/>
        </w:rPr>
        <w:t> </w:t>
      </w:r>
      <w:r w:rsidRPr="00E65635">
        <w:rPr>
          <w:sz w:val="20"/>
          <w:lang w:val="es-ES_tradnl" w:eastAsia="zh-CN"/>
        </w:rPr>
        <w:t>Rep.</w:t>
      </w:r>
      <w:r w:rsidR="00AB67C4">
        <w:rPr>
          <w:sz w:val="20"/>
          <w:lang w:val="es-ES_tradnl" w:eastAsia="zh-CN"/>
        </w:rPr>
        <w:t> </w:t>
      </w:r>
      <w:r w:rsidRPr="00E65635">
        <w:rPr>
          <w:sz w:val="20"/>
          <w:lang w:val="es-ES_tradnl" w:eastAsia="zh-CN"/>
        </w:rPr>
        <w:t xml:space="preserve">de), Universidad Renmin de China (China), Instituto de </w:t>
      </w:r>
      <w:r>
        <w:rPr>
          <w:sz w:val="20"/>
          <w:lang w:val="es-ES_tradnl" w:eastAsia="zh-CN"/>
        </w:rPr>
        <w:t>criptomonedas</w:t>
      </w:r>
      <w:r w:rsidRPr="00E65635">
        <w:rPr>
          <w:sz w:val="20"/>
          <w:lang w:val="es-ES_tradnl" w:eastAsia="zh-CN"/>
        </w:rPr>
        <w:t xml:space="preserve"> del Banco Popular de China (China), </w:t>
      </w:r>
      <w:r>
        <w:rPr>
          <w:sz w:val="20"/>
          <w:lang w:val="es-ES_tradnl" w:eastAsia="zh-CN"/>
        </w:rPr>
        <w:t xml:space="preserve">Universidad de </w:t>
      </w:r>
      <w:r w:rsidRPr="00E65635">
        <w:rPr>
          <w:sz w:val="20"/>
          <w:lang w:val="es-ES_tradnl" w:eastAsia="zh-CN"/>
        </w:rPr>
        <w:t xml:space="preserve">Beihang (China), </w:t>
      </w:r>
      <w:r w:rsidRPr="009F30F2">
        <w:rPr>
          <w:sz w:val="20"/>
          <w:lang w:val="es-ES_tradnl" w:eastAsia="zh-CN"/>
        </w:rPr>
        <w:t xml:space="preserve">Instituto Nacional de Telecomunicaciones </w:t>
      </w:r>
      <w:r w:rsidRPr="00E65635">
        <w:rPr>
          <w:sz w:val="20"/>
          <w:lang w:val="es-ES_tradnl" w:eastAsia="zh-CN"/>
        </w:rPr>
        <w:t xml:space="preserve">(Polonia), </w:t>
      </w:r>
      <w:r w:rsidRPr="009F30F2">
        <w:rPr>
          <w:sz w:val="20"/>
          <w:lang w:val="es-ES_tradnl" w:eastAsia="zh-CN"/>
        </w:rPr>
        <w:t>Universidad de Corea (Rep. de Corea), Universidad de Glasgow (Reino Unido).</w:t>
      </w:r>
    </w:p>
  </w:footnote>
  <w:footnote w:id="8">
    <w:p w14:paraId="489190F0" w14:textId="7B63B253" w:rsidR="00172D06" w:rsidRPr="009F30F2" w:rsidRDefault="00172D06" w:rsidP="00172D06">
      <w:pPr>
        <w:pStyle w:val="FootnoteText"/>
        <w:spacing w:before="0"/>
        <w:ind w:left="0" w:firstLine="0"/>
        <w:rPr>
          <w:sz w:val="20"/>
          <w:lang w:val="es-ES"/>
        </w:rPr>
      </w:pPr>
      <w:r w:rsidRPr="00B36238">
        <w:rPr>
          <w:rStyle w:val="FootnoteReference"/>
          <w:szCs w:val="18"/>
          <w:lang w:val="es-ES_tradnl"/>
        </w:rPr>
        <w:footnoteRef/>
      </w:r>
      <w:r w:rsidR="00B36238">
        <w:rPr>
          <w:sz w:val="20"/>
          <w:lang w:val="es-ES_tradnl" w:eastAsia="zh-CN"/>
        </w:rPr>
        <w:tab/>
      </w:r>
      <w:r w:rsidRPr="00E65635">
        <w:rPr>
          <w:sz w:val="20"/>
          <w:lang w:val="es-ES_tradnl" w:eastAsia="zh-CN"/>
        </w:rPr>
        <w:t xml:space="preserve">Entidades enumeradas por fecha de activación de la cuenta: </w:t>
      </w:r>
      <w:r w:rsidRPr="009F30F2">
        <w:rPr>
          <w:sz w:val="20"/>
          <w:lang w:val="es-ES_tradnl" w:eastAsia="zh-CN"/>
        </w:rPr>
        <w:t>Instituto de Tecnología de Blekinge (Suecia), Universidad Jiaotong</w:t>
      </w:r>
      <w:r>
        <w:rPr>
          <w:sz w:val="20"/>
          <w:lang w:val="es-ES_tradnl" w:eastAsia="zh-CN"/>
        </w:rPr>
        <w:t xml:space="preserve"> de</w:t>
      </w:r>
      <w:r w:rsidRPr="009F30F2">
        <w:rPr>
          <w:sz w:val="20"/>
          <w:lang w:val="es-ES_tradnl" w:eastAsia="zh-CN"/>
        </w:rPr>
        <w:t xml:space="preserve"> Xi'an (China), Escuela Superior de Turismo de Zhejiang (China), Instituto de Investigación de Tecnología</w:t>
      </w:r>
      <w:r>
        <w:rPr>
          <w:sz w:val="20"/>
          <w:lang w:val="es-ES_tradnl" w:eastAsia="zh-CN"/>
        </w:rPr>
        <w:t>s para la</w:t>
      </w:r>
      <w:r w:rsidRPr="009F30F2">
        <w:rPr>
          <w:sz w:val="20"/>
          <w:lang w:val="es-ES_tradnl" w:eastAsia="zh-CN"/>
        </w:rPr>
        <w:t xml:space="preserve"> Transformación Digital Guoxin</w:t>
      </w:r>
      <w:r>
        <w:rPr>
          <w:sz w:val="20"/>
          <w:lang w:val="es-ES_tradnl" w:eastAsia="zh-CN"/>
        </w:rPr>
        <w:t xml:space="preserve"> de </w:t>
      </w:r>
      <w:r w:rsidRPr="009F30F2">
        <w:rPr>
          <w:sz w:val="20"/>
          <w:lang w:val="es-ES_tradnl" w:eastAsia="zh-CN"/>
        </w:rPr>
        <w:t>Beijing (China), Instituto Europeo de Política Espacial (Austria).</w:t>
      </w:r>
    </w:p>
  </w:footnote>
  <w:footnote w:id="9">
    <w:p w14:paraId="137230EA" w14:textId="41F1BE35"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00AB67C4">
        <w:rPr>
          <w:sz w:val="20"/>
          <w:lang w:val="es-ES_tradnl"/>
        </w:rPr>
        <w:t>E</w:t>
      </w:r>
      <w:r w:rsidRPr="00E65635">
        <w:rPr>
          <w:sz w:val="20"/>
          <w:lang w:val="es-ES_tradnl"/>
        </w:rPr>
        <w:t>ntidades enumeradas por fecha de recepción de la aprobación de la Administración</w:t>
      </w:r>
      <w:r w:rsidRPr="00E65635">
        <w:rPr>
          <w:sz w:val="20"/>
          <w:lang w:val="es-ES_tradnl" w:eastAsia="zh-CN"/>
        </w:rPr>
        <w:t xml:space="preserve">: Instituto de Telecomunicaciones y Espacio Global de la Información (Ucrania), Universidad Técnica de Comunicación e Informática de Moscú (Federación </w:t>
      </w:r>
      <w:r>
        <w:rPr>
          <w:sz w:val="20"/>
          <w:lang w:val="es-ES_tradnl" w:eastAsia="zh-CN"/>
        </w:rPr>
        <w:t xml:space="preserve">de </w:t>
      </w:r>
      <w:r w:rsidRPr="00E65635">
        <w:rPr>
          <w:sz w:val="20"/>
          <w:lang w:val="es-ES_tradnl" w:eastAsia="zh-CN"/>
        </w:rPr>
        <w:t>Rus</w:t>
      </w:r>
      <w:r>
        <w:rPr>
          <w:sz w:val="20"/>
          <w:lang w:val="es-ES_tradnl" w:eastAsia="zh-CN"/>
        </w:rPr>
        <w:t>i</w:t>
      </w:r>
      <w:r w:rsidRPr="00E65635">
        <w:rPr>
          <w:sz w:val="20"/>
          <w:lang w:val="es-ES_tradnl" w:eastAsia="zh-CN"/>
        </w:rPr>
        <w:t>a), MITRE (Estados Unidos de América), Universidad Americana de Bahrein (Bahrein), Universidad Autónoma de Barcelona (España), Universidad de Shandong (China), Universidad de Sanjiang (China).</w:t>
      </w:r>
    </w:p>
  </w:footnote>
  <w:footnote w:id="10">
    <w:p w14:paraId="1ECB3FCD" w14:textId="706D1E5B" w:rsidR="00172D06" w:rsidRPr="00E65635" w:rsidRDefault="00172D06" w:rsidP="00172D06">
      <w:pPr>
        <w:pStyle w:val="FootnoteText"/>
        <w:spacing w:before="0"/>
        <w:ind w:left="0" w:firstLine="0"/>
        <w:rPr>
          <w:sz w:val="20"/>
          <w:lang w:val="es-ES_tradnl"/>
        </w:rPr>
      </w:pPr>
      <w:r w:rsidRPr="00B36238">
        <w:rPr>
          <w:rStyle w:val="FootnoteReference"/>
          <w:szCs w:val="18"/>
          <w:lang w:val="es-ES_tradnl"/>
        </w:rPr>
        <w:footnoteRef/>
      </w:r>
      <w:r w:rsidR="00B36238">
        <w:rPr>
          <w:sz w:val="20"/>
          <w:lang w:val="es-ES_tradnl"/>
        </w:rPr>
        <w:tab/>
      </w:r>
      <w:r w:rsidRPr="00E65635">
        <w:rPr>
          <w:sz w:val="20"/>
          <w:lang w:val="es-ES_tradnl"/>
        </w:rPr>
        <w:t xml:space="preserve">Entidades enumeradas por </w:t>
      </w:r>
      <w:r w:rsidRPr="00E65635">
        <w:rPr>
          <w:sz w:val="20"/>
          <w:lang w:val="es-ES_tradnl" w:eastAsia="zh-CN"/>
        </w:rPr>
        <w:t xml:space="preserve">fecha de aprobación solicitada a la Administración nacional: Universidad Tecnológica de Shenzhen (China), Universiti Teknologi MARA (Malasia), </w:t>
      </w:r>
      <w:r w:rsidRPr="002754A9">
        <w:rPr>
          <w:sz w:val="20"/>
          <w:lang w:val="es-ES_tradnl" w:eastAsia="zh-CN"/>
        </w:rPr>
        <w:t xml:space="preserve">Universidad de las Fuerzas Armadas Federales de Múnich </w:t>
      </w:r>
      <w:r w:rsidRPr="00E65635">
        <w:rPr>
          <w:sz w:val="20"/>
          <w:lang w:val="es-ES_tradnl" w:eastAsia="zh-CN"/>
        </w:rPr>
        <w:t>(Alemania), Instituto de Tecnología de Pekín (China).</w:t>
      </w:r>
    </w:p>
  </w:footnote>
  <w:footnote w:id="11">
    <w:p w14:paraId="765B5730" w14:textId="59A2E692" w:rsidR="00172D06" w:rsidRPr="00E65635" w:rsidRDefault="00172D06" w:rsidP="00172D06">
      <w:pPr>
        <w:pStyle w:val="FootnoteText"/>
        <w:spacing w:before="0"/>
        <w:ind w:left="0" w:firstLine="0"/>
        <w:rPr>
          <w:sz w:val="20"/>
          <w:lang w:val="es-ES_tradnl"/>
        </w:rPr>
      </w:pPr>
      <w:r w:rsidRPr="00AB67C4">
        <w:rPr>
          <w:rStyle w:val="FootnoteReference"/>
          <w:szCs w:val="18"/>
          <w:lang w:val="es-ES_tradnl"/>
        </w:rPr>
        <w:footnoteRef/>
      </w:r>
      <w:r w:rsidR="00AB67C4">
        <w:rPr>
          <w:sz w:val="20"/>
          <w:lang w:val="es-ES_tradnl"/>
        </w:rPr>
        <w:tab/>
      </w:r>
      <w:r w:rsidRPr="00E65635">
        <w:rPr>
          <w:sz w:val="20"/>
          <w:lang w:val="es-ES_tradnl"/>
        </w:rPr>
        <w:t xml:space="preserve">Instituto Nacional de Telecomunicaciones (Egipto), Bharat Sanchar Nigam (India), 3G Technologies Limited (Pakistán), COPACO (Paraguay), Telefónica del Perú (Perú), SFM Technologies (Túnez), Polyverse Corporation (Estados Unidos de América), Viettel Group (Vietnam). </w:t>
      </w:r>
    </w:p>
  </w:footnote>
  <w:footnote w:id="12">
    <w:p w14:paraId="292CC3BA" w14:textId="57F72DCE" w:rsidR="00172D06" w:rsidRPr="00E65635" w:rsidRDefault="00172D06" w:rsidP="00172D06">
      <w:pPr>
        <w:pStyle w:val="FootnoteText"/>
        <w:spacing w:before="0"/>
        <w:ind w:left="0" w:firstLine="0"/>
        <w:rPr>
          <w:sz w:val="20"/>
          <w:lang w:val="es-ES_tradnl"/>
        </w:rPr>
      </w:pPr>
      <w:r w:rsidRPr="00AB67C4">
        <w:rPr>
          <w:rStyle w:val="FootnoteReference"/>
          <w:szCs w:val="18"/>
          <w:lang w:val="es-ES_tradnl"/>
        </w:rPr>
        <w:footnoteRef/>
      </w:r>
      <w:r w:rsidR="00AB67C4">
        <w:rPr>
          <w:sz w:val="20"/>
          <w:lang w:val="es-ES_tradnl"/>
        </w:rPr>
        <w:tab/>
      </w:r>
      <w:r w:rsidRPr="00E65635">
        <w:rPr>
          <w:sz w:val="20"/>
          <w:lang w:val="es-ES_tradnl"/>
        </w:rPr>
        <w:t>FINATEL (Brasil), Chuan WEI Ltd. (Camboya), Subah Infosolutions Ghana Limited (Ghana), Monenco Iran (Irán, República Islámica del), Ooredoo (Qatar), High-Tech Bridge (Suiza)</w:t>
      </w:r>
      <w:r>
        <w:rPr>
          <w:sz w:val="2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48A2" w14:textId="26031B8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172D06">
      <w:rPr>
        <w:sz w:val="22"/>
        <w:szCs w:val="22"/>
        <w:lang w:val="de-CH"/>
      </w:rPr>
      <w:t>8</w:t>
    </w:r>
    <w:r w:rsidR="00636E67">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9219003">
    <w:abstractNumId w:val="2"/>
  </w:num>
  <w:num w:numId="2" w16cid:durableId="1928418481">
    <w:abstractNumId w:val="0"/>
  </w:num>
  <w:num w:numId="3" w16cid:durableId="1063911990">
    <w:abstractNumId w:val="4"/>
  </w:num>
  <w:num w:numId="4" w16cid:durableId="1989165280">
    <w:abstractNumId w:val="1"/>
  </w:num>
  <w:num w:numId="5" w16cid:durableId="378938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2D0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E67"/>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469E2"/>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67C4"/>
    <w:rsid w:val="00AB734E"/>
    <w:rsid w:val="00AB740F"/>
    <w:rsid w:val="00AC6F14"/>
    <w:rsid w:val="00AC7221"/>
    <w:rsid w:val="00AD4677"/>
    <w:rsid w:val="00AE5961"/>
    <w:rsid w:val="00AF0745"/>
    <w:rsid w:val="00AF4971"/>
    <w:rsid w:val="00AF5276"/>
    <w:rsid w:val="00AF7C86"/>
    <w:rsid w:val="00B01046"/>
    <w:rsid w:val="00B310F9"/>
    <w:rsid w:val="00B36238"/>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4238"/>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A2169"/>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5F30"/>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052"/>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404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Conferences/CRO/Documents/Chairman%27s%20Report%20-%20IAGDI-CRO%202022.pdf"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tu.int/en/ITU-D/Conferences/CRO/Documents/Outcome%20Statement-IAGDI-CRO-%20FINAL.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ES" sz="900" b="1" i="0" baseline="0">
                <a:effectLst/>
                <a:latin typeface="+mn-lt"/>
              </a:rPr>
              <a:t>Gráfico 1 - Evolución de los miembros del UIT-D - Crecimiento absoluto (diciembre de 2021, diciembre de 2022 </a:t>
            </a:r>
          </a:p>
          <a:p>
            <a:pPr>
              <a:defRPr b="1">
                <a:solidFill>
                  <a:schemeClr val="tx1"/>
                </a:solidFill>
              </a:defRPr>
            </a:pPr>
            <a:r>
              <a:rPr lang="es-ES" sz="900" b="1" i="0" baseline="0">
                <a:effectLst/>
                <a:latin typeface="+mn-lt"/>
              </a:rPr>
              <a:t>y mayo de 2023)</a:t>
            </a: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fr-FR"/>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Miembros de Sector</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302</c:v>
                </c:pt>
                <c:pt idx="1">
                  <c:v>304</c:v>
                </c:pt>
                <c:pt idx="2">
                  <c:v>308</c:v>
                </c:pt>
              </c:numCache>
            </c:numRef>
          </c:val>
          <c:extLst>
            <c:ext xmlns:c16="http://schemas.microsoft.com/office/drawing/2014/chart" uri="{C3380CC4-5D6E-409C-BE32-E72D297353CC}">
              <c16:uniqueId val="{00000000-0724-4DEB-8628-384C0EFAEB72}"/>
            </c:ext>
          </c:extLst>
        </c:ser>
        <c:ser>
          <c:idx val="1"/>
          <c:order val="1"/>
          <c:tx>
            <c:strRef>
              <c:f>Sheet1!$C$1</c:f>
              <c:strCache>
                <c:ptCount val="1"/>
                <c:pt idx="0">
                  <c:v>Asociados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0724-4DEB-8628-384C0EFAEB72}"/>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tx1"/>
                </a:solidFill>
              </a:rPr>
              <a:t>Gráfico 2 - </a:t>
            </a:r>
            <a:r>
              <a:rPr lang="en-US" sz="900" b="1" baseline="0">
                <a:solidFill>
                  <a:schemeClr val="tx1"/>
                </a:solidFill>
              </a:rPr>
              <a:t>Evolución de las Instituciones Académicas - Crecimiento absoluto (diciembre de 2021, diciembre de 2022 y mayo de 2023)</a:t>
            </a:r>
            <a:endParaRPr lang="en-US" sz="900" b="1">
              <a:solidFill>
                <a:schemeClr val="tx1"/>
              </a:solidFill>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Sheet1!$B$1</c:f>
              <c:strCache>
                <c:ptCount val="1"/>
                <c:pt idx="0">
                  <c:v>Instituciones Académicas</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B6-4680-A1B4-1AC1BF538383}"/>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B6-4680-A1B4-1AC1BF538383}"/>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B6-4680-A1B4-1AC1BF5383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3-FAB6-4680-A1B4-1AC1BF538383}"/>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Gráfico 3 - Crecimiento de los Miembros de Sector y los Asociados del UIT-D - Comparación entre diciembre de 2021</a:t>
            </a:r>
            <a:r>
              <a:rPr lang="en-GB" sz="1000" b="1" baseline="0">
                <a:solidFill>
                  <a:schemeClr val="tx1"/>
                </a:solidFill>
              </a:rPr>
              <a:t>, diciembre de 2022 y el 5 de mayo de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tx>
            <c:strRef>
              <c:f>Sheet1!$B$1</c:f>
              <c:strCache>
                <c:ptCount val="1"/>
                <c:pt idx="0">
                  <c:v>Nuevos miembros</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17</c:v>
                </c:pt>
                <c:pt idx="1">
                  <c:v>18</c:v>
                </c:pt>
                <c:pt idx="2">
                  <c:v>11</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8EFD-4F17-A18D-81CBCF76AF02}"/>
            </c:ext>
          </c:extLst>
        </c:ser>
        <c:ser>
          <c:idx val="1"/>
          <c:order val="1"/>
          <c:tx>
            <c:strRef>
              <c:f>Sheet1!$C$1</c:f>
              <c:strCache>
                <c:ptCount val="1"/>
                <c:pt idx="0">
                  <c:v>Pendientes de la aprobación de la Administración</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0</c:v>
                </c:pt>
                <c:pt idx="1">
                  <c:v>0</c:v>
                </c:pt>
                <c:pt idx="2">
                  <c:v>9</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8EFD-4F17-A18D-81CBCF76AF02}"/>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0920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a:solidFill>
                  <a:schemeClr val="tx1"/>
                </a:solidFill>
              </a:rPr>
              <a:t>Gráfico 4 - Crecimiento de las Instituciones Académicas - </a:t>
            </a:r>
            <a:r>
              <a:rPr lang="en-GB" sz="1000" b="1" baseline="0">
                <a:solidFill>
                  <a:schemeClr val="tx1"/>
                </a:solidFill>
              </a:rPr>
              <a:t>Comparación entre diciembre </a:t>
            </a:r>
          </a:p>
          <a:p>
            <a:pPr>
              <a:defRPr sz="1000" b="1">
                <a:solidFill>
                  <a:schemeClr val="tx1"/>
                </a:solidFill>
              </a:defRPr>
            </a:pPr>
            <a:r>
              <a:rPr lang="en-GB" sz="1000" b="1" baseline="0">
                <a:solidFill>
                  <a:schemeClr val="tx1"/>
                </a:solidFill>
              </a:rPr>
              <a:t>de 2021, diciembre de 2022 y el 5 de mayo de 2023</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fr-FR"/>
        </a:p>
      </c:txPr>
    </c:title>
    <c:autoTitleDeleted val="0"/>
    <c:plotArea>
      <c:layout/>
      <c:barChart>
        <c:barDir val="bar"/>
        <c:grouping val="stacked"/>
        <c:varyColors val="0"/>
        <c:ser>
          <c:idx val="0"/>
          <c:order val="0"/>
          <c:tx>
            <c:strRef>
              <c:f>Sheet1!$B$1</c:f>
              <c:strCache>
                <c:ptCount val="1"/>
                <c:pt idx="0">
                  <c:v>Nuevas Instituciones Académicas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Sheet1!$B$2:$B$4</c:f>
              <c:numCache>
                <c:formatCode>General</c:formatCode>
                <c:ptCount val="3"/>
                <c:pt idx="0">
                  <c:v>17</c:v>
                </c:pt>
                <c:pt idx="1">
                  <c:v>21</c:v>
                </c:pt>
                <c:pt idx="2">
                  <c:v>12</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F4A0-48EE-B131-E1673317B1FA}"/>
            </c:ext>
          </c:extLst>
        </c:ser>
        <c:ser>
          <c:idx val="1"/>
          <c:order val="1"/>
          <c:tx>
            <c:strRef>
              <c:f>Sheet1!$C$1</c:f>
              <c:strCache>
                <c:ptCount val="1"/>
                <c:pt idx="0">
                  <c:v>Pendientes de la aprobación de la Administración</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 de mayo)</c:v>
                </c:pt>
              </c:strCache>
            </c:strRef>
          </c:cat>
          <c:val>
            <c:numRef>
              <c:f>Sheet1!$C$2:$C$4</c:f>
              <c:numCache>
                <c:formatCode>General</c:formatCode>
                <c:ptCount val="3"/>
                <c:pt idx="0">
                  <c:v>0</c:v>
                </c:pt>
                <c:pt idx="1">
                  <c:v>0</c:v>
                </c:pt>
                <c:pt idx="2">
                  <c:v>4</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F4A0-48EE-B131-E1673317B1FA}"/>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23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chemeClr val="tx1"/>
                </a:solidFill>
              </a:rPr>
              <a:t>Gráfico 5 - Denuncias y exclusiones de miembros e Instituciones Académicas del UIT-D (2021 </a:t>
            </a:r>
            <a:r>
              <a:rPr lang="en-GB" sz="1000" b="1" baseline="0">
                <a:solidFill>
                  <a:schemeClr val="tx1"/>
                </a:solidFill>
              </a:rPr>
              <a:t>y 2022)</a:t>
            </a:r>
            <a:endParaRPr lang="en-GB" sz="10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tx>
            <c:strRef>
              <c:f>Sheet1!$B$1</c:f>
              <c:strCache>
                <c:ptCount val="1"/>
                <c:pt idx="0">
                  <c:v>Denuncias - Miembros del UIT-D</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81A4-4062-9E64-B2C23D69A748}"/>
            </c:ext>
          </c:extLst>
        </c:ser>
        <c:ser>
          <c:idx val="1"/>
          <c:order val="1"/>
          <c:tx>
            <c:strRef>
              <c:f>Sheet1!$C$1</c:f>
              <c:strCache>
                <c:ptCount val="1"/>
                <c:pt idx="0">
                  <c:v>Exclusiones - Miembros del UIT-D</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81A4-4062-9E64-B2C23D69A748}"/>
            </c:ext>
          </c:extLst>
        </c:ser>
        <c:ser>
          <c:idx val="2"/>
          <c:order val="2"/>
          <c:tx>
            <c:strRef>
              <c:f>Sheet1!$D$1</c:f>
              <c:strCache>
                <c:ptCount val="1"/>
                <c:pt idx="0">
                  <c:v>Denuncias - Instituciones Académicas</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2-81A4-4062-9E64-B2C23D69A748}"/>
            </c:ext>
          </c:extLst>
        </c:ser>
        <c:ser>
          <c:idx val="3"/>
          <c:order val="3"/>
          <c:tx>
            <c:strRef>
              <c:f>Sheet1!$E$1</c:f>
              <c:strCache>
                <c:ptCount val="1"/>
                <c:pt idx="0">
                  <c:v>Exclusiones - Instituciones Académicas</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3-81A4-4062-9E64-B2C23D69A748}"/>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fr-FR"/>
        </a:p>
      </c:txPr>
    </c:legend>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0.19284</cdr:x>
      <cdr:y>0.14286</cdr:y>
    </cdr:from>
    <cdr:to>
      <cdr:x>0.3386</cdr:x>
      <cdr:y>0.19109</cdr:y>
    </cdr:to>
    <cdr:sp macro="" textlink="">
      <cdr:nvSpPr>
        <cdr:cNvPr id="2" name="Text Box 5"/>
        <cdr:cNvSpPr txBox="1">
          <a:spLocks xmlns:a="http://schemas.openxmlformats.org/drawingml/2006/main"/>
        </cdr:cNvSpPr>
      </cdr:nvSpPr>
      <cdr:spPr>
        <a:xfrm xmlns:a="http://schemas.openxmlformats.org/drawingml/2006/main">
          <a:off x="510639" y="457200"/>
          <a:ext cx="385949" cy="154379"/>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hangingPunct="0">
            <a:spcBef>
              <a:spcPts val="600"/>
            </a:spcBef>
            <a:tabLst>
              <a:tab pos="504190" algn="l"/>
              <a:tab pos="756285" algn="l"/>
              <a:tab pos="1008380" algn="l"/>
              <a:tab pos="1260475" algn="l"/>
            </a:tabLst>
          </a:pPr>
          <a:r>
            <a:rPr lang="en-US" sz="800" b="1">
              <a:effectLst/>
              <a:latin typeface="Calibri" panose="020F0502020204030204" pitchFamily="34" charset="0"/>
              <a:ea typeface="Times New Roman" panose="02020603050405020304" pitchFamily="18" charset="0"/>
              <a:cs typeface="Times New Roman" panose="02020603050405020304" pitchFamily="18" charset="0"/>
            </a:rPr>
            <a:t>        320</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0.44174</cdr:x>
      <cdr:y>0.179</cdr:y>
    </cdr:from>
    <cdr:to>
      <cdr:x>0.61431</cdr:x>
      <cdr:y>0.21336</cdr:y>
    </cdr:to>
    <cdr:sp macro="" textlink="">
      <cdr:nvSpPr>
        <cdr:cNvPr id="3" name="Text Box 4"/>
        <cdr:cNvSpPr txBox="1">
          <a:spLocks xmlns:a="http://schemas.openxmlformats.org/drawingml/2006/main"/>
        </cdr:cNvSpPr>
      </cdr:nvSpPr>
      <cdr:spPr>
        <a:xfrm xmlns:a="http://schemas.openxmlformats.org/drawingml/2006/main">
          <a:off x="1169717" y="572861"/>
          <a:ext cx="456953" cy="109971"/>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hangingPunct="0">
            <a:spcBef>
              <a:spcPts val="600"/>
            </a:spcBef>
            <a:tabLst>
              <a:tab pos="504190" algn="l"/>
              <a:tab pos="756285" algn="l"/>
              <a:tab pos="1008380" algn="l"/>
              <a:tab pos="1260475" algn="l"/>
            </a:tabLst>
          </a:pPr>
          <a:r>
            <a:rPr lang="en-US" sz="800" b="1">
              <a:effectLst/>
              <a:latin typeface="Calibri" panose="020F0502020204030204" pitchFamily="34" charset="0"/>
              <a:ea typeface="Times New Roman" panose="02020603050405020304" pitchFamily="18" charset="0"/>
              <a:cs typeface="Times New Roman" panose="02020603050405020304" pitchFamily="18" charset="0"/>
            </a:rPr>
            <a:t>319</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0.71756</cdr:x>
      <cdr:y>0.16327</cdr:y>
    </cdr:from>
    <cdr:to>
      <cdr:x>0.8834</cdr:x>
      <cdr:y>0.20223</cdr:y>
    </cdr:to>
    <cdr:sp macro="" textlink="">
      <cdr:nvSpPr>
        <cdr:cNvPr id="4" name="Text Box 3"/>
        <cdr:cNvSpPr txBox="1">
          <a:spLocks xmlns:a="http://schemas.openxmlformats.org/drawingml/2006/main"/>
        </cdr:cNvSpPr>
      </cdr:nvSpPr>
      <cdr:spPr>
        <a:xfrm xmlns:a="http://schemas.openxmlformats.org/drawingml/2006/main">
          <a:off x="1900051" y="522516"/>
          <a:ext cx="439140" cy="124689"/>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hangingPunct="0">
            <a:spcBef>
              <a:spcPts val="600"/>
            </a:spcBef>
            <a:tabLst>
              <a:tab pos="504190" algn="l"/>
              <a:tab pos="756285" algn="l"/>
              <a:tab pos="1008380" algn="l"/>
              <a:tab pos="1260475" algn="l"/>
            </a:tabLst>
          </a:pPr>
          <a:r>
            <a:rPr lang="en-US" sz="800" b="1">
              <a:effectLst/>
              <a:latin typeface="Calibri" panose="020F0502020204030204" pitchFamily="34" charset="0"/>
              <a:ea typeface="Times New Roman" panose="02020603050405020304" pitchFamily="18" charset="0"/>
              <a:cs typeface="Times New Roman" panose="02020603050405020304" pitchFamily="18" charset="0"/>
            </a:rPr>
            <a:t>332</a:t>
          </a:r>
          <a:endParaRPr lang="en-GB"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1535</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6</cp:revision>
  <cp:lastPrinted>2014-11-04T09:22:00Z</cp:lastPrinted>
  <dcterms:created xsi:type="dcterms:W3CDTF">2023-05-29T08:08:00Z</dcterms:created>
  <dcterms:modified xsi:type="dcterms:W3CDTF">2023-05-29T08:16:00Z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