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F52D45" w14:paraId="7792C055" w14:textId="77777777" w:rsidTr="00EF3F5E">
        <w:trPr>
          <w:trHeight w:val="1134"/>
        </w:trPr>
        <w:tc>
          <w:tcPr>
            <w:tcW w:w="8364" w:type="dxa"/>
            <w:gridSpan w:val="2"/>
          </w:tcPr>
          <w:p w14:paraId="590F1F70" w14:textId="77777777" w:rsidR="00982196" w:rsidRPr="00F52D45" w:rsidRDefault="00982196" w:rsidP="000E1722">
            <w:pPr>
              <w:pStyle w:val="BodyText"/>
              <w:framePr w:hSpace="0" w:wrap="auto" w:vAnchor="margin" w:hAnchor="text" w:yAlign="inline"/>
              <w:widowControl/>
              <w:spacing w:after="120"/>
            </w:pPr>
            <w:r w:rsidRPr="00F52D45">
              <w:t xml:space="preserve">Консультативная группа </w:t>
            </w:r>
            <w:r w:rsidRPr="00F52D45">
              <w:br/>
              <w:t>по развитию электросвязи (КГРЭ)</w:t>
            </w:r>
          </w:p>
          <w:p w14:paraId="3435E1C8" w14:textId="77777777" w:rsidR="00982196" w:rsidRPr="00F52D45" w:rsidRDefault="00982196" w:rsidP="000E17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F52D45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30-е собрание, Женева, Швейцария</w:t>
            </w:r>
            <w:r w:rsidRPr="00F52D45">
              <w:rPr>
                <w:b/>
                <w:bCs/>
                <w:sz w:val="24"/>
                <w:szCs w:val="24"/>
              </w:rPr>
              <w:t xml:space="preserve">, </w:t>
            </w:r>
            <w:r w:rsidR="003C01D0" w:rsidRPr="00F52D45">
              <w:rPr>
                <w:b/>
                <w:bCs/>
                <w:sz w:val="24"/>
                <w:szCs w:val="24"/>
              </w:rPr>
              <w:t>19–23</w:t>
            </w:r>
            <w:r w:rsidRPr="00F52D45">
              <w:rPr>
                <w:b/>
                <w:bCs/>
                <w:sz w:val="24"/>
                <w:szCs w:val="24"/>
              </w:rPr>
              <w:t xml:space="preserve"> июня 2023 года</w:t>
            </w:r>
          </w:p>
        </w:tc>
        <w:tc>
          <w:tcPr>
            <w:tcW w:w="1559" w:type="dxa"/>
            <w:vAlign w:val="center"/>
          </w:tcPr>
          <w:p w14:paraId="1223842F" w14:textId="77777777" w:rsidR="00982196" w:rsidRPr="00F52D45" w:rsidRDefault="00982196" w:rsidP="000E1722">
            <w:pPr>
              <w:spacing w:after="120"/>
              <w:jc w:val="center"/>
            </w:pPr>
            <w:r w:rsidRPr="00F52D45">
              <w:drawing>
                <wp:inline distT="0" distB="0" distL="0" distR="0" wp14:anchorId="2BB84525" wp14:editId="5741557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F52D45" w14:paraId="6C9F4567" w14:textId="77777777" w:rsidTr="00EF3F5E">
        <w:tc>
          <w:tcPr>
            <w:tcW w:w="6662" w:type="dxa"/>
            <w:tcBorders>
              <w:top w:val="single" w:sz="12" w:space="0" w:color="auto"/>
            </w:tcBorders>
          </w:tcPr>
          <w:p w14:paraId="53E98519" w14:textId="77777777" w:rsidR="00CD34AE" w:rsidRPr="00F52D45" w:rsidRDefault="00CD34AE" w:rsidP="000E1722">
            <w:pPr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0A3F29D" w14:textId="77777777" w:rsidR="00CD34AE" w:rsidRPr="00F52D45" w:rsidRDefault="00CD34AE" w:rsidP="000E1722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F52D45" w14:paraId="2DA8B30C" w14:textId="77777777" w:rsidTr="00EF3F5E">
        <w:trPr>
          <w:trHeight w:val="300"/>
        </w:trPr>
        <w:tc>
          <w:tcPr>
            <w:tcW w:w="6662" w:type="dxa"/>
          </w:tcPr>
          <w:p w14:paraId="35366E7D" w14:textId="77777777" w:rsidR="00F105F5" w:rsidRPr="00F52D45" w:rsidRDefault="00F105F5" w:rsidP="000E1722">
            <w:pPr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43984CF" w14:textId="2135EB40" w:rsidR="00F105F5" w:rsidRPr="00F52D45" w:rsidRDefault="00FA703F" w:rsidP="000E1722">
            <w:pPr>
              <w:spacing w:before="0"/>
              <w:rPr>
                <w:rFonts w:ascii="Verdana" w:hAnsi="Verdana"/>
                <w:b/>
                <w:bCs/>
              </w:rPr>
            </w:pPr>
            <w:r w:rsidRPr="00F52D45">
              <w:rPr>
                <w:rFonts w:cstheme="minorHAnsi"/>
                <w:b/>
                <w:bCs/>
              </w:rPr>
              <w:t>Пересмотр 1</w:t>
            </w:r>
            <w:r w:rsidRPr="00F52D45">
              <w:rPr>
                <w:rFonts w:cstheme="minorHAnsi"/>
                <w:b/>
                <w:bCs/>
              </w:rPr>
              <w:br/>
            </w:r>
            <w:r w:rsidR="00F105F5" w:rsidRPr="00F52D45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F52D45">
              <w:rPr>
                <w:rFonts w:cstheme="minorHAnsi"/>
                <w:b/>
                <w:bCs/>
              </w:rPr>
              <w:t>а</w:t>
            </w:r>
            <w:r w:rsidR="0091458C" w:rsidRPr="00F52D45">
              <w:rPr>
                <w:b/>
                <w:bCs/>
              </w:rPr>
              <w:t xml:space="preserve"> TDAG-2</w:t>
            </w:r>
            <w:bookmarkStart w:id="1" w:name="DocNo1"/>
            <w:bookmarkEnd w:id="1"/>
            <w:r w:rsidR="0091458C" w:rsidRPr="00F52D45">
              <w:rPr>
                <w:b/>
                <w:bCs/>
              </w:rPr>
              <w:t>3/7-</w:t>
            </w:r>
            <w:r w:rsidR="002703B1" w:rsidRPr="00F52D45">
              <w:rPr>
                <w:b/>
                <w:bCs/>
              </w:rPr>
              <w:t>R</w:t>
            </w:r>
          </w:p>
        </w:tc>
      </w:tr>
      <w:tr w:rsidR="00F105F5" w:rsidRPr="00F52D45" w14:paraId="084D6438" w14:textId="77777777" w:rsidTr="00EF3F5E">
        <w:trPr>
          <w:trHeight w:val="300"/>
        </w:trPr>
        <w:tc>
          <w:tcPr>
            <w:tcW w:w="6662" w:type="dxa"/>
          </w:tcPr>
          <w:p w14:paraId="3BE98F87" w14:textId="77777777" w:rsidR="00F105F5" w:rsidRPr="00F52D45" w:rsidRDefault="00F105F5" w:rsidP="000E1722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0A34026A" w14:textId="275C7358" w:rsidR="00F105F5" w:rsidRPr="00F52D45" w:rsidRDefault="00FA703F" w:rsidP="000E1722">
            <w:pPr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F52D45">
              <w:rPr>
                <w:b/>
                <w:bCs/>
              </w:rPr>
              <w:t>15 июня</w:t>
            </w:r>
            <w:r w:rsidR="00EF3F5E" w:rsidRPr="00F52D45">
              <w:rPr>
                <w:b/>
                <w:bCs/>
              </w:rPr>
              <w:t xml:space="preserve"> 2023 года</w:t>
            </w:r>
          </w:p>
        </w:tc>
      </w:tr>
      <w:tr w:rsidR="00F105F5" w:rsidRPr="00F52D45" w14:paraId="1D5D4245" w14:textId="77777777" w:rsidTr="00EF3F5E">
        <w:trPr>
          <w:trHeight w:val="300"/>
        </w:trPr>
        <w:tc>
          <w:tcPr>
            <w:tcW w:w="6662" w:type="dxa"/>
          </w:tcPr>
          <w:p w14:paraId="1C0A654E" w14:textId="77777777" w:rsidR="00F105F5" w:rsidRPr="00F52D45" w:rsidRDefault="00F105F5" w:rsidP="000E1722">
            <w:pPr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5DD1436" w14:textId="77777777" w:rsidR="00F105F5" w:rsidRPr="00F52D45" w:rsidRDefault="00F105F5" w:rsidP="000E1722">
            <w:pPr>
              <w:spacing w:before="0"/>
              <w:rPr>
                <w:rFonts w:ascii="Verdana" w:hAnsi="Verdana"/>
                <w:b/>
                <w:bCs/>
              </w:rPr>
            </w:pPr>
            <w:r w:rsidRPr="00F52D45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F52D45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F52D45" w14:paraId="08CEA20B" w14:textId="77777777" w:rsidTr="00EF3F5E">
        <w:trPr>
          <w:trHeight w:val="850"/>
        </w:trPr>
        <w:tc>
          <w:tcPr>
            <w:tcW w:w="9923" w:type="dxa"/>
            <w:gridSpan w:val="3"/>
          </w:tcPr>
          <w:p w14:paraId="1DC42510" w14:textId="608F5D03" w:rsidR="00CD34AE" w:rsidRPr="00F52D45" w:rsidRDefault="0091458C" w:rsidP="000E1722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F52D45">
              <w:rPr>
                <w:rFonts w:cstheme="minorHAnsi"/>
              </w:rPr>
              <w:t>Директор Бюро развития электросвязи</w:t>
            </w:r>
          </w:p>
        </w:tc>
      </w:tr>
      <w:tr w:rsidR="00EF3F5E" w:rsidRPr="00F52D45" w14:paraId="687EE250" w14:textId="77777777" w:rsidTr="00EF3F5E">
        <w:tc>
          <w:tcPr>
            <w:tcW w:w="9923" w:type="dxa"/>
            <w:gridSpan w:val="3"/>
          </w:tcPr>
          <w:p w14:paraId="7A2B418E" w14:textId="56C4940E" w:rsidR="00EF3F5E" w:rsidRPr="00F52D45" w:rsidRDefault="0091458C" w:rsidP="000E1722">
            <w:pPr>
              <w:pStyle w:val="Title1"/>
              <w:rPr>
                <w:caps w:val="0"/>
              </w:rPr>
            </w:pPr>
            <w:bookmarkStart w:id="5" w:name="Title"/>
            <w:bookmarkEnd w:id="5"/>
            <w:r w:rsidRPr="00F52D45">
              <w:t>ПРОЕКТЫ МСЭ-D</w:t>
            </w:r>
          </w:p>
        </w:tc>
      </w:tr>
      <w:tr w:rsidR="00CD34AE" w:rsidRPr="00F52D45" w14:paraId="7E076AD2" w14:textId="77777777" w:rsidTr="00EF3F5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66BD0F78" w14:textId="77777777" w:rsidR="00CD34AE" w:rsidRPr="00F52D45" w:rsidRDefault="00CD34AE" w:rsidP="000E1722"/>
        </w:tc>
      </w:tr>
      <w:tr w:rsidR="00CD34AE" w:rsidRPr="00F52D45" w14:paraId="5288655C" w14:textId="77777777" w:rsidTr="00EF3F5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E212" w14:textId="77777777" w:rsidR="0091458C" w:rsidRPr="00F52D45" w:rsidRDefault="0091458C" w:rsidP="000E1722">
            <w:pPr>
              <w:pStyle w:val="Headingb"/>
            </w:pPr>
            <w:r w:rsidRPr="00F52D45">
              <w:t>Резюме</w:t>
            </w:r>
          </w:p>
          <w:p w14:paraId="061C8869" w14:textId="54F74FDE" w:rsidR="0091458C" w:rsidRPr="00F52D45" w:rsidRDefault="0091458C" w:rsidP="000E1722">
            <w:pPr>
              <w:spacing w:after="120"/>
            </w:pPr>
            <w:r w:rsidRPr="00F52D45">
              <w:t>Международный союз электросвязи выполняет двойственную обязанность – специализированного учреждения Организации Объединенных Наций и учреждения-исполнителя. Сектор развития электросвязи (МСЭ</w:t>
            </w:r>
            <w:r w:rsidR="000253BC" w:rsidRPr="00F52D45">
              <w:noBreakHyphen/>
            </w:r>
            <w:r w:rsidRPr="00F52D45">
              <w:t>D), участвуя в выполнении этой двойственной обязанности Союза, осуществляет ключевую функцию выполнения проектов в рамках системы развития Организации Объединенных Наций или других соглашений по финансированию с целью содействия развитию и ускорения развития электросвязи путем внесения предложений, организации и координации деятельности по техническому сотрудничеству и оказанию помощи.</w:t>
            </w:r>
          </w:p>
          <w:p w14:paraId="0FA9DCA5" w14:textId="11CB8374" w:rsidR="0091458C" w:rsidRPr="00F52D45" w:rsidRDefault="0091458C" w:rsidP="000E1722">
            <w:pPr>
              <w:spacing w:after="120"/>
            </w:pPr>
            <w:r w:rsidRPr="00F52D45">
              <w:t>В настоящем документе представлен обзор работы, проделанной Бюро развития электросвязи по линии разработки и выполнения проектов в шести регионах МСЭ</w:t>
            </w:r>
            <w:r w:rsidR="000253BC" w:rsidRPr="00F52D45">
              <w:noBreakHyphen/>
            </w:r>
            <w:r w:rsidRPr="00F52D45">
              <w:t>D –</w:t>
            </w:r>
            <w:r w:rsidR="00791C64" w:rsidRPr="00F52D45">
              <w:t xml:space="preserve"> </w:t>
            </w:r>
            <w:r w:rsidRPr="00F52D45">
              <w:t>Африк</w:t>
            </w:r>
            <w:r w:rsidR="00791C64" w:rsidRPr="00F52D45">
              <w:t>а</w:t>
            </w:r>
            <w:r w:rsidRPr="00F52D45">
              <w:t>, Северн</w:t>
            </w:r>
            <w:r w:rsidR="00791C64" w:rsidRPr="00F52D45">
              <w:t>ая</w:t>
            </w:r>
            <w:r w:rsidRPr="00F52D45">
              <w:t xml:space="preserve"> и Южн</w:t>
            </w:r>
            <w:r w:rsidR="00791C64" w:rsidRPr="00F52D45">
              <w:t>ая</w:t>
            </w:r>
            <w:r w:rsidRPr="00F52D45">
              <w:t xml:space="preserve"> Америк</w:t>
            </w:r>
            <w:r w:rsidR="00791C64" w:rsidRPr="00F52D45">
              <w:t>а</w:t>
            </w:r>
            <w:r w:rsidRPr="00F52D45">
              <w:t>, Арабск</w:t>
            </w:r>
            <w:r w:rsidR="00791C64" w:rsidRPr="00F52D45">
              <w:t>ий</w:t>
            </w:r>
            <w:r w:rsidRPr="00F52D45">
              <w:t xml:space="preserve"> регион, Азиатско-Тихоокеанск</w:t>
            </w:r>
            <w:r w:rsidR="00791C64" w:rsidRPr="00F52D45">
              <w:t>ий</w:t>
            </w:r>
            <w:r w:rsidRPr="00F52D45">
              <w:t xml:space="preserve"> регион, Содружеств</w:t>
            </w:r>
            <w:r w:rsidR="00791C64" w:rsidRPr="00F52D45">
              <w:t>о</w:t>
            </w:r>
            <w:r w:rsidRPr="00F52D45">
              <w:t xml:space="preserve"> Независимых Государств</w:t>
            </w:r>
            <w:r w:rsidR="000253BC" w:rsidRPr="00F52D45">
              <w:t> </w:t>
            </w:r>
            <w:r w:rsidRPr="00F52D45">
              <w:t>(СНГ) и Европ</w:t>
            </w:r>
            <w:r w:rsidR="00791C64" w:rsidRPr="00F52D45">
              <w:t>а</w:t>
            </w:r>
            <w:r w:rsidRPr="00F52D45">
              <w:t>, а также межрегиональных проектов.</w:t>
            </w:r>
          </w:p>
          <w:p w14:paraId="028257C6" w14:textId="77777777" w:rsidR="0091458C" w:rsidRPr="00F52D45" w:rsidRDefault="0091458C" w:rsidP="000E1722">
            <w:pPr>
              <w:pStyle w:val="Headingb"/>
            </w:pPr>
            <w:r w:rsidRPr="00F52D45">
              <w:t>Необходимые действия</w:t>
            </w:r>
          </w:p>
          <w:p w14:paraId="5D6DF263" w14:textId="77777777" w:rsidR="0091458C" w:rsidRPr="00F52D45" w:rsidRDefault="0091458C" w:rsidP="000E1722">
            <w:pPr>
              <w:spacing w:after="120"/>
            </w:pPr>
            <w:r w:rsidRPr="00F52D45">
              <w:t>КГРЭ предлагается принять настоящий документ к сведению и в случае необходимости предоставить руководящие указания.</w:t>
            </w:r>
          </w:p>
          <w:p w14:paraId="5DF8A74B" w14:textId="77777777" w:rsidR="0091458C" w:rsidRPr="00F52D45" w:rsidRDefault="0091458C" w:rsidP="000E1722">
            <w:pPr>
              <w:pStyle w:val="Headingb"/>
            </w:pPr>
            <w:r w:rsidRPr="00F52D45">
              <w:t>Справочные материалы</w:t>
            </w:r>
          </w:p>
          <w:p w14:paraId="332FF9A1" w14:textId="3DBFCBE4" w:rsidR="00CD34AE" w:rsidRPr="00F52D45" w:rsidRDefault="0091458C" w:rsidP="000E1722">
            <w:pPr>
              <w:spacing w:after="120"/>
            </w:pPr>
            <w:bookmarkStart w:id="6" w:name="lt_pId026"/>
            <w:r w:rsidRPr="00F52D45">
              <w:t>Резолюции 17 (Пересм. Кигали, 2022 г.) и 52 (Пересм. Дубай, 2014 г.) Всемирной конференции по развитию электросвязи (ВКРЭ) и Резолюция 157 (Пересм. Будапешт, 2022 г.) Полномочной конференции</w:t>
            </w:r>
            <w:bookmarkEnd w:id="6"/>
          </w:p>
        </w:tc>
      </w:tr>
    </w:tbl>
    <w:p w14:paraId="74892533" w14:textId="4C6512A8" w:rsidR="000253BC" w:rsidRPr="00F52D45" w:rsidRDefault="000253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b/>
        </w:rPr>
      </w:pPr>
    </w:p>
    <w:p w14:paraId="20A66E5B" w14:textId="5C899E0E" w:rsidR="000253BC" w:rsidRPr="00F52D45" w:rsidRDefault="000253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b/>
        </w:rPr>
      </w:pPr>
      <w:r w:rsidRPr="00F52D45">
        <w:br w:type="page"/>
      </w:r>
    </w:p>
    <w:p w14:paraId="49A5AF8F" w14:textId="477EB3E2" w:rsidR="0091458C" w:rsidRPr="00F52D45" w:rsidRDefault="0091458C" w:rsidP="000E1722">
      <w:pPr>
        <w:pStyle w:val="Heading1"/>
      </w:pPr>
      <w:r w:rsidRPr="00F52D45">
        <w:lastRenderedPageBreak/>
        <w:t>1</w:t>
      </w:r>
      <w:r w:rsidRPr="00F52D45">
        <w:tab/>
        <w:t>Введение</w:t>
      </w:r>
    </w:p>
    <w:p w14:paraId="744CEC65" w14:textId="37DE7B64" w:rsidR="0091458C" w:rsidRPr="00F52D45" w:rsidRDefault="0091458C" w:rsidP="000E1722">
      <w:r w:rsidRPr="00F52D45">
        <w:t xml:space="preserve">В соответствии с Резолюциями </w:t>
      </w:r>
      <w:r w:rsidR="001B48BA" w:rsidRPr="00F52D45">
        <w:t>17 (Пересм. Кигали, 2022 г.) и 52 (Пересм. Дубай, 2014 г.) Всемирной конференции по развитию электросвязи (ВКРЭ) и Резолюци</w:t>
      </w:r>
      <w:r w:rsidR="00791C64" w:rsidRPr="00F52D45">
        <w:t>ей </w:t>
      </w:r>
      <w:r w:rsidR="001B48BA" w:rsidRPr="00F52D45">
        <w:t xml:space="preserve">157 (Пересм. Будапешт, 2022 г.) </w:t>
      </w:r>
      <w:r w:rsidRPr="00F52D45">
        <w:t>Полномочной конференции, Бюро развития электросвязи (БРЭ) МСЭ обязано выполнять мандат МСЭ по реализации проектов в рамках системы развития Организации Объединенных Наций или других соглашений по финансированию в целях содействия развитию электросвязи/информационно-коммуникационных технологий и ускорения такого развития путем внесения предложений, организации и координации деятельности по техническому сотрудничеству и предоставлению помощи.</w:t>
      </w:r>
      <w:bookmarkStart w:id="7" w:name="lt_pId029"/>
      <w:bookmarkStart w:id="8" w:name="_Hlk83308260"/>
      <w:r w:rsidRPr="00F52D45">
        <w:rPr>
          <w:rFonts w:cstheme="minorHAnsi"/>
        </w:rPr>
        <w:t xml:space="preserve"> В настоящем отчете представлен обзор </w:t>
      </w:r>
      <w:r w:rsidR="00791C64" w:rsidRPr="00F52D45">
        <w:rPr>
          <w:rFonts w:cstheme="minorHAnsi"/>
        </w:rPr>
        <w:t>состояния</w:t>
      </w:r>
      <w:r w:rsidRPr="00F52D45">
        <w:rPr>
          <w:rFonts w:cstheme="minorHAnsi"/>
        </w:rPr>
        <w:t xml:space="preserve"> портфеля </w:t>
      </w:r>
      <w:r w:rsidR="00E6492B" w:rsidRPr="00F52D45">
        <w:rPr>
          <w:rFonts w:cstheme="minorHAnsi"/>
        </w:rPr>
        <w:t xml:space="preserve">осуществляемых </w:t>
      </w:r>
      <w:r w:rsidRPr="00F52D45">
        <w:rPr>
          <w:rFonts w:cstheme="minorHAnsi"/>
        </w:rPr>
        <w:t>проектов</w:t>
      </w:r>
      <w:r w:rsidR="00E6492B" w:rsidRPr="00F52D45">
        <w:rPr>
          <w:rFonts w:cstheme="minorHAnsi"/>
        </w:rPr>
        <w:t xml:space="preserve"> МСЭ</w:t>
      </w:r>
      <w:r w:rsidR="009E356B" w:rsidRPr="00F52D45">
        <w:rPr>
          <w:rStyle w:val="FootnoteReference"/>
          <w:rFonts w:cstheme="minorHAnsi"/>
        </w:rPr>
        <w:footnoteReference w:id="1"/>
      </w:r>
      <w:r w:rsidRPr="00F52D45">
        <w:rPr>
          <w:rFonts w:cstheme="minorHAnsi"/>
        </w:rPr>
        <w:t xml:space="preserve"> за 202</w:t>
      </w:r>
      <w:r w:rsidR="001B48BA" w:rsidRPr="00F52D45">
        <w:rPr>
          <w:rFonts w:cstheme="minorHAnsi"/>
        </w:rPr>
        <w:t>2</w:t>
      </w:r>
      <w:r w:rsidRPr="00F52D45">
        <w:rPr>
          <w:rFonts w:cstheme="minorHAnsi"/>
        </w:rPr>
        <w:t> год</w:t>
      </w:r>
      <w:bookmarkEnd w:id="7"/>
      <w:bookmarkEnd w:id="8"/>
      <w:r w:rsidR="009E356B" w:rsidRPr="00F52D45">
        <w:rPr>
          <w:rStyle w:val="FootnoteReference"/>
          <w:rFonts w:cstheme="minorHAnsi"/>
        </w:rPr>
        <w:footnoteReference w:id="2"/>
      </w:r>
      <w:r w:rsidR="009E356B" w:rsidRPr="00F52D45">
        <w:rPr>
          <w:rFonts w:cstheme="minorHAnsi"/>
          <w:szCs w:val="24"/>
        </w:rPr>
        <w:t>.</w:t>
      </w:r>
    </w:p>
    <w:p w14:paraId="4615CAAA" w14:textId="0E9462AE" w:rsidR="0091458C" w:rsidRPr="00F52D45" w:rsidRDefault="0091458C" w:rsidP="000E1722">
      <w:pPr>
        <w:pStyle w:val="Heading1"/>
        <w:spacing w:before="240"/>
      </w:pPr>
      <w:r w:rsidRPr="00F52D45">
        <w:t>2</w:t>
      </w:r>
      <w:r w:rsidRPr="00F52D45">
        <w:tab/>
      </w:r>
      <w:r w:rsidR="009549E6" w:rsidRPr="00F52D45">
        <w:t>Источники финансирования выполняемых проектов МСЭ</w:t>
      </w:r>
    </w:p>
    <w:p w14:paraId="2C3B9C21" w14:textId="1D54BFE4" w:rsidR="001B48BA" w:rsidRPr="00F52D45" w:rsidRDefault="009549E6" w:rsidP="000E1722">
      <w:pPr>
        <w:spacing w:after="120"/>
        <w:rPr>
          <w:rFonts w:cstheme="minorHAnsi"/>
          <w:szCs w:val="24"/>
        </w:rPr>
      </w:pPr>
      <w:r w:rsidRPr="00F52D45">
        <w:rPr>
          <w:rFonts w:cstheme="minorHAnsi"/>
          <w:szCs w:val="24"/>
        </w:rPr>
        <w:t xml:space="preserve">МСЭ не является финансирующей организацией. Это означает, что проекты МСЭ финансируются главным образом за счет внебюджетных ресурсов, </w:t>
      </w:r>
      <w:r w:rsidR="0038337C" w:rsidRPr="00F52D45">
        <w:rPr>
          <w:rFonts w:cstheme="minorHAnsi"/>
          <w:szCs w:val="24"/>
        </w:rPr>
        <w:t>привлеченных</w:t>
      </w:r>
      <w:r w:rsidRPr="00F52D45">
        <w:rPr>
          <w:rFonts w:cstheme="minorHAnsi"/>
          <w:szCs w:val="24"/>
        </w:rPr>
        <w:t xml:space="preserve"> МСЭ </w:t>
      </w:r>
      <w:r w:rsidR="002B2F7A" w:rsidRPr="00F52D45">
        <w:rPr>
          <w:rFonts w:cstheme="minorHAnsi"/>
          <w:szCs w:val="24"/>
        </w:rPr>
        <w:t>в</w:t>
      </w:r>
      <w:r w:rsidRPr="00F52D45">
        <w:rPr>
          <w:rFonts w:cstheme="minorHAnsi"/>
          <w:szCs w:val="24"/>
        </w:rPr>
        <w:t xml:space="preserve"> поддержк</w:t>
      </w:r>
      <w:r w:rsidR="002B2F7A" w:rsidRPr="00F52D45">
        <w:rPr>
          <w:rFonts w:cstheme="minorHAnsi"/>
          <w:szCs w:val="24"/>
        </w:rPr>
        <w:t>у</w:t>
      </w:r>
      <w:r w:rsidRPr="00F52D45">
        <w:rPr>
          <w:rFonts w:cstheme="minorHAnsi"/>
          <w:szCs w:val="24"/>
        </w:rPr>
        <w:t xml:space="preserve"> Государств</w:t>
      </w:r>
      <w:r w:rsidR="000253BC" w:rsidRPr="00F52D45">
        <w:rPr>
          <w:rFonts w:cstheme="minorHAnsi"/>
          <w:szCs w:val="24"/>
        </w:rPr>
        <w:noBreakHyphen/>
      </w:r>
      <w:r w:rsidRPr="00F52D45">
        <w:rPr>
          <w:rFonts w:cstheme="minorHAnsi"/>
          <w:szCs w:val="24"/>
        </w:rPr>
        <w:t xml:space="preserve">Членов МСЭ (целевые фонды и добровольные взносы). </w:t>
      </w:r>
      <w:r w:rsidR="002B2F7A" w:rsidRPr="00F52D45">
        <w:rPr>
          <w:rFonts w:cstheme="minorHAnsi"/>
          <w:szCs w:val="24"/>
        </w:rPr>
        <w:t>МСЭ может также использовать, п</w:t>
      </w:r>
      <w:r w:rsidRPr="00F52D45">
        <w:rPr>
          <w:rFonts w:cstheme="minorHAnsi"/>
          <w:szCs w:val="24"/>
        </w:rPr>
        <w:t xml:space="preserve">ри некоторых обстоятельствах и в соответствии с внутренними правилами и </w:t>
      </w:r>
      <w:r w:rsidR="00791C64" w:rsidRPr="00F52D45">
        <w:rPr>
          <w:rFonts w:cstheme="minorHAnsi"/>
          <w:szCs w:val="24"/>
        </w:rPr>
        <w:t>регламентами</w:t>
      </w:r>
      <w:r w:rsidRPr="00F52D45">
        <w:rPr>
          <w:rFonts w:cstheme="minorHAnsi"/>
          <w:szCs w:val="24"/>
        </w:rPr>
        <w:t xml:space="preserve"> МСЭ</w:t>
      </w:r>
      <w:r w:rsidR="002B2F7A" w:rsidRPr="00F52D45">
        <w:rPr>
          <w:rFonts w:cstheme="minorHAnsi"/>
          <w:szCs w:val="24"/>
        </w:rPr>
        <w:t>,</w:t>
      </w:r>
      <w:r w:rsidRPr="00F52D45">
        <w:rPr>
          <w:rFonts w:cstheme="minorHAnsi"/>
          <w:szCs w:val="24"/>
        </w:rPr>
        <w:t xml:space="preserve"> средства из Фонда развития ИКТ (ФРИКТ)</w:t>
      </w:r>
      <w:r w:rsidR="002B2F7A" w:rsidRPr="00F52D45">
        <w:rPr>
          <w:rStyle w:val="FootnoteReference"/>
          <w:rFonts w:cstheme="minorHAnsi"/>
          <w:szCs w:val="18"/>
        </w:rPr>
        <w:footnoteReference w:id="3"/>
      </w:r>
      <w:r w:rsidRPr="00F52D45">
        <w:rPr>
          <w:rFonts w:cstheme="minorHAnsi"/>
          <w:szCs w:val="24"/>
        </w:rPr>
        <w:t xml:space="preserve">, которым управляет МСЭ, а также средства, выделенные Советом МСЭ </w:t>
      </w:r>
      <w:r w:rsidR="002B2F7A" w:rsidRPr="00F52D45">
        <w:rPr>
          <w:rFonts w:cstheme="minorHAnsi"/>
          <w:szCs w:val="24"/>
        </w:rPr>
        <w:t>в целях</w:t>
      </w:r>
      <w:r w:rsidRPr="00F52D45">
        <w:rPr>
          <w:rFonts w:cstheme="minorHAnsi"/>
          <w:szCs w:val="24"/>
        </w:rPr>
        <w:t xml:space="preserve"> поддержк</w:t>
      </w:r>
      <w:r w:rsidR="002B2F7A" w:rsidRPr="00F52D45">
        <w:rPr>
          <w:rFonts w:cstheme="minorHAnsi"/>
          <w:szCs w:val="24"/>
        </w:rPr>
        <w:t>и</w:t>
      </w:r>
      <w:r w:rsidRPr="00F52D45">
        <w:rPr>
          <w:rFonts w:cstheme="minorHAnsi"/>
          <w:szCs w:val="24"/>
        </w:rPr>
        <w:t xml:space="preserve"> проектов.</w:t>
      </w:r>
      <w:r w:rsidR="00E6492B" w:rsidRPr="00F52D45">
        <w:rPr>
          <w:rFonts w:cstheme="minorHAnsi"/>
          <w:szCs w:val="24"/>
        </w:rPr>
        <w:t xml:space="preserve"> Это означает, что средства, используемые МСЭ, зависят от наличия партнеров по финансированию на национальном, региональном и глобальном уровнях.</w:t>
      </w:r>
    </w:p>
    <w:p w14:paraId="05E175F5" w14:textId="018FFF6E" w:rsidR="001B48BA" w:rsidRPr="00F52D45" w:rsidRDefault="007E4BE8" w:rsidP="000E1722">
      <w:pPr>
        <w:spacing w:after="120"/>
        <w:rPr>
          <w:rFonts w:cstheme="minorHAnsi"/>
          <w:szCs w:val="24"/>
        </w:rPr>
      </w:pPr>
      <w:r w:rsidRPr="00F52D45">
        <w:rPr>
          <w:rFonts w:cstheme="minorHAnsi"/>
          <w:szCs w:val="24"/>
        </w:rPr>
        <w:t xml:space="preserve">На основании текущего бюджета исполнения проектов </w:t>
      </w:r>
      <w:r w:rsidR="00E6492B" w:rsidRPr="00F52D45">
        <w:rPr>
          <w:rFonts w:cstheme="minorHAnsi"/>
          <w:szCs w:val="24"/>
        </w:rPr>
        <w:t>88</w:t>
      </w:r>
      <w:r w:rsidRPr="00F52D45">
        <w:rPr>
          <w:rFonts w:cstheme="minorHAnsi"/>
          <w:szCs w:val="24"/>
        </w:rPr>
        <w:t>% финансирования выполняемых проектов приходится на целевые фонды</w:t>
      </w:r>
      <w:r w:rsidR="009549E6" w:rsidRPr="00F52D45">
        <w:rPr>
          <w:rFonts w:cstheme="minorHAnsi"/>
          <w:szCs w:val="24"/>
        </w:rPr>
        <w:t xml:space="preserve">, 6% – на средства </w:t>
      </w:r>
      <w:r w:rsidR="002B2F7A" w:rsidRPr="00F52D45">
        <w:rPr>
          <w:rFonts w:cstheme="minorHAnsi"/>
          <w:szCs w:val="24"/>
        </w:rPr>
        <w:t>ФРИКТ</w:t>
      </w:r>
      <w:r w:rsidR="009549E6" w:rsidRPr="00F52D45">
        <w:rPr>
          <w:rFonts w:cstheme="minorHAnsi"/>
          <w:szCs w:val="24"/>
        </w:rPr>
        <w:t xml:space="preserve"> и </w:t>
      </w:r>
      <w:r w:rsidR="00E6492B" w:rsidRPr="00F52D45">
        <w:rPr>
          <w:rFonts w:cstheme="minorHAnsi"/>
          <w:szCs w:val="24"/>
        </w:rPr>
        <w:t>5</w:t>
      </w:r>
      <w:r w:rsidR="009549E6" w:rsidRPr="00F52D45">
        <w:rPr>
          <w:rFonts w:cstheme="minorHAnsi"/>
          <w:szCs w:val="24"/>
        </w:rPr>
        <w:t>%</w:t>
      </w:r>
      <w:r w:rsidRPr="00F52D45">
        <w:rPr>
          <w:rFonts w:cstheme="minorHAnsi"/>
          <w:szCs w:val="24"/>
        </w:rPr>
        <w:t> –</w:t>
      </w:r>
      <w:r w:rsidR="009549E6" w:rsidRPr="00F52D45">
        <w:rPr>
          <w:rFonts w:cstheme="minorHAnsi"/>
          <w:szCs w:val="24"/>
        </w:rPr>
        <w:t xml:space="preserve"> </w:t>
      </w:r>
      <w:r w:rsidRPr="00F52D45">
        <w:rPr>
          <w:rFonts w:cstheme="minorHAnsi"/>
          <w:szCs w:val="24"/>
        </w:rPr>
        <w:t xml:space="preserve">на </w:t>
      </w:r>
      <w:r w:rsidR="009549E6" w:rsidRPr="00F52D45">
        <w:rPr>
          <w:rFonts w:cstheme="minorHAnsi"/>
          <w:szCs w:val="24"/>
        </w:rPr>
        <w:t>средств</w:t>
      </w:r>
      <w:r w:rsidRPr="00F52D45">
        <w:rPr>
          <w:rFonts w:cstheme="minorHAnsi"/>
          <w:szCs w:val="24"/>
        </w:rPr>
        <w:t>а</w:t>
      </w:r>
      <w:r w:rsidR="009549E6" w:rsidRPr="00F52D45">
        <w:rPr>
          <w:rFonts w:cstheme="minorHAnsi"/>
          <w:szCs w:val="24"/>
        </w:rPr>
        <w:t>, выделенны</w:t>
      </w:r>
      <w:r w:rsidRPr="00F52D45">
        <w:rPr>
          <w:rFonts w:cstheme="minorHAnsi"/>
          <w:szCs w:val="24"/>
        </w:rPr>
        <w:t>е</w:t>
      </w:r>
      <w:r w:rsidR="009549E6" w:rsidRPr="00F52D45">
        <w:rPr>
          <w:rFonts w:cstheme="minorHAnsi"/>
          <w:szCs w:val="24"/>
        </w:rPr>
        <w:t xml:space="preserve"> Советом 2018</w:t>
      </w:r>
      <w:r w:rsidR="002B2F7A" w:rsidRPr="00F52D45">
        <w:rPr>
          <w:rFonts w:cstheme="minorHAnsi"/>
          <w:szCs w:val="24"/>
        </w:rPr>
        <w:t> </w:t>
      </w:r>
      <w:r w:rsidR="009549E6" w:rsidRPr="00F52D45">
        <w:rPr>
          <w:rFonts w:cstheme="minorHAnsi"/>
          <w:szCs w:val="24"/>
        </w:rPr>
        <w:t>года на реализацию региональных инициатив (см.</w:t>
      </w:r>
      <w:r w:rsidR="002B2F7A" w:rsidRPr="00F52D45">
        <w:rPr>
          <w:rFonts w:cstheme="minorHAnsi"/>
          <w:szCs w:val="24"/>
        </w:rPr>
        <w:t> </w:t>
      </w:r>
      <w:r w:rsidR="009E356B" w:rsidRPr="00F52D45">
        <w:rPr>
          <w:rFonts w:cstheme="minorHAnsi"/>
          <w:szCs w:val="24"/>
        </w:rPr>
        <w:t>Рисунок</w:t>
      </w:r>
      <w:r w:rsidR="002B2F7A" w:rsidRPr="00F52D45">
        <w:rPr>
          <w:rFonts w:cstheme="minorHAnsi"/>
          <w:szCs w:val="24"/>
        </w:rPr>
        <w:t> </w:t>
      </w:r>
      <w:r w:rsidR="009549E6" w:rsidRPr="00F52D45">
        <w:rPr>
          <w:rFonts w:cstheme="minorHAnsi"/>
          <w:szCs w:val="24"/>
        </w:rPr>
        <w:t>1).</w:t>
      </w:r>
    </w:p>
    <w:p w14:paraId="3576F4EC" w14:textId="71072C60" w:rsidR="001B48BA" w:rsidRPr="00F52D45" w:rsidRDefault="009549E6" w:rsidP="000E1722">
      <w:pPr>
        <w:spacing w:before="240" w:after="120"/>
        <w:jc w:val="center"/>
        <w:rPr>
          <w:rFonts w:cstheme="minorHAnsi"/>
          <w:b/>
          <w:szCs w:val="24"/>
        </w:rPr>
      </w:pPr>
      <w:r w:rsidRPr="00F52D45">
        <w:rPr>
          <w:rFonts w:cstheme="minorHAnsi"/>
          <w:b/>
          <w:szCs w:val="24"/>
        </w:rPr>
        <w:t>Рисунок</w:t>
      </w:r>
      <w:r w:rsidR="001B48BA" w:rsidRPr="00F52D45">
        <w:rPr>
          <w:rFonts w:cstheme="minorHAnsi"/>
          <w:b/>
          <w:szCs w:val="24"/>
        </w:rPr>
        <w:t xml:space="preserve"> 1 – </w:t>
      </w:r>
      <w:r w:rsidRPr="00F52D45">
        <w:rPr>
          <w:rFonts w:cstheme="minorHAnsi"/>
          <w:b/>
          <w:szCs w:val="24"/>
        </w:rPr>
        <w:t xml:space="preserve">Источники финансирования проектов МСЭ </w:t>
      </w:r>
      <w:r w:rsidR="001B48BA" w:rsidRPr="00F52D45">
        <w:rPr>
          <w:rFonts w:cstheme="minorHAnsi"/>
          <w:b/>
          <w:szCs w:val="24"/>
        </w:rPr>
        <w:t>(</w:t>
      </w:r>
      <w:r w:rsidRPr="00F52D45">
        <w:rPr>
          <w:rFonts w:cstheme="minorHAnsi"/>
          <w:b/>
          <w:szCs w:val="24"/>
        </w:rPr>
        <w:t>выполняемые проекты</w:t>
      </w:r>
      <w:r w:rsidR="001B48BA" w:rsidRPr="00F52D45">
        <w:rPr>
          <w:rFonts w:cstheme="minorHAnsi"/>
          <w:b/>
          <w:szCs w:val="24"/>
        </w:rPr>
        <w:t>)</w:t>
      </w:r>
    </w:p>
    <w:p w14:paraId="24C25272" w14:textId="616AED60" w:rsidR="00F82587" w:rsidRPr="00F52D45" w:rsidRDefault="00BD5D6E" w:rsidP="000E1722">
      <w:pPr>
        <w:keepNext/>
        <w:keepLines/>
        <w:spacing w:after="120"/>
        <w:jc w:val="center"/>
        <w:rPr>
          <w:rFonts w:cstheme="minorBidi"/>
        </w:rPr>
      </w:pPr>
      <w:r w:rsidRPr="00F52D45">
        <w:rPr>
          <w:rFonts w:cstheme="minorBidi"/>
        </w:rPr>
        <w:drawing>
          <wp:inline distT="0" distB="0" distL="0" distR="0" wp14:anchorId="5E2157BC" wp14:editId="0779CDCB">
            <wp:extent cx="4343400" cy="2428875"/>
            <wp:effectExtent l="0" t="0" r="0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A8A25CD-3A8B-1C9A-ADF1-8AFC946D2D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0B65EF" w14:textId="0E099B6E" w:rsidR="001B48BA" w:rsidRPr="00F52D45" w:rsidRDefault="001B48BA" w:rsidP="000E1722">
      <w:pPr>
        <w:pStyle w:val="Heading2"/>
      </w:pPr>
      <w:r w:rsidRPr="00F52D45">
        <w:t>2.1</w:t>
      </w:r>
      <w:r w:rsidRPr="00F52D45">
        <w:tab/>
        <w:t>Средства, выделенные Советом на реализацию региональных инициатив ВКРЭ-17</w:t>
      </w:r>
    </w:p>
    <w:p w14:paraId="77B58D6D" w14:textId="06227929" w:rsidR="001B48BA" w:rsidRPr="00F52D45" w:rsidRDefault="002A264D" w:rsidP="000E1722">
      <w:pPr>
        <w:spacing w:after="120"/>
        <w:rPr>
          <w:rFonts w:cstheme="minorHAnsi"/>
        </w:rPr>
      </w:pPr>
      <w:bookmarkStart w:id="9" w:name="_Hlk134560010"/>
      <w:r w:rsidRPr="00F52D45">
        <w:rPr>
          <w:rFonts w:cstheme="minorHAnsi"/>
        </w:rPr>
        <w:t>В 2022 году МСЭ завершил использование 5,0 млн швейцарских франков, выделенных Советом на реализацию региональных инициатив ВКРЭ-17</w:t>
      </w:r>
      <w:r w:rsidRPr="00F52D45">
        <w:rPr>
          <w:rStyle w:val="FootnoteReference"/>
          <w:rFonts w:cstheme="minorHAnsi"/>
        </w:rPr>
        <w:footnoteReference w:id="4"/>
      </w:r>
      <w:r w:rsidRPr="00F52D45">
        <w:rPr>
          <w:rFonts w:cstheme="minorHAnsi"/>
        </w:rPr>
        <w:t xml:space="preserve">. Благодаря этим средствам было подписано в общей </w:t>
      </w:r>
      <w:r w:rsidRPr="00F52D45">
        <w:rPr>
          <w:rFonts w:cstheme="minorHAnsi"/>
        </w:rPr>
        <w:lastRenderedPageBreak/>
        <w:t>сложности 37 проектов на сумму 13,5 млн. швейцарских франков (учитывая только денежные взносы партнеров). По 18 (48%) из этих проектов деятельность уже завершена, а остальные 19 проектов (52%) будут завершены в течение 2023 года (см. </w:t>
      </w:r>
      <w:r w:rsidR="009E356B" w:rsidRPr="00F52D45">
        <w:rPr>
          <w:rFonts w:cstheme="minorHAnsi"/>
        </w:rPr>
        <w:t>Рисунок</w:t>
      </w:r>
      <w:r w:rsidRPr="00F52D45">
        <w:rPr>
          <w:rFonts w:cstheme="minorHAnsi"/>
        </w:rPr>
        <w:t> 2)</w:t>
      </w:r>
      <w:r w:rsidR="008540F8" w:rsidRPr="00F52D45">
        <w:rPr>
          <w:rStyle w:val="FootnoteReference"/>
          <w:rFonts w:cstheme="minorHAnsi"/>
        </w:rPr>
        <w:footnoteReference w:id="5"/>
      </w:r>
      <w:r w:rsidRPr="00F52D45">
        <w:rPr>
          <w:rFonts w:cstheme="minorHAnsi"/>
        </w:rPr>
        <w:t>.</w:t>
      </w:r>
    </w:p>
    <w:p w14:paraId="0AFF8E21" w14:textId="7314B553" w:rsidR="001B48BA" w:rsidRPr="00F52D45" w:rsidRDefault="008540F8" w:rsidP="00211A6F">
      <w:pPr>
        <w:pStyle w:val="Figuretitle"/>
      </w:pPr>
      <w:r w:rsidRPr="00F52D45">
        <w:t>Рисунок</w:t>
      </w:r>
      <w:r w:rsidR="001B48BA" w:rsidRPr="00F52D45">
        <w:t xml:space="preserve"> 2 –</w:t>
      </w:r>
      <w:r w:rsidRPr="00F52D45">
        <w:t xml:space="preserve"> Текущее состояние проектов, которые получили финансирование из средств, утвержденных Советом для реализации региональных инициатив ВКРЭ-17</w:t>
      </w:r>
      <w:r w:rsidRPr="00F52D45">
        <w:br/>
        <w:t>(в тыс. швейцарских франков)</w:t>
      </w:r>
    </w:p>
    <w:tbl>
      <w:tblPr>
        <w:tblW w:w="42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18"/>
        <w:gridCol w:w="1161"/>
        <w:gridCol w:w="1448"/>
        <w:gridCol w:w="1670"/>
        <w:gridCol w:w="1406"/>
      </w:tblGrid>
      <w:tr w:rsidR="001B48BA" w:rsidRPr="00F52D45" w14:paraId="2C614EB0" w14:textId="77777777" w:rsidTr="00211A6F">
        <w:trPr>
          <w:trHeight w:val="497"/>
          <w:jc w:val="center"/>
        </w:trPr>
        <w:tc>
          <w:tcPr>
            <w:tcW w:w="2520" w:type="dxa"/>
            <w:shd w:val="clear" w:color="auto" w:fill="D9D9D9" w:themeFill="background1" w:themeFillShade="D9"/>
            <w:vAlign w:val="center"/>
            <w:hideMark/>
          </w:tcPr>
          <w:p w14:paraId="08FC4176" w14:textId="0E707EA7" w:rsidR="001B48BA" w:rsidRPr="00F52D45" w:rsidRDefault="008540F8" w:rsidP="004C1B3A">
            <w:pPr>
              <w:pStyle w:val="Tablehead"/>
            </w:pPr>
            <w:r w:rsidRPr="00F52D45">
              <w:t>Состояние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50680B8E" w14:textId="5F6B3F1E" w:rsidR="001B48BA" w:rsidRPr="00F52D45" w:rsidRDefault="008540F8" w:rsidP="004C1B3A">
            <w:pPr>
              <w:pStyle w:val="Tablehead"/>
            </w:pPr>
            <w:r w:rsidRPr="00F52D45">
              <w:t>Проекты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  <w:hideMark/>
          </w:tcPr>
          <w:p w14:paraId="42902F90" w14:textId="6E845AE4" w:rsidR="001B48BA" w:rsidRPr="00F52D45" w:rsidRDefault="008540F8" w:rsidP="004C1B3A">
            <w:pPr>
              <w:pStyle w:val="Tablehead"/>
            </w:pPr>
            <w:r w:rsidRPr="00F52D45">
              <w:t>Средства, выделенные Советом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  <w:hideMark/>
          </w:tcPr>
          <w:p w14:paraId="307D6D26" w14:textId="78F42D9F" w:rsidR="001B48BA" w:rsidRPr="00F52D45" w:rsidRDefault="008540F8" w:rsidP="004C1B3A">
            <w:pPr>
              <w:pStyle w:val="Tablehead"/>
            </w:pPr>
            <w:r w:rsidRPr="00F52D45">
              <w:t>Внешние источники финансирования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  <w:hideMark/>
          </w:tcPr>
          <w:p w14:paraId="56D1095E" w14:textId="1E3EB579" w:rsidR="001B48BA" w:rsidRPr="00F52D45" w:rsidRDefault="008540F8" w:rsidP="004C1B3A">
            <w:pPr>
              <w:pStyle w:val="Tablehead"/>
            </w:pPr>
            <w:r w:rsidRPr="00F52D45">
              <w:t>Общая сумма средств</w:t>
            </w:r>
          </w:p>
        </w:tc>
      </w:tr>
      <w:tr w:rsidR="001B48BA" w:rsidRPr="00F52D45" w14:paraId="089D39EF" w14:textId="77777777" w:rsidTr="00211A6F">
        <w:trPr>
          <w:trHeight w:val="61"/>
          <w:jc w:val="center"/>
        </w:trPr>
        <w:tc>
          <w:tcPr>
            <w:tcW w:w="2520" w:type="dxa"/>
            <w:vAlign w:val="center"/>
          </w:tcPr>
          <w:p w14:paraId="2C14933A" w14:textId="0727C140" w:rsidR="001B48BA" w:rsidRPr="00F52D45" w:rsidRDefault="001B48BA" w:rsidP="004C1B3A">
            <w:pPr>
              <w:pStyle w:val="Tabletext"/>
              <w:tabs>
                <w:tab w:val="left" w:pos="254"/>
              </w:tabs>
            </w:pPr>
            <w:r w:rsidRPr="00F52D45">
              <w:t>1</w:t>
            </w:r>
            <w:r w:rsidR="004C1B3A" w:rsidRPr="00F52D45">
              <w:tab/>
            </w:r>
            <w:r w:rsidR="008540F8" w:rsidRPr="00F52D45">
              <w:t>Выполняемые проекты</w:t>
            </w:r>
          </w:p>
        </w:tc>
        <w:tc>
          <w:tcPr>
            <w:tcW w:w="1161" w:type="dxa"/>
            <w:vAlign w:val="bottom"/>
          </w:tcPr>
          <w:p w14:paraId="2C60D104" w14:textId="77777777" w:rsidR="001B48BA" w:rsidRPr="00F52D45" w:rsidRDefault="001B48BA" w:rsidP="004C1B3A">
            <w:pPr>
              <w:pStyle w:val="Tabletext"/>
              <w:jc w:val="center"/>
            </w:pPr>
            <w:r w:rsidRPr="00F52D45">
              <w:t>19</w:t>
            </w:r>
          </w:p>
        </w:tc>
        <w:tc>
          <w:tcPr>
            <w:tcW w:w="1448" w:type="dxa"/>
            <w:vAlign w:val="bottom"/>
          </w:tcPr>
          <w:p w14:paraId="193F6218" w14:textId="1C37F2A7" w:rsidR="001B48BA" w:rsidRPr="00F52D45" w:rsidRDefault="001B48BA" w:rsidP="004C1B3A">
            <w:pPr>
              <w:pStyle w:val="Tabletext"/>
              <w:jc w:val="center"/>
            </w:pPr>
            <w:r w:rsidRPr="00F52D45">
              <w:t>2</w:t>
            </w:r>
            <w:r w:rsidR="005256B7" w:rsidRPr="00F52D45">
              <w:t> </w:t>
            </w:r>
            <w:r w:rsidRPr="00F52D45">
              <w:t>485</w:t>
            </w:r>
            <w:r w:rsidR="005256B7" w:rsidRPr="00F52D45">
              <w:t>,</w:t>
            </w:r>
            <w:r w:rsidRPr="00F52D45">
              <w:t>2</w:t>
            </w:r>
          </w:p>
        </w:tc>
        <w:tc>
          <w:tcPr>
            <w:tcW w:w="1670" w:type="dxa"/>
            <w:vAlign w:val="bottom"/>
          </w:tcPr>
          <w:p w14:paraId="2FA2EBD1" w14:textId="5EAA1535" w:rsidR="001B48BA" w:rsidRPr="00F52D45" w:rsidRDefault="001B48BA" w:rsidP="004C1B3A">
            <w:pPr>
              <w:pStyle w:val="Tabletext"/>
              <w:jc w:val="center"/>
            </w:pPr>
            <w:r w:rsidRPr="00F52D45">
              <w:t>6</w:t>
            </w:r>
            <w:r w:rsidR="005256B7" w:rsidRPr="00F52D45">
              <w:t> </w:t>
            </w:r>
            <w:r w:rsidRPr="00F52D45">
              <w:t>395</w:t>
            </w:r>
            <w:r w:rsidR="005256B7" w:rsidRPr="00F52D45">
              <w:t>,</w:t>
            </w:r>
            <w:r w:rsidRPr="00F52D45">
              <w:t>2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bottom"/>
          </w:tcPr>
          <w:p w14:paraId="183D7424" w14:textId="7B48E5D4" w:rsidR="001B48BA" w:rsidRPr="00D91C7F" w:rsidRDefault="001B48BA" w:rsidP="004C1B3A">
            <w:pPr>
              <w:pStyle w:val="Tabletext"/>
              <w:jc w:val="center"/>
            </w:pPr>
            <w:r w:rsidRPr="00D91C7F">
              <w:t>8</w:t>
            </w:r>
            <w:r w:rsidR="005256B7" w:rsidRPr="00D91C7F">
              <w:t> </w:t>
            </w:r>
            <w:r w:rsidRPr="00D91C7F">
              <w:t>898</w:t>
            </w:r>
            <w:r w:rsidR="005256B7" w:rsidRPr="00D91C7F">
              <w:t>,</w:t>
            </w:r>
            <w:r w:rsidRPr="00D91C7F">
              <w:t>3</w:t>
            </w:r>
          </w:p>
        </w:tc>
      </w:tr>
      <w:tr w:rsidR="001B48BA" w:rsidRPr="00F52D45" w14:paraId="0E510CB6" w14:textId="77777777" w:rsidTr="00211A6F">
        <w:trPr>
          <w:trHeight w:val="61"/>
          <w:jc w:val="center"/>
        </w:trPr>
        <w:tc>
          <w:tcPr>
            <w:tcW w:w="2520" w:type="dxa"/>
            <w:vAlign w:val="center"/>
          </w:tcPr>
          <w:p w14:paraId="12C449CA" w14:textId="386CB6AF" w:rsidR="001B48BA" w:rsidRPr="00F52D45" w:rsidRDefault="001B48BA" w:rsidP="004C1B3A">
            <w:pPr>
              <w:pStyle w:val="Tabletext"/>
              <w:tabs>
                <w:tab w:val="left" w:pos="254"/>
              </w:tabs>
            </w:pPr>
            <w:r w:rsidRPr="00F52D45">
              <w:t>2</w:t>
            </w:r>
            <w:r w:rsidR="004C1B3A" w:rsidRPr="00F52D45">
              <w:tab/>
            </w:r>
            <w:r w:rsidR="005256B7" w:rsidRPr="00F52D45">
              <w:t>Выполненные проекты</w:t>
            </w:r>
          </w:p>
        </w:tc>
        <w:tc>
          <w:tcPr>
            <w:tcW w:w="1161" w:type="dxa"/>
          </w:tcPr>
          <w:p w14:paraId="0F4F7432" w14:textId="77777777" w:rsidR="001B48BA" w:rsidRPr="00F52D45" w:rsidRDefault="001B48BA" w:rsidP="004C1B3A">
            <w:pPr>
              <w:pStyle w:val="Tabletext"/>
              <w:jc w:val="center"/>
            </w:pPr>
            <w:r w:rsidRPr="00F52D45">
              <w:t>18</w:t>
            </w:r>
          </w:p>
        </w:tc>
        <w:tc>
          <w:tcPr>
            <w:tcW w:w="1448" w:type="dxa"/>
          </w:tcPr>
          <w:p w14:paraId="76296346" w14:textId="17BDCD19" w:rsidR="001B48BA" w:rsidRPr="00F52D45" w:rsidRDefault="001B48BA" w:rsidP="004C1B3A">
            <w:pPr>
              <w:pStyle w:val="Tabletext"/>
              <w:jc w:val="center"/>
            </w:pPr>
            <w:r w:rsidRPr="00F52D45">
              <w:t>2</w:t>
            </w:r>
            <w:r w:rsidR="005256B7" w:rsidRPr="00F52D45">
              <w:t> </w:t>
            </w:r>
            <w:r w:rsidRPr="00F52D45">
              <w:t>489</w:t>
            </w:r>
            <w:r w:rsidR="005256B7" w:rsidRPr="00F52D45">
              <w:t>,</w:t>
            </w:r>
            <w:r w:rsidRPr="00F52D45">
              <w:t>9</w:t>
            </w:r>
          </w:p>
        </w:tc>
        <w:tc>
          <w:tcPr>
            <w:tcW w:w="1670" w:type="dxa"/>
          </w:tcPr>
          <w:p w14:paraId="2CD26EB7" w14:textId="62678BE3" w:rsidR="001B48BA" w:rsidRPr="00F52D45" w:rsidRDefault="001B48BA" w:rsidP="004C1B3A">
            <w:pPr>
              <w:pStyle w:val="Tabletext"/>
              <w:jc w:val="center"/>
            </w:pPr>
            <w:r w:rsidRPr="00F52D45">
              <w:t>2</w:t>
            </w:r>
            <w:r w:rsidR="005256B7" w:rsidRPr="00F52D45">
              <w:t> </w:t>
            </w:r>
            <w:r w:rsidRPr="00F52D45">
              <w:t>184</w:t>
            </w:r>
            <w:r w:rsidR="005256B7" w:rsidRPr="00F52D45">
              <w:t>,</w:t>
            </w:r>
            <w:r w:rsidRPr="00F52D45">
              <w:t>0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1FEE26BE" w14:textId="7A6F34F9" w:rsidR="001B48BA" w:rsidRPr="00D91C7F" w:rsidRDefault="001B48BA" w:rsidP="004C1B3A">
            <w:pPr>
              <w:pStyle w:val="Tabletext"/>
              <w:jc w:val="center"/>
            </w:pPr>
            <w:r w:rsidRPr="00D91C7F">
              <w:t>4</w:t>
            </w:r>
            <w:r w:rsidR="005256B7" w:rsidRPr="00D91C7F">
              <w:t> </w:t>
            </w:r>
            <w:r w:rsidRPr="00D91C7F">
              <w:t>673</w:t>
            </w:r>
            <w:r w:rsidR="005256B7" w:rsidRPr="00D91C7F">
              <w:t>,</w:t>
            </w:r>
            <w:r w:rsidRPr="00D91C7F">
              <w:t>9</w:t>
            </w:r>
          </w:p>
        </w:tc>
      </w:tr>
      <w:tr w:rsidR="001B48BA" w:rsidRPr="00F52D45" w14:paraId="44BF2E0A" w14:textId="77777777" w:rsidTr="00211A6F">
        <w:trPr>
          <w:trHeight w:val="61"/>
          <w:jc w:val="center"/>
        </w:trPr>
        <w:tc>
          <w:tcPr>
            <w:tcW w:w="2520" w:type="dxa"/>
            <w:shd w:val="clear" w:color="auto" w:fill="D9D9D9" w:themeFill="background1" w:themeFillShade="D9"/>
            <w:vAlign w:val="center"/>
            <w:hideMark/>
          </w:tcPr>
          <w:p w14:paraId="566152BF" w14:textId="6A247FE2" w:rsidR="001B48BA" w:rsidRPr="00F52D45" w:rsidRDefault="005256B7" w:rsidP="004C1B3A">
            <w:pPr>
              <w:pStyle w:val="Tabletext"/>
              <w:rPr>
                <w:b/>
                <w:bCs/>
              </w:rPr>
            </w:pPr>
            <w:r w:rsidRPr="00F52D45">
              <w:rPr>
                <w:b/>
                <w:bCs/>
              </w:rPr>
              <w:t>Всего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bottom"/>
          </w:tcPr>
          <w:p w14:paraId="6EB03ECD" w14:textId="77777777" w:rsidR="001B48BA" w:rsidRPr="00F52D45" w:rsidRDefault="001B48BA" w:rsidP="004C1B3A">
            <w:pPr>
              <w:pStyle w:val="Tabletext"/>
              <w:jc w:val="center"/>
              <w:rPr>
                <w:b/>
                <w:bCs/>
              </w:rPr>
            </w:pPr>
            <w:r w:rsidRPr="00F52D45">
              <w:rPr>
                <w:b/>
                <w:bCs/>
              </w:rPr>
              <w:t>37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bottom"/>
          </w:tcPr>
          <w:p w14:paraId="7A66415F" w14:textId="4C3DF4A0" w:rsidR="001B48BA" w:rsidRPr="00F52D45" w:rsidRDefault="001B48BA" w:rsidP="004C1B3A">
            <w:pPr>
              <w:pStyle w:val="Tabletext"/>
              <w:jc w:val="center"/>
              <w:rPr>
                <w:b/>
                <w:bCs/>
              </w:rPr>
            </w:pPr>
            <w:r w:rsidRPr="00F52D45">
              <w:rPr>
                <w:b/>
                <w:bCs/>
              </w:rPr>
              <w:t>4</w:t>
            </w:r>
            <w:r w:rsidR="005256B7" w:rsidRPr="00F52D45">
              <w:rPr>
                <w:b/>
                <w:bCs/>
              </w:rPr>
              <w:t> </w:t>
            </w:r>
            <w:r w:rsidRPr="00F52D45">
              <w:rPr>
                <w:b/>
                <w:bCs/>
              </w:rPr>
              <w:t>975</w:t>
            </w:r>
            <w:r w:rsidR="005256B7" w:rsidRPr="00F52D45">
              <w:rPr>
                <w:b/>
                <w:bCs/>
              </w:rPr>
              <w:t>,</w:t>
            </w:r>
            <w:r w:rsidRPr="00F52D45">
              <w:rPr>
                <w:b/>
                <w:bCs/>
              </w:rPr>
              <w:t>1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bottom"/>
          </w:tcPr>
          <w:p w14:paraId="3FE6BFF0" w14:textId="15EBD324" w:rsidR="001B48BA" w:rsidRPr="00F52D45" w:rsidRDefault="001B48BA" w:rsidP="004C1B3A">
            <w:pPr>
              <w:pStyle w:val="Tabletext"/>
              <w:jc w:val="center"/>
              <w:rPr>
                <w:b/>
                <w:bCs/>
              </w:rPr>
            </w:pPr>
            <w:r w:rsidRPr="00F52D45">
              <w:rPr>
                <w:b/>
                <w:bCs/>
              </w:rPr>
              <w:t>8</w:t>
            </w:r>
            <w:r w:rsidR="005256B7" w:rsidRPr="00F52D45">
              <w:rPr>
                <w:b/>
                <w:bCs/>
              </w:rPr>
              <w:t> </w:t>
            </w:r>
            <w:r w:rsidRPr="00F52D45">
              <w:rPr>
                <w:b/>
                <w:bCs/>
              </w:rPr>
              <w:t>579</w:t>
            </w:r>
            <w:r w:rsidR="005256B7" w:rsidRPr="00F52D45">
              <w:rPr>
                <w:b/>
                <w:bCs/>
              </w:rPr>
              <w:t>,</w:t>
            </w:r>
            <w:r w:rsidRPr="00F52D45">
              <w:rPr>
                <w:b/>
                <w:bCs/>
              </w:rPr>
              <w:t>2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bottom"/>
          </w:tcPr>
          <w:p w14:paraId="125E3FB8" w14:textId="4EB4E36C" w:rsidR="001B48BA" w:rsidRPr="00F52D45" w:rsidRDefault="001B48BA" w:rsidP="004C1B3A">
            <w:pPr>
              <w:pStyle w:val="Tabletext"/>
              <w:jc w:val="center"/>
              <w:rPr>
                <w:b/>
                <w:bCs/>
              </w:rPr>
            </w:pPr>
            <w:r w:rsidRPr="00F52D45">
              <w:rPr>
                <w:b/>
                <w:bCs/>
              </w:rPr>
              <w:t>13</w:t>
            </w:r>
            <w:r w:rsidR="005256B7" w:rsidRPr="00F52D45">
              <w:rPr>
                <w:b/>
                <w:bCs/>
              </w:rPr>
              <w:t> </w:t>
            </w:r>
            <w:r w:rsidRPr="00F52D45">
              <w:rPr>
                <w:b/>
                <w:bCs/>
              </w:rPr>
              <w:t>572</w:t>
            </w:r>
            <w:r w:rsidR="005256B7" w:rsidRPr="00F52D45">
              <w:rPr>
                <w:b/>
                <w:bCs/>
              </w:rPr>
              <w:t>,</w:t>
            </w:r>
            <w:r w:rsidRPr="00F52D45">
              <w:rPr>
                <w:b/>
                <w:bCs/>
              </w:rPr>
              <w:t>1</w:t>
            </w:r>
          </w:p>
        </w:tc>
      </w:tr>
    </w:tbl>
    <w:bookmarkEnd w:id="9"/>
    <w:p w14:paraId="6205294E" w14:textId="7C7D3207" w:rsidR="00E33EA0" w:rsidRPr="00F52D45" w:rsidRDefault="00E33EA0" w:rsidP="009E356B">
      <w:pPr>
        <w:pStyle w:val="Heading1"/>
      </w:pPr>
      <w:r w:rsidRPr="00F52D45">
        <w:t>3</w:t>
      </w:r>
      <w:r w:rsidRPr="00F52D45">
        <w:tab/>
        <w:t>Портфель проектов МСЭ: выполняемые проекты</w:t>
      </w:r>
    </w:p>
    <w:p w14:paraId="4D0CABDB" w14:textId="4AF988E2" w:rsidR="0091458C" w:rsidRPr="00F52D45" w:rsidRDefault="001B48BA" w:rsidP="009E356B">
      <w:pPr>
        <w:pStyle w:val="Heading2"/>
      </w:pPr>
      <w:r w:rsidRPr="00F52D45">
        <w:t>3</w:t>
      </w:r>
      <w:r w:rsidR="0091458C" w:rsidRPr="00F52D45">
        <w:t>.1</w:t>
      </w:r>
      <w:r w:rsidR="0091458C" w:rsidRPr="00F52D45">
        <w:tab/>
      </w:r>
      <w:bookmarkStart w:id="10" w:name="lt_pId035"/>
      <w:r w:rsidR="0091458C" w:rsidRPr="00F52D45">
        <w:t>Общая информация и распределение по регионам</w:t>
      </w:r>
      <w:bookmarkEnd w:id="10"/>
    </w:p>
    <w:p w14:paraId="7A29D110" w14:textId="26245CBB" w:rsidR="0091458C" w:rsidRPr="00F52D45" w:rsidRDefault="00335F3F" w:rsidP="000E1722">
      <w:pPr>
        <w:spacing w:after="120"/>
        <w:rPr>
          <w:highlight w:val="lightGray"/>
        </w:rPr>
      </w:pPr>
      <w:bookmarkStart w:id="11" w:name="lt_pId036"/>
      <w:r w:rsidRPr="00F52D45">
        <w:t>В</w:t>
      </w:r>
      <w:r w:rsidR="0091458C" w:rsidRPr="00F52D45">
        <w:t xml:space="preserve"> 202</w:t>
      </w:r>
      <w:r w:rsidR="0089092F" w:rsidRPr="00F52D45">
        <w:t>2 </w:t>
      </w:r>
      <w:r w:rsidR="0091458C" w:rsidRPr="00F52D45">
        <w:t>год</w:t>
      </w:r>
      <w:r w:rsidRPr="00F52D45">
        <w:t>у</w:t>
      </w:r>
      <w:r w:rsidR="0091458C" w:rsidRPr="00F52D45">
        <w:t xml:space="preserve"> МСЭ </w:t>
      </w:r>
      <w:r w:rsidR="0089092F" w:rsidRPr="00F52D45">
        <w:t>выполн</w:t>
      </w:r>
      <w:r w:rsidRPr="00F52D45">
        <w:t>ил виды деятельности в рамках 80 проектов на сумму 95,7</w:t>
      </w:r>
      <w:r w:rsidR="0038337C" w:rsidRPr="00F52D45">
        <w:t> </w:t>
      </w:r>
      <w:r w:rsidR="0091458C" w:rsidRPr="00F52D45">
        <w:t xml:space="preserve">млн. швейцарских франков. На </w:t>
      </w:r>
      <w:r w:rsidR="004C1B3A" w:rsidRPr="00F52D45">
        <w:t>Рисунке </w:t>
      </w:r>
      <w:r w:rsidR="0089092F" w:rsidRPr="00F52D45">
        <w:t>3</w:t>
      </w:r>
      <w:r w:rsidR="0091458C" w:rsidRPr="00F52D45">
        <w:t xml:space="preserve"> представлена информация о распределении этого портфеля в целом по регионам и обзор </w:t>
      </w:r>
      <w:r w:rsidR="0089092F" w:rsidRPr="00F52D45">
        <w:t>1) </w:t>
      </w:r>
      <w:r w:rsidR="0091458C" w:rsidRPr="00F52D45">
        <w:t xml:space="preserve">средств, </w:t>
      </w:r>
      <w:r w:rsidR="0038337C" w:rsidRPr="00F52D45">
        <w:t>привлеченных</w:t>
      </w:r>
      <w:r w:rsidR="0089092F" w:rsidRPr="00F52D45">
        <w:t xml:space="preserve"> МСЭ </w:t>
      </w:r>
      <w:r w:rsidR="0038337C" w:rsidRPr="00F52D45">
        <w:t>для</w:t>
      </w:r>
      <w:r w:rsidR="0089092F" w:rsidRPr="00F52D45">
        <w:t xml:space="preserve"> поддержк</w:t>
      </w:r>
      <w:r w:rsidR="0038337C" w:rsidRPr="00F52D45">
        <w:t>и</w:t>
      </w:r>
      <w:r w:rsidR="0089092F" w:rsidRPr="00F52D45">
        <w:t xml:space="preserve"> выполнения этих проектов; 2) средств, </w:t>
      </w:r>
      <w:r w:rsidR="0091458C" w:rsidRPr="00F52D45">
        <w:t>выделенны</w:t>
      </w:r>
      <w:r w:rsidR="0038337C" w:rsidRPr="00F52D45">
        <w:t>х</w:t>
      </w:r>
      <w:r w:rsidR="0091458C" w:rsidRPr="00F52D45">
        <w:t xml:space="preserve"> на эти проекты</w:t>
      </w:r>
      <w:r w:rsidR="0089092F" w:rsidRPr="00F52D45">
        <w:t xml:space="preserve"> из Фонда развития ИКТ (ФРИКТ), которым управляет МСЭ</w:t>
      </w:r>
      <w:r w:rsidR="0038337C" w:rsidRPr="00F52D45">
        <w:t>; а также</w:t>
      </w:r>
      <w:r w:rsidR="0089092F" w:rsidRPr="00F52D45">
        <w:t xml:space="preserve"> 3) средств, </w:t>
      </w:r>
      <w:r w:rsidR="0038337C" w:rsidRPr="00F52D45">
        <w:t>выделенных</w:t>
      </w:r>
      <w:r w:rsidR="0089092F" w:rsidRPr="00F52D45">
        <w:t xml:space="preserve"> МСЭ из </w:t>
      </w:r>
      <w:r w:rsidR="0038337C" w:rsidRPr="00F52D45">
        <w:t>средств</w:t>
      </w:r>
      <w:r w:rsidR="0089092F" w:rsidRPr="00F52D45">
        <w:t xml:space="preserve">, </w:t>
      </w:r>
      <w:r w:rsidR="0038337C" w:rsidRPr="00F52D45">
        <w:t xml:space="preserve">которые </w:t>
      </w:r>
      <w:r w:rsidR="0089092F" w:rsidRPr="00F52D45">
        <w:t>утвер</w:t>
      </w:r>
      <w:r w:rsidR="0038337C" w:rsidRPr="00F52D45">
        <w:t>дил</w:t>
      </w:r>
      <w:r w:rsidR="0089092F" w:rsidRPr="00F52D45">
        <w:t xml:space="preserve"> Совет </w:t>
      </w:r>
      <w:r w:rsidR="0038337C" w:rsidRPr="00F52D45">
        <w:t>для</w:t>
      </w:r>
      <w:r w:rsidR="0089092F" w:rsidRPr="00F52D45">
        <w:t xml:space="preserve"> поддержк</w:t>
      </w:r>
      <w:r w:rsidR="0038337C" w:rsidRPr="00F52D45">
        <w:t>и</w:t>
      </w:r>
      <w:r w:rsidR="0089092F" w:rsidRPr="00F52D45">
        <w:t xml:space="preserve"> реализации региональных инициатив ВКРЭ-17</w:t>
      </w:r>
      <w:r w:rsidR="0091458C" w:rsidRPr="00F52D45">
        <w:t>.</w:t>
      </w:r>
      <w:bookmarkEnd w:id="11"/>
      <w:r w:rsidR="009C6151" w:rsidRPr="00F52D45">
        <w:t xml:space="preserve"> Как указывается в пункте 2, распределение финансирования напрямую связано с наличием партнеров по </w:t>
      </w:r>
      <w:r w:rsidR="008566BB" w:rsidRPr="00F52D45">
        <w:t>финансированию</w:t>
      </w:r>
      <w:r w:rsidR="009C6151" w:rsidRPr="00F52D45">
        <w:t>, готовых оказывать финансовую поддержку проектам МСЭ.</w:t>
      </w:r>
    </w:p>
    <w:p w14:paraId="2AB7EA9D" w14:textId="69F5573B" w:rsidR="009C6151" w:rsidRPr="00F52D45" w:rsidRDefault="0091458C" w:rsidP="00211A6F">
      <w:pPr>
        <w:pStyle w:val="Figuretitle"/>
      </w:pPr>
      <w:bookmarkStart w:id="12" w:name="lt_pId038"/>
      <w:r w:rsidRPr="00F52D45">
        <w:t xml:space="preserve">Рисунок </w:t>
      </w:r>
      <w:r w:rsidR="00E33EA0" w:rsidRPr="00F52D45">
        <w:t>3</w:t>
      </w:r>
      <w:r w:rsidR="004C1B3A" w:rsidRPr="00F52D45">
        <w:t xml:space="preserve"> −</w:t>
      </w:r>
      <w:r w:rsidRPr="00F52D45">
        <w:t xml:space="preserve"> Обзор выполняемых проектов МСЭ в разбивке по регионам </w:t>
      </w:r>
      <w:r w:rsidRPr="00F52D45">
        <w:br/>
        <w:t>(в тыс. швейцарских франков)</w:t>
      </w:r>
      <w:bookmarkEnd w:id="12"/>
    </w:p>
    <w:tbl>
      <w:tblPr>
        <w:tblW w:w="8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52"/>
        <w:gridCol w:w="1252"/>
        <w:gridCol w:w="1252"/>
        <w:gridCol w:w="1252"/>
        <w:gridCol w:w="1252"/>
      </w:tblGrid>
      <w:tr w:rsidR="00914865" w:rsidRPr="00F52D45" w14:paraId="76182710" w14:textId="77777777" w:rsidTr="009810D4">
        <w:trPr>
          <w:trHeight w:val="117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71A6954D" w14:textId="77777777" w:rsidR="00914865" w:rsidRPr="00F52D45" w:rsidRDefault="00914865" w:rsidP="000E1722">
            <w:pPr>
              <w:pStyle w:val="Tablehead"/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</w:pPr>
            <w:r w:rsidRPr="00F52D45"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  <w:t>Регион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1EBAA183" w14:textId="10B63BBC" w:rsidR="00914865" w:rsidRPr="00F52D45" w:rsidRDefault="00914865" w:rsidP="000E1722">
            <w:pPr>
              <w:pStyle w:val="Tablehead"/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</w:pPr>
            <w:r w:rsidRPr="00F52D45"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  <w:t>Кол-во проектов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78D2DFD9" w14:textId="70C585FA" w:rsidR="00914865" w:rsidRPr="00F52D45" w:rsidRDefault="00914865" w:rsidP="000E1722">
            <w:pPr>
              <w:pStyle w:val="Tablehead"/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</w:pPr>
            <w:r w:rsidRPr="00F52D45"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  <w:t>Средства от партнеров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4CE2900D" w14:textId="3A1E51FF" w:rsidR="00914865" w:rsidRPr="00F52D45" w:rsidRDefault="00914865" w:rsidP="000E1722">
            <w:pPr>
              <w:pStyle w:val="Tablehead"/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</w:pPr>
            <w:r w:rsidRPr="00F52D45"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  <w:t>Средства МСЭ (ФРИКТ)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2ABD2541" w14:textId="383C6E0B" w:rsidR="00914865" w:rsidRPr="00F52D45" w:rsidRDefault="00914865" w:rsidP="000E1722">
            <w:pPr>
              <w:pStyle w:val="Tablehead"/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</w:pPr>
            <w:r w:rsidRPr="00F52D45"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  <w:t xml:space="preserve">Средства МСЭ </w:t>
            </w:r>
            <w:r w:rsidRPr="00F52D45"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  <w:br/>
              <w:t>(ОП)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354B02FC" w14:textId="6952EE2F" w:rsidR="00914865" w:rsidRPr="00F52D45" w:rsidRDefault="00914865" w:rsidP="000E1722">
            <w:pPr>
              <w:pStyle w:val="Tablehead"/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</w:pPr>
            <w:r w:rsidRPr="00F52D45"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  <w:t>Общая сумма средств на проекты</w:t>
            </w:r>
          </w:p>
        </w:tc>
      </w:tr>
      <w:tr w:rsidR="009F7D1E" w:rsidRPr="00F52D45" w14:paraId="748598B9" w14:textId="77777777" w:rsidTr="009810D4">
        <w:trPr>
          <w:trHeight w:val="54"/>
          <w:jc w:val="center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79F7778" w14:textId="53DFCAB0" w:rsidR="009F7D1E" w:rsidRPr="00F52D45" w:rsidRDefault="009F7D1E" w:rsidP="009F7D1E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  <w:r w:rsidRPr="00F52D45">
              <w:rPr>
                <w:rFonts w:asciiTheme="minorHAnsi" w:hAnsiTheme="minorHAnsi" w:cstheme="minorHAnsi"/>
                <w:szCs w:val="20"/>
              </w:rPr>
              <w:t>АФР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BB6E460" w14:textId="6DEDABF5" w:rsidR="009F7D1E" w:rsidRPr="00F52D45" w:rsidRDefault="009F7D1E" w:rsidP="009F7D1E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szCs w:val="20"/>
              </w:rPr>
            </w:pPr>
            <w:r w:rsidRPr="00F52D45">
              <w:rPr>
                <w:rFonts w:cs="Calibri"/>
                <w:color w:val="000000"/>
                <w:szCs w:val="20"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64100B" w14:textId="0A40AD89" w:rsidR="009F7D1E" w:rsidRPr="00F52D45" w:rsidRDefault="009F7D1E" w:rsidP="009F7D1E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F52D45">
              <w:rPr>
                <w:rFonts w:cs="Calibri"/>
                <w:color w:val="000000"/>
                <w:szCs w:val="20"/>
              </w:rPr>
              <w:t>9 921,5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C82F51" w14:textId="3448A247" w:rsidR="009F7D1E" w:rsidRPr="00F52D45" w:rsidRDefault="009F7D1E" w:rsidP="009F7D1E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F52D45">
              <w:rPr>
                <w:rFonts w:cs="Calibri"/>
                <w:color w:val="000000"/>
                <w:szCs w:val="20"/>
              </w:rPr>
              <w:t>967,8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CC0E8A" w14:textId="21502CA2" w:rsidR="009F7D1E" w:rsidRPr="00F52D45" w:rsidRDefault="009F7D1E" w:rsidP="009F7D1E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F52D45">
              <w:rPr>
                <w:rFonts w:eastAsiaTheme="minorEastAsia" w:cstheme="minorHAnsi"/>
                <w:szCs w:val="20"/>
              </w:rPr>
              <w:t>374,0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bottom"/>
          </w:tcPr>
          <w:p w14:paraId="1C56B55A" w14:textId="2F878BE6" w:rsidR="009F7D1E" w:rsidRPr="00F52D45" w:rsidRDefault="009F7D1E" w:rsidP="009F7D1E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F52D45">
              <w:rPr>
                <w:rFonts w:eastAsiaTheme="minorEastAsia" w:cstheme="minorHAnsi"/>
                <w:szCs w:val="20"/>
              </w:rPr>
              <w:t>11 845,6</w:t>
            </w:r>
          </w:p>
        </w:tc>
      </w:tr>
      <w:tr w:rsidR="009F7D1E" w:rsidRPr="00F52D45" w14:paraId="34B04531" w14:textId="77777777" w:rsidTr="009810D4">
        <w:trPr>
          <w:trHeight w:val="54"/>
          <w:jc w:val="center"/>
        </w:trPr>
        <w:tc>
          <w:tcPr>
            <w:tcW w:w="1838" w:type="dxa"/>
            <w:shd w:val="clear" w:color="auto" w:fill="auto"/>
            <w:hideMark/>
          </w:tcPr>
          <w:p w14:paraId="4440F11C" w14:textId="4B6FA97D" w:rsidR="009F7D1E" w:rsidRPr="00F52D45" w:rsidRDefault="009F7D1E" w:rsidP="009F7D1E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  <w:r w:rsidRPr="00F52D45">
              <w:rPr>
                <w:rFonts w:asciiTheme="minorHAnsi" w:hAnsiTheme="minorHAnsi" w:cstheme="minorHAnsi"/>
                <w:szCs w:val="20"/>
              </w:rPr>
              <w:t>АМР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A6E9B6A" w14:textId="362063EB" w:rsidR="009F7D1E" w:rsidRPr="00F52D45" w:rsidRDefault="009F7D1E" w:rsidP="009F7D1E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szCs w:val="20"/>
              </w:rPr>
            </w:pPr>
            <w:r w:rsidRPr="00F52D45">
              <w:rPr>
                <w:rFonts w:cs="Calibri"/>
                <w:color w:val="000000"/>
                <w:szCs w:val="20"/>
              </w:rPr>
              <w:t>12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504CD59F" w14:textId="442F2946" w:rsidR="009F7D1E" w:rsidRPr="00F52D45" w:rsidRDefault="009F7D1E" w:rsidP="009F7D1E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F52D45">
              <w:rPr>
                <w:rFonts w:cs="Calibri"/>
                <w:color w:val="000000"/>
                <w:szCs w:val="20"/>
              </w:rPr>
              <w:t>40 282,9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2EAC23BB" w14:textId="7755F09E" w:rsidR="009F7D1E" w:rsidRPr="00F52D45" w:rsidRDefault="009F7D1E" w:rsidP="009F7D1E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F52D45">
              <w:rPr>
                <w:rFonts w:cs="Calibri"/>
                <w:color w:val="000000"/>
                <w:szCs w:val="20"/>
              </w:rPr>
              <w:t>112,2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1CE39726" w14:textId="23268E44" w:rsidR="009F7D1E" w:rsidRPr="00F52D45" w:rsidRDefault="009F7D1E" w:rsidP="009F7D1E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F52D45">
              <w:rPr>
                <w:rFonts w:eastAsiaTheme="minorEastAsia" w:cstheme="minorHAnsi"/>
                <w:szCs w:val="20"/>
              </w:rPr>
              <w:t>779,7</w:t>
            </w:r>
          </w:p>
        </w:tc>
        <w:tc>
          <w:tcPr>
            <w:tcW w:w="1252" w:type="dxa"/>
            <w:shd w:val="clear" w:color="auto" w:fill="DBE5F1" w:themeFill="accent1" w:themeFillTint="33"/>
            <w:vAlign w:val="bottom"/>
          </w:tcPr>
          <w:p w14:paraId="622A5AF4" w14:textId="16020B09" w:rsidR="009F7D1E" w:rsidRPr="00F52D45" w:rsidRDefault="009F7D1E" w:rsidP="009F7D1E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F52D45">
              <w:rPr>
                <w:rFonts w:eastAsiaTheme="minorEastAsia" w:cstheme="minorHAnsi"/>
                <w:szCs w:val="20"/>
              </w:rPr>
              <w:t>41 174,8</w:t>
            </w:r>
          </w:p>
        </w:tc>
      </w:tr>
      <w:tr w:rsidR="009F7D1E" w:rsidRPr="00F52D45" w14:paraId="37648511" w14:textId="77777777" w:rsidTr="009810D4">
        <w:trPr>
          <w:trHeight w:val="300"/>
          <w:jc w:val="center"/>
        </w:trPr>
        <w:tc>
          <w:tcPr>
            <w:tcW w:w="1838" w:type="dxa"/>
            <w:hideMark/>
          </w:tcPr>
          <w:p w14:paraId="695B40D7" w14:textId="15C5FB4D" w:rsidR="009F7D1E" w:rsidRPr="00F52D45" w:rsidRDefault="009F7D1E" w:rsidP="009F7D1E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  <w:r w:rsidRPr="00F52D45">
              <w:rPr>
                <w:rFonts w:asciiTheme="minorHAnsi" w:hAnsiTheme="minorHAnsi" w:cstheme="minorHAnsi"/>
                <w:szCs w:val="20"/>
              </w:rPr>
              <w:t>АРБ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6CD3625A" w14:textId="6495A5C7" w:rsidR="009F7D1E" w:rsidRPr="00F52D45" w:rsidRDefault="009F7D1E" w:rsidP="009F7D1E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szCs w:val="20"/>
              </w:rPr>
            </w:pPr>
            <w:r w:rsidRPr="00F52D45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1252" w:type="dxa"/>
            <w:vAlign w:val="bottom"/>
          </w:tcPr>
          <w:p w14:paraId="04710644" w14:textId="5C322471" w:rsidR="009F7D1E" w:rsidRPr="00F52D45" w:rsidRDefault="009F7D1E" w:rsidP="009F7D1E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F52D45">
              <w:rPr>
                <w:rFonts w:cs="Calibri"/>
                <w:color w:val="000000"/>
                <w:szCs w:val="20"/>
              </w:rPr>
              <w:t>4 355,8</w:t>
            </w:r>
          </w:p>
        </w:tc>
        <w:tc>
          <w:tcPr>
            <w:tcW w:w="1252" w:type="dxa"/>
            <w:vAlign w:val="bottom"/>
          </w:tcPr>
          <w:p w14:paraId="7F0A2402" w14:textId="1EB70425" w:rsidR="009F7D1E" w:rsidRPr="00F52D45" w:rsidRDefault="009F7D1E" w:rsidP="009F7D1E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F52D45">
              <w:rPr>
                <w:rFonts w:cs="Calibri"/>
                <w:color w:val="000000"/>
                <w:szCs w:val="20"/>
              </w:rPr>
              <w:t>674,2</w:t>
            </w:r>
          </w:p>
        </w:tc>
        <w:tc>
          <w:tcPr>
            <w:tcW w:w="1252" w:type="dxa"/>
            <w:vAlign w:val="bottom"/>
          </w:tcPr>
          <w:p w14:paraId="4314619A" w14:textId="5B01A0C0" w:rsidR="009F7D1E" w:rsidRPr="00F52D45" w:rsidRDefault="009F7D1E" w:rsidP="009F7D1E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F52D45">
              <w:rPr>
                <w:rFonts w:eastAsiaTheme="minorEastAsia" w:cstheme="minorHAnsi"/>
                <w:szCs w:val="20"/>
              </w:rPr>
              <w:t>134,4</w:t>
            </w:r>
          </w:p>
        </w:tc>
        <w:tc>
          <w:tcPr>
            <w:tcW w:w="1252" w:type="dxa"/>
            <w:shd w:val="clear" w:color="auto" w:fill="DBE5F1" w:themeFill="accent1" w:themeFillTint="33"/>
            <w:vAlign w:val="bottom"/>
          </w:tcPr>
          <w:p w14:paraId="7FF13AF7" w14:textId="046668D2" w:rsidR="009F7D1E" w:rsidRPr="00F52D45" w:rsidRDefault="009F7D1E" w:rsidP="009F7D1E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F52D45">
              <w:rPr>
                <w:rFonts w:eastAsiaTheme="minorEastAsia" w:cstheme="minorHAnsi"/>
                <w:szCs w:val="20"/>
              </w:rPr>
              <w:t>5 164,5</w:t>
            </w:r>
          </w:p>
        </w:tc>
      </w:tr>
      <w:tr w:rsidR="009F7D1E" w:rsidRPr="00F52D45" w14:paraId="1A09BC66" w14:textId="77777777" w:rsidTr="009810D4">
        <w:trPr>
          <w:trHeight w:val="54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14:paraId="2651A748" w14:textId="77777777" w:rsidR="009F7D1E" w:rsidRPr="00F52D45" w:rsidRDefault="009F7D1E" w:rsidP="009F7D1E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  <w:r w:rsidRPr="00F52D45">
              <w:rPr>
                <w:rFonts w:asciiTheme="minorHAnsi" w:hAnsiTheme="minorHAnsi" w:cstheme="minorHAnsi"/>
                <w:szCs w:val="20"/>
              </w:rPr>
              <w:t>АТР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258B4149" w14:textId="60DF76B3" w:rsidR="009F7D1E" w:rsidRPr="00F52D45" w:rsidRDefault="009F7D1E" w:rsidP="009F7D1E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szCs w:val="20"/>
              </w:rPr>
            </w:pPr>
            <w:r w:rsidRPr="00F52D45">
              <w:rPr>
                <w:rFonts w:cs="Calibri"/>
                <w:color w:val="000000"/>
                <w:szCs w:val="20"/>
              </w:rPr>
              <w:t>11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6A5455F9" w14:textId="273DCA80" w:rsidR="009F7D1E" w:rsidRPr="00F52D45" w:rsidRDefault="009F7D1E" w:rsidP="009F7D1E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F52D45">
              <w:rPr>
                <w:rFonts w:cs="Calibri"/>
                <w:color w:val="000000"/>
                <w:szCs w:val="20"/>
              </w:rPr>
              <w:t>6 504,3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40732419" w14:textId="77777777" w:rsidR="009F7D1E" w:rsidRPr="00F52D45" w:rsidRDefault="009F7D1E" w:rsidP="009F7D1E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14:paraId="1C3CA97A" w14:textId="32000A77" w:rsidR="009F7D1E" w:rsidRPr="00F52D45" w:rsidRDefault="009F7D1E" w:rsidP="009F7D1E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F52D45">
              <w:rPr>
                <w:rFonts w:eastAsiaTheme="minorEastAsia" w:cstheme="minorHAnsi"/>
                <w:szCs w:val="20"/>
              </w:rPr>
              <w:t>627,2</w:t>
            </w:r>
          </w:p>
        </w:tc>
        <w:tc>
          <w:tcPr>
            <w:tcW w:w="1252" w:type="dxa"/>
            <w:shd w:val="clear" w:color="auto" w:fill="DBE5F1" w:themeFill="accent1" w:themeFillTint="33"/>
            <w:vAlign w:val="bottom"/>
          </w:tcPr>
          <w:p w14:paraId="5E3E715B" w14:textId="2F9F39B0" w:rsidR="009F7D1E" w:rsidRPr="00F52D45" w:rsidRDefault="009F7D1E" w:rsidP="009F7D1E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F52D45">
              <w:rPr>
                <w:rFonts w:eastAsiaTheme="minorEastAsia" w:cstheme="minorHAnsi"/>
                <w:szCs w:val="20"/>
              </w:rPr>
              <w:t>7 309,8</w:t>
            </w:r>
          </w:p>
        </w:tc>
      </w:tr>
      <w:tr w:rsidR="009F7D1E" w:rsidRPr="00F52D45" w14:paraId="3278B3E3" w14:textId="77777777" w:rsidTr="009810D4">
        <w:trPr>
          <w:trHeight w:val="54"/>
          <w:jc w:val="center"/>
        </w:trPr>
        <w:tc>
          <w:tcPr>
            <w:tcW w:w="1838" w:type="dxa"/>
            <w:hideMark/>
          </w:tcPr>
          <w:p w14:paraId="028D55CC" w14:textId="6746791C" w:rsidR="009F7D1E" w:rsidRPr="00F52D45" w:rsidRDefault="009F7D1E" w:rsidP="009F7D1E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  <w:r w:rsidRPr="00F52D45">
              <w:rPr>
                <w:rFonts w:asciiTheme="minorHAnsi" w:hAnsiTheme="minorHAnsi" w:cstheme="minorHAnsi"/>
                <w:szCs w:val="20"/>
              </w:rPr>
              <w:t>СНГ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03212431" w14:textId="725A79AB" w:rsidR="009F7D1E" w:rsidRPr="00F52D45" w:rsidRDefault="009F7D1E" w:rsidP="009F7D1E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szCs w:val="20"/>
              </w:rPr>
            </w:pPr>
            <w:r w:rsidRPr="00F52D45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1252" w:type="dxa"/>
            <w:vAlign w:val="bottom"/>
          </w:tcPr>
          <w:p w14:paraId="29761E4E" w14:textId="55345B18" w:rsidR="009F7D1E" w:rsidRPr="00F52D45" w:rsidRDefault="009F7D1E" w:rsidP="009F7D1E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F52D45">
              <w:rPr>
                <w:rFonts w:cs="Calibri"/>
                <w:color w:val="000000"/>
                <w:szCs w:val="20"/>
              </w:rPr>
              <w:t>280,6</w:t>
            </w:r>
          </w:p>
        </w:tc>
        <w:tc>
          <w:tcPr>
            <w:tcW w:w="1252" w:type="dxa"/>
            <w:vAlign w:val="bottom"/>
          </w:tcPr>
          <w:p w14:paraId="33757125" w14:textId="77777777" w:rsidR="009F7D1E" w:rsidRPr="00F52D45" w:rsidRDefault="009F7D1E" w:rsidP="009F7D1E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2" w:type="dxa"/>
            <w:vAlign w:val="bottom"/>
          </w:tcPr>
          <w:p w14:paraId="3B827055" w14:textId="3E184512" w:rsidR="009F7D1E" w:rsidRPr="00F52D45" w:rsidRDefault="009F7D1E" w:rsidP="009F7D1E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F52D45">
              <w:rPr>
                <w:rFonts w:eastAsiaTheme="minorEastAsia" w:cstheme="minorHAnsi"/>
                <w:szCs w:val="20"/>
              </w:rPr>
              <w:t>446,0</w:t>
            </w:r>
          </w:p>
        </w:tc>
        <w:tc>
          <w:tcPr>
            <w:tcW w:w="1252" w:type="dxa"/>
            <w:shd w:val="clear" w:color="auto" w:fill="DBE5F1" w:themeFill="accent1" w:themeFillTint="33"/>
            <w:vAlign w:val="bottom"/>
          </w:tcPr>
          <w:p w14:paraId="161C4932" w14:textId="400DBB97" w:rsidR="009F7D1E" w:rsidRPr="00F52D45" w:rsidRDefault="009F7D1E" w:rsidP="009F7D1E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F52D45">
              <w:rPr>
                <w:rFonts w:eastAsiaTheme="minorEastAsia" w:cstheme="minorHAnsi"/>
                <w:szCs w:val="20"/>
              </w:rPr>
              <w:t>726,6</w:t>
            </w:r>
          </w:p>
        </w:tc>
      </w:tr>
      <w:tr w:rsidR="009F7D1E" w:rsidRPr="00F52D45" w14:paraId="3BC75143" w14:textId="77777777" w:rsidTr="009810D4">
        <w:trPr>
          <w:trHeight w:val="54"/>
          <w:jc w:val="center"/>
        </w:trPr>
        <w:tc>
          <w:tcPr>
            <w:tcW w:w="1838" w:type="dxa"/>
            <w:vAlign w:val="bottom"/>
            <w:hideMark/>
          </w:tcPr>
          <w:p w14:paraId="5B99D618" w14:textId="77777777" w:rsidR="009F7D1E" w:rsidRPr="00F52D45" w:rsidRDefault="009F7D1E" w:rsidP="009F7D1E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  <w:r w:rsidRPr="00F52D45">
              <w:rPr>
                <w:rFonts w:asciiTheme="minorHAnsi" w:hAnsiTheme="minorHAnsi" w:cstheme="minorHAnsi"/>
                <w:szCs w:val="20"/>
              </w:rPr>
              <w:t>ЕВР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37B72D43" w14:textId="0C8D81F1" w:rsidR="009F7D1E" w:rsidRPr="00F52D45" w:rsidRDefault="009F7D1E" w:rsidP="009F7D1E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szCs w:val="20"/>
              </w:rPr>
            </w:pPr>
            <w:r w:rsidRPr="00F52D45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1252" w:type="dxa"/>
            <w:vAlign w:val="bottom"/>
          </w:tcPr>
          <w:p w14:paraId="09503551" w14:textId="55408660" w:rsidR="009F7D1E" w:rsidRPr="00F52D45" w:rsidRDefault="009F7D1E" w:rsidP="009F7D1E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F52D45">
              <w:rPr>
                <w:rFonts w:cs="Calibri"/>
                <w:color w:val="000000"/>
                <w:szCs w:val="20"/>
              </w:rPr>
              <w:t>6 919,4</w:t>
            </w:r>
          </w:p>
        </w:tc>
        <w:tc>
          <w:tcPr>
            <w:tcW w:w="1252" w:type="dxa"/>
            <w:vAlign w:val="bottom"/>
          </w:tcPr>
          <w:p w14:paraId="651A0CF6" w14:textId="77777777" w:rsidR="009F7D1E" w:rsidRPr="00F52D45" w:rsidRDefault="009F7D1E" w:rsidP="009F7D1E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2" w:type="dxa"/>
            <w:vAlign w:val="bottom"/>
          </w:tcPr>
          <w:p w14:paraId="33701D79" w14:textId="65E73FA4" w:rsidR="009F7D1E" w:rsidRPr="00F52D45" w:rsidRDefault="009F7D1E" w:rsidP="009F7D1E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F52D45">
              <w:rPr>
                <w:rFonts w:eastAsiaTheme="minorEastAsia" w:cstheme="minorHAnsi"/>
                <w:szCs w:val="20"/>
              </w:rPr>
              <w:t>245,5</w:t>
            </w:r>
          </w:p>
        </w:tc>
        <w:tc>
          <w:tcPr>
            <w:tcW w:w="1252" w:type="dxa"/>
            <w:shd w:val="clear" w:color="auto" w:fill="DBE5F1" w:themeFill="accent1" w:themeFillTint="33"/>
            <w:vAlign w:val="bottom"/>
          </w:tcPr>
          <w:p w14:paraId="6F277835" w14:textId="2D84E8C5" w:rsidR="009F7D1E" w:rsidRPr="00F52D45" w:rsidRDefault="009F7D1E" w:rsidP="009F7D1E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F52D45">
              <w:rPr>
                <w:rFonts w:eastAsiaTheme="minorEastAsia" w:cstheme="minorHAnsi"/>
                <w:szCs w:val="20"/>
              </w:rPr>
              <w:t>7 164,9</w:t>
            </w:r>
          </w:p>
        </w:tc>
      </w:tr>
      <w:tr w:rsidR="009F7D1E" w:rsidRPr="00F52D45" w14:paraId="5457D287" w14:textId="77777777" w:rsidTr="009810D4">
        <w:trPr>
          <w:trHeight w:val="54"/>
          <w:jc w:val="center"/>
        </w:trPr>
        <w:tc>
          <w:tcPr>
            <w:tcW w:w="1838" w:type="dxa"/>
            <w:shd w:val="clear" w:color="auto" w:fill="auto"/>
            <w:hideMark/>
          </w:tcPr>
          <w:p w14:paraId="68854B2F" w14:textId="77777777" w:rsidR="009F7D1E" w:rsidRPr="00F52D45" w:rsidRDefault="009F7D1E" w:rsidP="009F7D1E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  <w:r w:rsidRPr="00F52D45">
              <w:rPr>
                <w:rFonts w:asciiTheme="minorHAnsi" w:hAnsiTheme="minorHAnsi" w:cstheme="minorHAnsi"/>
                <w:szCs w:val="20"/>
              </w:rPr>
              <w:t>Несколько регионов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5CA22DBA" w14:textId="4CDF3773" w:rsidR="009F7D1E" w:rsidRPr="00F52D45" w:rsidRDefault="009F7D1E" w:rsidP="009F7D1E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szCs w:val="20"/>
              </w:rPr>
            </w:pPr>
            <w:r w:rsidRPr="00F52D45">
              <w:rPr>
                <w:rFonts w:cs="Calibri"/>
                <w:color w:val="000000"/>
                <w:szCs w:val="20"/>
              </w:rPr>
              <w:t>30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54C128BD" w14:textId="0E7D5E46" w:rsidR="009F7D1E" w:rsidRPr="00F52D45" w:rsidRDefault="009F7D1E" w:rsidP="009F7D1E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F52D45">
              <w:rPr>
                <w:rFonts w:cs="Calibri"/>
                <w:color w:val="000000"/>
                <w:szCs w:val="20"/>
              </w:rPr>
              <w:t>16 376,6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1144B148" w14:textId="5F514008" w:rsidR="009F7D1E" w:rsidRPr="00F52D45" w:rsidRDefault="009F7D1E" w:rsidP="009F7D1E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F52D45">
              <w:rPr>
                <w:rFonts w:cs="Calibri"/>
                <w:color w:val="000000"/>
                <w:szCs w:val="20"/>
              </w:rPr>
              <w:t>3 739,8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1351C9BC" w14:textId="45836D30" w:rsidR="009F7D1E" w:rsidRPr="00F52D45" w:rsidRDefault="009F7D1E" w:rsidP="009F7D1E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F52D45">
              <w:rPr>
                <w:rFonts w:eastAsiaTheme="minorEastAsia" w:cstheme="minorHAnsi"/>
                <w:szCs w:val="20"/>
              </w:rPr>
              <w:t>1 847,8</w:t>
            </w:r>
          </w:p>
        </w:tc>
        <w:tc>
          <w:tcPr>
            <w:tcW w:w="1252" w:type="dxa"/>
            <w:shd w:val="clear" w:color="auto" w:fill="DBE5F1" w:themeFill="accent1" w:themeFillTint="33"/>
            <w:vAlign w:val="bottom"/>
          </w:tcPr>
          <w:p w14:paraId="43B4FC13" w14:textId="355D3390" w:rsidR="009F7D1E" w:rsidRPr="00F52D45" w:rsidRDefault="009F7D1E" w:rsidP="009F7D1E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F52D45">
              <w:rPr>
                <w:rFonts w:eastAsiaTheme="minorEastAsia" w:cstheme="minorHAnsi"/>
                <w:szCs w:val="20"/>
              </w:rPr>
              <w:t>22 393,0</w:t>
            </w:r>
          </w:p>
        </w:tc>
      </w:tr>
      <w:tr w:rsidR="00914865" w:rsidRPr="00F52D45" w14:paraId="7FD6913B" w14:textId="77777777" w:rsidTr="009810D4">
        <w:trPr>
          <w:trHeight w:val="54"/>
          <w:jc w:val="center"/>
        </w:trPr>
        <w:tc>
          <w:tcPr>
            <w:tcW w:w="1838" w:type="dxa"/>
            <w:shd w:val="clear" w:color="auto" w:fill="DBE5F1" w:themeFill="accent1" w:themeFillTint="33"/>
            <w:noWrap/>
            <w:vAlign w:val="center"/>
          </w:tcPr>
          <w:p w14:paraId="4834621B" w14:textId="13F19173" w:rsidR="00914865" w:rsidRPr="00F52D45" w:rsidRDefault="00914865" w:rsidP="000E1722">
            <w:pPr>
              <w:pStyle w:val="Tabletex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52D45">
              <w:rPr>
                <w:rFonts w:asciiTheme="minorHAnsi" w:hAnsiTheme="minorHAnsi" w:cstheme="minorHAnsi"/>
                <w:b/>
                <w:bCs/>
                <w:szCs w:val="20"/>
              </w:rPr>
              <w:t>Всего</w:t>
            </w:r>
          </w:p>
        </w:tc>
        <w:tc>
          <w:tcPr>
            <w:tcW w:w="1252" w:type="dxa"/>
            <w:shd w:val="clear" w:color="auto" w:fill="DBE5F1" w:themeFill="accent1" w:themeFillTint="33"/>
            <w:noWrap/>
          </w:tcPr>
          <w:p w14:paraId="1CA47037" w14:textId="1A2D44AC" w:rsidR="00914865" w:rsidRPr="00F52D45" w:rsidRDefault="00914865" w:rsidP="000E1722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52D45">
              <w:rPr>
                <w:rFonts w:asciiTheme="minorHAnsi" w:hAnsiTheme="minorHAnsi" w:cstheme="minorHAnsi"/>
                <w:b/>
                <w:bCs/>
                <w:szCs w:val="20"/>
              </w:rPr>
              <w:t>80</w:t>
            </w:r>
          </w:p>
        </w:tc>
        <w:tc>
          <w:tcPr>
            <w:tcW w:w="1252" w:type="dxa"/>
            <w:shd w:val="clear" w:color="auto" w:fill="DBE5F1" w:themeFill="accent1" w:themeFillTint="33"/>
            <w:noWrap/>
          </w:tcPr>
          <w:p w14:paraId="6B71AF9E" w14:textId="05C25247" w:rsidR="00914865" w:rsidRPr="00F52D45" w:rsidRDefault="00914865" w:rsidP="000E1722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52D45">
              <w:rPr>
                <w:rFonts w:asciiTheme="minorHAnsi" w:hAnsiTheme="minorHAnsi" w:cstheme="minorHAnsi"/>
                <w:b/>
                <w:bCs/>
                <w:szCs w:val="20"/>
              </w:rPr>
              <w:t>84 641,1</w:t>
            </w:r>
          </w:p>
        </w:tc>
        <w:tc>
          <w:tcPr>
            <w:tcW w:w="1252" w:type="dxa"/>
            <w:shd w:val="clear" w:color="auto" w:fill="DBE5F1" w:themeFill="accent1" w:themeFillTint="33"/>
            <w:noWrap/>
          </w:tcPr>
          <w:p w14:paraId="036B1EBD" w14:textId="04D6EC96" w:rsidR="00914865" w:rsidRPr="00F52D45" w:rsidRDefault="00914865" w:rsidP="000E1722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52D45">
              <w:rPr>
                <w:rFonts w:asciiTheme="minorHAnsi" w:hAnsiTheme="minorHAnsi" w:cstheme="minorHAnsi"/>
                <w:b/>
                <w:bCs/>
                <w:szCs w:val="20"/>
              </w:rPr>
              <w:t>5 494,0</w:t>
            </w:r>
          </w:p>
        </w:tc>
        <w:tc>
          <w:tcPr>
            <w:tcW w:w="1252" w:type="dxa"/>
            <w:shd w:val="clear" w:color="auto" w:fill="DBE5F1" w:themeFill="accent1" w:themeFillTint="33"/>
            <w:noWrap/>
          </w:tcPr>
          <w:p w14:paraId="3F86E026" w14:textId="08E27425" w:rsidR="00914865" w:rsidRPr="00F52D45" w:rsidRDefault="009F7D1E" w:rsidP="000E1722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52D45">
              <w:rPr>
                <w:rFonts w:eastAsiaTheme="minorEastAsia" w:cstheme="minorHAnsi"/>
                <w:b/>
                <w:bCs/>
                <w:szCs w:val="20"/>
              </w:rPr>
              <w:t>4 454,6</w:t>
            </w:r>
          </w:p>
        </w:tc>
        <w:tc>
          <w:tcPr>
            <w:tcW w:w="1252" w:type="dxa"/>
            <w:shd w:val="clear" w:color="auto" w:fill="DBE5F1" w:themeFill="accent1" w:themeFillTint="33"/>
            <w:noWrap/>
          </w:tcPr>
          <w:p w14:paraId="3451E114" w14:textId="7FF17448" w:rsidR="00914865" w:rsidRPr="00F52D45" w:rsidRDefault="009F7D1E" w:rsidP="000E1722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52D45">
              <w:rPr>
                <w:rFonts w:eastAsiaTheme="minorEastAsia" w:cstheme="minorHAnsi"/>
                <w:b/>
                <w:bCs/>
                <w:szCs w:val="20"/>
              </w:rPr>
              <w:t>95 779,2</w:t>
            </w:r>
          </w:p>
        </w:tc>
      </w:tr>
    </w:tbl>
    <w:p w14:paraId="658E7460" w14:textId="467E2A8B" w:rsidR="0091458C" w:rsidRPr="00F52D45" w:rsidRDefault="001B48BA" w:rsidP="009E356B">
      <w:pPr>
        <w:pStyle w:val="Heading2"/>
      </w:pPr>
      <w:r w:rsidRPr="00F52D45">
        <w:lastRenderedPageBreak/>
        <w:t>3</w:t>
      </w:r>
      <w:r w:rsidR="0091458C" w:rsidRPr="00F52D45">
        <w:t>.2</w:t>
      </w:r>
      <w:r w:rsidR="0091458C" w:rsidRPr="00F52D45">
        <w:tab/>
      </w:r>
      <w:r w:rsidRPr="00F52D45">
        <w:t>Проекты, подписанные</w:t>
      </w:r>
      <w:r w:rsidR="00EA2330" w:rsidRPr="00F52D45">
        <w:t xml:space="preserve"> в течение отчетного периода</w:t>
      </w:r>
    </w:p>
    <w:p w14:paraId="759A0552" w14:textId="19880B5C" w:rsidR="0091458C" w:rsidRPr="00F52D45" w:rsidRDefault="0091458C" w:rsidP="004C1B3A">
      <w:pPr>
        <w:spacing w:after="120"/>
        <w:rPr>
          <w:rFonts w:cstheme="minorHAnsi"/>
        </w:rPr>
      </w:pPr>
      <w:bookmarkStart w:id="13" w:name="lt_pId108"/>
      <w:r w:rsidRPr="00F52D45">
        <w:rPr>
          <w:rFonts w:cstheme="minorHAnsi"/>
        </w:rPr>
        <w:t>В 202</w:t>
      </w:r>
      <w:r w:rsidR="00EA2330" w:rsidRPr="00F52D45">
        <w:rPr>
          <w:rFonts w:cstheme="minorHAnsi"/>
        </w:rPr>
        <w:t>2</w:t>
      </w:r>
      <w:r w:rsidRPr="00F52D45">
        <w:rPr>
          <w:rFonts w:cstheme="minorHAnsi"/>
        </w:rPr>
        <w:t> год</w:t>
      </w:r>
      <w:r w:rsidR="00EA2330" w:rsidRPr="00F52D45">
        <w:rPr>
          <w:rFonts w:cstheme="minorHAnsi"/>
        </w:rPr>
        <w:t>у</w:t>
      </w:r>
      <w:r w:rsidRPr="00F52D45">
        <w:rPr>
          <w:rFonts w:cstheme="minorHAnsi"/>
        </w:rPr>
        <w:t xml:space="preserve"> БРЭ подписало восемь новых проектов</w:t>
      </w:r>
      <w:r w:rsidR="009C245D" w:rsidRPr="00F52D45">
        <w:rPr>
          <w:rFonts w:cstheme="minorHAnsi"/>
        </w:rPr>
        <w:t xml:space="preserve"> стоимостью</w:t>
      </w:r>
      <w:r w:rsidRPr="00F52D45">
        <w:rPr>
          <w:rFonts w:cstheme="minorHAnsi"/>
        </w:rPr>
        <w:t xml:space="preserve"> 5,</w:t>
      </w:r>
      <w:r w:rsidR="009C245D" w:rsidRPr="00F52D45">
        <w:rPr>
          <w:rFonts w:cstheme="minorHAnsi"/>
        </w:rPr>
        <w:t>3</w:t>
      </w:r>
      <w:r w:rsidRPr="00F52D45">
        <w:rPr>
          <w:rFonts w:cstheme="minorHAnsi"/>
        </w:rPr>
        <w:t> млн. швейцарских франков.</w:t>
      </w:r>
      <w:bookmarkEnd w:id="13"/>
      <w:r w:rsidRPr="00F52D45">
        <w:rPr>
          <w:rFonts w:cstheme="minorHAnsi"/>
        </w:rPr>
        <w:t xml:space="preserve"> </w:t>
      </w:r>
      <w:bookmarkStart w:id="14" w:name="lt_pId109"/>
      <w:r w:rsidRPr="00F52D45">
        <w:rPr>
          <w:rFonts w:cstheme="minorHAnsi"/>
        </w:rPr>
        <w:t>Эти</w:t>
      </w:r>
      <w:r w:rsidR="009C245D" w:rsidRPr="00F52D45">
        <w:rPr>
          <w:rFonts w:cstheme="minorHAnsi"/>
        </w:rPr>
        <w:t> </w:t>
      </w:r>
      <w:r w:rsidRPr="00F52D45">
        <w:rPr>
          <w:rFonts w:cstheme="minorHAnsi"/>
        </w:rPr>
        <w:t>новые проекты охватывают несколько регионов или имеют региональный или национальный характер.</w:t>
      </w:r>
      <w:bookmarkEnd w:id="14"/>
      <w:r w:rsidRPr="00F52D45">
        <w:rPr>
          <w:rFonts w:cstheme="minorHAnsi"/>
        </w:rPr>
        <w:t xml:space="preserve"> </w:t>
      </w:r>
      <w:bookmarkStart w:id="15" w:name="lt_pId111"/>
      <w:r w:rsidRPr="00F52D45">
        <w:rPr>
          <w:rFonts w:cstheme="minorHAnsi"/>
        </w:rPr>
        <w:t xml:space="preserve">В </w:t>
      </w:r>
      <w:r w:rsidR="009C245D" w:rsidRPr="00F52D45">
        <w:rPr>
          <w:rFonts w:cstheme="minorHAnsi"/>
        </w:rPr>
        <w:t>течение 2022 года</w:t>
      </w:r>
      <w:r w:rsidRPr="00F52D45">
        <w:rPr>
          <w:rFonts w:cstheme="minorHAnsi"/>
        </w:rPr>
        <w:t xml:space="preserve"> подписаны следующие проекты:</w:t>
      </w:r>
      <w:bookmarkEnd w:id="15"/>
    </w:p>
    <w:p w14:paraId="30CB0291" w14:textId="2352A5E6" w:rsidR="0091458C" w:rsidRPr="00F52D45" w:rsidRDefault="0091458C" w:rsidP="000E1722">
      <w:pPr>
        <w:pStyle w:val="enumlev1"/>
      </w:pPr>
      <w:bookmarkStart w:id="16" w:name="_Hlk134625511"/>
      <w:bookmarkStart w:id="17" w:name="lt_pId112"/>
      <w:r w:rsidRPr="00F52D45">
        <w:t>–</w:t>
      </w:r>
      <w:r w:rsidRPr="00F52D45">
        <w:tab/>
      </w:r>
      <w:bookmarkEnd w:id="16"/>
      <w:r w:rsidR="00A4562C" w:rsidRPr="00F52D45">
        <w:rPr>
          <w:rFonts w:cstheme="minorHAnsi"/>
        </w:rPr>
        <w:t>проект</w:t>
      </w:r>
      <w:r w:rsidR="009C245D" w:rsidRPr="00F52D45">
        <w:rPr>
          <w:rFonts w:cstheme="minorHAnsi"/>
        </w:rPr>
        <w:t xml:space="preserve"> </w:t>
      </w:r>
      <w:r w:rsidR="00A4562C" w:rsidRPr="00F52D45">
        <w:rPr>
          <w:rFonts w:cstheme="minorHAnsi"/>
        </w:rPr>
        <w:t>"«Умные острова» в Тихом океане"</w:t>
      </w:r>
      <w:r w:rsidR="009C245D" w:rsidRPr="00F52D45">
        <w:rPr>
          <w:rFonts w:cstheme="minorHAnsi"/>
        </w:rPr>
        <w:t xml:space="preserve">, </w:t>
      </w:r>
      <w:r w:rsidR="00A4562C" w:rsidRPr="00F52D45">
        <w:rPr>
          <w:rFonts w:cstheme="minorHAnsi"/>
        </w:rPr>
        <w:t>выполн</w:t>
      </w:r>
      <w:r w:rsidR="00651BAB" w:rsidRPr="00F52D45">
        <w:rPr>
          <w:rFonts w:cstheme="minorHAnsi"/>
        </w:rPr>
        <w:t>яемый</w:t>
      </w:r>
      <w:r w:rsidR="00A4562C" w:rsidRPr="00F52D45">
        <w:rPr>
          <w:rFonts w:cstheme="minorHAnsi"/>
        </w:rPr>
        <w:t xml:space="preserve"> в сотрудничестве с</w:t>
      </w:r>
      <w:r w:rsidR="009C245D" w:rsidRPr="00F52D45">
        <w:rPr>
          <w:rFonts w:cstheme="minorHAnsi"/>
        </w:rPr>
        <w:t xml:space="preserve"> </w:t>
      </w:r>
      <w:r w:rsidR="009C7B80" w:rsidRPr="00F52D45">
        <w:rPr>
          <w:rFonts w:cstheme="minorHAnsi"/>
        </w:rPr>
        <w:t>Азиатским банком развития</w:t>
      </w:r>
      <w:r w:rsidRPr="00F52D45">
        <w:t>;</w:t>
      </w:r>
      <w:bookmarkEnd w:id="17"/>
    </w:p>
    <w:p w14:paraId="7A3EAB39" w14:textId="732F5D65" w:rsidR="009C245D" w:rsidRPr="00F52D45" w:rsidRDefault="00BD5D6E" w:rsidP="00BD5D6E">
      <w:pPr>
        <w:pStyle w:val="enumlev1"/>
      </w:pPr>
      <w:r w:rsidRPr="00F52D45">
        <w:t>–</w:t>
      </w:r>
      <w:r w:rsidRPr="00F52D45">
        <w:tab/>
      </w:r>
      <w:r w:rsidR="00A4562C" w:rsidRPr="00F52D45">
        <w:t>проект</w:t>
      </w:r>
      <w:r w:rsidR="009C245D" w:rsidRPr="00F52D45">
        <w:t xml:space="preserve"> </w:t>
      </w:r>
      <w:r w:rsidR="00D07299" w:rsidRPr="00F52D45">
        <w:t xml:space="preserve">"Ускорение достижения ЦУР </w:t>
      </w:r>
      <w:r w:rsidR="00651BAB" w:rsidRPr="00F52D45">
        <w:t>с помощью цифровой трансформации для повышения устойчивости сообществ в Микронезии"</w:t>
      </w:r>
      <w:r w:rsidR="009C245D" w:rsidRPr="00F52D45">
        <w:t xml:space="preserve">, </w:t>
      </w:r>
      <w:r w:rsidR="00651BAB" w:rsidRPr="00F52D45">
        <w:t>финансируемый Фондом ЦУР ООН и выполняемый в сотрудничестве с ФАО, МОТ, ЮНОПС, ЮНЕСКО, ЮНИСЕФ и УНП ООН</w:t>
      </w:r>
      <w:r w:rsidR="0001788A" w:rsidRPr="00F52D45">
        <w:t>;</w:t>
      </w:r>
    </w:p>
    <w:p w14:paraId="513B92E8" w14:textId="6C410274" w:rsidR="009C245D" w:rsidRPr="00F52D45" w:rsidRDefault="00BD5D6E" w:rsidP="00BD5D6E">
      <w:pPr>
        <w:pStyle w:val="enumlev1"/>
      </w:pPr>
      <w:r w:rsidRPr="00F52D45">
        <w:t>−</w:t>
      </w:r>
      <w:r w:rsidRPr="00F52D45">
        <w:tab/>
      </w:r>
      <w:r w:rsidR="00A4562C" w:rsidRPr="00F52D45">
        <w:t>проект</w:t>
      </w:r>
      <w:r w:rsidR="009C245D" w:rsidRPr="00F52D45">
        <w:t xml:space="preserve"> </w:t>
      </w:r>
      <w:r w:rsidR="008F0988" w:rsidRPr="00F52D45">
        <w:t xml:space="preserve">"Достижение ЦУР путем </w:t>
      </w:r>
      <w:r w:rsidR="00137253" w:rsidRPr="00F52D45">
        <w:t>улучшения благосостояния</w:t>
      </w:r>
      <w:r w:rsidR="009C245D" w:rsidRPr="00F52D45">
        <w:t xml:space="preserve">, </w:t>
      </w:r>
      <w:r w:rsidR="00137253" w:rsidRPr="00F52D45">
        <w:t>социальной защиты</w:t>
      </w:r>
      <w:r w:rsidR="009C245D" w:rsidRPr="00F52D45">
        <w:t xml:space="preserve">, </w:t>
      </w:r>
      <w:r w:rsidR="00137253" w:rsidRPr="00F52D45">
        <w:t>ситуации с правами человека и укрепления устойчивости уязвимых сообществ с помощью достойной работы и цифровой трансформации", финансируемый фондом ЦУР ООН и реализуемый в сотрудничестве с ЮНЕСКО, ЮНОДК, ЮНОПС, УВКПЧ и другими национальными координирующими органами в южной части Тихого океана (Фиджи, Соломоновы острова, Тонга, Вануату и Тувалу);</w:t>
      </w:r>
    </w:p>
    <w:p w14:paraId="757FA904" w14:textId="70E9C818" w:rsidR="009C245D" w:rsidRPr="00F52D45" w:rsidRDefault="00BD5D6E" w:rsidP="00BD5D6E">
      <w:pPr>
        <w:pStyle w:val="enumlev1"/>
      </w:pPr>
      <w:r w:rsidRPr="00F52D45">
        <w:t>−</w:t>
      </w:r>
      <w:r w:rsidRPr="00F52D45">
        <w:tab/>
      </w:r>
      <w:r w:rsidR="00A4562C" w:rsidRPr="00F52D45">
        <w:t>проект</w:t>
      </w:r>
      <w:r w:rsidR="009C245D" w:rsidRPr="00F52D45">
        <w:t xml:space="preserve"> </w:t>
      </w:r>
      <w:r w:rsidR="00137253" w:rsidRPr="00F52D45">
        <w:t>"«Умные» деревни Пакистана"</w:t>
      </w:r>
      <w:r w:rsidR="009C245D" w:rsidRPr="00F52D45">
        <w:t xml:space="preserve">, </w:t>
      </w:r>
      <w:r w:rsidR="00137253" w:rsidRPr="00F52D45">
        <w:t>финансируемый компанией Huawei, с дополнительным финансированием из средств на региональные инициативы;</w:t>
      </w:r>
    </w:p>
    <w:p w14:paraId="3D83FD62" w14:textId="5F7909FE" w:rsidR="009C245D" w:rsidRPr="00F52D45" w:rsidRDefault="00BD5D6E" w:rsidP="00BD5D6E">
      <w:pPr>
        <w:pStyle w:val="enumlev1"/>
      </w:pPr>
      <w:r w:rsidRPr="00F52D45">
        <w:t>−</w:t>
      </w:r>
      <w:r w:rsidRPr="00F52D45">
        <w:tab/>
      </w:r>
      <w:r w:rsidR="00A4562C" w:rsidRPr="00F52D45">
        <w:t>проект</w:t>
      </w:r>
      <w:r w:rsidR="009C245D" w:rsidRPr="00F52D45">
        <w:t xml:space="preserve"> </w:t>
      </w:r>
      <w:r w:rsidR="00137253" w:rsidRPr="00F52D45">
        <w:t>"Цифровой акселератор для женщин-предпринимателей", финансируемый фондом "Мэри Кей", с дополнительным финансированием из ФРИКТ;</w:t>
      </w:r>
    </w:p>
    <w:p w14:paraId="0B9C670E" w14:textId="182F2CB6" w:rsidR="009C245D" w:rsidRPr="00F52D45" w:rsidRDefault="00BD5D6E" w:rsidP="00BD5D6E">
      <w:pPr>
        <w:pStyle w:val="enumlev1"/>
      </w:pPr>
      <w:r w:rsidRPr="00F52D45">
        <w:t>−</w:t>
      </w:r>
      <w:r w:rsidRPr="00F52D45">
        <w:tab/>
      </w:r>
      <w:r w:rsidR="00A4562C" w:rsidRPr="00F52D45">
        <w:t>проект</w:t>
      </w:r>
      <w:r w:rsidR="009C245D" w:rsidRPr="00F52D45">
        <w:t xml:space="preserve"> </w:t>
      </w:r>
      <w:r w:rsidR="00184B89" w:rsidRPr="00F52D45">
        <w:t>"Специализированная техническая помощь для оценки полос частот для передовых систем подвижной связи в Эквадоре"</w:t>
      </w:r>
      <w:r w:rsidR="009C245D" w:rsidRPr="00F52D45">
        <w:t xml:space="preserve">, </w:t>
      </w:r>
      <w:r w:rsidR="00184B89" w:rsidRPr="00F52D45">
        <w:t>финансируемый Агентством по регулированию и управлению в области электросвязи (ARCOTEL) Эквадора;</w:t>
      </w:r>
    </w:p>
    <w:p w14:paraId="0A2A3E62" w14:textId="08BBB203" w:rsidR="009C245D" w:rsidRPr="00F52D45" w:rsidRDefault="00BD5D6E" w:rsidP="00BD5D6E">
      <w:pPr>
        <w:pStyle w:val="enumlev1"/>
      </w:pPr>
      <w:r w:rsidRPr="00F52D45">
        <w:t>−</w:t>
      </w:r>
      <w:r w:rsidRPr="00F52D45">
        <w:tab/>
      </w:r>
      <w:r w:rsidR="00A4562C" w:rsidRPr="00F52D45">
        <w:t xml:space="preserve">проект </w:t>
      </w:r>
      <w:r w:rsidR="00184B89" w:rsidRPr="00F52D45">
        <w:t>"Вклад правительства Австралии</w:t>
      </w:r>
      <w:r w:rsidR="009C245D" w:rsidRPr="00F52D45">
        <w:t xml:space="preserve"> (DITRDC</w:t>
      </w:r>
      <w:r w:rsidR="005903C9" w:rsidRPr="00F52D45">
        <w:t>A</w:t>
      </w:r>
      <w:r w:rsidR="009C245D" w:rsidRPr="00F52D45">
        <w:t xml:space="preserve">) </w:t>
      </w:r>
      <w:r w:rsidR="00184B89" w:rsidRPr="00F52D45">
        <w:t>в 2022 году в поддержку ВКРЭ-22"</w:t>
      </w:r>
      <w:r w:rsidR="009C245D" w:rsidRPr="00F52D45">
        <w:t xml:space="preserve">, </w:t>
      </w:r>
      <w:r w:rsidR="00184B89" w:rsidRPr="00F52D45">
        <w:t>финансируемый Министерством инфраструктуры, транспорта, регионального развития</w:t>
      </w:r>
      <w:r w:rsidR="005C357E" w:rsidRPr="00F52D45">
        <w:t>,</w:t>
      </w:r>
      <w:r w:rsidR="00184B89" w:rsidRPr="00F52D45">
        <w:t xml:space="preserve"> связи</w:t>
      </w:r>
      <w:r w:rsidR="005C357E" w:rsidRPr="00F52D45">
        <w:t xml:space="preserve"> и искусств</w:t>
      </w:r>
      <w:r w:rsidR="00184B89" w:rsidRPr="00F52D45">
        <w:t xml:space="preserve"> (DITRDC</w:t>
      </w:r>
      <w:r w:rsidR="005903C9" w:rsidRPr="00F52D45">
        <w:t>A</w:t>
      </w:r>
      <w:r w:rsidR="00184B89" w:rsidRPr="00F52D45">
        <w:t>) Австралии;</w:t>
      </w:r>
    </w:p>
    <w:p w14:paraId="11A7F538" w14:textId="510FE0C4" w:rsidR="009C245D" w:rsidRPr="00F52D45" w:rsidRDefault="00BD5D6E" w:rsidP="00BD5D6E">
      <w:pPr>
        <w:pStyle w:val="enumlev1"/>
      </w:pPr>
      <w:r w:rsidRPr="00F52D45">
        <w:t>−</w:t>
      </w:r>
      <w:r w:rsidRPr="00F52D45">
        <w:tab/>
      </w:r>
      <w:r w:rsidR="00A4562C" w:rsidRPr="00F52D45">
        <w:t>проект</w:t>
      </w:r>
      <w:r w:rsidR="009C245D" w:rsidRPr="00F52D45">
        <w:t xml:space="preserve"> </w:t>
      </w:r>
      <w:r w:rsidR="00184B89" w:rsidRPr="00F52D45">
        <w:t xml:space="preserve">"Выполнение 2-го этапа составления </w:t>
      </w:r>
      <w:r w:rsidR="00080367" w:rsidRPr="00F52D45">
        <w:t>к</w:t>
      </w:r>
      <w:r w:rsidR="00184B89" w:rsidRPr="00F52D45">
        <w:t xml:space="preserve">арт возможности установления соединений при бедствиях </w:t>
      </w:r>
      <w:r w:rsidR="009C245D" w:rsidRPr="00F52D45">
        <w:t>(DCM)</w:t>
      </w:r>
      <w:r w:rsidR="00184B89" w:rsidRPr="00F52D45">
        <w:t xml:space="preserve"> МСЭ"</w:t>
      </w:r>
      <w:r w:rsidR="009C245D" w:rsidRPr="00F52D45">
        <w:t xml:space="preserve">, </w:t>
      </w:r>
      <w:r w:rsidR="00080367" w:rsidRPr="00F52D45">
        <w:t>финансируемый Министерством науки и ИКТ (MSIT) Республики Корея</w:t>
      </w:r>
      <w:r w:rsidR="009C245D" w:rsidRPr="00F52D45">
        <w:t>.</w:t>
      </w:r>
    </w:p>
    <w:p w14:paraId="01189D81" w14:textId="09752582" w:rsidR="009C6151" w:rsidRPr="00F52D45" w:rsidRDefault="005D459B" w:rsidP="005D459B">
      <w:pPr>
        <w:pStyle w:val="Heading2"/>
        <w:spacing w:before="120" w:after="120"/>
        <w:ind w:left="0" w:firstLine="0"/>
        <w:textAlignment w:val="auto"/>
        <w:rPr>
          <w:rFonts w:cstheme="minorHAnsi"/>
          <w:szCs w:val="24"/>
        </w:rPr>
      </w:pPr>
      <w:r w:rsidRPr="00F52D45">
        <w:rPr>
          <w:rFonts w:cstheme="minorHAnsi"/>
          <w:szCs w:val="24"/>
        </w:rPr>
        <w:t>3.3</w:t>
      </w:r>
      <w:r w:rsidRPr="00F52D45">
        <w:rPr>
          <w:rFonts w:cstheme="minorHAnsi"/>
          <w:szCs w:val="24"/>
        </w:rPr>
        <w:tab/>
      </w:r>
      <w:r w:rsidR="009C6151" w:rsidRPr="00F52D45">
        <w:rPr>
          <w:rFonts w:cstheme="minorHAnsi"/>
          <w:szCs w:val="24"/>
        </w:rPr>
        <w:t xml:space="preserve">Проекты, подписанные в 2023 году </w:t>
      </w:r>
    </w:p>
    <w:p w14:paraId="285F1C21" w14:textId="01B6C32F" w:rsidR="009C6151" w:rsidRPr="00F52D45" w:rsidRDefault="009C6151" w:rsidP="009C6151">
      <w:pPr>
        <w:spacing w:after="120"/>
        <w:rPr>
          <w:rFonts w:cstheme="minorBidi"/>
        </w:rPr>
      </w:pPr>
      <w:r w:rsidRPr="00F52D45">
        <w:rPr>
          <w:rFonts w:cstheme="minorBidi"/>
        </w:rPr>
        <w:t xml:space="preserve">За период с января по май 2023 года БРЭ </w:t>
      </w:r>
      <w:r w:rsidR="00DF1F72" w:rsidRPr="00F52D45">
        <w:rPr>
          <w:rFonts w:cstheme="minorBidi"/>
        </w:rPr>
        <w:t>уже подписало семь новых проектов, оцениваемых в</w:t>
      </w:r>
      <w:r w:rsidRPr="00F52D45">
        <w:rPr>
          <w:rFonts w:cstheme="minorBidi"/>
        </w:rPr>
        <w:t xml:space="preserve"> 7</w:t>
      </w:r>
      <w:r w:rsidR="00DF1F72" w:rsidRPr="00F52D45">
        <w:rPr>
          <w:rFonts w:cstheme="minorBidi"/>
        </w:rPr>
        <w:t>,</w:t>
      </w:r>
      <w:r w:rsidRPr="00F52D45">
        <w:rPr>
          <w:rFonts w:cstheme="minorBidi"/>
        </w:rPr>
        <w:t>2</w:t>
      </w:r>
      <w:r w:rsidR="00DF1F72" w:rsidRPr="00F52D45">
        <w:rPr>
          <w:rFonts w:cstheme="minorBidi"/>
        </w:rPr>
        <w:t> млн. швейцарских франков</w:t>
      </w:r>
      <w:r w:rsidRPr="00F52D45">
        <w:rPr>
          <w:rFonts w:cstheme="minorBidi"/>
        </w:rPr>
        <w:t xml:space="preserve">. </w:t>
      </w:r>
      <w:r w:rsidR="00DF1F72" w:rsidRPr="00F52D45">
        <w:rPr>
          <w:rFonts w:cstheme="minorBidi"/>
        </w:rPr>
        <w:t>Кроме того, ведутся переговоры еще по восьми проектам, которые, как ожидается, будут подписаны в 2023 году, на сумму</w:t>
      </w:r>
      <w:r w:rsidRPr="00F52D45">
        <w:rPr>
          <w:rFonts w:cstheme="minorBidi"/>
        </w:rPr>
        <w:t xml:space="preserve"> 12</w:t>
      </w:r>
      <w:r w:rsidR="00DF1F72" w:rsidRPr="00F52D45">
        <w:rPr>
          <w:rFonts w:cstheme="minorBidi"/>
        </w:rPr>
        <w:t>,</w:t>
      </w:r>
      <w:r w:rsidRPr="00F52D45">
        <w:rPr>
          <w:rFonts w:cstheme="minorBidi"/>
        </w:rPr>
        <w:t>9</w:t>
      </w:r>
      <w:r w:rsidR="00DF1F72" w:rsidRPr="00F52D45">
        <w:rPr>
          <w:rFonts w:cstheme="minorBidi"/>
        </w:rPr>
        <w:t> млн. швейцарских франков</w:t>
      </w:r>
      <w:r w:rsidRPr="00F52D45">
        <w:rPr>
          <w:rFonts w:cstheme="minorBidi"/>
        </w:rPr>
        <w:t xml:space="preserve">. </w:t>
      </w:r>
      <w:r w:rsidR="00DF1F72" w:rsidRPr="00F52D45">
        <w:rPr>
          <w:rFonts w:cstheme="minorBidi"/>
        </w:rPr>
        <w:t>В эти первые месяцы года были подписаны следующие проекты</w:t>
      </w:r>
      <w:r w:rsidRPr="00F52D45">
        <w:rPr>
          <w:rFonts w:cstheme="minorBidi"/>
        </w:rPr>
        <w:t>:</w:t>
      </w:r>
    </w:p>
    <w:p w14:paraId="63C6F5A7" w14:textId="307DFB50" w:rsidR="009C6151" w:rsidRPr="00F52D45" w:rsidRDefault="002F3AF9" w:rsidP="009C6151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textAlignment w:val="auto"/>
        <w:rPr>
          <w:rFonts w:cstheme="minorHAnsi"/>
          <w:sz w:val="22"/>
          <w:szCs w:val="18"/>
          <w:lang w:val="ru-RU"/>
        </w:rPr>
      </w:pPr>
      <w:r w:rsidRPr="00F52D45">
        <w:rPr>
          <w:rFonts w:cstheme="minorHAnsi"/>
          <w:sz w:val="22"/>
          <w:szCs w:val="18"/>
          <w:lang w:val="ru-RU"/>
        </w:rPr>
        <w:t>п</w:t>
      </w:r>
      <w:r w:rsidR="00DF1F72" w:rsidRPr="00F52D45">
        <w:rPr>
          <w:rFonts w:cstheme="minorHAnsi"/>
          <w:sz w:val="22"/>
          <w:szCs w:val="18"/>
          <w:lang w:val="ru-RU"/>
        </w:rPr>
        <w:t xml:space="preserve">роект "Инициатива </w:t>
      </w:r>
      <w:r w:rsidRPr="00F52D45">
        <w:rPr>
          <w:rFonts w:cstheme="minorHAnsi"/>
          <w:sz w:val="22"/>
          <w:szCs w:val="18"/>
          <w:lang w:val="ru-RU"/>
        </w:rPr>
        <w:t>Африканского Рога"</w:t>
      </w:r>
      <w:r w:rsidR="009C6151" w:rsidRPr="00F52D45">
        <w:rPr>
          <w:rFonts w:cstheme="minorHAnsi"/>
          <w:sz w:val="22"/>
          <w:szCs w:val="18"/>
          <w:lang w:val="ru-RU"/>
        </w:rPr>
        <w:t xml:space="preserve">, </w:t>
      </w:r>
      <w:r w:rsidRPr="00F52D45">
        <w:rPr>
          <w:rFonts w:cstheme="minorHAnsi"/>
          <w:sz w:val="22"/>
          <w:szCs w:val="18"/>
          <w:lang w:val="ru-RU"/>
        </w:rPr>
        <w:t>финансируемый</w:t>
      </w:r>
      <w:r w:rsidR="009C6151" w:rsidRPr="00F52D45">
        <w:rPr>
          <w:rFonts w:cstheme="minorHAnsi"/>
          <w:sz w:val="22"/>
          <w:szCs w:val="18"/>
          <w:lang w:val="ru-RU"/>
        </w:rPr>
        <w:t xml:space="preserve"> GIZ</w:t>
      </w:r>
      <w:r w:rsidRPr="00F52D45">
        <w:rPr>
          <w:rFonts w:cstheme="minorHAnsi"/>
          <w:sz w:val="22"/>
          <w:szCs w:val="18"/>
          <w:lang w:val="ru-RU"/>
        </w:rPr>
        <w:t>/Германия;</w:t>
      </w:r>
    </w:p>
    <w:p w14:paraId="62CB00F0" w14:textId="0C6B4230" w:rsidR="009C6151" w:rsidRPr="00F52D45" w:rsidRDefault="002F3AF9" w:rsidP="009C6151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textAlignment w:val="auto"/>
        <w:rPr>
          <w:rFonts w:cstheme="minorHAnsi"/>
          <w:sz w:val="22"/>
          <w:szCs w:val="18"/>
          <w:lang w:val="ru-RU"/>
        </w:rPr>
      </w:pPr>
      <w:r w:rsidRPr="00F52D45">
        <w:rPr>
          <w:rFonts w:cstheme="minorHAnsi"/>
          <w:sz w:val="22"/>
          <w:szCs w:val="18"/>
          <w:lang w:val="ru-RU"/>
        </w:rPr>
        <w:t>проект "Институциональная поддержка</w:t>
      </w:r>
      <w:r w:rsidR="009C6151" w:rsidRPr="00F52D45">
        <w:rPr>
          <w:rFonts w:cstheme="minorHAnsi"/>
          <w:sz w:val="22"/>
          <w:szCs w:val="18"/>
          <w:lang w:val="ru-RU"/>
        </w:rPr>
        <w:t xml:space="preserve"> INDOTEL</w:t>
      </w:r>
      <w:r w:rsidRPr="00F52D45">
        <w:rPr>
          <w:rFonts w:cstheme="minorHAnsi"/>
          <w:sz w:val="22"/>
          <w:szCs w:val="18"/>
          <w:lang w:val="ru-RU"/>
        </w:rPr>
        <w:t>"</w:t>
      </w:r>
      <w:r w:rsidR="009C6151" w:rsidRPr="00F52D45">
        <w:rPr>
          <w:rFonts w:cstheme="minorHAnsi"/>
          <w:sz w:val="22"/>
          <w:szCs w:val="18"/>
          <w:lang w:val="ru-RU"/>
        </w:rPr>
        <w:t xml:space="preserve">, </w:t>
      </w:r>
      <w:r w:rsidRPr="00F52D45">
        <w:rPr>
          <w:rFonts w:cstheme="minorHAnsi"/>
          <w:sz w:val="22"/>
          <w:szCs w:val="18"/>
          <w:lang w:val="ru-RU"/>
        </w:rPr>
        <w:t>финансируемый</w:t>
      </w:r>
      <w:r w:rsidR="009C6151" w:rsidRPr="00F52D45">
        <w:rPr>
          <w:rFonts w:cstheme="minorHAnsi"/>
          <w:sz w:val="22"/>
          <w:szCs w:val="18"/>
          <w:lang w:val="ru-RU"/>
        </w:rPr>
        <w:t xml:space="preserve"> INDOTEL, </w:t>
      </w:r>
      <w:r w:rsidRPr="00F52D45">
        <w:rPr>
          <w:rFonts w:cstheme="minorHAnsi"/>
          <w:sz w:val="22"/>
          <w:szCs w:val="18"/>
          <w:lang w:val="ru-RU"/>
        </w:rPr>
        <w:t>Доминиканская Республика;</w:t>
      </w:r>
    </w:p>
    <w:p w14:paraId="20EFE3B0" w14:textId="45192CE9" w:rsidR="009C6151" w:rsidRPr="00F52D45" w:rsidRDefault="002F3AF9" w:rsidP="009C6151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textAlignment w:val="auto"/>
        <w:rPr>
          <w:rFonts w:cstheme="minorHAnsi"/>
          <w:sz w:val="22"/>
          <w:szCs w:val="18"/>
          <w:lang w:val="ru-RU"/>
        </w:rPr>
      </w:pPr>
      <w:r w:rsidRPr="00F52D45">
        <w:rPr>
          <w:rFonts w:cstheme="minorHAnsi"/>
          <w:sz w:val="22"/>
          <w:szCs w:val="18"/>
          <w:lang w:val="ru-RU"/>
        </w:rPr>
        <w:t>проект "Универсальная и реальная возможность установления соединений"</w:t>
      </w:r>
      <w:r w:rsidR="009C6151" w:rsidRPr="00F52D45">
        <w:rPr>
          <w:rFonts w:cstheme="minorHAnsi"/>
          <w:sz w:val="22"/>
          <w:szCs w:val="18"/>
          <w:lang w:val="ru-RU"/>
        </w:rPr>
        <w:t xml:space="preserve">, </w:t>
      </w:r>
      <w:r w:rsidRPr="00F52D45">
        <w:rPr>
          <w:rFonts w:cstheme="minorHAnsi"/>
          <w:sz w:val="22"/>
          <w:szCs w:val="18"/>
          <w:lang w:val="ru-RU"/>
        </w:rPr>
        <w:t>финансируемый Европейским союзом;</w:t>
      </w:r>
    </w:p>
    <w:p w14:paraId="2DFE8B04" w14:textId="0201FFF1" w:rsidR="009C6151" w:rsidRPr="00F52D45" w:rsidRDefault="002F3AF9" w:rsidP="009C6151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textAlignment w:val="auto"/>
        <w:rPr>
          <w:rFonts w:cstheme="minorHAnsi"/>
          <w:sz w:val="22"/>
          <w:szCs w:val="18"/>
          <w:lang w:val="ru-RU"/>
        </w:rPr>
      </w:pPr>
      <w:r w:rsidRPr="00F52D45">
        <w:rPr>
          <w:rFonts w:cstheme="minorHAnsi"/>
          <w:sz w:val="22"/>
          <w:szCs w:val="18"/>
          <w:lang w:val="ru-RU"/>
        </w:rPr>
        <w:t>проект "Партнерство для укрепления кибербезопасности", финансируемый</w:t>
      </w:r>
      <w:r w:rsidR="009C6151" w:rsidRPr="00F52D45">
        <w:rPr>
          <w:rFonts w:cstheme="minorHAnsi"/>
          <w:sz w:val="22"/>
          <w:szCs w:val="18"/>
          <w:lang w:val="ru-RU"/>
        </w:rPr>
        <w:t xml:space="preserve"> GIZ</w:t>
      </w:r>
      <w:r w:rsidRPr="00F52D45">
        <w:rPr>
          <w:rFonts w:cstheme="minorHAnsi"/>
          <w:sz w:val="22"/>
          <w:szCs w:val="18"/>
          <w:lang w:val="ru-RU"/>
        </w:rPr>
        <w:t>/Германия;</w:t>
      </w:r>
    </w:p>
    <w:p w14:paraId="1927D526" w14:textId="46A1D87C" w:rsidR="009C6151" w:rsidRPr="00F52D45" w:rsidRDefault="002F3AF9" w:rsidP="009C6151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textAlignment w:val="auto"/>
        <w:rPr>
          <w:rFonts w:cstheme="minorHAnsi"/>
          <w:sz w:val="22"/>
          <w:szCs w:val="18"/>
          <w:lang w:val="ru-RU"/>
        </w:rPr>
      </w:pPr>
      <w:r w:rsidRPr="00F52D45">
        <w:rPr>
          <w:rFonts w:cstheme="minorHAnsi"/>
          <w:sz w:val="22"/>
          <w:szCs w:val="18"/>
          <w:lang w:val="ru-RU"/>
        </w:rPr>
        <w:t xml:space="preserve">проект "Поддержка инфраструктуры </w:t>
      </w:r>
      <w:r w:rsidR="009C6151" w:rsidRPr="00F52D45">
        <w:rPr>
          <w:rFonts w:cstheme="minorHAnsi"/>
          <w:sz w:val="22"/>
          <w:szCs w:val="18"/>
          <w:lang w:val="ru-RU"/>
        </w:rPr>
        <w:t>Giga</w:t>
      </w:r>
      <w:r w:rsidRPr="00F52D45">
        <w:rPr>
          <w:rFonts w:cstheme="minorHAnsi"/>
          <w:sz w:val="22"/>
          <w:szCs w:val="18"/>
          <w:lang w:val="ru-RU"/>
        </w:rPr>
        <w:t>"</w:t>
      </w:r>
      <w:r w:rsidR="009C6151" w:rsidRPr="00F52D45">
        <w:rPr>
          <w:rFonts w:cstheme="minorHAnsi"/>
          <w:sz w:val="22"/>
          <w:szCs w:val="18"/>
          <w:lang w:val="ru-RU"/>
        </w:rPr>
        <w:t xml:space="preserve">, </w:t>
      </w:r>
      <w:r w:rsidRPr="00F52D45">
        <w:rPr>
          <w:rFonts w:cstheme="minorHAnsi"/>
          <w:sz w:val="22"/>
          <w:szCs w:val="18"/>
          <w:lang w:val="ru-RU"/>
        </w:rPr>
        <w:t>финансируемый ЮНИСЕФ;</w:t>
      </w:r>
    </w:p>
    <w:p w14:paraId="2828CB3A" w14:textId="35C39F15" w:rsidR="009C6151" w:rsidRPr="00F52D45" w:rsidRDefault="002F3AF9" w:rsidP="009C6151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textAlignment w:val="auto"/>
        <w:rPr>
          <w:rFonts w:cstheme="minorHAnsi"/>
          <w:sz w:val="22"/>
          <w:szCs w:val="18"/>
          <w:lang w:val="ru-RU"/>
        </w:rPr>
      </w:pPr>
      <w:r w:rsidRPr="00F52D45">
        <w:rPr>
          <w:rFonts w:cstheme="minorHAnsi"/>
          <w:sz w:val="22"/>
          <w:szCs w:val="18"/>
          <w:lang w:val="ru-RU"/>
        </w:rPr>
        <w:t>проект "Создание фундамента для</w:t>
      </w:r>
      <w:r w:rsidR="009C6151" w:rsidRPr="00F52D45">
        <w:rPr>
          <w:rFonts w:cstheme="minorHAnsi"/>
          <w:sz w:val="22"/>
          <w:szCs w:val="18"/>
          <w:lang w:val="ru-RU"/>
        </w:rPr>
        <w:t xml:space="preserve"> VaMoz Digital</w:t>
      </w:r>
      <w:r w:rsidRPr="00F52D45">
        <w:rPr>
          <w:rFonts w:cstheme="minorHAnsi"/>
          <w:sz w:val="22"/>
          <w:szCs w:val="18"/>
          <w:lang w:val="ru-RU"/>
        </w:rPr>
        <w:t>", финансируемый Европейским союзом;</w:t>
      </w:r>
    </w:p>
    <w:p w14:paraId="4009414B" w14:textId="2EC27B16" w:rsidR="009C6151" w:rsidRPr="00F52D45" w:rsidRDefault="002F3AF9" w:rsidP="009C6151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textAlignment w:val="auto"/>
        <w:rPr>
          <w:rFonts w:cstheme="minorHAnsi"/>
          <w:sz w:val="22"/>
          <w:szCs w:val="22"/>
          <w:lang w:val="ru-RU"/>
        </w:rPr>
      </w:pPr>
      <w:r w:rsidRPr="00F52D45">
        <w:rPr>
          <w:rFonts w:cstheme="minorHAnsi"/>
          <w:sz w:val="22"/>
          <w:szCs w:val="22"/>
          <w:lang w:val="ru-RU"/>
        </w:rPr>
        <w:t>проект "Разработка и осуществление политики и регулирования в области электронных отходов для циркуляционной экономики"</w:t>
      </w:r>
      <w:r w:rsidR="009C6151" w:rsidRPr="00F52D45">
        <w:rPr>
          <w:rFonts w:cstheme="minorHAnsi"/>
          <w:sz w:val="22"/>
          <w:szCs w:val="22"/>
          <w:lang w:val="ru-RU"/>
        </w:rPr>
        <w:t xml:space="preserve">, </w:t>
      </w:r>
      <w:r w:rsidRPr="00F52D45">
        <w:rPr>
          <w:rFonts w:cstheme="minorHAnsi"/>
          <w:sz w:val="22"/>
          <w:szCs w:val="22"/>
          <w:lang w:val="ru-RU"/>
        </w:rPr>
        <w:t xml:space="preserve">финансируемый </w:t>
      </w:r>
      <w:r w:rsidRPr="00F52D45">
        <w:rPr>
          <w:color w:val="000000"/>
          <w:sz w:val="22"/>
          <w:szCs w:val="22"/>
          <w:lang w:val="ru-RU"/>
        </w:rPr>
        <w:t>Комиссией по связи, космосу и технологиям (CST), Королевство Саудовская Аравия.</w:t>
      </w:r>
    </w:p>
    <w:p w14:paraId="53E482E3" w14:textId="026005C6" w:rsidR="0091458C" w:rsidRPr="00F52D45" w:rsidRDefault="0091458C" w:rsidP="000E1722">
      <w:pPr>
        <w:spacing w:after="120"/>
      </w:pPr>
      <w:bookmarkStart w:id="18" w:name="lt_pId124"/>
      <w:r w:rsidRPr="00F52D45">
        <w:lastRenderedPageBreak/>
        <w:t>Эти и другие проекты МСЭ показывают, что через партнерства МСЭ может оказывать более значимое воздействие и поддерживать членов МСЭ на пути цифрового развития.</w:t>
      </w:r>
      <w:bookmarkStart w:id="19" w:name="lt_pId126"/>
      <w:bookmarkEnd w:id="18"/>
      <w:r w:rsidRPr="00F52D45">
        <w:t xml:space="preserve"> </w:t>
      </w:r>
      <w:r w:rsidR="009C245D" w:rsidRPr="00F52D45">
        <w:t>Перечень</w:t>
      </w:r>
      <w:r w:rsidRPr="00F52D45">
        <w:t xml:space="preserve"> соответствующих соглашений размещен в Документе INF/2.</w:t>
      </w:r>
      <w:bookmarkEnd w:id="19"/>
    </w:p>
    <w:p w14:paraId="7FBDAE22" w14:textId="01D68DCF" w:rsidR="0091458C" w:rsidRPr="00F52D45" w:rsidRDefault="0091458C" w:rsidP="000E1722">
      <w:pPr>
        <w:pStyle w:val="Heading1"/>
        <w:spacing w:before="240"/>
      </w:pPr>
      <w:bookmarkStart w:id="20" w:name="lt_pId142"/>
      <w:r w:rsidRPr="00F52D45">
        <w:t>4</w:t>
      </w:r>
      <w:r w:rsidRPr="00F52D45">
        <w:tab/>
      </w:r>
      <w:r w:rsidR="00DC2CA5" w:rsidRPr="00F52D45">
        <w:t>Укрепление</w:t>
      </w:r>
      <w:r w:rsidRPr="00F52D45">
        <w:t xml:space="preserve"> методов управления проектами в БРЭ</w:t>
      </w:r>
      <w:bookmarkEnd w:id="20"/>
    </w:p>
    <w:p w14:paraId="383A1218" w14:textId="77777777" w:rsidR="002F3AF9" w:rsidRPr="00F52D45" w:rsidRDefault="0091458C" w:rsidP="000E1722">
      <w:bookmarkStart w:id="21" w:name="lt_pId143"/>
      <w:r w:rsidRPr="00F52D45">
        <w:t>БРЭ продолжа</w:t>
      </w:r>
      <w:r w:rsidR="00380B15" w:rsidRPr="00F52D45">
        <w:t>ет</w:t>
      </w:r>
      <w:r w:rsidRPr="00F52D45">
        <w:t xml:space="preserve"> совершенствовать практику управления проектами в</w:t>
      </w:r>
      <w:r w:rsidR="00380B15" w:rsidRPr="00F52D45">
        <w:t xml:space="preserve"> рамках всего</w:t>
      </w:r>
      <w:r w:rsidRPr="00F52D45">
        <w:t xml:space="preserve"> МСЭ путем организации широкого круга мероприятий, направленных на совершенствование управления проектами БРЭ, создание потенциала руководителей проектов БРЭ, стандартизацию практики управления проектами в БРЭ, а также совершенствование мониторинга и оценки проектов. </w:t>
      </w:r>
    </w:p>
    <w:p w14:paraId="2ACE50F4" w14:textId="241E30A9" w:rsidR="0091458C" w:rsidRPr="00F52D45" w:rsidRDefault="00380B15" w:rsidP="000E1722">
      <w:pPr>
        <w:rPr>
          <w:highlight w:val="lightGray"/>
        </w:rPr>
      </w:pPr>
      <w:r w:rsidRPr="00F52D45">
        <w:t>Ниже</w:t>
      </w:r>
      <w:r w:rsidR="0091458C" w:rsidRPr="00F52D45">
        <w:t xml:space="preserve"> перечисл</w:t>
      </w:r>
      <w:r w:rsidRPr="00F52D45">
        <w:t>ены</w:t>
      </w:r>
      <w:r w:rsidR="0091458C" w:rsidRPr="00F52D45">
        <w:t xml:space="preserve"> </w:t>
      </w:r>
      <w:r w:rsidR="002F3AF9" w:rsidRPr="00F52D45">
        <w:t>виды деятельности, осуществлявшиеся</w:t>
      </w:r>
      <w:r w:rsidR="0091458C" w:rsidRPr="00F52D45">
        <w:t xml:space="preserve"> в 202</w:t>
      </w:r>
      <w:r w:rsidRPr="00F52D45">
        <w:t>2</w:t>
      </w:r>
      <w:r w:rsidR="0091458C" w:rsidRPr="00F52D45">
        <w:t> год</w:t>
      </w:r>
      <w:r w:rsidRPr="00F52D45">
        <w:t>у</w:t>
      </w:r>
      <w:r w:rsidR="002F3AF9" w:rsidRPr="00F52D45">
        <w:t xml:space="preserve"> в тесном сотрудничестве </w:t>
      </w:r>
      <w:r w:rsidR="00197E67" w:rsidRPr="00F52D45">
        <w:t xml:space="preserve">с другими соответствующими функциями поддержки МСЭ (в частности, </w:t>
      </w:r>
      <w:r w:rsidR="00197E67" w:rsidRPr="00F52D45">
        <w:rPr>
          <w:rFonts w:cstheme="minorHAnsi"/>
        </w:rPr>
        <w:t>FRMD, PROC и HRMD) для решения основных проблем, определенных при реализации проектов МСЭ</w:t>
      </w:r>
      <w:r w:rsidRPr="00F52D45">
        <w:t>.</w:t>
      </w:r>
      <w:bookmarkEnd w:id="21"/>
    </w:p>
    <w:p w14:paraId="48046B32" w14:textId="6BE63CFD" w:rsidR="0091458C" w:rsidRPr="00F52D45" w:rsidRDefault="0091458C" w:rsidP="000E1722">
      <w:pPr>
        <w:pStyle w:val="enumlev1"/>
      </w:pPr>
      <w:bookmarkStart w:id="22" w:name="lt_pId145"/>
      <w:r w:rsidRPr="00F52D45">
        <w:t>–</w:t>
      </w:r>
      <w:r w:rsidRPr="00F52D45">
        <w:tab/>
      </w:r>
      <w:r w:rsidRPr="00F52D45">
        <w:rPr>
          <w:b/>
          <w:bCs/>
          <w:i/>
          <w:iCs/>
        </w:rPr>
        <w:t>Деятельность Комитета по проектам БРЭ</w:t>
      </w:r>
      <w:r w:rsidR="002A6F8B" w:rsidRPr="00F52D45">
        <w:t>.</w:t>
      </w:r>
      <w:r w:rsidRPr="00F52D45">
        <w:t xml:space="preserve"> </w:t>
      </w:r>
      <w:bookmarkEnd w:id="22"/>
      <w:r w:rsidRPr="00F52D45">
        <w:t>Комитет по проектам БРЭ продолжа</w:t>
      </w:r>
      <w:r w:rsidR="00380B15" w:rsidRPr="00F52D45">
        <w:t>ет</w:t>
      </w:r>
      <w:r w:rsidRPr="00F52D45">
        <w:t xml:space="preserve"> проводить собрания </w:t>
      </w:r>
      <w:r w:rsidR="00380B15" w:rsidRPr="00F52D45">
        <w:t xml:space="preserve">на регулярной основе для </w:t>
      </w:r>
      <w:r w:rsidRPr="00F52D45">
        <w:t>оценк</w:t>
      </w:r>
      <w:r w:rsidR="00380B15" w:rsidRPr="00F52D45">
        <w:t>и</w:t>
      </w:r>
      <w:r w:rsidRPr="00F52D45">
        <w:t xml:space="preserve"> целесообразности и актуальности предложений до их перехода в статус проектов, рассм</w:t>
      </w:r>
      <w:r w:rsidR="00380B15" w:rsidRPr="00F52D45">
        <w:t>отрения</w:t>
      </w:r>
      <w:r w:rsidRPr="00F52D45">
        <w:t xml:space="preserve"> и утвержд</w:t>
      </w:r>
      <w:r w:rsidR="00380B15" w:rsidRPr="00F52D45">
        <w:t>ения</w:t>
      </w:r>
      <w:r w:rsidRPr="00F52D45">
        <w:t xml:space="preserve"> проект</w:t>
      </w:r>
      <w:r w:rsidR="00380B15" w:rsidRPr="00F52D45">
        <w:t>ов</w:t>
      </w:r>
      <w:r w:rsidRPr="00F52D45">
        <w:t xml:space="preserve"> до</w:t>
      </w:r>
      <w:r w:rsidR="00380B15" w:rsidRPr="00F52D45">
        <w:t xml:space="preserve"> их</w:t>
      </w:r>
      <w:r w:rsidRPr="00F52D45">
        <w:t xml:space="preserve"> согласования с партнерами и обеспеч</w:t>
      </w:r>
      <w:r w:rsidR="00380B15" w:rsidRPr="00F52D45">
        <w:t>ения</w:t>
      </w:r>
      <w:r w:rsidRPr="00F52D45">
        <w:t xml:space="preserve"> надзор</w:t>
      </w:r>
      <w:r w:rsidR="00380B15" w:rsidRPr="00F52D45">
        <w:t>а</w:t>
      </w:r>
      <w:r w:rsidRPr="00F52D45">
        <w:t xml:space="preserve"> за реализацией проектов и их закрыти</w:t>
      </w:r>
      <w:r w:rsidR="00380B15" w:rsidRPr="00F52D45">
        <w:t>я</w:t>
      </w:r>
      <w:r w:rsidRPr="00F52D45">
        <w:t xml:space="preserve"> при возникновении проблем. </w:t>
      </w:r>
      <w:r w:rsidR="00380B15" w:rsidRPr="00F52D45">
        <w:t>Группа по поддержке проектов на регулярной основе проводи</w:t>
      </w:r>
      <w:r w:rsidR="00A8011A" w:rsidRPr="00F52D45">
        <w:t>т</w:t>
      </w:r>
      <w:r w:rsidR="00380B15" w:rsidRPr="00F52D45">
        <w:t xml:space="preserve"> д</w:t>
      </w:r>
      <w:r w:rsidRPr="00F52D45">
        <w:t>еятельность в соответствии с решениями Комитета</w:t>
      </w:r>
      <w:r w:rsidR="00380B15" w:rsidRPr="00F52D45">
        <w:t xml:space="preserve"> и</w:t>
      </w:r>
      <w:r w:rsidRPr="00F52D45">
        <w:t xml:space="preserve"> отчитыва</w:t>
      </w:r>
      <w:r w:rsidR="00A8011A" w:rsidRPr="00F52D45">
        <w:t>ется</w:t>
      </w:r>
      <w:r w:rsidRPr="00F52D45">
        <w:t xml:space="preserve"> перед Комитетом по проектам.</w:t>
      </w:r>
    </w:p>
    <w:p w14:paraId="0B09849D" w14:textId="1D23992C" w:rsidR="0064160C" w:rsidRPr="00F52D45" w:rsidRDefault="0064160C" w:rsidP="000E1722">
      <w:pPr>
        <w:pStyle w:val="enumlev1"/>
      </w:pPr>
      <w:r w:rsidRPr="00F52D45">
        <w:t>–</w:t>
      </w:r>
      <w:r w:rsidRPr="00F52D45">
        <w:tab/>
      </w:r>
      <w:r w:rsidRPr="00F52D45">
        <w:rPr>
          <w:b/>
          <w:bCs/>
          <w:i/>
          <w:iCs/>
        </w:rPr>
        <w:t xml:space="preserve">Учреждение новой группы </w:t>
      </w:r>
      <w:r w:rsidRPr="00F52D45">
        <w:rPr>
          <w:i/>
          <w:iCs/>
        </w:rPr>
        <w:t>"</w:t>
      </w:r>
      <w:r w:rsidRPr="00F52D45">
        <w:rPr>
          <w:b/>
          <w:bCs/>
          <w:i/>
          <w:iCs/>
        </w:rPr>
        <w:t>Проекты под особым надзором</w:t>
      </w:r>
      <w:r w:rsidRPr="00F52D45">
        <w:rPr>
          <w:i/>
          <w:iCs/>
        </w:rPr>
        <w:t>"</w:t>
      </w:r>
      <w:r w:rsidRPr="00F52D45">
        <w:t xml:space="preserve">. Опираясь на накопленный в течение 2021 и 2022 годов опыт, Комитет по проектам БРЭ на своем первом собрании в 2023 году принял решение о внедрении нового механизма для обеспечения дополнительного уровня надзора за проектами, в </w:t>
      </w:r>
      <w:r w:rsidR="00DC2CA5" w:rsidRPr="00F52D45">
        <w:t>отношении</w:t>
      </w:r>
      <w:r w:rsidRPr="00F52D45">
        <w:t xml:space="preserve"> которых существуют давние проблемы реализации. Мониторинг проектов, включенных в эту группу, осуществляется на еженедельной основе, и Директору БРЭ представляется еженедельный отчет для рассмотрения и дополнительных указаний. Проекты находятся под особым надзором до тех пор, пока уровень их реализации не вернется на прежний уровень.</w:t>
      </w:r>
    </w:p>
    <w:p w14:paraId="75AA58B7" w14:textId="183DE225" w:rsidR="0064160C" w:rsidRPr="00F52D45" w:rsidRDefault="0064160C" w:rsidP="000E1722">
      <w:pPr>
        <w:pStyle w:val="enumlev1"/>
      </w:pPr>
      <w:r w:rsidRPr="00F52D45">
        <w:t>–</w:t>
      </w:r>
      <w:r w:rsidRPr="00F52D45">
        <w:tab/>
      </w:r>
      <w:r w:rsidRPr="00F52D45">
        <w:rPr>
          <w:b/>
          <w:bCs/>
          <w:i/>
          <w:iCs/>
        </w:rPr>
        <w:t>Сертификация по управлению проектами</w:t>
      </w:r>
      <w:r w:rsidRPr="00F52D45">
        <w:t>. В течение 2022</w:t>
      </w:r>
      <w:r w:rsidR="00C22D62" w:rsidRPr="00F52D45">
        <w:t> </w:t>
      </w:r>
      <w:r w:rsidRPr="00F52D45">
        <w:t>года БРЭ продолжило программу сертификации по управлению проектами, расширив сферу ее охвата</w:t>
      </w:r>
      <w:r w:rsidR="006333B0" w:rsidRPr="00F52D45">
        <w:t xml:space="preserve"> и</w:t>
      </w:r>
      <w:r w:rsidRPr="00F52D45">
        <w:t xml:space="preserve"> включив также сотрудников из других </w:t>
      </w:r>
      <w:r w:rsidR="006333B0" w:rsidRPr="00F52D45">
        <w:t>Б</w:t>
      </w:r>
      <w:r w:rsidRPr="00F52D45">
        <w:t>юро</w:t>
      </w:r>
      <w:r w:rsidR="006333B0" w:rsidRPr="00F52D45">
        <w:t xml:space="preserve"> и </w:t>
      </w:r>
      <w:r w:rsidRPr="00F52D45">
        <w:t>Генерального секретариата. По</w:t>
      </w:r>
      <w:r w:rsidR="006333B0" w:rsidRPr="00F52D45">
        <w:t xml:space="preserve"> результатам</w:t>
      </w:r>
      <w:r w:rsidRPr="00F52D45">
        <w:t xml:space="preserve"> последнего </w:t>
      </w:r>
      <w:r w:rsidR="006333B0" w:rsidRPr="00F52D45">
        <w:t>цикла</w:t>
      </w:r>
      <w:r w:rsidRPr="00F52D45">
        <w:t>, организованного в период с октября по ноябрь 202</w:t>
      </w:r>
      <w:r w:rsidR="00675A3C" w:rsidRPr="00F52D45">
        <w:t>3</w:t>
      </w:r>
      <w:r w:rsidR="006333B0" w:rsidRPr="00F52D45">
        <w:t> </w:t>
      </w:r>
      <w:r w:rsidRPr="00F52D45">
        <w:t xml:space="preserve">года, в рамках программы </w:t>
      </w:r>
      <w:r w:rsidR="00C22D62" w:rsidRPr="00F52D45">
        <w:t xml:space="preserve">прошла сертификацию по управлению проектами </w:t>
      </w:r>
      <w:r w:rsidR="006333B0" w:rsidRPr="00F52D45">
        <w:t>группа из более чем 100 сотрудников БРЭ</w:t>
      </w:r>
      <w:r w:rsidRPr="00F52D45">
        <w:t>.</w:t>
      </w:r>
    </w:p>
    <w:p w14:paraId="5484CEB6" w14:textId="76B3CD4C" w:rsidR="0091458C" w:rsidRPr="00F52D45" w:rsidRDefault="0091458C" w:rsidP="000E1722">
      <w:pPr>
        <w:pStyle w:val="enumlev1"/>
      </w:pPr>
      <w:r w:rsidRPr="00F52D45">
        <w:t>–</w:t>
      </w:r>
      <w:r w:rsidRPr="00F52D45">
        <w:tab/>
      </w:r>
      <w:r w:rsidRPr="00F52D45">
        <w:rPr>
          <w:b/>
          <w:bCs/>
          <w:i/>
          <w:iCs/>
        </w:rPr>
        <w:t>Мониторинг проектов МСЭ</w:t>
      </w:r>
      <w:r w:rsidR="00D2542E" w:rsidRPr="00F52D45">
        <w:t>.</w:t>
      </w:r>
      <w:r w:rsidRPr="00F52D45">
        <w:t xml:space="preserve"> Продолжается ежедневный мониторинг всех проектов МСЭ с представлением отчетов в конце каждого квартала. </w:t>
      </w:r>
      <w:bookmarkStart w:id="23" w:name="lt_pId144"/>
      <w:r w:rsidRPr="00F52D45">
        <w:t xml:space="preserve">Результаты этой работы представляются руководству БРЭ и </w:t>
      </w:r>
      <w:r w:rsidR="00C22D62" w:rsidRPr="00F52D45">
        <w:t>руководителям</w:t>
      </w:r>
      <w:r w:rsidRPr="00F52D45">
        <w:t xml:space="preserve"> проект</w:t>
      </w:r>
      <w:r w:rsidR="00C22D62" w:rsidRPr="00F52D45">
        <w:t>ов</w:t>
      </w:r>
      <w:r w:rsidRPr="00F52D45">
        <w:t xml:space="preserve"> в </w:t>
      </w:r>
      <w:r w:rsidRPr="00F52D45">
        <w:rPr>
          <w:color w:val="000000"/>
        </w:rPr>
        <w:t>ежеквартальных отчетах об о</w:t>
      </w:r>
      <w:r w:rsidRPr="00F52D45">
        <w:t>ценке</w:t>
      </w:r>
      <w:r w:rsidR="00C22D62" w:rsidRPr="00F52D45">
        <w:t>, а также с использованием информационных панелей внутреннего управления, которые позволяют принимать решения по проектам на основе данных</w:t>
      </w:r>
      <w:r w:rsidRPr="00F52D45">
        <w:t xml:space="preserve">. </w:t>
      </w:r>
      <w:bookmarkEnd w:id="23"/>
    </w:p>
    <w:p w14:paraId="36BF962F" w14:textId="0B6A25AC" w:rsidR="003A1E5A" w:rsidRPr="00F52D45" w:rsidRDefault="003A1E5A" w:rsidP="000E1722">
      <w:pPr>
        <w:spacing w:before="86"/>
        <w:ind w:left="794" w:hanging="794"/>
        <w:rPr>
          <w:bCs/>
        </w:rPr>
      </w:pPr>
      <w:bookmarkStart w:id="24" w:name="lt_pId169"/>
      <w:r w:rsidRPr="00F52D45">
        <w:t>–</w:t>
      </w:r>
      <w:r w:rsidRPr="00F52D45">
        <w:tab/>
      </w:r>
      <w:r w:rsidR="005742D0" w:rsidRPr="00F52D45">
        <w:rPr>
          <w:b/>
          <w:i/>
          <w:iCs/>
        </w:rPr>
        <w:t>Укрепление исполнения проектов</w:t>
      </w:r>
      <w:r w:rsidRPr="00F52D45">
        <w:rPr>
          <w:bCs/>
        </w:rPr>
        <w:t xml:space="preserve">. </w:t>
      </w:r>
      <w:r w:rsidR="005742D0" w:rsidRPr="00F52D45">
        <w:rPr>
          <w:bCs/>
        </w:rPr>
        <w:t>Начиная с 2023 года все проектные документы, разрабатываемые МСЭ, включают определение координатора в стране(ах)-бенефициаре(ах) для укрепления исполнения проектов и обеспечения ответственности и долгосрочной устойчивости проектов</w:t>
      </w:r>
      <w:r w:rsidRPr="00F52D45">
        <w:rPr>
          <w:bCs/>
        </w:rPr>
        <w:t>.</w:t>
      </w:r>
    </w:p>
    <w:p w14:paraId="20DF9B7C" w14:textId="6E2C9C1A" w:rsidR="00806126" w:rsidRPr="00F52D45" w:rsidRDefault="00806126" w:rsidP="000E1722">
      <w:pPr>
        <w:spacing w:before="86"/>
        <w:ind w:left="794" w:hanging="794"/>
        <w:rPr>
          <w:bCs/>
        </w:rPr>
      </w:pPr>
      <w:r w:rsidRPr="00F52D45">
        <w:rPr>
          <w:bCs/>
        </w:rPr>
        <w:t>–</w:t>
      </w:r>
      <w:r w:rsidRPr="00F52D45">
        <w:rPr>
          <w:bCs/>
        </w:rPr>
        <w:tab/>
      </w:r>
      <w:r w:rsidR="00A96587" w:rsidRPr="00F52D45">
        <w:rPr>
          <w:b/>
          <w:i/>
          <w:iCs/>
        </w:rPr>
        <w:t>Завершение закрытия проектов</w:t>
      </w:r>
      <w:r w:rsidRPr="00F52D45">
        <w:rPr>
          <w:rFonts w:cstheme="minorHAnsi"/>
        </w:rPr>
        <w:t xml:space="preserve">. </w:t>
      </w:r>
      <w:r w:rsidR="00A96587" w:rsidRPr="00F52D45">
        <w:rPr>
          <w:rFonts w:cstheme="minorHAnsi"/>
        </w:rPr>
        <w:t>После получения отзывов от партнеров по финансированию и бенефициаров БРЭ сокращает период, необходимый для официального закрытия проектов, с целью закрытия всех проектов через 6–9 месяцев после завершения работы по плану проекта</w:t>
      </w:r>
      <w:r w:rsidRPr="00F52D45">
        <w:rPr>
          <w:rFonts w:cstheme="minorHAnsi"/>
        </w:rPr>
        <w:t xml:space="preserve">. </w:t>
      </w:r>
      <w:r w:rsidR="004F6D7C" w:rsidRPr="00F52D45">
        <w:rPr>
          <w:rFonts w:cstheme="minorHAnsi"/>
        </w:rPr>
        <w:t>В этот процесс входит проверка того, что были оказаны все связанные с проектом услуги, что были обработаны связанные с проектом выплаты и что уроки, извлеченные в ходе осуществления проекта, были должным образом документально оформлены</w:t>
      </w:r>
      <w:r w:rsidRPr="00F52D45">
        <w:rPr>
          <w:rFonts w:cstheme="minorHAnsi"/>
        </w:rPr>
        <w:t>.</w:t>
      </w:r>
    </w:p>
    <w:p w14:paraId="05FB0AB7" w14:textId="3DCF0257" w:rsidR="0091458C" w:rsidRPr="00F52D45" w:rsidRDefault="0091458C" w:rsidP="00D2542E">
      <w:pPr>
        <w:pStyle w:val="Heading1"/>
        <w:spacing w:before="240"/>
      </w:pPr>
      <w:r w:rsidRPr="00F52D45">
        <w:lastRenderedPageBreak/>
        <w:t>5</w:t>
      </w:r>
      <w:r w:rsidRPr="00F52D45">
        <w:tab/>
      </w:r>
      <w:bookmarkEnd w:id="24"/>
      <w:r w:rsidR="001B48BA" w:rsidRPr="00F52D45">
        <w:t>Выводы</w:t>
      </w:r>
    </w:p>
    <w:p w14:paraId="58258068" w14:textId="0802544C" w:rsidR="00295C66" w:rsidRPr="00F52D45" w:rsidRDefault="00667371" w:rsidP="000E1722">
      <w:pPr>
        <w:spacing w:after="120"/>
        <w:rPr>
          <w:rFonts w:cstheme="minorHAnsi"/>
        </w:rPr>
      </w:pPr>
      <w:r w:rsidRPr="00F52D45">
        <w:rPr>
          <w:rFonts w:cstheme="minorHAnsi"/>
        </w:rPr>
        <w:t xml:space="preserve">Проекты, составляющие портфель БРЭ, </w:t>
      </w:r>
      <w:r w:rsidR="00DC2CA5" w:rsidRPr="00F52D45">
        <w:rPr>
          <w:rFonts w:cstheme="minorHAnsi"/>
        </w:rPr>
        <w:t>по-прежнему оказывают</w:t>
      </w:r>
      <w:r w:rsidRPr="00F52D45">
        <w:rPr>
          <w:rFonts w:cstheme="minorHAnsi"/>
        </w:rPr>
        <w:t xml:space="preserve"> воздействие на местах, обеспечивая для Бюро ключевой механизм оказания технической помощи Государствам – Членам МСЭ, привлечения Членов Сектора МСЭ-D, а также предоставления новых продуктов и услуг в области цифрового развития.</w:t>
      </w:r>
    </w:p>
    <w:p w14:paraId="0AD6C5DB" w14:textId="1F96BAEA" w:rsidR="0091458C" w:rsidRPr="00F52D45" w:rsidRDefault="00F44E64" w:rsidP="000E1722">
      <w:r w:rsidRPr="00F52D45">
        <w:rPr>
          <w:rFonts w:cstheme="minorHAnsi"/>
        </w:rPr>
        <w:t xml:space="preserve">В течение </w:t>
      </w:r>
      <w:r w:rsidR="00295C66" w:rsidRPr="00F52D45">
        <w:rPr>
          <w:rFonts w:cstheme="minorHAnsi"/>
        </w:rPr>
        <w:t>2022</w:t>
      </w:r>
      <w:r w:rsidR="00C81E74" w:rsidRPr="00F52D45">
        <w:rPr>
          <w:rFonts w:cstheme="minorHAnsi"/>
        </w:rPr>
        <w:t xml:space="preserve"> и 2023</w:t>
      </w:r>
      <w:r w:rsidRPr="00F52D45">
        <w:rPr>
          <w:rFonts w:cstheme="minorHAnsi"/>
        </w:rPr>
        <w:t> год</w:t>
      </w:r>
      <w:r w:rsidR="00C81E74" w:rsidRPr="00F52D45">
        <w:rPr>
          <w:rFonts w:cstheme="minorHAnsi"/>
        </w:rPr>
        <w:t>ов</w:t>
      </w:r>
      <w:r w:rsidRPr="00F52D45">
        <w:rPr>
          <w:rFonts w:cstheme="minorHAnsi"/>
        </w:rPr>
        <w:t xml:space="preserve"> БРЭ </w:t>
      </w:r>
      <w:r w:rsidR="00F57E18" w:rsidRPr="00F52D45">
        <w:rPr>
          <w:rFonts w:cstheme="minorHAnsi"/>
        </w:rPr>
        <w:t xml:space="preserve">продолжило </w:t>
      </w:r>
      <w:r w:rsidRPr="00F52D45">
        <w:rPr>
          <w:rFonts w:cstheme="minorHAnsi"/>
        </w:rPr>
        <w:t>подписа</w:t>
      </w:r>
      <w:r w:rsidR="00F57E18" w:rsidRPr="00F52D45">
        <w:rPr>
          <w:rFonts w:cstheme="minorHAnsi"/>
        </w:rPr>
        <w:t>ние новых проектов, их</w:t>
      </w:r>
      <w:r w:rsidR="0091458C" w:rsidRPr="00F52D45">
        <w:t xml:space="preserve"> стоимость состав</w:t>
      </w:r>
      <w:r w:rsidR="00F57E18" w:rsidRPr="00F52D45">
        <w:t>ила</w:t>
      </w:r>
      <w:r w:rsidR="0091458C" w:rsidRPr="00F52D45">
        <w:t xml:space="preserve"> </w:t>
      </w:r>
      <w:r w:rsidR="00C81E74" w:rsidRPr="00F52D45">
        <w:t xml:space="preserve">соответственно </w:t>
      </w:r>
      <w:r w:rsidRPr="00F52D45">
        <w:t>5</w:t>
      </w:r>
      <w:r w:rsidR="0091458C" w:rsidRPr="00F52D45">
        <w:t>,</w:t>
      </w:r>
      <w:r w:rsidRPr="00F52D45">
        <w:t>3</w:t>
      </w:r>
      <w:r w:rsidR="0091458C" w:rsidRPr="00F52D45">
        <w:t xml:space="preserve"> млн. </w:t>
      </w:r>
      <w:r w:rsidR="00C81E74" w:rsidRPr="00F52D45">
        <w:t xml:space="preserve">и 7,2 млн. </w:t>
      </w:r>
      <w:r w:rsidR="0091458C" w:rsidRPr="00F52D45">
        <w:t xml:space="preserve">швейцарских франков (см. </w:t>
      </w:r>
      <w:r w:rsidR="004C1B3A" w:rsidRPr="00F52D45">
        <w:t>Рисунок</w:t>
      </w:r>
      <w:r w:rsidR="0091458C" w:rsidRPr="00F52D45">
        <w:t> </w:t>
      </w:r>
      <w:r w:rsidRPr="00F52D45">
        <w:t>4</w:t>
      </w:r>
      <w:r w:rsidR="0091458C" w:rsidRPr="00F52D45">
        <w:t xml:space="preserve">). </w:t>
      </w:r>
      <w:r w:rsidRPr="00F52D45">
        <w:t xml:space="preserve">Важно отметить, что эти </w:t>
      </w:r>
      <w:r w:rsidR="0091458C" w:rsidRPr="00F52D45">
        <w:t xml:space="preserve">проекты </w:t>
      </w:r>
      <w:r w:rsidR="00C81E74" w:rsidRPr="00F52D45">
        <w:t xml:space="preserve">в значительной степени </w:t>
      </w:r>
      <w:r w:rsidR="0091458C" w:rsidRPr="00F52D45">
        <w:t xml:space="preserve">финансировались </w:t>
      </w:r>
      <w:r w:rsidR="00C81E74" w:rsidRPr="00F52D45">
        <w:t xml:space="preserve">партнерами по финансированию и что они </w:t>
      </w:r>
      <w:r w:rsidRPr="00F52D45">
        <w:t>выполняются в</w:t>
      </w:r>
      <w:r w:rsidR="0091458C" w:rsidRPr="00F52D45">
        <w:t xml:space="preserve"> партнерств</w:t>
      </w:r>
      <w:r w:rsidRPr="00F52D45">
        <w:t>е</w:t>
      </w:r>
      <w:r w:rsidR="0091458C" w:rsidRPr="00F52D45">
        <w:t xml:space="preserve"> с другими организациями, такими как национальные правительственные учреждения, организации двустороннего сотрудничества, некоммерческие объединения, компании частного сектора и учреждения системы О</w:t>
      </w:r>
      <w:r w:rsidRPr="00F52D45">
        <w:t>рганизации Объединенных Наций</w:t>
      </w:r>
      <w:r w:rsidR="0091458C" w:rsidRPr="00F52D45">
        <w:t>.</w:t>
      </w:r>
      <w:r w:rsidR="0091458C" w:rsidRPr="00F52D45">
        <w:rPr>
          <w:rFonts w:cstheme="minorHAnsi"/>
        </w:rPr>
        <w:t xml:space="preserve"> </w:t>
      </w:r>
    </w:p>
    <w:p w14:paraId="6C711EF3" w14:textId="401ECCB9" w:rsidR="0091458C" w:rsidRPr="00F52D45" w:rsidRDefault="0091458C" w:rsidP="000E1722">
      <w:pPr>
        <w:pStyle w:val="Tabletitle"/>
        <w:spacing w:before="360"/>
        <w:rPr>
          <w:bCs/>
        </w:rPr>
      </w:pPr>
      <w:bookmarkStart w:id="25" w:name="lt_pId150"/>
      <w:r w:rsidRPr="00F52D45">
        <w:rPr>
          <w:bCs/>
        </w:rPr>
        <w:t xml:space="preserve">Рисунок </w:t>
      </w:r>
      <w:r w:rsidR="00295C66" w:rsidRPr="00F52D45">
        <w:rPr>
          <w:bCs/>
        </w:rPr>
        <w:t>4</w:t>
      </w:r>
      <w:r w:rsidR="004C1B3A" w:rsidRPr="00F52D45">
        <w:rPr>
          <w:bCs/>
        </w:rPr>
        <w:t xml:space="preserve"> −</w:t>
      </w:r>
      <w:r w:rsidRPr="00F52D45">
        <w:rPr>
          <w:bCs/>
        </w:rPr>
        <w:t xml:space="preserve"> Новые проекты, подписанные </w:t>
      </w:r>
      <w:r w:rsidR="00295C66" w:rsidRPr="00F52D45">
        <w:rPr>
          <w:bCs/>
        </w:rPr>
        <w:t>МСЭ (</w:t>
      </w:r>
      <w:r w:rsidRPr="00F52D45">
        <w:rPr>
          <w:bCs/>
        </w:rPr>
        <w:t>201</w:t>
      </w:r>
      <w:r w:rsidR="00C81E74" w:rsidRPr="00F52D45">
        <w:rPr>
          <w:bCs/>
        </w:rPr>
        <w:t>3</w:t>
      </w:r>
      <w:r w:rsidRPr="00F52D45">
        <w:rPr>
          <w:bCs/>
        </w:rPr>
        <w:t>–202</w:t>
      </w:r>
      <w:bookmarkEnd w:id="25"/>
      <w:r w:rsidR="00C81E74" w:rsidRPr="00F52D45">
        <w:rPr>
          <w:bCs/>
        </w:rPr>
        <w:t>3</w:t>
      </w:r>
      <w:r w:rsidR="00295C66" w:rsidRPr="00F52D45">
        <w:rPr>
          <w:bCs/>
        </w:rPr>
        <w:t> гг.)</w:t>
      </w:r>
    </w:p>
    <w:p w14:paraId="484B5809" w14:textId="015EDDDF" w:rsidR="00FA697A" w:rsidRPr="00F52D45" w:rsidRDefault="00FA697A" w:rsidP="000E1722">
      <w:pPr>
        <w:pStyle w:val="Tabletext"/>
        <w:spacing w:before="240" w:after="0"/>
        <w:rPr>
          <w:rFonts w:cstheme="minorHAnsi"/>
          <w:sz w:val="22"/>
        </w:rPr>
      </w:pPr>
      <w:r w:rsidRPr="00F52D45">
        <w:rPr>
          <w:rFonts w:cstheme="minorHAnsi"/>
          <w:sz w:val="22"/>
        </w:rPr>
        <w:drawing>
          <wp:inline distT="0" distB="0" distL="0" distR="0" wp14:anchorId="2F725DAC" wp14:editId="322CD325">
            <wp:extent cx="6120130" cy="2366645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7A63566E-3D2F-4F23-8937-8CA0AF27F5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AE2F795" w14:textId="0D5ECE01" w:rsidR="00295C66" w:rsidRPr="00F52D45" w:rsidRDefault="00295C66" w:rsidP="000E1722">
      <w:pPr>
        <w:pStyle w:val="Tabletext"/>
        <w:spacing w:before="240" w:after="0"/>
        <w:rPr>
          <w:sz w:val="22"/>
        </w:rPr>
      </w:pPr>
      <w:r w:rsidRPr="00F52D45">
        <w:rPr>
          <w:rFonts w:cstheme="minorHAnsi"/>
          <w:sz w:val="22"/>
        </w:rPr>
        <w:t xml:space="preserve">Эти достижения являются результатом </w:t>
      </w:r>
      <w:r w:rsidR="00F57E18" w:rsidRPr="00F52D45">
        <w:rPr>
          <w:rFonts w:cstheme="minorHAnsi"/>
          <w:sz w:val="22"/>
        </w:rPr>
        <w:t xml:space="preserve">координации </w:t>
      </w:r>
      <w:r w:rsidRPr="00F52D45">
        <w:rPr>
          <w:rFonts w:cstheme="minorHAnsi"/>
          <w:sz w:val="22"/>
        </w:rPr>
        <w:t>между группами по поддержке проектов, мобилизации ресурсов и партнерства</w:t>
      </w:r>
      <w:r w:rsidR="00372B27" w:rsidRPr="00F52D45">
        <w:rPr>
          <w:rFonts w:cstheme="minorHAnsi"/>
          <w:sz w:val="22"/>
        </w:rPr>
        <w:t>м</w:t>
      </w:r>
      <w:r w:rsidRPr="00F52D45">
        <w:rPr>
          <w:rFonts w:cstheme="minorHAnsi"/>
          <w:sz w:val="22"/>
        </w:rPr>
        <w:t xml:space="preserve">, а также членского состава и частного сектора в рамках </w:t>
      </w:r>
      <w:r w:rsidRPr="00F52D45">
        <w:rPr>
          <w:sz w:val="22"/>
        </w:rPr>
        <w:t>Департамента партнерств в целях цифрового развития</w:t>
      </w:r>
      <w:r w:rsidRPr="00F52D45">
        <w:rPr>
          <w:rFonts w:cstheme="minorHAnsi"/>
          <w:sz w:val="22"/>
        </w:rPr>
        <w:t xml:space="preserve"> БРЭ</w:t>
      </w:r>
      <w:r w:rsidRPr="00F52D45">
        <w:rPr>
          <w:rStyle w:val="FootnoteReference"/>
        </w:rPr>
        <w:footnoteReference w:id="6"/>
      </w:r>
      <w:r w:rsidRPr="00F52D45">
        <w:rPr>
          <w:rFonts w:cstheme="minorHAnsi"/>
          <w:sz w:val="22"/>
        </w:rPr>
        <w:t>.</w:t>
      </w:r>
    </w:p>
    <w:p w14:paraId="08A9582C" w14:textId="0819C2D3" w:rsidR="00295C66" w:rsidRPr="00F52D45" w:rsidRDefault="00F57E18" w:rsidP="000E1722">
      <w:pPr>
        <w:spacing w:after="120"/>
        <w:rPr>
          <w:rFonts w:cstheme="minorHAnsi"/>
        </w:rPr>
      </w:pPr>
      <w:r w:rsidRPr="00F52D45">
        <w:rPr>
          <w:rFonts w:cstheme="minorHAnsi"/>
        </w:rPr>
        <w:t>В заключение следует отметить, что выделение Советом 2018 года начального капитала для реализации региональных инициатив, принятых на ВКРЭ-17, позволило привлечь 8,7 млн.</w:t>
      </w:r>
      <w:r w:rsidR="009E356B" w:rsidRPr="00F52D45">
        <w:rPr>
          <w:rFonts w:cstheme="minorHAnsi"/>
        </w:rPr>
        <w:t> </w:t>
      </w:r>
      <w:r w:rsidRPr="00F52D45">
        <w:rPr>
          <w:rFonts w:cstheme="minorHAnsi"/>
        </w:rPr>
        <w:t xml:space="preserve">швейцарских франков из внешних источников финансирования, что дало </w:t>
      </w:r>
      <w:r w:rsidR="00372B27" w:rsidRPr="00F52D45">
        <w:rPr>
          <w:rFonts w:cstheme="minorHAnsi"/>
        </w:rPr>
        <w:t xml:space="preserve">БРЭ </w:t>
      </w:r>
      <w:r w:rsidRPr="00F52D45">
        <w:rPr>
          <w:rFonts w:cstheme="minorHAnsi"/>
        </w:rPr>
        <w:t>возможность осуществить совместное финансирование 37 результативных проектов</w:t>
      </w:r>
      <w:r w:rsidR="00791C64" w:rsidRPr="00F52D45">
        <w:rPr>
          <w:rFonts w:cstheme="minorHAnsi"/>
        </w:rPr>
        <w:t xml:space="preserve"> на</w:t>
      </w:r>
      <w:r w:rsidRPr="00F52D45">
        <w:rPr>
          <w:rFonts w:cstheme="minorHAnsi"/>
        </w:rPr>
        <w:t xml:space="preserve"> общ</w:t>
      </w:r>
      <w:r w:rsidR="00791C64" w:rsidRPr="00F52D45">
        <w:rPr>
          <w:rFonts w:cstheme="minorHAnsi"/>
        </w:rPr>
        <w:t>ую</w:t>
      </w:r>
      <w:r w:rsidRPr="00F52D45">
        <w:rPr>
          <w:rFonts w:cstheme="minorHAnsi"/>
        </w:rPr>
        <w:t xml:space="preserve"> сумм</w:t>
      </w:r>
      <w:r w:rsidR="00791C64" w:rsidRPr="00F52D45">
        <w:rPr>
          <w:rFonts w:cstheme="minorHAnsi"/>
        </w:rPr>
        <w:t>у</w:t>
      </w:r>
      <w:r w:rsidRPr="00F52D45">
        <w:rPr>
          <w:rFonts w:cstheme="minorHAnsi"/>
        </w:rPr>
        <w:t xml:space="preserve"> 13,5 млн.</w:t>
      </w:r>
      <w:r w:rsidR="009E356B" w:rsidRPr="00F52D45">
        <w:rPr>
          <w:rFonts w:cstheme="minorHAnsi"/>
        </w:rPr>
        <w:t> </w:t>
      </w:r>
      <w:r w:rsidRPr="00F52D45">
        <w:rPr>
          <w:rFonts w:cstheme="minorHAnsi"/>
        </w:rPr>
        <w:t>швейцарских франков.</w:t>
      </w:r>
    </w:p>
    <w:p w14:paraId="63A84AA7" w14:textId="79939AEF" w:rsidR="00295C66" w:rsidRDefault="00F57E18" w:rsidP="000E1722">
      <w:pPr>
        <w:spacing w:after="120"/>
        <w:rPr>
          <w:rFonts w:cstheme="minorHAnsi"/>
        </w:rPr>
      </w:pPr>
      <w:r w:rsidRPr="00F52D45">
        <w:rPr>
          <w:rFonts w:cstheme="minorHAnsi"/>
        </w:rPr>
        <w:t>Успешное использование средств, выделенных Советом, доказывает важность для МСЭ иметь доступ к дополнительным источникам финансирования, которые могут быть использованы для привлечения средств партнеров и доноров в поддержку Государств – Членов МСЭ.</w:t>
      </w:r>
    </w:p>
    <w:p w14:paraId="588222AB" w14:textId="1378ECFD" w:rsidR="00F52D45" w:rsidRDefault="00F52D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cstheme="minorHAnsi"/>
        </w:rPr>
      </w:pPr>
      <w:r>
        <w:rPr>
          <w:rFonts w:cstheme="minorHAnsi"/>
        </w:rPr>
        <w:br w:type="page"/>
      </w:r>
    </w:p>
    <w:p w14:paraId="4A44CB20" w14:textId="211AD90C" w:rsidR="00295C66" w:rsidRPr="00F52D45" w:rsidRDefault="00F57E18" w:rsidP="000E1722">
      <w:pPr>
        <w:spacing w:after="120"/>
      </w:pPr>
      <w:proofErr w:type="spellStart"/>
      <w:r w:rsidRPr="00F52D45">
        <w:rPr>
          <w:rFonts w:cstheme="minorHAnsi"/>
        </w:rPr>
        <w:lastRenderedPageBreak/>
        <w:t>КГРЭ</w:t>
      </w:r>
      <w:proofErr w:type="spellEnd"/>
      <w:r w:rsidRPr="00F52D45">
        <w:rPr>
          <w:rFonts w:cstheme="minorHAnsi"/>
        </w:rPr>
        <w:t xml:space="preserve"> предлагается поддержать выделение новых начальных средств для реализации региональных инициатив, принятых на ВКРЭ-22, аналогично </w:t>
      </w:r>
      <w:r w:rsidR="00791C64" w:rsidRPr="00F52D45">
        <w:rPr>
          <w:rFonts w:cstheme="minorHAnsi"/>
        </w:rPr>
        <w:t>выделению средств, которое осуществил</w:t>
      </w:r>
      <w:r w:rsidRPr="00F52D45">
        <w:rPr>
          <w:rFonts w:cstheme="minorHAnsi"/>
        </w:rPr>
        <w:t xml:space="preserve"> Совет 2018 года, </w:t>
      </w:r>
      <w:r w:rsidR="00791C64" w:rsidRPr="00F52D45">
        <w:rPr>
          <w:rFonts w:cstheme="minorHAnsi"/>
        </w:rPr>
        <w:t>с тем чтобы</w:t>
      </w:r>
      <w:r w:rsidRPr="00F52D45">
        <w:rPr>
          <w:rFonts w:cstheme="minorHAnsi"/>
        </w:rPr>
        <w:t xml:space="preserve"> финансирова</w:t>
      </w:r>
      <w:r w:rsidR="00791C64" w:rsidRPr="00F52D45">
        <w:rPr>
          <w:rFonts w:cstheme="minorHAnsi"/>
        </w:rPr>
        <w:t>ть</w:t>
      </w:r>
      <w:r w:rsidRPr="00F52D45">
        <w:rPr>
          <w:rFonts w:cstheme="minorHAnsi"/>
        </w:rPr>
        <w:t xml:space="preserve"> региональны</w:t>
      </w:r>
      <w:r w:rsidR="00791C64" w:rsidRPr="00F52D45">
        <w:rPr>
          <w:rFonts w:cstheme="minorHAnsi"/>
        </w:rPr>
        <w:t>е</w:t>
      </w:r>
      <w:r w:rsidRPr="00F52D45">
        <w:rPr>
          <w:rFonts w:cstheme="minorHAnsi"/>
        </w:rPr>
        <w:t xml:space="preserve"> инициатив</w:t>
      </w:r>
      <w:r w:rsidR="00791C64" w:rsidRPr="00F52D45">
        <w:rPr>
          <w:rFonts w:cstheme="minorHAnsi"/>
        </w:rPr>
        <w:t>ы</w:t>
      </w:r>
      <w:r w:rsidRPr="00F52D45">
        <w:rPr>
          <w:rFonts w:cstheme="minorHAnsi"/>
        </w:rPr>
        <w:t>, приняты</w:t>
      </w:r>
      <w:r w:rsidR="00791C64" w:rsidRPr="00F52D45">
        <w:rPr>
          <w:rFonts w:cstheme="minorHAnsi"/>
        </w:rPr>
        <w:t>е</w:t>
      </w:r>
      <w:r w:rsidRPr="00F52D45">
        <w:rPr>
          <w:rFonts w:cstheme="minorHAnsi"/>
        </w:rPr>
        <w:t xml:space="preserve"> ВКРЭ-22 на 2023</w:t>
      </w:r>
      <w:r w:rsidR="009E356B" w:rsidRPr="00F52D45">
        <w:rPr>
          <w:rFonts w:cstheme="minorHAnsi"/>
        </w:rPr>
        <w:t>−</w:t>
      </w:r>
      <w:r w:rsidRPr="00F52D45">
        <w:rPr>
          <w:rFonts w:cstheme="minorHAnsi"/>
        </w:rPr>
        <w:t>2027</w:t>
      </w:r>
      <w:r w:rsidR="00791C64" w:rsidRPr="00F52D45">
        <w:rPr>
          <w:rFonts w:cstheme="minorHAnsi"/>
        </w:rPr>
        <w:t> </w:t>
      </w:r>
      <w:r w:rsidRPr="00F52D45">
        <w:rPr>
          <w:rFonts w:cstheme="minorHAnsi"/>
        </w:rPr>
        <w:t xml:space="preserve">годы, </w:t>
      </w:r>
      <w:r w:rsidR="00791C64" w:rsidRPr="00F52D45">
        <w:rPr>
          <w:rFonts w:cstheme="minorHAnsi"/>
        </w:rPr>
        <w:t xml:space="preserve">и </w:t>
      </w:r>
      <w:r w:rsidRPr="00F52D45">
        <w:rPr>
          <w:rFonts w:cstheme="minorHAnsi"/>
        </w:rPr>
        <w:t>содейств</w:t>
      </w:r>
      <w:r w:rsidR="00791C64" w:rsidRPr="00F52D45">
        <w:rPr>
          <w:rFonts w:cstheme="minorHAnsi"/>
        </w:rPr>
        <w:t>овать</w:t>
      </w:r>
      <w:r w:rsidRPr="00F52D45">
        <w:rPr>
          <w:rFonts w:cstheme="minorHAnsi"/>
        </w:rPr>
        <w:t xml:space="preserve"> реализации </w:t>
      </w:r>
      <w:r w:rsidR="00791C64" w:rsidRPr="00F52D45">
        <w:rPr>
          <w:rFonts w:cstheme="minorHAnsi"/>
        </w:rPr>
        <w:t>соответствующих</w:t>
      </w:r>
      <w:r w:rsidRPr="00F52D45">
        <w:rPr>
          <w:rFonts w:cstheme="minorHAnsi"/>
        </w:rPr>
        <w:t xml:space="preserve"> проектов в рамках каждой региональной инициативы во всех регионах.</w:t>
      </w:r>
    </w:p>
    <w:p w14:paraId="58576486" w14:textId="1D86BED4" w:rsidR="00F105F5" w:rsidRPr="00F52D45" w:rsidRDefault="0091458C" w:rsidP="000E1722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F52D45">
        <w:t>_______________</w:t>
      </w:r>
    </w:p>
    <w:sectPr w:rsidR="00F105F5" w:rsidRPr="00F52D45" w:rsidSect="004C1B3A">
      <w:headerReference w:type="default" r:id="rId11"/>
      <w:footerReference w:type="default" r:id="rId12"/>
      <w:footerReference w:type="first" r:id="rId13"/>
      <w:pgSz w:w="11906" w:h="16838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618D4" w14:textId="77777777" w:rsidR="008F572A" w:rsidRDefault="008F572A" w:rsidP="00E54FD2">
      <w:pPr>
        <w:spacing w:before="0"/>
      </w:pPr>
      <w:r>
        <w:separator/>
      </w:r>
    </w:p>
  </w:endnote>
  <w:endnote w:type="continuationSeparator" w:id="0">
    <w:p w14:paraId="66628910" w14:textId="77777777" w:rsidR="008F572A" w:rsidRDefault="008F572A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C32F" w14:textId="0A5EE555" w:rsidR="004D0E96" w:rsidRPr="00EF3F5E" w:rsidRDefault="00EF3F5E" w:rsidP="00F320E9">
    <w:pPr>
      <w:pStyle w:val="Footer"/>
      <w:rPr>
        <w:lang w:val="fr-CH"/>
      </w:rPr>
    </w:pPr>
    <w:r>
      <w:fldChar w:fldCharType="begin"/>
    </w:r>
    <w:r w:rsidRPr="00A059BA">
      <w:rPr>
        <w:lang w:val="fr-CH"/>
      </w:rPr>
      <w:instrText xml:space="preserve"> FILENAME  \p  \* MERGEFORMAT </w:instrText>
    </w:r>
    <w:r>
      <w:fldChar w:fldCharType="separate"/>
    </w:r>
    <w:r w:rsidR="00211A6F">
      <w:rPr>
        <w:lang w:val="fr-CH"/>
      </w:rPr>
      <w:t>P:\RUS\ITU-D\CONF-D\TDAG23\TDAG23-30\000\007REV1R.DOCX</w:t>
    </w:r>
    <w:r>
      <w:fldChar w:fldCharType="end"/>
    </w:r>
    <w:r w:rsidRPr="00A059BA">
      <w:rPr>
        <w:lang w:val="fr-CH"/>
      </w:rPr>
      <w:t xml:space="preserve"> (</w:t>
    </w:r>
    <w:r w:rsidR="00211A6F" w:rsidRPr="00211A6F">
      <w:rPr>
        <w:lang w:val="en-GB"/>
      </w:rPr>
      <w:t>524617</w:t>
    </w:r>
    <w:r w:rsidRPr="00A059BA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13"/>
      <w:gridCol w:w="5008"/>
    </w:tblGrid>
    <w:tr w:rsidR="0091458C" w:rsidRPr="001326A4" w14:paraId="6D66572B" w14:textId="77777777" w:rsidTr="0091458C">
      <w:trPr>
        <w:trHeight w:val="454"/>
      </w:trPr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13C429BE" w14:textId="77777777" w:rsidR="0091458C" w:rsidRPr="004726D2" w:rsidRDefault="0091458C" w:rsidP="0091458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4726D2">
            <w:rPr>
              <w:sz w:val="18"/>
              <w:szCs w:val="18"/>
            </w:rPr>
            <w:t>Координатор:</w:t>
          </w:r>
        </w:p>
      </w:tc>
      <w:tc>
        <w:tcPr>
          <w:tcW w:w="3213" w:type="dxa"/>
          <w:tcBorders>
            <w:top w:val="single" w:sz="4" w:space="0" w:color="000000"/>
          </w:tcBorders>
          <w:shd w:val="clear" w:color="auto" w:fill="auto"/>
        </w:tcPr>
        <w:p w14:paraId="67821252" w14:textId="77777777" w:rsidR="0091458C" w:rsidRPr="004726D2" w:rsidRDefault="0091458C" w:rsidP="0091458C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4726D2">
            <w:rPr>
              <w:sz w:val="18"/>
              <w:szCs w:val="18"/>
            </w:rPr>
            <w:t>Фамилия/организация/объединение</w:t>
          </w:r>
          <w:r w:rsidRPr="004726D2">
            <w:rPr>
              <w:sz w:val="18"/>
              <w:szCs w:val="18"/>
              <w:lang w:val="en-US"/>
            </w:rPr>
            <w:t>:</w:t>
          </w:r>
        </w:p>
      </w:tc>
      <w:tc>
        <w:tcPr>
          <w:tcW w:w="5008" w:type="dxa"/>
          <w:tcBorders>
            <w:top w:val="single" w:sz="4" w:space="0" w:color="000000"/>
          </w:tcBorders>
        </w:tcPr>
        <w:p w14:paraId="0405CBC1" w14:textId="55B19179" w:rsidR="0091458C" w:rsidRPr="004726D2" w:rsidRDefault="009E356B" w:rsidP="0091458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="0091458C">
            <w:rPr>
              <w:sz w:val="18"/>
              <w:szCs w:val="18"/>
            </w:rPr>
            <w:t xml:space="preserve">-н </w:t>
          </w:r>
          <w:r w:rsidR="00FA703F">
            <w:rPr>
              <w:sz w:val="18"/>
              <w:szCs w:val="18"/>
            </w:rPr>
            <w:t>Хосе Мария Диас Батанеро</w:t>
          </w:r>
          <w:r w:rsidR="0091458C">
            <w:rPr>
              <w:sz w:val="18"/>
              <w:szCs w:val="18"/>
            </w:rPr>
            <w:t xml:space="preserve"> (</w:t>
          </w:r>
          <w:r w:rsidR="00FA703F">
            <w:rPr>
              <w:sz w:val="18"/>
              <w:szCs w:val="18"/>
              <w:lang w:val="en-GB"/>
            </w:rPr>
            <w:t>Mr</w:t>
          </w:r>
          <w:r w:rsidR="00FA703F" w:rsidRPr="00FA703F">
            <w:rPr>
              <w:sz w:val="18"/>
              <w:szCs w:val="18"/>
            </w:rPr>
            <w:t xml:space="preserve"> </w:t>
          </w:r>
          <w:r w:rsidR="00FA703F" w:rsidRPr="005E69BE">
            <w:rPr>
              <w:sz w:val="18"/>
              <w:szCs w:val="18"/>
              <w:lang w:val="en-GB"/>
            </w:rPr>
            <w:t>Jose</w:t>
          </w:r>
          <w:r w:rsidR="00FA703F" w:rsidRPr="00FA703F">
            <w:rPr>
              <w:sz w:val="18"/>
              <w:szCs w:val="18"/>
            </w:rPr>
            <w:t xml:space="preserve"> </w:t>
          </w:r>
          <w:r w:rsidR="00FA703F" w:rsidRPr="005E69BE">
            <w:rPr>
              <w:sz w:val="18"/>
              <w:szCs w:val="18"/>
              <w:lang w:val="en-GB"/>
            </w:rPr>
            <w:t>Maria</w:t>
          </w:r>
          <w:r w:rsidR="00FA703F" w:rsidRPr="00FA703F">
            <w:rPr>
              <w:sz w:val="18"/>
              <w:szCs w:val="18"/>
            </w:rPr>
            <w:t xml:space="preserve"> </w:t>
          </w:r>
          <w:r w:rsidR="00FA703F" w:rsidRPr="005E69BE">
            <w:rPr>
              <w:sz w:val="18"/>
              <w:szCs w:val="18"/>
              <w:lang w:val="en-GB"/>
            </w:rPr>
            <w:t>Diaz</w:t>
          </w:r>
          <w:r w:rsidR="00FA703F" w:rsidRPr="00FA703F">
            <w:rPr>
              <w:sz w:val="18"/>
              <w:szCs w:val="18"/>
            </w:rPr>
            <w:t xml:space="preserve"> </w:t>
          </w:r>
          <w:r w:rsidR="00FA703F" w:rsidRPr="005E69BE">
            <w:rPr>
              <w:sz w:val="18"/>
              <w:szCs w:val="18"/>
              <w:lang w:val="en-GB"/>
            </w:rPr>
            <w:t>Batanero</w:t>
          </w:r>
          <w:r w:rsidR="0091458C">
            <w:rPr>
              <w:sz w:val="18"/>
              <w:szCs w:val="18"/>
            </w:rPr>
            <w:t>)</w:t>
          </w:r>
          <w:r w:rsidR="0091458C" w:rsidRPr="00063850">
            <w:rPr>
              <w:sz w:val="18"/>
              <w:szCs w:val="18"/>
            </w:rPr>
            <w:t>,</w:t>
          </w:r>
          <w:r w:rsidR="0091458C">
            <w:rPr>
              <w:sz w:val="18"/>
              <w:szCs w:val="18"/>
            </w:rPr>
            <w:t xml:space="preserve"> </w:t>
          </w:r>
          <w:r w:rsidR="0091458C" w:rsidRPr="00063850">
            <w:rPr>
              <w:sz w:val="18"/>
              <w:szCs w:val="18"/>
            </w:rPr>
            <w:t xml:space="preserve"> руководител</w:t>
          </w:r>
          <w:r w:rsidR="00FA703F">
            <w:rPr>
              <w:sz w:val="18"/>
              <w:szCs w:val="18"/>
            </w:rPr>
            <w:t xml:space="preserve">ь </w:t>
          </w:r>
          <w:r w:rsidR="00E6492B">
            <w:rPr>
              <w:sz w:val="18"/>
              <w:szCs w:val="18"/>
            </w:rPr>
            <w:t>Отдела поддержки проектов</w:t>
          </w:r>
          <w:r w:rsidR="00E6492B">
            <w:rPr>
              <w:sz w:val="18"/>
              <w:szCs w:val="18"/>
            </w:rPr>
            <w:br/>
          </w:r>
          <w:r w:rsidR="0091458C" w:rsidRPr="00063850">
            <w:rPr>
              <w:sz w:val="18"/>
              <w:szCs w:val="18"/>
            </w:rPr>
            <w:t>Бюро развития электросвязи</w:t>
          </w:r>
        </w:p>
      </w:tc>
      <w:bookmarkStart w:id="27" w:name="OrgName"/>
      <w:bookmarkEnd w:id="27"/>
    </w:tr>
    <w:tr w:rsidR="0091458C" w:rsidRPr="001326A4" w14:paraId="45696956" w14:textId="77777777" w:rsidTr="0091458C">
      <w:tc>
        <w:tcPr>
          <w:tcW w:w="1418" w:type="dxa"/>
          <w:shd w:val="clear" w:color="auto" w:fill="auto"/>
        </w:tcPr>
        <w:p w14:paraId="0A2B0556" w14:textId="77777777" w:rsidR="0091458C" w:rsidRPr="004726D2" w:rsidRDefault="0091458C" w:rsidP="0091458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13" w:type="dxa"/>
          <w:shd w:val="clear" w:color="auto" w:fill="auto"/>
        </w:tcPr>
        <w:p w14:paraId="2F785955" w14:textId="77777777" w:rsidR="0091458C" w:rsidRPr="004726D2" w:rsidRDefault="0091458C" w:rsidP="0091458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726D2">
            <w:rPr>
              <w:sz w:val="18"/>
              <w:szCs w:val="18"/>
            </w:rPr>
            <w:t>Тел.</w:t>
          </w:r>
          <w:r w:rsidRPr="004726D2">
            <w:rPr>
              <w:sz w:val="18"/>
              <w:szCs w:val="18"/>
              <w:lang w:val="en-US"/>
            </w:rPr>
            <w:t>:</w:t>
          </w:r>
        </w:p>
      </w:tc>
      <w:tc>
        <w:tcPr>
          <w:tcW w:w="5008" w:type="dxa"/>
        </w:tcPr>
        <w:p w14:paraId="3707E859" w14:textId="408A68E3" w:rsidR="0091458C" w:rsidRPr="004726D2" w:rsidRDefault="00E6492B" w:rsidP="0091458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3B52F8">
            <w:rPr>
              <w:sz w:val="18"/>
              <w:szCs w:val="18"/>
            </w:rPr>
            <w:t>+41</w:t>
          </w:r>
          <w:r>
            <w:rPr>
              <w:sz w:val="18"/>
              <w:szCs w:val="18"/>
            </w:rPr>
            <w:t xml:space="preserve"> </w:t>
          </w:r>
          <w:r w:rsidRPr="003B52F8">
            <w:rPr>
              <w:sz w:val="18"/>
              <w:szCs w:val="18"/>
            </w:rPr>
            <w:t>22</w:t>
          </w:r>
          <w:r>
            <w:rPr>
              <w:sz w:val="18"/>
              <w:szCs w:val="18"/>
            </w:rPr>
            <w:t xml:space="preserve"> </w:t>
          </w:r>
          <w:r w:rsidRPr="003B52F8">
            <w:rPr>
              <w:sz w:val="18"/>
              <w:szCs w:val="18"/>
            </w:rPr>
            <w:t>730</w:t>
          </w:r>
          <w:r>
            <w:rPr>
              <w:sz w:val="18"/>
              <w:szCs w:val="18"/>
            </w:rPr>
            <w:t xml:space="preserve"> </w:t>
          </w:r>
          <w:r w:rsidRPr="003B52F8">
            <w:rPr>
              <w:sz w:val="18"/>
              <w:szCs w:val="18"/>
            </w:rPr>
            <w:t>5495</w:t>
          </w:r>
        </w:p>
      </w:tc>
      <w:bookmarkStart w:id="28" w:name="PhoneNo"/>
      <w:bookmarkEnd w:id="28"/>
    </w:tr>
    <w:tr w:rsidR="0091458C" w:rsidRPr="00CD7AC0" w14:paraId="55E56B81" w14:textId="77777777" w:rsidTr="0091458C">
      <w:tc>
        <w:tcPr>
          <w:tcW w:w="1418" w:type="dxa"/>
          <w:shd w:val="clear" w:color="auto" w:fill="auto"/>
        </w:tcPr>
        <w:p w14:paraId="77FADB42" w14:textId="77777777" w:rsidR="0091458C" w:rsidRPr="004726D2" w:rsidRDefault="0091458C" w:rsidP="0091458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13" w:type="dxa"/>
          <w:shd w:val="clear" w:color="auto" w:fill="auto"/>
        </w:tcPr>
        <w:p w14:paraId="6DBA7D11" w14:textId="77777777" w:rsidR="0091458C" w:rsidRPr="004726D2" w:rsidRDefault="0091458C" w:rsidP="0091458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726D2">
            <w:rPr>
              <w:sz w:val="18"/>
              <w:szCs w:val="18"/>
            </w:rPr>
            <w:t>Эл.</w:t>
          </w:r>
          <w:r w:rsidRPr="004726D2">
            <w:rPr>
              <w:sz w:val="18"/>
              <w:szCs w:val="18"/>
              <w:lang w:val="en-US"/>
            </w:rPr>
            <w:t> </w:t>
          </w:r>
          <w:r w:rsidRPr="004726D2">
            <w:rPr>
              <w:sz w:val="18"/>
              <w:szCs w:val="18"/>
            </w:rPr>
            <w:t>почта</w:t>
          </w:r>
          <w:r w:rsidRPr="004726D2">
            <w:rPr>
              <w:sz w:val="18"/>
              <w:szCs w:val="18"/>
              <w:lang w:val="en-US"/>
            </w:rPr>
            <w:t>:</w:t>
          </w:r>
        </w:p>
      </w:tc>
      <w:tc>
        <w:tcPr>
          <w:tcW w:w="5008" w:type="dxa"/>
        </w:tcPr>
        <w:p w14:paraId="265CEC63" w14:textId="360DD0FC" w:rsidR="0091458C" w:rsidRPr="004726D2" w:rsidRDefault="00052BAB" w:rsidP="0091458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E6492B" w:rsidRPr="001C3A8B">
              <w:rPr>
                <w:rStyle w:val="Hyperlink"/>
                <w:sz w:val="18"/>
              </w:rPr>
              <w:t>jose.batanero@itu.int</w:t>
            </w:r>
          </w:hyperlink>
        </w:p>
      </w:tc>
      <w:bookmarkStart w:id="29" w:name="Email"/>
      <w:bookmarkEnd w:id="29"/>
    </w:tr>
  </w:tbl>
  <w:p w14:paraId="1A6183A0" w14:textId="77777777" w:rsidR="00F320E9" w:rsidRPr="00F320E9" w:rsidRDefault="00F320E9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8"/>
        <w:szCs w:val="18"/>
      </w:rPr>
    </w:pPr>
  </w:p>
  <w:p w14:paraId="2A035C81" w14:textId="77777777" w:rsidR="00B52E6E" w:rsidRPr="00F320E9" w:rsidRDefault="00052BAB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2" w:history="1">
      <w:r w:rsidR="004143D5" w:rsidRPr="00F320E9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8727A" w14:textId="77777777" w:rsidR="008F572A" w:rsidRDefault="008F572A" w:rsidP="00E54FD2">
      <w:pPr>
        <w:spacing w:before="0"/>
      </w:pPr>
      <w:r>
        <w:separator/>
      </w:r>
    </w:p>
  </w:footnote>
  <w:footnote w:type="continuationSeparator" w:id="0">
    <w:p w14:paraId="67A39232" w14:textId="77777777" w:rsidR="008F572A" w:rsidRDefault="008F572A" w:rsidP="00E54FD2">
      <w:pPr>
        <w:spacing w:before="0"/>
      </w:pPr>
      <w:r>
        <w:continuationSeparator/>
      </w:r>
    </w:p>
  </w:footnote>
  <w:footnote w:id="1">
    <w:p w14:paraId="241E44ED" w14:textId="77777777" w:rsidR="009E356B" w:rsidRPr="001B48BA" w:rsidRDefault="009E356B" w:rsidP="004C1B3A">
      <w:pPr>
        <w:pStyle w:val="FootnoteText"/>
        <w:tabs>
          <w:tab w:val="clear" w:pos="256"/>
        </w:tabs>
        <w:rPr>
          <w:szCs w:val="20"/>
        </w:rPr>
      </w:pPr>
      <w:r w:rsidRPr="009E356B">
        <w:rPr>
          <w:rStyle w:val="FootnoteReference"/>
        </w:rPr>
        <w:footnoteRef/>
      </w:r>
      <w:r w:rsidRPr="001B48BA">
        <w:rPr>
          <w:szCs w:val="20"/>
          <w:shd w:val="clear" w:color="auto" w:fill="FFFFFF" w:themeFill="background1"/>
        </w:rPr>
        <w:tab/>
      </w:r>
      <w:r w:rsidRPr="004C1B3A">
        <w:t>Обзор</w:t>
      </w:r>
      <w:r w:rsidRPr="001B48BA">
        <w:rPr>
          <w:szCs w:val="20"/>
          <w:shd w:val="clear" w:color="auto" w:fill="FFFFFF" w:themeFill="background1"/>
        </w:rPr>
        <w:t xml:space="preserve"> портфеля проектов МСЭ </w:t>
      </w:r>
      <w:r>
        <w:rPr>
          <w:szCs w:val="20"/>
          <w:shd w:val="clear" w:color="auto" w:fill="FFFFFF" w:themeFill="background1"/>
        </w:rPr>
        <w:t>доступен</w:t>
      </w:r>
      <w:r w:rsidRPr="001B48BA">
        <w:rPr>
          <w:szCs w:val="20"/>
          <w:shd w:val="clear" w:color="auto" w:fill="FFFFFF" w:themeFill="background1"/>
        </w:rPr>
        <w:t xml:space="preserve"> по адресу: </w:t>
      </w:r>
      <w:hyperlink r:id="rId1" w:history="1">
        <w:r w:rsidRPr="001B48BA">
          <w:rPr>
            <w:rStyle w:val="Hyperlink"/>
            <w:szCs w:val="20"/>
            <w:shd w:val="clear" w:color="auto" w:fill="FFFFFF" w:themeFill="background1"/>
            <w:lang w:val="en-GB"/>
          </w:rPr>
          <w:t>www</w:t>
        </w:r>
        <w:r w:rsidRPr="001B48BA">
          <w:rPr>
            <w:rStyle w:val="Hyperlink"/>
            <w:szCs w:val="20"/>
            <w:shd w:val="clear" w:color="auto" w:fill="FFFFFF" w:themeFill="background1"/>
          </w:rPr>
          <w:t>.</w:t>
        </w:r>
        <w:r w:rsidRPr="001B48BA">
          <w:rPr>
            <w:rStyle w:val="Hyperlink"/>
            <w:szCs w:val="20"/>
            <w:shd w:val="clear" w:color="auto" w:fill="FFFFFF" w:themeFill="background1"/>
            <w:lang w:val="en-GB"/>
          </w:rPr>
          <w:t>itu</w:t>
        </w:r>
        <w:r w:rsidRPr="001B48BA">
          <w:rPr>
            <w:rStyle w:val="Hyperlink"/>
            <w:szCs w:val="20"/>
            <w:shd w:val="clear" w:color="auto" w:fill="FFFFFF" w:themeFill="background1"/>
          </w:rPr>
          <w:t>.</w:t>
        </w:r>
        <w:r w:rsidRPr="001B48BA">
          <w:rPr>
            <w:rStyle w:val="Hyperlink"/>
            <w:szCs w:val="20"/>
            <w:shd w:val="clear" w:color="auto" w:fill="FFFFFF" w:themeFill="background1"/>
            <w:lang w:val="en-GB"/>
          </w:rPr>
          <w:t>int</w:t>
        </w:r>
        <w:r w:rsidRPr="001B48BA">
          <w:rPr>
            <w:rStyle w:val="Hyperlink"/>
            <w:szCs w:val="20"/>
            <w:shd w:val="clear" w:color="auto" w:fill="FFFFFF" w:themeFill="background1"/>
          </w:rPr>
          <w:t>/</w:t>
        </w:r>
        <w:r w:rsidRPr="001B48BA">
          <w:rPr>
            <w:rStyle w:val="Hyperlink"/>
            <w:szCs w:val="20"/>
            <w:shd w:val="clear" w:color="auto" w:fill="FFFFFF" w:themeFill="background1"/>
            <w:lang w:val="en-GB"/>
          </w:rPr>
          <w:t>en</w:t>
        </w:r>
        <w:r w:rsidRPr="001B48BA">
          <w:rPr>
            <w:rStyle w:val="Hyperlink"/>
            <w:szCs w:val="20"/>
            <w:shd w:val="clear" w:color="auto" w:fill="FFFFFF" w:themeFill="background1"/>
          </w:rPr>
          <w:t>/</w:t>
        </w:r>
        <w:r w:rsidRPr="001B48BA">
          <w:rPr>
            <w:rStyle w:val="Hyperlink"/>
            <w:szCs w:val="20"/>
            <w:shd w:val="clear" w:color="auto" w:fill="FFFFFF" w:themeFill="background1"/>
            <w:lang w:val="en-GB"/>
          </w:rPr>
          <w:t>ITU</w:t>
        </w:r>
        <w:r w:rsidRPr="001B48BA">
          <w:rPr>
            <w:rStyle w:val="Hyperlink"/>
            <w:szCs w:val="20"/>
            <w:shd w:val="clear" w:color="auto" w:fill="FFFFFF" w:themeFill="background1"/>
          </w:rPr>
          <w:t>-</w:t>
        </w:r>
        <w:r w:rsidRPr="001B48BA">
          <w:rPr>
            <w:rStyle w:val="Hyperlink"/>
            <w:szCs w:val="20"/>
            <w:shd w:val="clear" w:color="auto" w:fill="FFFFFF" w:themeFill="background1"/>
            <w:lang w:val="en-GB"/>
          </w:rPr>
          <w:t>D</w:t>
        </w:r>
        <w:r w:rsidRPr="001B48BA">
          <w:rPr>
            <w:rStyle w:val="Hyperlink"/>
            <w:szCs w:val="20"/>
            <w:shd w:val="clear" w:color="auto" w:fill="FFFFFF" w:themeFill="background1"/>
          </w:rPr>
          <w:t>/</w:t>
        </w:r>
        <w:r w:rsidRPr="001B48BA">
          <w:rPr>
            <w:rStyle w:val="Hyperlink"/>
            <w:szCs w:val="20"/>
            <w:shd w:val="clear" w:color="auto" w:fill="FFFFFF" w:themeFill="background1"/>
            <w:lang w:val="en-GB"/>
          </w:rPr>
          <w:t>Projects</w:t>
        </w:r>
        <w:r w:rsidRPr="001B48BA">
          <w:rPr>
            <w:rStyle w:val="Hyperlink"/>
            <w:szCs w:val="20"/>
            <w:shd w:val="clear" w:color="auto" w:fill="FFFFFF" w:themeFill="background1"/>
          </w:rPr>
          <w:t>/</w:t>
        </w:r>
      </w:hyperlink>
      <w:r w:rsidRPr="001B48BA">
        <w:rPr>
          <w:rStyle w:val="Hyperlink"/>
          <w:szCs w:val="20"/>
          <w:u w:val="none"/>
        </w:rPr>
        <w:t>.</w:t>
      </w:r>
    </w:p>
  </w:footnote>
  <w:footnote w:id="2">
    <w:p w14:paraId="28850451" w14:textId="5C939946" w:rsidR="009E356B" w:rsidRPr="004C1B3A" w:rsidRDefault="009E356B" w:rsidP="004C1B3A">
      <w:pPr>
        <w:pStyle w:val="FootnoteText"/>
        <w:tabs>
          <w:tab w:val="clear" w:pos="256"/>
        </w:tabs>
      </w:pPr>
      <w:r w:rsidRPr="009E356B">
        <w:rPr>
          <w:rStyle w:val="FootnoteReference"/>
        </w:rPr>
        <w:footnoteRef/>
      </w:r>
      <w:r w:rsidRPr="004C1B3A">
        <w:rPr>
          <w:i/>
          <w:iCs/>
        </w:rPr>
        <w:tab/>
      </w:r>
      <w:r w:rsidR="004C1B3A" w:rsidRPr="004C1B3A">
        <w:t>Цифры, представленные в отчете, соответствуют финансовому балансу на момент закрытия счетов в 2022</w:t>
      </w:r>
      <w:r w:rsidR="00335F3F">
        <w:t> </w:t>
      </w:r>
      <w:r w:rsidR="004C1B3A" w:rsidRPr="004C1B3A">
        <w:t>году (баланс на 31 декабря 2022 г</w:t>
      </w:r>
      <w:r w:rsidR="004C1B3A">
        <w:t>.</w:t>
      </w:r>
      <w:r w:rsidR="004C1B3A" w:rsidRPr="004C1B3A">
        <w:t>).</w:t>
      </w:r>
    </w:p>
  </w:footnote>
  <w:footnote w:id="3">
    <w:p w14:paraId="10EF89C9" w14:textId="028996DD" w:rsidR="002B2F7A" w:rsidRPr="009E356B" w:rsidRDefault="002B2F7A" w:rsidP="004C1B3A">
      <w:pPr>
        <w:pStyle w:val="FootnoteText"/>
        <w:tabs>
          <w:tab w:val="clear" w:pos="256"/>
        </w:tabs>
        <w:rPr>
          <w:szCs w:val="20"/>
        </w:rPr>
      </w:pPr>
      <w:r w:rsidRPr="009E356B">
        <w:rPr>
          <w:rStyle w:val="FootnoteReference"/>
        </w:rPr>
        <w:footnoteRef/>
      </w:r>
      <w:r w:rsidR="007E4BE8">
        <w:rPr>
          <w:i/>
          <w:iCs/>
          <w:szCs w:val="20"/>
        </w:rPr>
        <w:tab/>
      </w:r>
      <w:r w:rsidR="007E4BE8" w:rsidRPr="004C1B3A">
        <w:t>Дополнительная</w:t>
      </w:r>
      <w:r w:rsidR="007E4BE8" w:rsidRPr="009E356B">
        <w:rPr>
          <w:szCs w:val="20"/>
        </w:rPr>
        <w:t xml:space="preserve"> информация о ФРИКТ содержится в Документе </w:t>
      </w:r>
      <w:r w:rsidRPr="009E356B">
        <w:rPr>
          <w:szCs w:val="20"/>
          <w:lang w:val="en-GB"/>
        </w:rPr>
        <w:t>C</w:t>
      </w:r>
      <w:r w:rsidRPr="009E356B">
        <w:rPr>
          <w:szCs w:val="20"/>
        </w:rPr>
        <w:t xml:space="preserve">22/034, </w:t>
      </w:r>
      <w:r w:rsidR="007E4BE8" w:rsidRPr="009E356B">
        <w:rPr>
          <w:szCs w:val="20"/>
        </w:rPr>
        <w:t>который доступен по адресу:</w:t>
      </w:r>
      <w:r w:rsidRPr="009E356B">
        <w:rPr>
          <w:szCs w:val="20"/>
        </w:rPr>
        <w:t xml:space="preserve"> </w:t>
      </w:r>
      <w:hyperlink r:id="rId2" w:history="1">
        <w:r w:rsidRPr="009E356B">
          <w:rPr>
            <w:rStyle w:val="Hyperlink"/>
            <w:szCs w:val="20"/>
            <w:lang w:val="en-GB"/>
          </w:rPr>
          <w:t>https</w:t>
        </w:r>
        <w:r w:rsidRPr="009E356B">
          <w:rPr>
            <w:rStyle w:val="Hyperlink"/>
            <w:szCs w:val="20"/>
          </w:rPr>
          <w:t>://</w:t>
        </w:r>
        <w:r w:rsidRPr="009E356B">
          <w:rPr>
            <w:rStyle w:val="Hyperlink"/>
            <w:szCs w:val="20"/>
            <w:lang w:val="en-GB"/>
          </w:rPr>
          <w:t>www</w:t>
        </w:r>
        <w:r w:rsidRPr="009E356B">
          <w:rPr>
            <w:rStyle w:val="Hyperlink"/>
            <w:szCs w:val="20"/>
          </w:rPr>
          <w:t>.</w:t>
        </w:r>
        <w:r w:rsidRPr="009E356B">
          <w:rPr>
            <w:rStyle w:val="Hyperlink"/>
            <w:szCs w:val="20"/>
            <w:lang w:val="en-GB"/>
          </w:rPr>
          <w:t>itu</w:t>
        </w:r>
        <w:r w:rsidRPr="009E356B">
          <w:rPr>
            <w:rStyle w:val="Hyperlink"/>
            <w:szCs w:val="20"/>
          </w:rPr>
          <w:t>.</w:t>
        </w:r>
        <w:r w:rsidRPr="009E356B">
          <w:rPr>
            <w:rStyle w:val="Hyperlink"/>
            <w:szCs w:val="20"/>
            <w:lang w:val="en-GB"/>
          </w:rPr>
          <w:t>int</w:t>
        </w:r>
        <w:r w:rsidRPr="009E356B">
          <w:rPr>
            <w:rStyle w:val="Hyperlink"/>
            <w:szCs w:val="20"/>
          </w:rPr>
          <w:t>/</w:t>
        </w:r>
        <w:r w:rsidRPr="009E356B">
          <w:rPr>
            <w:rStyle w:val="Hyperlink"/>
            <w:szCs w:val="20"/>
            <w:lang w:val="en-GB"/>
          </w:rPr>
          <w:t>md</w:t>
        </w:r>
        <w:r w:rsidRPr="009E356B">
          <w:rPr>
            <w:rStyle w:val="Hyperlink"/>
            <w:szCs w:val="20"/>
          </w:rPr>
          <w:t>/</w:t>
        </w:r>
        <w:r w:rsidRPr="009E356B">
          <w:rPr>
            <w:rStyle w:val="Hyperlink"/>
            <w:szCs w:val="20"/>
            <w:lang w:val="en-GB"/>
          </w:rPr>
          <w:t>S</w:t>
        </w:r>
        <w:r w:rsidRPr="009E356B">
          <w:rPr>
            <w:rStyle w:val="Hyperlink"/>
            <w:szCs w:val="20"/>
          </w:rPr>
          <w:t>22-</w:t>
        </w:r>
        <w:r w:rsidRPr="009E356B">
          <w:rPr>
            <w:rStyle w:val="Hyperlink"/>
            <w:szCs w:val="20"/>
            <w:lang w:val="en-GB"/>
          </w:rPr>
          <w:t>CL</w:t>
        </w:r>
        <w:r w:rsidRPr="009E356B">
          <w:rPr>
            <w:rStyle w:val="Hyperlink"/>
            <w:szCs w:val="20"/>
          </w:rPr>
          <w:t>-</w:t>
        </w:r>
        <w:r w:rsidRPr="009E356B">
          <w:rPr>
            <w:rStyle w:val="Hyperlink"/>
            <w:szCs w:val="20"/>
            <w:lang w:val="en-GB"/>
          </w:rPr>
          <w:t>C</w:t>
        </w:r>
        <w:r w:rsidRPr="009E356B">
          <w:rPr>
            <w:rStyle w:val="Hyperlink"/>
            <w:szCs w:val="20"/>
          </w:rPr>
          <w:t>-0034/</w:t>
        </w:r>
        <w:r w:rsidRPr="009E356B">
          <w:rPr>
            <w:rStyle w:val="Hyperlink"/>
            <w:szCs w:val="20"/>
            <w:lang w:val="en-GB"/>
          </w:rPr>
          <w:t>en</w:t>
        </w:r>
      </w:hyperlink>
      <w:r w:rsidR="009E356B" w:rsidRPr="009E356B">
        <w:rPr>
          <w:rFonts w:cstheme="minorHAnsi"/>
          <w:szCs w:val="20"/>
        </w:rPr>
        <w:t>.</w:t>
      </w:r>
    </w:p>
  </w:footnote>
  <w:footnote w:id="4">
    <w:p w14:paraId="5017B3C3" w14:textId="4D7ED20B" w:rsidR="002A264D" w:rsidRPr="009E356B" w:rsidRDefault="002A264D" w:rsidP="004C1B3A">
      <w:pPr>
        <w:pStyle w:val="FootnoteText"/>
        <w:tabs>
          <w:tab w:val="clear" w:pos="256"/>
        </w:tabs>
        <w:rPr>
          <w:rFonts w:cstheme="minorHAnsi"/>
          <w:szCs w:val="20"/>
        </w:rPr>
      </w:pPr>
      <w:r w:rsidRPr="009E356B">
        <w:rPr>
          <w:rStyle w:val="FootnoteReference"/>
        </w:rPr>
        <w:footnoteRef/>
      </w:r>
      <w:r w:rsidRPr="009E356B">
        <w:rPr>
          <w:rFonts w:cstheme="minorHAnsi"/>
          <w:szCs w:val="20"/>
        </w:rPr>
        <w:tab/>
      </w:r>
      <w:r w:rsidRPr="004C1B3A">
        <w:t>На</w:t>
      </w:r>
      <w:r w:rsidRPr="009E356B">
        <w:rPr>
          <w:rFonts w:cstheme="minorHAnsi"/>
          <w:szCs w:val="20"/>
        </w:rPr>
        <w:t xml:space="preserve"> сессии Совета МСЭ 2018 года было выделено 5 млн. швейцарских франков на разработку проектов, связанных с осуществлением региональных инициатив ВКРЭ-17.</w:t>
      </w:r>
    </w:p>
  </w:footnote>
  <w:footnote w:id="5">
    <w:p w14:paraId="0CCB1D0C" w14:textId="3FD6E080" w:rsidR="008540F8" w:rsidRPr="004C1B3A" w:rsidRDefault="008540F8" w:rsidP="004C1B3A">
      <w:pPr>
        <w:pStyle w:val="FootnoteText"/>
        <w:tabs>
          <w:tab w:val="clear" w:pos="256"/>
        </w:tabs>
        <w:rPr>
          <w:szCs w:val="20"/>
        </w:rPr>
      </w:pPr>
      <w:r w:rsidRPr="009E356B">
        <w:rPr>
          <w:rStyle w:val="FootnoteReference"/>
        </w:rPr>
        <w:footnoteRef/>
      </w:r>
      <w:r w:rsidRPr="007E4BE8">
        <w:rPr>
          <w:szCs w:val="20"/>
        </w:rPr>
        <w:tab/>
      </w:r>
      <w:r w:rsidRPr="009E356B">
        <w:rPr>
          <w:szCs w:val="20"/>
        </w:rPr>
        <w:t xml:space="preserve">Дополнительная информация об использовании средств, выделенных по решению Совета на поддержку </w:t>
      </w:r>
      <w:r w:rsidRPr="004C1B3A">
        <w:t>региональных</w:t>
      </w:r>
      <w:r w:rsidRPr="009E356B">
        <w:rPr>
          <w:szCs w:val="20"/>
        </w:rPr>
        <w:t xml:space="preserve"> инициатив ВКРЭ-17, содержится в </w:t>
      </w:r>
      <w:r w:rsidR="00335F3F">
        <w:rPr>
          <w:szCs w:val="20"/>
        </w:rPr>
        <w:t xml:space="preserve">Приложении 1 к </w:t>
      </w:r>
      <w:r w:rsidRPr="009E356B">
        <w:rPr>
          <w:szCs w:val="20"/>
        </w:rPr>
        <w:t>Документ</w:t>
      </w:r>
      <w:r w:rsidR="00335F3F">
        <w:rPr>
          <w:szCs w:val="20"/>
        </w:rPr>
        <w:t>у</w:t>
      </w:r>
      <w:r w:rsidRPr="009E356B">
        <w:rPr>
          <w:rFonts w:cstheme="minorHAnsi"/>
          <w:szCs w:val="20"/>
        </w:rPr>
        <w:t> </w:t>
      </w:r>
      <w:r w:rsidRPr="009E356B">
        <w:rPr>
          <w:rFonts w:cstheme="minorHAnsi"/>
          <w:szCs w:val="20"/>
          <w:lang w:val="en-GB"/>
        </w:rPr>
        <w:t>TDAG</w:t>
      </w:r>
      <w:r w:rsidRPr="009E356B">
        <w:rPr>
          <w:rFonts w:cstheme="minorHAnsi"/>
          <w:szCs w:val="20"/>
        </w:rPr>
        <w:t>-23/</w:t>
      </w:r>
      <w:r w:rsidR="00335F3F">
        <w:rPr>
          <w:rFonts w:cstheme="minorHAnsi"/>
          <w:szCs w:val="20"/>
        </w:rPr>
        <w:t>25</w:t>
      </w:r>
      <w:r w:rsidR="004C1B3A">
        <w:rPr>
          <w:rFonts w:cstheme="minorHAnsi"/>
          <w:szCs w:val="20"/>
        </w:rPr>
        <w:t>.</w:t>
      </w:r>
    </w:p>
  </w:footnote>
  <w:footnote w:id="6">
    <w:p w14:paraId="1C764CA6" w14:textId="394486F3" w:rsidR="00295C66" w:rsidRPr="009E356B" w:rsidRDefault="00295C66" w:rsidP="004C1B3A">
      <w:pPr>
        <w:pStyle w:val="FootnoteText"/>
        <w:tabs>
          <w:tab w:val="clear" w:pos="256"/>
        </w:tabs>
      </w:pPr>
      <w:r w:rsidRPr="00C95A75">
        <w:rPr>
          <w:rStyle w:val="FootnoteReference"/>
          <w:szCs w:val="18"/>
        </w:rPr>
        <w:footnoteRef/>
      </w:r>
      <w:bookmarkStart w:id="26" w:name="lt_pId160"/>
      <w:r>
        <w:tab/>
      </w:r>
      <w:r w:rsidRPr="004C1B3A">
        <w:t>Дополнительная</w:t>
      </w:r>
      <w:r w:rsidRPr="009E356B">
        <w:rPr>
          <w:shd w:val="clear" w:color="auto" w:fill="FFFFFF" w:themeFill="background1"/>
        </w:rPr>
        <w:t xml:space="preserve"> информация о партнерствах МСЭ-</w:t>
      </w:r>
      <w:r w:rsidRPr="009E356B">
        <w:rPr>
          <w:shd w:val="clear" w:color="auto" w:fill="FFFFFF" w:themeFill="background1"/>
          <w:lang w:val="en-GB"/>
        </w:rPr>
        <w:t>D</w:t>
      </w:r>
      <w:r w:rsidRPr="009E356B">
        <w:rPr>
          <w:shd w:val="clear" w:color="auto" w:fill="FFFFFF" w:themeFill="background1"/>
        </w:rPr>
        <w:t xml:space="preserve"> и </w:t>
      </w:r>
      <w:r w:rsidR="00F44E64" w:rsidRPr="009E356B">
        <w:rPr>
          <w:shd w:val="clear" w:color="auto" w:fill="FFFFFF" w:themeFill="background1"/>
        </w:rPr>
        <w:t>мобилизации</w:t>
      </w:r>
      <w:r w:rsidRPr="009E356B">
        <w:rPr>
          <w:shd w:val="clear" w:color="auto" w:fill="FFFFFF" w:themeFill="background1"/>
        </w:rPr>
        <w:t xml:space="preserve"> ресурсов содержится в Документах </w:t>
      </w:r>
      <w:r w:rsidR="00F44E64" w:rsidRPr="009E356B">
        <w:rPr>
          <w:rFonts w:cstheme="minorHAnsi"/>
        </w:rPr>
        <w:t xml:space="preserve">TDAG-23/4 </w:t>
      </w:r>
      <w:r w:rsidRPr="009E356B">
        <w:rPr>
          <w:shd w:val="clear" w:color="auto" w:fill="FFFFFF" w:themeFill="background1"/>
        </w:rPr>
        <w:t xml:space="preserve">и </w:t>
      </w:r>
      <w:r w:rsidRPr="009E356B">
        <w:rPr>
          <w:shd w:val="clear" w:color="auto" w:fill="FFFFFF" w:themeFill="background1"/>
          <w:lang w:val="en-GB"/>
        </w:rPr>
        <w:t>INF</w:t>
      </w:r>
      <w:r w:rsidRPr="009E356B">
        <w:rPr>
          <w:shd w:val="clear" w:color="auto" w:fill="FFFFFF" w:themeFill="background1"/>
        </w:rPr>
        <w:t>/</w:t>
      </w:r>
      <w:r w:rsidR="00F44E64" w:rsidRPr="009E356B">
        <w:rPr>
          <w:shd w:val="clear" w:color="auto" w:fill="FFFFFF" w:themeFill="background1"/>
        </w:rPr>
        <w:t>1</w:t>
      </w:r>
      <w:r w:rsidRPr="009E356B">
        <w:rPr>
          <w:shd w:val="clear" w:color="auto" w:fill="FFFFFF" w:themeFill="background1"/>
        </w:rPr>
        <w:t xml:space="preserve">, а также </w:t>
      </w:r>
      <w:r w:rsidR="00F44E64" w:rsidRPr="009E356B">
        <w:rPr>
          <w:rFonts w:cstheme="minorHAnsi"/>
        </w:rPr>
        <w:t xml:space="preserve">TDAG-23/8 </w:t>
      </w:r>
      <w:r w:rsidRPr="009E356B">
        <w:rPr>
          <w:shd w:val="clear" w:color="auto" w:fill="FFFFFF" w:themeFill="background1"/>
        </w:rPr>
        <w:t>о Членах Сектора, Ассоциированных членах и Академических организациях – Членах МСЭ-</w:t>
      </w:r>
      <w:r w:rsidRPr="009E356B">
        <w:rPr>
          <w:shd w:val="clear" w:color="auto" w:fill="FFFFFF" w:themeFill="background1"/>
          <w:lang w:val="en-GB"/>
        </w:rPr>
        <w:t>D</w:t>
      </w:r>
      <w:bookmarkEnd w:id="26"/>
      <w:r w:rsidRPr="009E356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B291" w14:textId="2DC3293D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982196">
      <w:t>3</w:t>
    </w:r>
    <w:r w:rsidR="00F105F5">
      <w:rPr>
        <w:lang w:val="en-GB"/>
      </w:rPr>
      <w:t>/</w:t>
    </w:r>
    <w:r w:rsidR="00702E30">
      <w:t>7</w:t>
    </w:r>
    <w:r w:rsidR="00E6492B">
      <w:rPr>
        <w:lang w:val="en-US"/>
      </w:rPr>
      <w:t>(Rev.1)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5E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4F5E83"/>
    <w:multiLevelType w:val="hybridMultilevel"/>
    <w:tmpl w:val="FEFA3F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403960"/>
    <w:multiLevelType w:val="hybridMultilevel"/>
    <w:tmpl w:val="A45273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2F4D49"/>
    <w:multiLevelType w:val="hybridMultilevel"/>
    <w:tmpl w:val="8A44F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CB327A"/>
    <w:multiLevelType w:val="hybridMultilevel"/>
    <w:tmpl w:val="34E0D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7B6364"/>
    <w:multiLevelType w:val="hybridMultilevel"/>
    <w:tmpl w:val="70C00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057924"/>
    <w:multiLevelType w:val="hybridMultilevel"/>
    <w:tmpl w:val="B3CAB86E"/>
    <w:lvl w:ilvl="0" w:tplc="D8AA70EE">
      <w:start w:val="1"/>
      <w:numFmt w:val="bullet"/>
      <w:lvlText w:val=""/>
      <w:lvlJc w:val="left"/>
      <w:pPr>
        <w:ind w:left="-1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</w:abstractNum>
  <w:abstractNum w:abstractNumId="7" w15:restartNumberingAfterBreak="0">
    <w:nsid w:val="763E7A4F"/>
    <w:multiLevelType w:val="hybridMultilevel"/>
    <w:tmpl w:val="EE945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9380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90613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461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79244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08658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4354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401979">
    <w:abstractNumId w:val="6"/>
  </w:num>
  <w:num w:numId="8" w16cid:durableId="18112873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1788A"/>
    <w:rsid w:val="000253BC"/>
    <w:rsid w:val="00035876"/>
    <w:rsid w:val="00052BAB"/>
    <w:rsid w:val="00080367"/>
    <w:rsid w:val="000C09B0"/>
    <w:rsid w:val="000E1722"/>
    <w:rsid w:val="00107E03"/>
    <w:rsid w:val="00110DD9"/>
    <w:rsid w:val="00111662"/>
    <w:rsid w:val="00113125"/>
    <w:rsid w:val="00114848"/>
    <w:rsid w:val="00134D3C"/>
    <w:rsid w:val="00135135"/>
    <w:rsid w:val="00137253"/>
    <w:rsid w:val="001425CC"/>
    <w:rsid w:val="001530FB"/>
    <w:rsid w:val="00184B89"/>
    <w:rsid w:val="00191479"/>
    <w:rsid w:val="00197305"/>
    <w:rsid w:val="00197E67"/>
    <w:rsid w:val="001A4C4F"/>
    <w:rsid w:val="001B48BA"/>
    <w:rsid w:val="001C6DD3"/>
    <w:rsid w:val="001D6CF3"/>
    <w:rsid w:val="001E3E78"/>
    <w:rsid w:val="001E7D05"/>
    <w:rsid w:val="00202D0A"/>
    <w:rsid w:val="00211A6F"/>
    <w:rsid w:val="002219FC"/>
    <w:rsid w:val="002236F8"/>
    <w:rsid w:val="00233652"/>
    <w:rsid w:val="00233B04"/>
    <w:rsid w:val="002363C5"/>
    <w:rsid w:val="00240F57"/>
    <w:rsid w:val="002502FE"/>
    <w:rsid w:val="00251664"/>
    <w:rsid w:val="00257C2C"/>
    <w:rsid w:val="0026477D"/>
    <w:rsid w:val="002703B1"/>
    <w:rsid w:val="00270876"/>
    <w:rsid w:val="002717CC"/>
    <w:rsid w:val="002931FA"/>
    <w:rsid w:val="00295C66"/>
    <w:rsid w:val="002A264D"/>
    <w:rsid w:val="002A6F8B"/>
    <w:rsid w:val="002B2F7A"/>
    <w:rsid w:val="002D48F4"/>
    <w:rsid w:val="002F3AF9"/>
    <w:rsid w:val="00316454"/>
    <w:rsid w:val="0032341B"/>
    <w:rsid w:val="00335F3F"/>
    <w:rsid w:val="00366978"/>
    <w:rsid w:val="00372B27"/>
    <w:rsid w:val="00380B15"/>
    <w:rsid w:val="0038337C"/>
    <w:rsid w:val="003A1E5A"/>
    <w:rsid w:val="003A294B"/>
    <w:rsid w:val="003C01D0"/>
    <w:rsid w:val="003C6E83"/>
    <w:rsid w:val="003E1E63"/>
    <w:rsid w:val="003E6E87"/>
    <w:rsid w:val="0040328D"/>
    <w:rsid w:val="00413631"/>
    <w:rsid w:val="004143D5"/>
    <w:rsid w:val="00422053"/>
    <w:rsid w:val="00443649"/>
    <w:rsid w:val="00445B73"/>
    <w:rsid w:val="004713B8"/>
    <w:rsid w:val="00480D95"/>
    <w:rsid w:val="00492670"/>
    <w:rsid w:val="004948F5"/>
    <w:rsid w:val="004C1B3A"/>
    <w:rsid w:val="004C3872"/>
    <w:rsid w:val="004D0E96"/>
    <w:rsid w:val="004E4490"/>
    <w:rsid w:val="004F6D7C"/>
    <w:rsid w:val="004F73EF"/>
    <w:rsid w:val="005256B7"/>
    <w:rsid w:val="00525DEF"/>
    <w:rsid w:val="0056204A"/>
    <w:rsid w:val="0057290C"/>
    <w:rsid w:val="005742D0"/>
    <w:rsid w:val="005773D4"/>
    <w:rsid w:val="005903C9"/>
    <w:rsid w:val="005B75A9"/>
    <w:rsid w:val="005C0551"/>
    <w:rsid w:val="005C16FE"/>
    <w:rsid w:val="005C357E"/>
    <w:rsid w:val="005D459B"/>
    <w:rsid w:val="005D4DF3"/>
    <w:rsid w:val="005E006A"/>
    <w:rsid w:val="005F5186"/>
    <w:rsid w:val="00631202"/>
    <w:rsid w:val="006333B0"/>
    <w:rsid w:val="0064160C"/>
    <w:rsid w:val="00651BAB"/>
    <w:rsid w:val="00652B6D"/>
    <w:rsid w:val="00655923"/>
    <w:rsid w:val="00667371"/>
    <w:rsid w:val="00675A3C"/>
    <w:rsid w:val="00686B28"/>
    <w:rsid w:val="00694764"/>
    <w:rsid w:val="006F5E91"/>
    <w:rsid w:val="00701E31"/>
    <w:rsid w:val="00702E30"/>
    <w:rsid w:val="0072623A"/>
    <w:rsid w:val="00786988"/>
    <w:rsid w:val="00791C64"/>
    <w:rsid w:val="007C7C48"/>
    <w:rsid w:val="007E4BE8"/>
    <w:rsid w:val="007E6B3A"/>
    <w:rsid w:val="007F0442"/>
    <w:rsid w:val="007F780F"/>
    <w:rsid w:val="00806126"/>
    <w:rsid w:val="008112E9"/>
    <w:rsid w:val="00853733"/>
    <w:rsid w:val="008540F8"/>
    <w:rsid w:val="00855285"/>
    <w:rsid w:val="008566BB"/>
    <w:rsid w:val="00875722"/>
    <w:rsid w:val="008777AD"/>
    <w:rsid w:val="00886D5C"/>
    <w:rsid w:val="0089092F"/>
    <w:rsid w:val="008A5662"/>
    <w:rsid w:val="008C576E"/>
    <w:rsid w:val="008F0988"/>
    <w:rsid w:val="008F572A"/>
    <w:rsid w:val="008F7292"/>
    <w:rsid w:val="00900AD0"/>
    <w:rsid w:val="009135B4"/>
    <w:rsid w:val="0091458C"/>
    <w:rsid w:val="00914865"/>
    <w:rsid w:val="00916B10"/>
    <w:rsid w:val="00933E0E"/>
    <w:rsid w:val="009549E6"/>
    <w:rsid w:val="00965DE3"/>
    <w:rsid w:val="009810D4"/>
    <w:rsid w:val="00982196"/>
    <w:rsid w:val="00991454"/>
    <w:rsid w:val="009C245D"/>
    <w:rsid w:val="009C5B8E"/>
    <w:rsid w:val="009C6151"/>
    <w:rsid w:val="009C630E"/>
    <w:rsid w:val="009C7B80"/>
    <w:rsid w:val="009D1698"/>
    <w:rsid w:val="009E2344"/>
    <w:rsid w:val="009E356B"/>
    <w:rsid w:val="009F7D1E"/>
    <w:rsid w:val="00A079AE"/>
    <w:rsid w:val="00A13594"/>
    <w:rsid w:val="00A30897"/>
    <w:rsid w:val="00A35FC3"/>
    <w:rsid w:val="00A44602"/>
    <w:rsid w:val="00A4562C"/>
    <w:rsid w:val="00A4574A"/>
    <w:rsid w:val="00A64F9D"/>
    <w:rsid w:val="00A73D91"/>
    <w:rsid w:val="00A77C5B"/>
    <w:rsid w:val="00A8011A"/>
    <w:rsid w:val="00A96587"/>
    <w:rsid w:val="00AA42F8"/>
    <w:rsid w:val="00AC2E0E"/>
    <w:rsid w:val="00AC5A99"/>
    <w:rsid w:val="00AC6023"/>
    <w:rsid w:val="00AE0BB7"/>
    <w:rsid w:val="00AE1BA7"/>
    <w:rsid w:val="00AE44BF"/>
    <w:rsid w:val="00B05140"/>
    <w:rsid w:val="00B121DF"/>
    <w:rsid w:val="00B222FE"/>
    <w:rsid w:val="00B24169"/>
    <w:rsid w:val="00B37CCB"/>
    <w:rsid w:val="00B4542E"/>
    <w:rsid w:val="00B52E6E"/>
    <w:rsid w:val="00B726C0"/>
    <w:rsid w:val="00B7490D"/>
    <w:rsid w:val="00B75868"/>
    <w:rsid w:val="00B86DFA"/>
    <w:rsid w:val="00B9410B"/>
    <w:rsid w:val="00B961EF"/>
    <w:rsid w:val="00BC5F20"/>
    <w:rsid w:val="00BD2C91"/>
    <w:rsid w:val="00BD5D6E"/>
    <w:rsid w:val="00BD7A1A"/>
    <w:rsid w:val="00C15500"/>
    <w:rsid w:val="00C22D62"/>
    <w:rsid w:val="00C3333A"/>
    <w:rsid w:val="00C33388"/>
    <w:rsid w:val="00C62E82"/>
    <w:rsid w:val="00C677D2"/>
    <w:rsid w:val="00C71A6F"/>
    <w:rsid w:val="00C81E74"/>
    <w:rsid w:val="00C84CCD"/>
    <w:rsid w:val="00C85F0C"/>
    <w:rsid w:val="00CD1F3E"/>
    <w:rsid w:val="00CD34AE"/>
    <w:rsid w:val="00CE37A1"/>
    <w:rsid w:val="00CE5E7B"/>
    <w:rsid w:val="00CF4DDF"/>
    <w:rsid w:val="00D07299"/>
    <w:rsid w:val="00D16175"/>
    <w:rsid w:val="00D2542E"/>
    <w:rsid w:val="00D42A71"/>
    <w:rsid w:val="00D712FE"/>
    <w:rsid w:val="00D91C7F"/>
    <w:rsid w:val="00D923CD"/>
    <w:rsid w:val="00D93FCC"/>
    <w:rsid w:val="00DA4610"/>
    <w:rsid w:val="00DB26E5"/>
    <w:rsid w:val="00DC2CA5"/>
    <w:rsid w:val="00DC354B"/>
    <w:rsid w:val="00DD19E1"/>
    <w:rsid w:val="00DD5D8C"/>
    <w:rsid w:val="00DF1F72"/>
    <w:rsid w:val="00E06A7D"/>
    <w:rsid w:val="00E30170"/>
    <w:rsid w:val="00E33EA0"/>
    <w:rsid w:val="00E417DD"/>
    <w:rsid w:val="00E54FD2"/>
    <w:rsid w:val="00E62C77"/>
    <w:rsid w:val="00E6492B"/>
    <w:rsid w:val="00E80D23"/>
    <w:rsid w:val="00E82D31"/>
    <w:rsid w:val="00EA2330"/>
    <w:rsid w:val="00EE153D"/>
    <w:rsid w:val="00EE29CF"/>
    <w:rsid w:val="00EF2EF2"/>
    <w:rsid w:val="00EF3859"/>
    <w:rsid w:val="00EF3F5E"/>
    <w:rsid w:val="00F105F5"/>
    <w:rsid w:val="00F320E9"/>
    <w:rsid w:val="00F44E64"/>
    <w:rsid w:val="00F52D45"/>
    <w:rsid w:val="00F57E18"/>
    <w:rsid w:val="00F72A94"/>
    <w:rsid w:val="00F746B3"/>
    <w:rsid w:val="00F810C9"/>
    <w:rsid w:val="00F82587"/>
    <w:rsid w:val="00F961B7"/>
    <w:rsid w:val="00FA2BC3"/>
    <w:rsid w:val="00FA697A"/>
    <w:rsid w:val="00FA6BDB"/>
    <w:rsid w:val="00FA703F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5A52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qFormat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(NECG) Footnote Reference,Appel note de bas de p,Appel note de bas de p + 11 pt,Appel note de bas de p1,FR,Footnote,Footnote Reference/,Footnote symbol,Italic,Style 12,Style 124,Style 13,Style 17,Style 3,de nota al pie,fr,o"/>
    <w:basedOn w:val="DefaultParagraphFont"/>
    <w:qFormat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ACMA Footnote Text,ALTS FOOTNOTE,DNV-,Footnote Text Char Char1,Footnote Text Char Char1 Char1 Char Char,Footnote Text Char1,Footnote Text Char1 Char1 Char1 Char,Footnote Text Char1 Char1 Char1 Char Char Char1,Footnote Text Char4 Char Char"/>
    <w:basedOn w:val="Normal"/>
    <w:link w:val="FootnoteTextChar"/>
    <w:qFormat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ACMA Footnote Text Char,ALTS FOOTNOTE Char,DNV- Char,Footnote Text Char Char1 Char,Footnote Text Char Char1 Char1 Char Char Char,Footnote Text Char1 Char,Footnote Text Char1 Char1 Char1 Char Char,Footnote Text Char4 Char Char Char"/>
    <w:basedOn w:val="DefaultParagraphFont"/>
    <w:link w:val="FootnoteText"/>
    <w:qFormat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Style 58,超?级链,超????,하이퍼링크2"/>
    <w:basedOn w:val="DefaultParagraphFont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  <w:style w:type="paragraph" w:styleId="ListParagraph">
    <w:name w:val="List Paragraph"/>
    <w:aliases w:val="Recommendation,List Paragraph11,O5,Para_sk,Resume Title,- Bullets,Ref,Use Case List Paragraph,Bullet List Paragraph,List Paragraph111,List Paragraph Option,EG Bullet 1,Bulleted List1,b1,Bullet for no #'s,Body Bullet,Table Number Paragraph"/>
    <w:basedOn w:val="Normal"/>
    <w:link w:val="ListParagraphChar"/>
    <w:uiPriority w:val="34"/>
    <w:qFormat/>
    <w:rsid w:val="00A079A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Recommendation Char,List Paragraph11 Char,O5 Char,Para_sk Char,Resume Title Char,- Bullets Char,Ref Char,Use Case List Paragraph Char,Bullet List Paragraph Char,List Paragraph111 Char,List Paragraph Option Char,EG Bullet 1 Char"/>
    <w:basedOn w:val="DefaultParagraphFont"/>
    <w:link w:val="ListParagraph"/>
    <w:uiPriority w:val="34"/>
    <w:qFormat/>
    <w:rsid w:val="00A079AE"/>
    <w:rPr>
      <w:rFonts w:eastAsia="Times New Roman" w:cs="Times New Roman"/>
      <w:sz w:val="24"/>
      <w:szCs w:val="20"/>
      <w:lang w:val="en-GB" w:eastAsia="en-US"/>
    </w:rPr>
  </w:style>
  <w:style w:type="paragraph" w:customStyle="1" w:styleId="Figure">
    <w:name w:val="Figure"/>
    <w:basedOn w:val="Normal"/>
    <w:next w:val="Figuretitle"/>
    <w:rsid w:val="00211A6F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59" w:lineRule="auto"/>
      <w:jc w:val="center"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FigureNo">
    <w:name w:val="Figure_No"/>
    <w:basedOn w:val="Normal"/>
    <w:next w:val="Figuretitle"/>
    <w:rsid w:val="00211A6F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59" w:lineRule="auto"/>
      <w:jc w:val="center"/>
      <w:textAlignment w:val="auto"/>
    </w:pPr>
    <w:rPr>
      <w:rFonts w:asciiTheme="minorHAnsi" w:eastAsiaTheme="minorHAnsi" w:hAnsiTheme="minorHAnsi" w:cstheme="minorBidi"/>
      <w:caps/>
      <w:kern w:val="2"/>
      <w14:ligatures w14:val="standardContextual"/>
    </w:rPr>
  </w:style>
  <w:style w:type="paragraph" w:customStyle="1" w:styleId="Figuretitle">
    <w:name w:val="Figure_title"/>
    <w:basedOn w:val="Tabletitle"/>
    <w:next w:val="Normalaftertitle"/>
    <w:rsid w:val="00211A6F"/>
    <w:pPr>
      <w:tabs>
        <w:tab w:val="clear" w:pos="794"/>
        <w:tab w:val="clear" w:pos="1191"/>
        <w:tab w:val="clear" w:pos="1588"/>
        <w:tab w:val="clear" w:pos="1985"/>
        <w:tab w:val="clear" w:pos="2948"/>
        <w:tab w:val="clear" w:pos="4082"/>
      </w:tabs>
      <w:overflowPunct/>
      <w:autoSpaceDE/>
      <w:autoSpaceDN/>
      <w:adjustRightInd/>
      <w:spacing w:before="240" w:after="240" w:line="259" w:lineRule="auto"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jose.batanero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md/S22-CL-C-0034/en" TargetMode="External"/><Relationship Id="rId1" Type="http://schemas.openxmlformats.org/officeDocument/2006/relationships/hyperlink" Target="http://www.itu.int/en/ITU-D/Project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BDT\PR_BDT_TDAG23.doc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tipina\Desktop\Book1.od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ITU-D\CONF-D\TDAG23\TDAG23-30\000\Figure_4_007Re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rgbClr val="4472C4"/>
              </a:solidFill>
              <a:ln w="19046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10F0-4DCD-99EC-8B093FB1DB76}"/>
              </c:ext>
            </c:extLst>
          </c:dPt>
          <c:dPt>
            <c:idx val="1"/>
            <c:bubble3D val="0"/>
            <c:spPr>
              <a:solidFill>
                <a:srgbClr val="ED7D31"/>
              </a:solidFill>
              <a:ln w="19046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10F0-4DCD-99EC-8B093FB1DB76}"/>
              </c:ext>
            </c:extLst>
          </c:dPt>
          <c:dPt>
            <c:idx val="2"/>
            <c:bubble3D val="0"/>
            <c:spPr>
              <a:solidFill>
                <a:srgbClr val="A5A5A5"/>
              </a:solidFill>
              <a:ln w="19046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10F0-4DCD-99EC-8B093FB1DB7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0F0-4DCD-99EC-8B093FB1DB7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10F0-4DCD-99EC-8B093FB1DB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Sheet1!$B$1:$D$1</c:f>
              <c:strCache>
                <c:ptCount val="3"/>
                <c:pt idx="0">
                  <c:v>Целевые фонды</c:v>
                </c:pt>
                <c:pt idx="1">
                  <c:v>ФРИКТ</c:v>
                </c:pt>
                <c:pt idx="2">
                  <c:v>Региональные инициативы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0.9</c:v>
                </c:pt>
                <c:pt idx="1">
                  <c:v>0.06</c:v>
                </c:pt>
                <c:pt idx="2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0F0-4DCD-99EC-8B093FB1DB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60"/>
      </c:pieChart>
      <c:spPr>
        <a:noFill/>
        <a:ln>
          <a:noFill/>
        </a:ln>
      </c:spPr>
    </c:plotArea>
    <c:legend>
      <c:legendPos val="r"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900" b="0" i="0" u="none" strike="noStrike" kern="1200" baseline="0">
              <a:solidFill>
                <a:sysClr val="windowText" lastClr="000000"/>
              </a:solidFill>
              <a:latin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9528" cap="flat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en-US" sz="900" b="0" i="0" u="none" strike="noStrike" kern="1200" baseline="0">
          <a:solidFill>
            <a:srgbClr val="000000"/>
          </a:solidFill>
          <a:latin typeface="Calibri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741799602296033E-2"/>
          <c:y val="5.9028709417762275E-2"/>
          <c:w val="0.88343188788473448"/>
          <c:h val="0.60703147282334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'Projects per year'!$B$2</c:f>
              <c:strCache>
                <c:ptCount val="1"/>
                <c:pt idx="0">
                  <c:v> Всего (шв. фр.)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9,93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837-45BB-A9EB-757B902D84F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7,67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837-45BB-A9EB-757B902D84F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5,29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837-45BB-A9EB-757B902D84F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2,77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837-45BB-A9EB-757B902D84FB}"/>
                </c:ext>
              </c:extLst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9,73</a:t>
                    </a:r>
                  </a:p>
                </c:rich>
              </c:tx>
              <c:numFmt formatCode="#.##0.0.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6837-45BB-A9EB-757B902D84FB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10,72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6837-45BB-A9EB-757B902D84FB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13,61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6837-45BB-A9EB-757B902D84FB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14,90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6837-45BB-A9EB-757B902D84FB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19,32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6837-45BB-A9EB-757B902D84FB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5,34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6837-45BB-A9EB-757B902D84FB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7,25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6837-45BB-A9EB-757B902D84FB}"/>
                </c:ext>
              </c:extLst>
            </c:dLbl>
            <c:numFmt formatCode="0.00;[Red]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'Projects per year'!$A$6:$A$16</c:f>
              <c:strCache>
                <c:ptCount val="11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  <c:pt idx="10">
                  <c:v>2023 г. (янв.-май)</c:v>
                </c:pt>
              </c:strCache>
            </c:strRef>
          </c:cat>
          <c:val>
            <c:numRef>
              <c:f>'Projects per year'!$B$6:$B$16</c:f>
              <c:numCache>
                <c:formatCode>_(* #,##0.00_);_(* \(#,##0.00\);_(* "-"??_);_(@_)</c:formatCode>
                <c:ptCount val="11"/>
                <c:pt idx="0">
                  <c:v>9927803</c:v>
                </c:pt>
                <c:pt idx="1">
                  <c:v>7674402</c:v>
                </c:pt>
                <c:pt idx="2">
                  <c:v>5289174</c:v>
                </c:pt>
                <c:pt idx="3">
                  <c:v>2767939</c:v>
                </c:pt>
                <c:pt idx="4">
                  <c:v>9730134</c:v>
                </c:pt>
                <c:pt idx="5">
                  <c:v>10721579</c:v>
                </c:pt>
                <c:pt idx="6">
                  <c:v>13612980</c:v>
                </c:pt>
                <c:pt idx="7">
                  <c:v>14901477</c:v>
                </c:pt>
                <c:pt idx="8">
                  <c:v>19315000</c:v>
                </c:pt>
                <c:pt idx="9">
                  <c:v>5342000</c:v>
                </c:pt>
                <c:pt idx="10">
                  <c:v>7245846.676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837-45BB-A9EB-757B902D84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6506240"/>
        <c:axId val="315425040"/>
      </c:barChart>
      <c:catAx>
        <c:axId val="626506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US"/>
          </a:p>
        </c:txPr>
        <c:crossAx val="315425040"/>
        <c:crosses val="autoZero"/>
        <c:auto val="1"/>
        <c:lblAlgn val="ctr"/>
        <c:lblOffset val="100"/>
        <c:noMultiLvlLbl val="0"/>
      </c:catAx>
      <c:valAx>
        <c:axId val="315425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6506240"/>
        <c:crosses val="autoZero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1.2511168927379067E-2"/>
                <c:y val="0.30040433586623982"/>
              </c:manualLayout>
            </c:layout>
            <c:tx>
              <c:rich>
                <a:bodyPr rot="-5400000" spcFirstLastPara="1" vertOverflow="ellipsis" vert="horz" wrap="square" anchor="ctr" anchorCtr="1"/>
                <a:lstStyle/>
                <a:p>
                  <a:pPr algn="r"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ru-RU"/>
                    <a:t>Миллионы</a:t>
                  </a:r>
                  <a:endParaRPr lang="en-GB"/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 algn="r"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134C-0BB8-49A4-A4D3-2B279A8F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PR_BDT_TDAG23.docx</Template>
  <TotalTime>62</TotalTime>
  <Pages>7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Sikacheva, Violetta</cp:lastModifiedBy>
  <cp:revision>14</cp:revision>
  <cp:lastPrinted>2023-01-16T12:34:00Z</cp:lastPrinted>
  <dcterms:created xsi:type="dcterms:W3CDTF">2023-06-16T15:00:00Z</dcterms:created>
  <dcterms:modified xsi:type="dcterms:W3CDTF">2023-06-19T09:23:00Z</dcterms:modified>
</cp:coreProperties>
</file>