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rsidRPr="00A37E65" w14:paraId="3F0E9EC4" w14:textId="77777777" w:rsidTr="005C5A93">
        <w:trPr>
          <w:cantSplit/>
          <w:trHeight w:val="1134"/>
        </w:trPr>
        <w:tc>
          <w:tcPr>
            <w:tcW w:w="6379" w:type="dxa"/>
          </w:tcPr>
          <w:p w14:paraId="1570562D" w14:textId="56D16A41" w:rsidR="005C5A93" w:rsidRPr="00A37E65" w:rsidRDefault="00057C28" w:rsidP="005C5A93">
            <w:pPr>
              <w:tabs>
                <w:tab w:val="clear" w:pos="1191"/>
                <w:tab w:val="clear" w:pos="1588"/>
                <w:tab w:val="clear" w:pos="1985"/>
              </w:tabs>
              <w:ind w:left="34"/>
              <w:rPr>
                <w:b/>
                <w:bCs/>
                <w:sz w:val="32"/>
                <w:szCs w:val="32"/>
                <w:lang w:val="es-ES"/>
              </w:rPr>
            </w:pPr>
            <w:r w:rsidRPr="00A37E65">
              <w:rPr>
                <w:b/>
                <w:bCs/>
                <w:sz w:val="32"/>
                <w:szCs w:val="32"/>
                <w:lang w:val="es-ES"/>
              </w:rPr>
              <w:t>Grupo Asesor de Desarrollo de las Telecomunicaciones (GADT)</w:t>
            </w:r>
          </w:p>
          <w:p w14:paraId="5F5F590A" w14:textId="75241554" w:rsidR="005C5A93" w:rsidRPr="00A37E65" w:rsidRDefault="005C5A93" w:rsidP="00057C28">
            <w:pPr>
              <w:tabs>
                <w:tab w:val="clear" w:pos="1191"/>
                <w:tab w:val="clear" w:pos="1588"/>
                <w:tab w:val="clear" w:pos="1985"/>
              </w:tabs>
              <w:spacing w:before="100" w:after="120"/>
              <w:ind w:left="34"/>
              <w:rPr>
                <w:rFonts w:ascii="Verdana" w:hAnsi="Verdana"/>
                <w:sz w:val="28"/>
                <w:szCs w:val="28"/>
                <w:lang w:val="es-ES"/>
              </w:rPr>
            </w:pPr>
            <w:r w:rsidRPr="00A37E65">
              <w:rPr>
                <w:b/>
                <w:bCs/>
                <w:sz w:val="26"/>
                <w:szCs w:val="26"/>
                <w:lang w:val="es-ES"/>
              </w:rPr>
              <w:t>30</w:t>
            </w:r>
            <w:r w:rsidR="00057C28" w:rsidRPr="00A37E65">
              <w:rPr>
                <w:b/>
                <w:bCs/>
                <w:sz w:val="26"/>
                <w:szCs w:val="26"/>
                <w:lang w:val="es-ES"/>
              </w:rPr>
              <w:t>ª reunión, Ginebra (Suiza)</w:t>
            </w:r>
            <w:r w:rsidRPr="00A37E65">
              <w:rPr>
                <w:b/>
                <w:bCs/>
                <w:sz w:val="26"/>
                <w:szCs w:val="26"/>
                <w:lang w:val="es-ES"/>
              </w:rPr>
              <w:t xml:space="preserve">, 19-23 </w:t>
            </w:r>
            <w:r w:rsidR="00057C28" w:rsidRPr="00A37E65">
              <w:rPr>
                <w:b/>
                <w:bCs/>
                <w:sz w:val="26"/>
                <w:szCs w:val="26"/>
                <w:lang w:val="es-ES"/>
              </w:rPr>
              <w:t xml:space="preserve">de junio de </w:t>
            </w:r>
            <w:r w:rsidRPr="00A37E65">
              <w:rPr>
                <w:b/>
                <w:bCs/>
                <w:sz w:val="26"/>
                <w:szCs w:val="26"/>
                <w:lang w:val="es-ES"/>
              </w:rPr>
              <w:t>2023</w:t>
            </w:r>
          </w:p>
        </w:tc>
        <w:tc>
          <w:tcPr>
            <w:tcW w:w="3509" w:type="dxa"/>
          </w:tcPr>
          <w:p w14:paraId="67E7B4C4" w14:textId="1428984F" w:rsidR="005C5A93" w:rsidRPr="00A37E65" w:rsidRDefault="005C5A93" w:rsidP="005C5A93">
            <w:pPr>
              <w:spacing w:after="120"/>
              <w:ind w:right="142"/>
              <w:jc w:val="right"/>
              <w:rPr>
                <w:lang w:val="es-ES"/>
              </w:rPr>
            </w:pPr>
            <w:r w:rsidRPr="00A37E65">
              <w:rPr>
                <w:noProof/>
                <w:lang w:val="es-ES" w:eastAsia="es-E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37E65" w14:paraId="3C13197B" w14:textId="77777777" w:rsidTr="0009076F">
        <w:trPr>
          <w:cantSplit/>
        </w:trPr>
        <w:tc>
          <w:tcPr>
            <w:tcW w:w="6379" w:type="dxa"/>
            <w:tcBorders>
              <w:top w:val="single" w:sz="12" w:space="0" w:color="auto"/>
            </w:tcBorders>
          </w:tcPr>
          <w:p w14:paraId="2EED9DB2" w14:textId="77777777" w:rsidR="00683C32" w:rsidRPr="00A37E65" w:rsidRDefault="00683C32" w:rsidP="00107E85">
            <w:pPr>
              <w:spacing w:before="0"/>
              <w:rPr>
                <w:rFonts w:cs="Arial"/>
                <w:b/>
                <w:bCs/>
                <w:sz w:val="20"/>
                <w:lang w:val="es-ES"/>
              </w:rPr>
            </w:pPr>
          </w:p>
        </w:tc>
        <w:tc>
          <w:tcPr>
            <w:tcW w:w="3509" w:type="dxa"/>
            <w:tcBorders>
              <w:top w:val="single" w:sz="12" w:space="0" w:color="auto"/>
            </w:tcBorders>
          </w:tcPr>
          <w:p w14:paraId="6CC77CFE" w14:textId="77777777" w:rsidR="00683C32" w:rsidRPr="00A37E65" w:rsidRDefault="00683C32" w:rsidP="00107E85">
            <w:pPr>
              <w:spacing w:before="0"/>
              <w:rPr>
                <w:b/>
                <w:bCs/>
                <w:sz w:val="20"/>
                <w:lang w:val="es-ES"/>
              </w:rPr>
            </w:pPr>
          </w:p>
        </w:tc>
      </w:tr>
      <w:tr w:rsidR="00683C32" w:rsidRPr="00A37E65" w14:paraId="0BB3FBC4" w14:textId="77777777" w:rsidTr="0009076F">
        <w:trPr>
          <w:cantSplit/>
        </w:trPr>
        <w:tc>
          <w:tcPr>
            <w:tcW w:w="6379" w:type="dxa"/>
          </w:tcPr>
          <w:p w14:paraId="43C54B3D" w14:textId="77777777" w:rsidR="00683C32" w:rsidRPr="00A37E65" w:rsidRDefault="00683C32" w:rsidP="00400CCF">
            <w:pPr>
              <w:pStyle w:val="Committee"/>
              <w:spacing w:before="0"/>
              <w:rPr>
                <w:b w:val="0"/>
                <w:szCs w:val="24"/>
                <w:lang w:val="es-ES"/>
              </w:rPr>
            </w:pPr>
          </w:p>
        </w:tc>
        <w:tc>
          <w:tcPr>
            <w:tcW w:w="3509" w:type="dxa"/>
          </w:tcPr>
          <w:p w14:paraId="02E44EE9" w14:textId="493414EE" w:rsidR="00683C32" w:rsidRPr="00A37E65" w:rsidRDefault="0096201B" w:rsidP="00057C28">
            <w:pPr>
              <w:spacing w:before="0"/>
              <w:jc w:val="both"/>
              <w:rPr>
                <w:bCs/>
                <w:szCs w:val="24"/>
                <w:lang w:val="es-ES"/>
              </w:rPr>
            </w:pPr>
            <w:r w:rsidRPr="00A37E65">
              <w:rPr>
                <w:b/>
                <w:bCs/>
                <w:lang w:val="es-ES"/>
              </w:rPr>
              <w:t>Document</w:t>
            </w:r>
            <w:r w:rsidR="00057C28" w:rsidRPr="00A37E65">
              <w:rPr>
                <w:b/>
                <w:bCs/>
                <w:lang w:val="es-ES"/>
              </w:rPr>
              <w:t>o</w:t>
            </w:r>
            <w:r w:rsidRPr="00A37E65">
              <w:rPr>
                <w:b/>
                <w:bCs/>
                <w:lang w:val="es-ES"/>
              </w:rPr>
              <w:t xml:space="preserve"> </w:t>
            </w:r>
            <w:bookmarkStart w:id="0" w:name="DocRef1"/>
            <w:bookmarkEnd w:id="0"/>
            <w:r w:rsidRPr="00A37E65">
              <w:rPr>
                <w:b/>
                <w:bCs/>
                <w:lang w:val="es-ES"/>
              </w:rPr>
              <w:t>TDAG</w:t>
            </w:r>
            <w:r w:rsidR="003242AB" w:rsidRPr="00A37E65">
              <w:rPr>
                <w:b/>
                <w:bCs/>
                <w:lang w:val="es-ES"/>
              </w:rPr>
              <w:t>-</w:t>
            </w:r>
            <w:r w:rsidR="00B648C7" w:rsidRPr="00A37E65">
              <w:rPr>
                <w:b/>
                <w:bCs/>
                <w:lang w:val="es-ES"/>
              </w:rPr>
              <w:t>2</w:t>
            </w:r>
            <w:bookmarkStart w:id="1" w:name="DocNo1"/>
            <w:bookmarkEnd w:id="1"/>
            <w:r w:rsidR="005C5A93" w:rsidRPr="00A37E65">
              <w:rPr>
                <w:b/>
                <w:bCs/>
                <w:lang w:val="es-ES"/>
              </w:rPr>
              <w:t>3</w:t>
            </w:r>
            <w:r w:rsidR="0009076F" w:rsidRPr="00A37E65">
              <w:rPr>
                <w:b/>
                <w:bCs/>
                <w:lang w:val="es-ES"/>
              </w:rPr>
              <w:t>/</w:t>
            </w:r>
            <w:r w:rsidR="00001EB9" w:rsidRPr="00A37E65">
              <w:rPr>
                <w:b/>
                <w:bCs/>
                <w:lang w:val="es-ES"/>
              </w:rPr>
              <w:t>7</w:t>
            </w:r>
            <w:r w:rsidRPr="00A37E65">
              <w:rPr>
                <w:b/>
                <w:bCs/>
                <w:lang w:val="es-ES"/>
              </w:rPr>
              <w:t>-</w:t>
            </w:r>
            <w:r w:rsidR="00057C28" w:rsidRPr="00A37E65">
              <w:rPr>
                <w:b/>
                <w:bCs/>
                <w:lang w:val="es-ES"/>
              </w:rPr>
              <w:t>S</w:t>
            </w:r>
          </w:p>
        </w:tc>
      </w:tr>
      <w:tr w:rsidR="00683C32" w:rsidRPr="00A37E65" w14:paraId="24D04936" w14:textId="77777777" w:rsidTr="0009076F">
        <w:trPr>
          <w:cantSplit/>
        </w:trPr>
        <w:tc>
          <w:tcPr>
            <w:tcW w:w="6379" w:type="dxa"/>
          </w:tcPr>
          <w:p w14:paraId="12CE4DBF" w14:textId="77777777" w:rsidR="00683C32" w:rsidRPr="00A37E65" w:rsidRDefault="00683C32" w:rsidP="00400CCF">
            <w:pPr>
              <w:spacing w:before="0"/>
              <w:rPr>
                <w:b/>
                <w:bCs/>
                <w:smallCaps/>
                <w:szCs w:val="24"/>
                <w:lang w:val="es-ES"/>
              </w:rPr>
            </w:pPr>
          </w:p>
        </w:tc>
        <w:tc>
          <w:tcPr>
            <w:tcW w:w="3509" w:type="dxa"/>
          </w:tcPr>
          <w:p w14:paraId="0F89640F" w14:textId="2F92309B" w:rsidR="00683C32" w:rsidRPr="00A37E65" w:rsidRDefault="009B7B36" w:rsidP="00057C28">
            <w:pPr>
              <w:spacing w:before="0"/>
              <w:rPr>
                <w:b/>
                <w:szCs w:val="24"/>
                <w:lang w:val="es-ES"/>
              </w:rPr>
            </w:pPr>
            <w:bookmarkStart w:id="2" w:name="CreationDate"/>
            <w:bookmarkEnd w:id="2"/>
            <w:r w:rsidRPr="00A37E65">
              <w:rPr>
                <w:b/>
                <w:bCs/>
                <w:szCs w:val="28"/>
                <w:lang w:val="es-ES"/>
              </w:rPr>
              <w:t>9</w:t>
            </w:r>
            <w:r w:rsidR="00001EB9" w:rsidRPr="00A37E65">
              <w:rPr>
                <w:b/>
                <w:bCs/>
                <w:szCs w:val="28"/>
                <w:lang w:val="es-ES"/>
              </w:rPr>
              <w:t xml:space="preserve"> </w:t>
            </w:r>
            <w:r w:rsidR="00057C28" w:rsidRPr="00A37E65">
              <w:rPr>
                <w:b/>
                <w:bCs/>
                <w:szCs w:val="28"/>
                <w:lang w:val="es-ES"/>
              </w:rPr>
              <w:t xml:space="preserve">de mayo de </w:t>
            </w:r>
            <w:r w:rsidR="00CE0422" w:rsidRPr="00A37E65">
              <w:rPr>
                <w:b/>
                <w:bCs/>
                <w:szCs w:val="28"/>
                <w:lang w:val="es-ES"/>
              </w:rPr>
              <w:t>20</w:t>
            </w:r>
            <w:r w:rsidR="00B648C7" w:rsidRPr="00A37E65">
              <w:rPr>
                <w:b/>
                <w:bCs/>
                <w:szCs w:val="28"/>
                <w:lang w:val="es-ES"/>
              </w:rPr>
              <w:t>2</w:t>
            </w:r>
            <w:r w:rsidR="005C5A93" w:rsidRPr="00A37E65">
              <w:rPr>
                <w:b/>
                <w:bCs/>
                <w:szCs w:val="28"/>
                <w:lang w:val="es-ES"/>
              </w:rPr>
              <w:t>3</w:t>
            </w:r>
          </w:p>
        </w:tc>
      </w:tr>
      <w:tr w:rsidR="00683C32" w:rsidRPr="00A37E65" w14:paraId="7B96545F" w14:textId="77777777" w:rsidTr="0009076F">
        <w:trPr>
          <w:cantSplit/>
        </w:trPr>
        <w:tc>
          <w:tcPr>
            <w:tcW w:w="6379" w:type="dxa"/>
          </w:tcPr>
          <w:p w14:paraId="65956FD3" w14:textId="77777777" w:rsidR="00683C32" w:rsidRPr="00A37E65" w:rsidRDefault="00683C32" w:rsidP="00400CCF">
            <w:pPr>
              <w:spacing w:before="0"/>
              <w:rPr>
                <w:b/>
                <w:bCs/>
                <w:smallCaps/>
                <w:szCs w:val="24"/>
                <w:lang w:val="es-ES"/>
              </w:rPr>
            </w:pPr>
          </w:p>
        </w:tc>
        <w:tc>
          <w:tcPr>
            <w:tcW w:w="3509" w:type="dxa"/>
          </w:tcPr>
          <w:p w14:paraId="30EFD39F" w14:textId="1A667CE2" w:rsidR="00514D2F" w:rsidRPr="00A37E65" w:rsidRDefault="0096201B" w:rsidP="00057C28">
            <w:pPr>
              <w:spacing w:before="0"/>
              <w:rPr>
                <w:szCs w:val="24"/>
                <w:lang w:val="es-ES"/>
              </w:rPr>
            </w:pPr>
            <w:r w:rsidRPr="00A37E65">
              <w:rPr>
                <w:b/>
                <w:lang w:val="es-ES"/>
              </w:rPr>
              <w:t>Original:</w:t>
            </w:r>
            <w:bookmarkStart w:id="3" w:name="Original"/>
            <w:bookmarkEnd w:id="3"/>
            <w:r w:rsidR="00CE0422" w:rsidRPr="00A37E65">
              <w:rPr>
                <w:b/>
                <w:lang w:val="es-ES"/>
              </w:rPr>
              <w:t xml:space="preserve"> </w:t>
            </w:r>
            <w:r w:rsidR="00057C28" w:rsidRPr="00A37E65">
              <w:rPr>
                <w:b/>
                <w:lang w:val="es-ES"/>
              </w:rPr>
              <w:t>inglés</w:t>
            </w:r>
          </w:p>
        </w:tc>
      </w:tr>
      <w:tr w:rsidR="006E0385" w:rsidRPr="00613DCD" w14:paraId="31656E31" w14:textId="77777777" w:rsidTr="00107E85">
        <w:trPr>
          <w:cantSplit/>
          <w:trHeight w:val="852"/>
        </w:trPr>
        <w:tc>
          <w:tcPr>
            <w:tcW w:w="9888" w:type="dxa"/>
            <w:gridSpan w:val="2"/>
          </w:tcPr>
          <w:p w14:paraId="512FCA01" w14:textId="78CC4C8A" w:rsidR="006E0385" w:rsidRPr="00A37E65" w:rsidRDefault="006E0385" w:rsidP="00057C28">
            <w:pPr>
              <w:pStyle w:val="Source"/>
              <w:rPr>
                <w:lang w:val="es-ES"/>
              </w:rPr>
            </w:pPr>
            <w:bookmarkStart w:id="4" w:name="Source"/>
            <w:bookmarkEnd w:id="4"/>
            <w:r w:rsidRPr="00A37E65">
              <w:rPr>
                <w:rFonts w:cstheme="minorHAnsi"/>
                <w:lang w:val="es-ES"/>
              </w:rPr>
              <w:t>Director</w:t>
            </w:r>
            <w:r w:rsidR="00057C28" w:rsidRPr="00A37E65">
              <w:rPr>
                <w:rFonts w:cstheme="minorHAnsi"/>
                <w:lang w:val="es-ES"/>
              </w:rPr>
              <w:t xml:space="preserve"> de la Oficina de Desarrollo de las Telecomunicaciones</w:t>
            </w:r>
          </w:p>
        </w:tc>
      </w:tr>
      <w:tr w:rsidR="00001EB9" w:rsidRPr="00A37E65" w14:paraId="2CBD3A36" w14:textId="77777777" w:rsidTr="00107E85">
        <w:trPr>
          <w:cantSplit/>
        </w:trPr>
        <w:tc>
          <w:tcPr>
            <w:tcW w:w="9888" w:type="dxa"/>
            <w:gridSpan w:val="2"/>
          </w:tcPr>
          <w:p w14:paraId="1B4121DF" w14:textId="16D59CA0" w:rsidR="00001EB9" w:rsidRPr="00A37E65" w:rsidRDefault="00057C28" w:rsidP="00057C28">
            <w:pPr>
              <w:pStyle w:val="Title1"/>
              <w:rPr>
                <w:lang w:val="es-ES"/>
              </w:rPr>
            </w:pPr>
            <w:bookmarkStart w:id="5" w:name="Title"/>
            <w:bookmarkEnd w:id="5"/>
            <w:r w:rsidRPr="00A37E65">
              <w:rPr>
                <w:rFonts w:cstheme="minorHAnsi"/>
                <w:lang w:val="es-ES"/>
              </w:rPr>
              <w:t>Proyectos del UIT</w:t>
            </w:r>
            <w:r w:rsidR="00001EB9" w:rsidRPr="00A37E65">
              <w:rPr>
                <w:rFonts w:cstheme="minorHAnsi"/>
                <w:lang w:val="es-ES"/>
              </w:rPr>
              <w:t>-D</w:t>
            </w:r>
          </w:p>
        </w:tc>
      </w:tr>
      <w:tr w:rsidR="00A721F4" w:rsidRPr="00A37E65" w14:paraId="23A30231" w14:textId="77777777" w:rsidTr="00A721F4">
        <w:trPr>
          <w:cantSplit/>
        </w:trPr>
        <w:tc>
          <w:tcPr>
            <w:tcW w:w="9888" w:type="dxa"/>
            <w:gridSpan w:val="2"/>
            <w:tcBorders>
              <w:bottom w:val="single" w:sz="4" w:space="0" w:color="auto"/>
            </w:tcBorders>
          </w:tcPr>
          <w:p w14:paraId="726EE70E" w14:textId="77777777" w:rsidR="00A721F4" w:rsidRPr="00A37E65" w:rsidRDefault="00A721F4" w:rsidP="0030353C">
            <w:pPr>
              <w:rPr>
                <w:lang w:val="es-ES"/>
              </w:rPr>
            </w:pPr>
          </w:p>
        </w:tc>
      </w:tr>
      <w:tr w:rsidR="00A721F4" w:rsidRPr="00613DC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DDDB9ED" w14:textId="77777777" w:rsidR="00567D67" w:rsidRPr="00A37E65" w:rsidRDefault="00567D67" w:rsidP="00F335A8">
            <w:pPr>
              <w:spacing w:after="120"/>
              <w:rPr>
                <w:b/>
                <w:bCs/>
                <w:szCs w:val="24"/>
                <w:lang w:val="es-ES"/>
              </w:rPr>
            </w:pPr>
            <w:r w:rsidRPr="00A37E65">
              <w:rPr>
                <w:b/>
                <w:bCs/>
                <w:szCs w:val="24"/>
                <w:lang w:val="es-ES"/>
              </w:rPr>
              <w:t>Resumen:</w:t>
            </w:r>
          </w:p>
          <w:p w14:paraId="1E32A333" w14:textId="396899F7" w:rsidR="00567D67" w:rsidRPr="00A37E65" w:rsidRDefault="00567D67" w:rsidP="00F335A8">
            <w:pPr>
              <w:spacing w:after="120"/>
              <w:rPr>
                <w:lang w:val="es-ES"/>
              </w:rPr>
            </w:pPr>
            <w:r w:rsidRPr="00A37E65">
              <w:rPr>
                <w:lang w:val="es-ES"/>
              </w:rPr>
              <w:t xml:space="preserve">La Unión Internacional de Telecomunicaciones tiene un doble cometido como organismo especializado de las Naciones Unidas y como organismo ejecutor de proyectos. El Sector de Desarrollo de las Telecomunicaciones (UIT-D), en cumplimiento de esos objetivos, desempeña la importante función de </w:t>
            </w:r>
            <w:r w:rsidR="00D51759" w:rsidRPr="00A37E65">
              <w:rPr>
                <w:lang w:val="es-ES"/>
              </w:rPr>
              <w:t xml:space="preserve">llevar a cabo </w:t>
            </w:r>
            <w:r w:rsidRPr="00A37E65">
              <w:rPr>
                <w:lang w:val="es-ES"/>
              </w:rPr>
              <w:t xml:space="preserve">proyectos </w:t>
            </w:r>
            <w:r w:rsidR="00D51759" w:rsidRPr="00A37E65">
              <w:rPr>
                <w:lang w:val="es-ES"/>
              </w:rPr>
              <w:t xml:space="preserve">en el marco </w:t>
            </w:r>
            <w:r w:rsidRPr="00A37E65">
              <w:rPr>
                <w:lang w:val="es-ES"/>
              </w:rPr>
              <w:t xml:space="preserve">del sistema de las Naciones Unidas </w:t>
            </w:r>
            <w:r w:rsidR="00D51759" w:rsidRPr="00A37E65">
              <w:rPr>
                <w:lang w:val="es-ES"/>
              </w:rPr>
              <w:t xml:space="preserve">para el desarrollo </w:t>
            </w:r>
            <w:r w:rsidRPr="00A37E65">
              <w:rPr>
                <w:lang w:val="es-ES"/>
              </w:rPr>
              <w:t xml:space="preserve">y </w:t>
            </w:r>
            <w:r w:rsidR="00D51759" w:rsidRPr="00A37E65">
              <w:rPr>
                <w:lang w:val="es-ES"/>
              </w:rPr>
              <w:t xml:space="preserve">de </w:t>
            </w:r>
            <w:r w:rsidRPr="00A37E65">
              <w:rPr>
                <w:lang w:val="es-ES"/>
              </w:rPr>
              <w:t>otros acuerdos de financiación</w:t>
            </w:r>
            <w:r w:rsidR="007224EB" w:rsidRPr="00A37E65">
              <w:rPr>
                <w:lang w:val="es-ES"/>
              </w:rPr>
              <w:t xml:space="preserve">, con objeto </w:t>
            </w:r>
            <w:r w:rsidR="00D51759" w:rsidRPr="00A37E65">
              <w:rPr>
                <w:lang w:val="es-ES"/>
              </w:rPr>
              <w:t xml:space="preserve">de </w:t>
            </w:r>
            <w:r w:rsidRPr="00A37E65">
              <w:rPr>
                <w:lang w:val="es-ES"/>
              </w:rPr>
              <w:t>facilitar y potenciar el desarrollo de las telecomunicaciones ofreciendo, organizando y coordinando actividades de cooperación y asistencia técnicas.</w:t>
            </w:r>
          </w:p>
          <w:p w14:paraId="17AB96CC" w14:textId="77777777" w:rsidR="00567D67" w:rsidRPr="00A37E65" w:rsidRDefault="00567D67" w:rsidP="00F335A8">
            <w:pPr>
              <w:spacing w:after="120"/>
              <w:rPr>
                <w:szCs w:val="24"/>
                <w:lang w:val="es-ES"/>
              </w:rPr>
            </w:pPr>
            <w:r w:rsidRPr="00A37E65">
              <w:rPr>
                <w:lang w:val="es-ES"/>
              </w:rPr>
              <w:t>En este documento se presenta una visión global de los trabajos emprendidos por la Oficina de Desarrollo de las Telecomunicaciones relacionados con la preparación y ejecución de proyectos en las seis regiones del UIT-D, a saber, África, las Américas, los Estados Árabes, Asia y el Pacífico, la Comunidad de Estados Independientes (CEI) y Europa, así como a nivel multirregional.</w:t>
            </w:r>
          </w:p>
          <w:p w14:paraId="2CC4DD96" w14:textId="77777777" w:rsidR="00567D67" w:rsidRPr="00A37E65" w:rsidRDefault="00567D67" w:rsidP="00F335A8">
            <w:pPr>
              <w:spacing w:after="120"/>
              <w:rPr>
                <w:b/>
                <w:bCs/>
                <w:szCs w:val="24"/>
                <w:lang w:val="es-ES"/>
              </w:rPr>
            </w:pPr>
            <w:r w:rsidRPr="00A37E65">
              <w:rPr>
                <w:b/>
                <w:bCs/>
                <w:lang w:val="es-ES"/>
              </w:rPr>
              <w:t>Acción solicitada:</w:t>
            </w:r>
          </w:p>
          <w:p w14:paraId="1775964A" w14:textId="77777777" w:rsidR="00567D67" w:rsidRPr="00A37E65" w:rsidRDefault="00567D67" w:rsidP="00F335A8">
            <w:pPr>
              <w:spacing w:after="120"/>
              <w:rPr>
                <w:szCs w:val="24"/>
                <w:lang w:val="es-ES"/>
              </w:rPr>
            </w:pPr>
            <w:r w:rsidRPr="00A37E65">
              <w:rPr>
                <w:lang w:val="es-ES"/>
              </w:rPr>
              <w:t>Se invita al GADT a tomar nota del presente documento y facilitar las orientaciones que estime oportunas.</w:t>
            </w:r>
          </w:p>
          <w:p w14:paraId="622ACB80" w14:textId="77B7DF67" w:rsidR="00A721F4" w:rsidRPr="00A37E65" w:rsidRDefault="00567D67" w:rsidP="00F335A8">
            <w:pPr>
              <w:spacing w:after="120"/>
              <w:rPr>
                <w:b/>
                <w:bCs/>
                <w:szCs w:val="24"/>
                <w:lang w:val="es-ES"/>
              </w:rPr>
            </w:pPr>
            <w:r w:rsidRPr="00A37E65">
              <w:rPr>
                <w:b/>
                <w:bCs/>
                <w:szCs w:val="24"/>
                <w:lang w:val="es-ES"/>
              </w:rPr>
              <w:t>Referencia</w:t>
            </w:r>
            <w:r w:rsidR="00A721F4" w:rsidRPr="00A37E65">
              <w:rPr>
                <w:b/>
                <w:bCs/>
                <w:szCs w:val="24"/>
                <w:lang w:val="es-ES"/>
              </w:rPr>
              <w:t>s:</w:t>
            </w:r>
          </w:p>
          <w:p w14:paraId="1ECDD20E" w14:textId="2178C7CD" w:rsidR="00A721F4" w:rsidRPr="00A37E65" w:rsidRDefault="00C17774" w:rsidP="00F335A8">
            <w:pPr>
              <w:spacing w:after="120"/>
              <w:rPr>
                <w:lang w:val="es-ES"/>
              </w:rPr>
            </w:pPr>
            <w:r w:rsidRPr="00A37E65">
              <w:rPr>
                <w:rFonts w:cstheme="minorHAnsi"/>
                <w:lang w:val="es-ES" w:eastAsia="zh-CN"/>
              </w:rPr>
              <w:t>Resolu</w:t>
            </w:r>
            <w:r w:rsidR="00567D67" w:rsidRPr="00A37E65">
              <w:rPr>
                <w:rFonts w:cstheme="minorHAnsi"/>
                <w:lang w:val="es-ES" w:eastAsia="zh-CN"/>
              </w:rPr>
              <w:t>c</w:t>
            </w:r>
            <w:r w:rsidRPr="00A37E65">
              <w:rPr>
                <w:rFonts w:cstheme="minorHAnsi"/>
                <w:lang w:val="es-ES" w:eastAsia="zh-CN"/>
              </w:rPr>
              <w:t>ion</w:t>
            </w:r>
            <w:r w:rsidR="00567D67" w:rsidRPr="00A37E65">
              <w:rPr>
                <w:rFonts w:cstheme="minorHAnsi"/>
                <w:lang w:val="es-ES" w:eastAsia="zh-CN"/>
              </w:rPr>
              <w:t>e</w:t>
            </w:r>
            <w:r w:rsidRPr="00A37E65">
              <w:rPr>
                <w:rFonts w:cstheme="minorHAnsi"/>
                <w:lang w:val="es-ES" w:eastAsia="zh-CN"/>
              </w:rPr>
              <w:t>s</w:t>
            </w:r>
            <w:r w:rsidR="00E57FE1">
              <w:rPr>
                <w:rFonts w:cstheme="minorHAnsi"/>
                <w:lang w:val="es-ES" w:eastAsia="zh-CN"/>
              </w:rPr>
              <w:t> </w:t>
            </w:r>
            <w:r w:rsidRPr="00A37E65">
              <w:rPr>
                <w:rFonts w:cstheme="minorHAnsi"/>
                <w:lang w:val="es-ES" w:eastAsia="zh-CN"/>
              </w:rPr>
              <w:t xml:space="preserve">17 (Rev. Kigali, 2022) </w:t>
            </w:r>
            <w:r w:rsidR="00567D67" w:rsidRPr="00A37E65">
              <w:rPr>
                <w:rFonts w:cstheme="minorHAnsi"/>
                <w:lang w:val="es-ES" w:eastAsia="zh-CN"/>
              </w:rPr>
              <w:t xml:space="preserve">y </w:t>
            </w:r>
            <w:r w:rsidR="006F7A14" w:rsidRPr="00A37E65">
              <w:rPr>
                <w:rFonts w:cstheme="minorHAnsi"/>
                <w:lang w:val="es-ES" w:eastAsia="zh-CN"/>
              </w:rPr>
              <w:t>52 (Rev. Dub</w:t>
            </w:r>
            <w:r w:rsidR="00567D67" w:rsidRPr="00A37E65">
              <w:rPr>
                <w:rFonts w:cstheme="minorHAnsi"/>
                <w:lang w:val="es-ES" w:eastAsia="zh-CN"/>
              </w:rPr>
              <w:t>á</w:t>
            </w:r>
            <w:r w:rsidR="006F7A14" w:rsidRPr="00A37E65">
              <w:rPr>
                <w:rFonts w:cstheme="minorHAnsi"/>
                <w:lang w:val="es-ES" w:eastAsia="zh-CN"/>
              </w:rPr>
              <w:t xml:space="preserve">i, 2014) </w:t>
            </w:r>
            <w:r w:rsidR="00567D67" w:rsidRPr="00A37E65">
              <w:rPr>
                <w:lang w:val="es-ES"/>
              </w:rPr>
              <w:t>de la Conferencia Mundial de Desarrollo de las Telecomunicaciones (CMDT) y Resolución</w:t>
            </w:r>
            <w:r w:rsidR="00E57FE1">
              <w:rPr>
                <w:lang w:val="es-ES"/>
              </w:rPr>
              <w:t> </w:t>
            </w:r>
            <w:r w:rsidRPr="00A37E65">
              <w:rPr>
                <w:rFonts w:cstheme="minorHAnsi"/>
                <w:lang w:val="es-ES" w:eastAsia="zh-CN"/>
              </w:rPr>
              <w:t xml:space="preserve">157 (Rev. </w:t>
            </w:r>
            <w:r w:rsidR="00567D67" w:rsidRPr="00A37E65">
              <w:rPr>
                <w:rFonts w:cstheme="minorHAnsi"/>
                <w:lang w:val="es-ES" w:eastAsia="zh-CN"/>
              </w:rPr>
              <w:t>Buc</w:t>
            </w:r>
            <w:r w:rsidR="00B92038" w:rsidRPr="00A37E65">
              <w:rPr>
                <w:rFonts w:cstheme="minorHAnsi"/>
                <w:lang w:val="es-ES" w:eastAsia="zh-CN"/>
              </w:rPr>
              <w:t>arest</w:t>
            </w:r>
            <w:r w:rsidRPr="00A37E65">
              <w:rPr>
                <w:rFonts w:cstheme="minorHAnsi"/>
                <w:lang w:val="es-ES" w:eastAsia="zh-CN"/>
              </w:rPr>
              <w:t>, 20</w:t>
            </w:r>
            <w:r w:rsidR="00B92038" w:rsidRPr="00A37E65">
              <w:rPr>
                <w:rFonts w:cstheme="minorHAnsi"/>
                <w:lang w:val="es-ES" w:eastAsia="zh-CN"/>
              </w:rPr>
              <w:t>22</w:t>
            </w:r>
            <w:r w:rsidRPr="00A37E65">
              <w:rPr>
                <w:rFonts w:cstheme="minorHAnsi"/>
                <w:lang w:val="es-ES" w:eastAsia="zh-CN"/>
              </w:rPr>
              <w:t xml:space="preserve">) </w:t>
            </w:r>
            <w:r w:rsidR="00567D67" w:rsidRPr="00A37E65">
              <w:rPr>
                <w:rFonts w:cstheme="minorHAnsi"/>
                <w:lang w:val="es-ES" w:eastAsia="zh-CN"/>
              </w:rPr>
              <w:t>de la Conferencia de Plenipotenciarios</w:t>
            </w:r>
            <w:r w:rsidRPr="00A37E65">
              <w:rPr>
                <w:rFonts w:cstheme="minorHAnsi"/>
                <w:lang w:val="es-ES" w:eastAsia="zh-CN"/>
              </w:rPr>
              <w:t>.</w:t>
            </w:r>
          </w:p>
        </w:tc>
      </w:tr>
    </w:tbl>
    <w:p w14:paraId="499107CB" w14:textId="729ECD9F" w:rsidR="009C01D5" w:rsidRDefault="009C01D5" w:rsidP="009C01D5">
      <w:pPr>
        <w:rPr>
          <w:lang w:val="es-ES"/>
        </w:rPr>
      </w:pPr>
      <w:r>
        <w:rPr>
          <w:lang w:val="es-ES"/>
        </w:rPr>
        <w:br w:type="page"/>
      </w:r>
    </w:p>
    <w:p w14:paraId="25032016" w14:textId="77777777" w:rsidR="009C01D5" w:rsidRDefault="009C01D5" w:rsidP="009C01D5">
      <w:pPr>
        <w:pStyle w:val="Heading1"/>
        <w:numPr>
          <w:ilvl w:val="0"/>
          <w:numId w:val="2"/>
        </w:numPr>
        <w:spacing w:before="120" w:after="120"/>
        <w:textAlignment w:val="auto"/>
        <w:rPr>
          <w:rFonts w:cstheme="minorHAnsi"/>
          <w:sz w:val="24"/>
          <w:szCs w:val="24"/>
          <w:lang w:val="es-ES"/>
        </w:rPr>
      </w:pPr>
      <w:r w:rsidRPr="00A37E65">
        <w:rPr>
          <w:rFonts w:cstheme="minorHAnsi"/>
          <w:sz w:val="24"/>
          <w:szCs w:val="24"/>
          <w:lang w:val="es-ES"/>
        </w:rPr>
        <w:lastRenderedPageBreak/>
        <w:t>Introducción</w:t>
      </w:r>
    </w:p>
    <w:p w14:paraId="4E70CFE4" w14:textId="5B1C1178" w:rsidR="00915BF5" w:rsidRPr="00A37E65" w:rsidRDefault="007850DF" w:rsidP="009B7B36">
      <w:pPr>
        <w:pStyle w:val="ListParagraph"/>
        <w:spacing w:after="120"/>
        <w:ind w:left="0"/>
        <w:contextualSpacing w:val="0"/>
        <w:rPr>
          <w:rFonts w:cstheme="minorHAnsi"/>
          <w:szCs w:val="24"/>
          <w:lang w:val="es-ES"/>
        </w:rPr>
      </w:pPr>
      <w:r w:rsidRPr="00A37E65">
        <w:rPr>
          <w:lang w:val="es-ES"/>
        </w:rPr>
        <w:t>De conformidad con las Resoluciones 17 (Rev. Kigali, 2022) y 52 (Rev. Dubái, 2014) de la Conferencia Mundial de Desarrollo de las Telecomunicaciones (CMDT) y la Resolución</w:t>
      </w:r>
      <w:r w:rsidR="00E57FE1">
        <w:rPr>
          <w:lang w:val="es-ES"/>
        </w:rPr>
        <w:t> </w:t>
      </w:r>
      <w:r w:rsidRPr="00A37E65">
        <w:rPr>
          <w:lang w:val="es-ES"/>
        </w:rPr>
        <w:t>157 (Rev.</w:t>
      </w:r>
      <w:r w:rsidR="006F5ACD">
        <w:rPr>
          <w:lang w:val="es-ES"/>
        </w:rPr>
        <w:t> </w:t>
      </w:r>
      <w:r w:rsidRPr="00A37E65">
        <w:rPr>
          <w:lang w:val="es-ES"/>
        </w:rPr>
        <w:t xml:space="preserve">Bucarest, 2022) de la Conferencia de Plenipotenciarios, la Oficina de Desarrollo de las Telecomunicaciones de la UIT (BDT) tiene la responsabilidad de cumplir el mandato </w:t>
      </w:r>
      <w:r w:rsidR="00E578D0" w:rsidRPr="00A37E65">
        <w:rPr>
          <w:lang w:val="es-ES"/>
        </w:rPr>
        <w:t>de</w:t>
      </w:r>
      <w:r w:rsidRPr="00A37E65">
        <w:rPr>
          <w:lang w:val="es-ES"/>
        </w:rPr>
        <w:t xml:space="preserve"> la UIT </w:t>
      </w:r>
      <w:r w:rsidR="00E578D0" w:rsidRPr="00A37E65">
        <w:rPr>
          <w:lang w:val="es-ES"/>
        </w:rPr>
        <w:t xml:space="preserve">respecto de </w:t>
      </w:r>
      <w:r w:rsidR="00EC5E3C" w:rsidRPr="00A37E65">
        <w:rPr>
          <w:lang w:val="es-ES"/>
        </w:rPr>
        <w:t>l</w:t>
      </w:r>
      <w:r w:rsidRPr="00A37E65">
        <w:rPr>
          <w:lang w:val="es-ES"/>
        </w:rPr>
        <w:t xml:space="preserve">a ejecución de proyectos </w:t>
      </w:r>
      <w:r w:rsidR="00E578D0" w:rsidRPr="00A37E65">
        <w:rPr>
          <w:lang w:val="es-ES"/>
        </w:rPr>
        <w:t xml:space="preserve">en el marco </w:t>
      </w:r>
      <w:r w:rsidRPr="00A37E65">
        <w:rPr>
          <w:lang w:val="es-ES"/>
        </w:rPr>
        <w:t xml:space="preserve">del sistema de las Naciones Unidas </w:t>
      </w:r>
      <w:r w:rsidR="00E578D0" w:rsidRPr="00A37E65">
        <w:rPr>
          <w:lang w:val="es-ES"/>
        </w:rPr>
        <w:t xml:space="preserve">para </w:t>
      </w:r>
      <w:r w:rsidR="00EC5E3C" w:rsidRPr="00A37E65">
        <w:rPr>
          <w:lang w:val="es-ES"/>
        </w:rPr>
        <w:t xml:space="preserve">el </w:t>
      </w:r>
      <w:r w:rsidR="00E578D0" w:rsidRPr="00A37E65">
        <w:rPr>
          <w:lang w:val="es-ES"/>
        </w:rPr>
        <w:t xml:space="preserve">desarrollo </w:t>
      </w:r>
      <w:r w:rsidRPr="00A37E65">
        <w:rPr>
          <w:lang w:val="es-ES"/>
        </w:rPr>
        <w:t>y de otras iniciativas de financiación</w:t>
      </w:r>
      <w:r w:rsidR="007224EB" w:rsidRPr="00A37E65">
        <w:rPr>
          <w:lang w:val="es-ES"/>
        </w:rPr>
        <w:t>,</w:t>
      </w:r>
      <w:r w:rsidRPr="00A37E65">
        <w:rPr>
          <w:lang w:val="es-ES"/>
        </w:rPr>
        <w:t xml:space="preserve"> con objeto de facilitar y potenciar el desarrollo de las telecomunicaciones/tecnologías de la información y la comunicación </w:t>
      </w:r>
      <w:r w:rsidR="003A5860" w:rsidRPr="00A37E65">
        <w:rPr>
          <w:lang w:val="es-ES"/>
        </w:rPr>
        <w:t xml:space="preserve">(TIC) </w:t>
      </w:r>
      <w:r w:rsidRPr="00A37E65">
        <w:rPr>
          <w:lang w:val="es-ES"/>
        </w:rPr>
        <w:t>ofreciendo, organizando y coordinando actividades de cooperación y asistencia técnica</w:t>
      </w:r>
      <w:r w:rsidR="00791835" w:rsidRPr="00A37E65">
        <w:rPr>
          <w:lang w:val="es-ES"/>
        </w:rPr>
        <w:t>s</w:t>
      </w:r>
      <w:r w:rsidRPr="00A37E65">
        <w:rPr>
          <w:lang w:val="es-ES"/>
        </w:rPr>
        <w:t>. En el presente informe se resume la situación de la cartera de proyectos de la UIT</w:t>
      </w:r>
      <w:r w:rsidR="004B6513" w:rsidRPr="00A37E65">
        <w:rPr>
          <w:rStyle w:val="FootnoteReference"/>
          <w:rFonts w:cstheme="minorHAnsi"/>
          <w:szCs w:val="18"/>
          <w:lang w:val="es-ES"/>
        </w:rPr>
        <w:footnoteReference w:id="1"/>
      </w:r>
      <w:r w:rsidRPr="00A37E65">
        <w:rPr>
          <w:lang w:val="es-ES"/>
        </w:rPr>
        <w:t xml:space="preserve"> para el periodo comprendido entre </w:t>
      </w:r>
      <w:r w:rsidR="000E47E7" w:rsidRPr="00A37E65">
        <w:rPr>
          <w:lang w:val="es-ES"/>
        </w:rPr>
        <w:t>enero</w:t>
      </w:r>
      <w:r w:rsidRPr="00A37E65">
        <w:rPr>
          <w:lang w:val="es-ES"/>
        </w:rPr>
        <w:t xml:space="preserve"> y </w:t>
      </w:r>
      <w:r w:rsidR="000E47E7" w:rsidRPr="00A37E65">
        <w:rPr>
          <w:lang w:val="es-ES"/>
        </w:rPr>
        <w:t xml:space="preserve">diciembre </w:t>
      </w:r>
      <w:r w:rsidRPr="00A37E65">
        <w:rPr>
          <w:lang w:val="es-ES"/>
        </w:rPr>
        <w:t>de 202</w:t>
      </w:r>
      <w:r w:rsidR="000E47E7" w:rsidRPr="00A37E65">
        <w:rPr>
          <w:lang w:val="es-ES"/>
        </w:rPr>
        <w:t>2</w:t>
      </w:r>
      <w:r w:rsidR="00915BF5" w:rsidRPr="00A37E65">
        <w:rPr>
          <w:rStyle w:val="FootnoteReference"/>
          <w:rFonts w:cstheme="minorHAnsi"/>
          <w:szCs w:val="18"/>
          <w:lang w:val="es-ES"/>
        </w:rPr>
        <w:footnoteReference w:id="2"/>
      </w:r>
      <w:r w:rsidR="000E47E7" w:rsidRPr="00A37E65">
        <w:rPr>
          <w:lang w:val="es-ES"/>
        </w:rPr>
        <w:t>.</w:t>
      </w:r>
    </w:p>
    <w:p w14:paraId="4F4E11F8" w14:textId="416DEA55" w:rsidR="0061493A" w:rsidRPr="00A37E65" w:rsidRDefault="00D15309" w:rsidP="009B7B36">
      <w:pPr>
        <w:pStyle w:val="Heading1"/>
        <w:numPr>
          <w:ilvl w:val="0"/>
          <w:numId w:val="2"/>
        </w:numPr>
        <w:spacing w:before="120" w:after="120"/>
        <w:ind w:left="357" w:hanging="357"/>
        <w:textAlignment w:val="auto"/>
        <w:rPr>
          <w:rFonts w:cstheme="minorHAnsi"/>
          <w:sz w:val="24"/>
          <w:szCs w:val="24"/>
          <w:lang w:val="es-ES"/>
        </w:rPr>
      </w:pPr>
      <w:r w:rsidRPr="00A37E65">
        <w:rPr>
          <w:lang w:val="es-ES"/>
        </w:rPr>
        <w:t>Fuentes de financiación para los proyectos de la UIT en curso</w:t>
      </w:r>
    </w:p>
    <w:p w14:paraId="011439A1" w14:textId="5ED71071" w:rsidR="0061493A" w:rsidRPr="00A37E65" w:rsidRDefault="00D15309" w:rsidP="009B7B36">
      <w:pPr>
        <w:spacing w:after="120"/>
        <w:rPr>
          <w:rFonts w:cstheme="minorHAnsi"/>
          <w:szCs w:val="24"/>
          <w:lang w:val="es-ES"/>
        </w:rPr>
      </w:pPr>
      <w:r w:rsidRPr="00A37E65">
        <w:rPr>
          <w:rFonts w:cstheme="minorHAnsi"/>
          <w:szCs w:val="24"/>
          <w:lang w:val="es-ES"/>
        </w:rPr>
        <w:t xml:space="preserve">La UIT no es una institución de financiación, por lo que sus proyectos se financian en su mayor parte con cargo a recursos extrapresupuestarios movilizados por la Unión en apoyo de los Estados Miembros de la UIT </w:t>
      </w:r>
      <w:r w:rsidR="00EB7F4B" w:rsidRPr="00A37E65">
        <w:rPr>
          <w:rFonts w:cstheme="minorHAnsi"/>
          <w:szCs w:val="24"/>
          <w:lang w:val="es-ES"/>
        </w:rPr>
        <w:t>(</w:t>
      </w:r>
      <w:r w:rsidRPr="00A37E65">
        <w:rPr>
          <w:rFonts w:cstheme="minorHAnsi"/>
          <w:szCs w:val="24"/>
          <w:lang w:val="es-ES"/>
        </w:rPr>
        <w:t>fondos fiduciarios y contribuciones voluntarias</w:t>
      </w:r>
      <w:r w:rsidR="00EB7F4B" w:rsidRPr="00A37E65">
        <w:rPr>
          <w:rFonts w:cstheme="minorHAnsi"/>
          <w:szCs w:val="24"/>
          <w:lang w:val="es-ES"/>
        </w:rPr>
        <w:t xml:space="preserve">). </w:t>
      </w:r>
      <w:r w:rsidRPr="00A37E65">
        <w:rPr>
          <w:rFonts w:cstheme="minorHAnsi"/>
          <w:szCs w:val="24"/>
          <w:lang w:val="es-ES"/>
        </w:rPr>
        <w:t xml:space="preserve">En algunos casos, y de acuerdo con las normas y los reglamentos internos de la UIT, la Unión también puede </w:t>
      </w:r>
      <w:r w:rsidR="00E7271A" w:rsidRPr="00A37E65">
        <w:rPr>
          <w:rFonts w:cstheme="minorHAnsi"/>
          <w:szCs w:val="24"/>
          <w:lang w:val="es-ES"/>
        </w:rPr>
        <w:t>utiliza</w:t>
      </w:r>
      <w:r w:rsidRPr="00A37E65">
        <w:rPr>
          <w:rFonts w:cstheme="minorHAnsi"/>
          <w:szCs w:val="24"/>
          <w:lang w:val="es-ES"/>
        </w:rPr>
        <w:t xml:space="preserve">r capital del </w:t>
      </w:r>
      <w:r w:rsidRPr="00A37E65">
        <w:rPr>
          <w:color w:val="000000"/>
          <w:lang w:val="es-ES"/>
        </w:rPr>
        <w:t>Fondo para el Desarrollo de las TIC</w:t>
      </w:r>
      <w:r w:rsidRPr="00A37E65">
        <w:rPr>
          <w:rFonts w:cstheme="minorHAnsi"/>
          <w:szCs w:val="24"/>
          <w:lang w:val="es-ES"/>
        </w:rPr>
        <w:t xml:space="preserve"> </w:t>
      </w:r>
      <w:r w:rsidR="0061493A" w:rsidRPr="00A37E65">
        <w:rPr>
          <w:rFonts w:cstheme="minorHAnsi"/>
          <w:szCs w:val="24"/>
          <w:lang w:val="es-ES"/>
        </w:rPr>
        <w:t>(</w:t>
      </w:r>
      <w:r w:rsidRPr="00A37E65">
        <w:rPr>
          <w:rFonts w:cstheme="minorHAnsi"/>
          <w:szCs w:val="24"/>
          <w:lang w:val="es-ES"/>
        </w:rPr>
        <w:t>FD</w:t>
      </w:r>
      <w:r w:rsidR="007B0E9D" w:rsidRPr="00A37E65">
        <w:rPr>
          <w:rFonts w:cstheme="minorHAnsi"/>
          <w:szCs w:val="24"/>
          <w:lang w:val="es-ES"/>
        </w:rPr>
        <w:t>-</w:t>
      </w:r>
      <w:r w:rsidRPr="00A37E65">
        <w:rPr>
          <w:rFonts w:cstheme="minorHAnsi"/>
          <w:szCs w:val="24"/>
          <w:lang w:val="es-ES"/>
        </w:rPr>
        <w:t>TIC</w:t>
      </w:r>
      <w:r w:rsidR="0061493A" w:rsidRPr="00A37E65">
        <w:rPr>
          <w:rFonts w:cstheme="minorHAnsi"/>
          <w:szCs w:val="24"/>
          <w:lang w:val="es-ES"/>
        </w:rPr>
        <w:t>)</w:t>
      </w:r>
      <w:r w:rsidR="0061493A" w:rsidRPr="00A37E65">
        <w:rPr>
          <w:rStyle w:val="FootnoteReference"/>
          <w:rFonts w:cstheme="minorHAnsi"/>
          <w:szCs w:val="18"/>
          <w:lang w:val="es-ES"/>
        </w:rPr>
        <w:footnoteReference w:id="3"/>
      </w:r>
      <w:r w:rsidR="0061493A" w:rsidRPr="00A37E65">
        <w:rPr>
          <w:rFonts w:cstheme="minorHAnsi"/>
          <w:szCs w:val="24"/>
          <w:lang w:val="es-ES"/>
        </w:rPr>
        <w:t xml:space="preserve">, </w:t>
      </w:r>
      <w:r w:rsidRPr="00A37E65">
        <w:rPr>
          <w:rFonts w:cstheme="minorHAnsi"/>
          <w:szCs w:val="24"/>
          <w:lang w:val="es-ES"/>
        </w:rPr>
        <w:t xml:space="preserve">gestionado por la UIT, y fondos para proyectos </w:t>
      </w:r>
      <w:r w:rsidR="0088448F" w:rsidRPr="00A37E65">
        <w:rPr>
          <w:rFonts w:cstheme="minorHAnsi"/>
          <w:szCs w:val="24"/>
          <w:lang w:val="es-ES"/>
        </w:rPr>
        <w:t>atribuidos</w:t>
      </w:r>
      <w:r w:rsidRPr="00A37E65">
        <w:rPr>
          <w:rFonts w:cstheme="minorHAnsi"/>
          <w:szCs w:val="24"/>
          <w:lang w:val="es-ES"/>
        </w:rPr>
        <w:t xml:space="preserve"> por el Consejo de la UIT</w:t>
      </w:r>
      <w:r w:rsidR="0061493A" w:rsidRPr="00A37E65">
        <w:rPr>
          <w:rFonts w:cstheme="minorHAnsi"/>
          <w:szCs w:val="24"/>
          <w:lang w:val="es-ES"/>
        </w:rPr>
        <w:t>.</w:t>
      </w:r>
    </w:p>
    <w:p w14:paraId="7FF3837E" w14:textId="62FC62EE" w:rsidR="0061493A" w:rsidRDefault="008D186A" w:rsidP="009B7B36">
      <w:pPr>
        <w:spacing w:after="120"/>
        <w:rPr>
          <w:rFonts w:cstheme="minorHAnsi"/>
          <w:szCs w:val="24"/>
          <w:lang w:val="es-ES"/>
        </w:rPr>
      </w:pPr>
      <w:r w:rsidRPr="00A37E65">
        <w:rPr>
          <w:rFonts w:cstheme="minorHAnsi"/>
          <w:szCs w:val="24"/>
          <w:lang w:val="es-ES"/>
        </w:rPr>
        <w:t xml:space="preserve">De acuerdo con el </w:t>
      </w:r>
      <w:r w:rsidR="003A5860" w:rsidRPr="00A37E65">
        <w:rPr>
          <w:rFonts w:cstheme="minorHAnsi"/>
          <w:szCs w:val="24"/>
          <w:lang w:val="es-ES"/>
        </w:rPr>
        <w:t xml:space="preserve">actual </w:t>
      </w:r>
      <w:r w:rsidRPr="00A37E65">
        <w:rPr>
          <w:rFonts w:cstheme="minorHAnsi"/>
          <w:szCs w:val="24"/>
          <w:lang w:val="es-ES"/>
        </w:rPr>
        <w:t xml:space="preserve">presupuesto de ejecución de proyectos al 31 de diciembre de </w:t>
      </w:r>
      <w:r w:rsidR="0061493A" w:rsidRPr="00A37E65">
        <w:rPr>
          <w:rFonts w:cstheme="minorHAnsi"/>
          <w:szCs w:val="24"/>
          <w:lang w:val="es-ES"/>
        </w:rPr>
        <w:t xml:space="preserve">2022, </w:t>
      </w:r>
      <w:r w:rsidRPr="00A37E65">
        <w:rPr>
          <w:rFonts w:cstheme="minorHAnsi"/>
          <w:szCs w:val="24"/>
          <w:lang w:val="es-ES"/>
        </w:rPr>
        <w:t xml:space="preserve">aproximadamente el 90% de la financiación de los proyectos </w:t>
      </w:r>
      <w:r w:rsidR="003A5860" w:rsidRPr="00A37E65">
        <w:rPr>
          <w:rFonts w:cstheme="minorHAnsi"/>
          <w:szCs w:val="24"/>
          <w:lang w:val="es-ES"/>
        </w:rPr>
        <w:t xml:space="preserve">en curso </w:t>
      </w:r>
      <w:r w:rsidRPr="00A37E65">
        <w:rPr>
          <w:rFonts w:cstheme="minorHAnsi"/>
          <w:szCs w:val="24"/>
          <w:lang w:val="es-ES"/>
        </w:rPr>
        <w:t>de la UIT proviene de fondos fiduciarios, el 6%, de fondos del FD</w:t>
      </w:r>
      <w:r w:rsidR="007B0E9D" w:rsidRPr="00A37E65">
        <w:rPr>
          <w:rFonts w:cstheme="minorHAnsi"/>
          <w:szCs w:val="24"/>
          <w:lang w:val="es-ES"/>
        </w:rPr>
        <w:t>-</w:t>
      </w:r>
      <w:r w:rsidRPr="00A37E65">
        <w:rPr>
          <w:rFonts w:cstheme="minorHAnsi"/>
          <w:szCs w:val="24"/>
          <w:lang w:val="es-ES"/>
        </w:rPr>
        <w:t xml:space="preserve">TIC y el 4%, de fondos </w:t>
      </w:r>
      <w:r w:rsidR="0088448F" w:rsidRPr="00A37E65">
        <w:rPr>
          <w:rFonts w:cstheme="minorHAnsi"/>
          <w:szCs w:val="24"/>
          <w:lang w:val="es-ES"/>
        </w:rPr>
        <w:t xml:space="preserve">atribuidos </w:t>
      </w:r>
      <w:r w:rsidRPr="00A37E65">
        <w:rPr>
          <w:rFonts w:cstheme="minorHAnsi"/>
          <w:szCs w:val="24"/>
          <w:lang w:val="es-ES"/>
        </w:rPr>
        <w:t xml:space="preserve">por el Consejo de 2018 para la aplicación de </w:t>
      </w:r>
      <w:r w:rsidR="003A5860" w:rsidRPr="00A37E65">
        <w:rPr>
          <w:rFonts w:cstheme="minorHAnsi"/>
          <w:szCs w:val="24"/>
          <w:lang w:val="es-ES"/>
        </w:rPr>
        <w:t>I</w:t>
      </w:r>
      <w:r w:rsidRPr="00A37E65">
        <w:rPr>
          <w:rFonts w:cstheme="minorHAnsi"/>
          <w:szCs w:val="24"/>
          <w:lang w:val="es-ES"/>
        </w:rPr>
        <w:t xml:space="preserve">niciativas </w:t>
      </w:r>
      <w:r w:rsidR="003A5860" w:rsidRPr="00A37E65">
        <w:rPr>
          <w:rFonts w:cstheme="minorHAnsi"/>
          <w:szCs w:val="24"/>
          <w:lang w:val="es-ES"/>
        </w:rPr>
        <w:t>R</w:t>
      </w:r>
      <w:r w:rsidRPr="00A37E65">
        <w:rPr>
          <w:rFonts w:cstheme="minorHAnsi"/>
          <w:szCs w:val="24"/>
          <w:lang w:val="es-ES"/>
        </w:rPr>
        <w:t>egionales (véase la Figura</w:t>
      </w:r>
      <w:r w:rsidR="0061493A" w:rsidRPr="00A37E65">
        <w:rPr>
          <w:rFonts w:cstheme="minorHAnsi"/>
          <w:szCs w:val="24"/>
          <w:lang w:val="es-ES"/>
        </w:rPr>
        <w:t> </w:t>
      </w:r>
      <w:r w:rsidR="008B3128" w:rsidRPr="00A37E65">
        <w:rPr>
          <w:rFonts w:cstheme="minorHAnsi"/>
          <w:szCs w:val="24"/>
          <w:lang w:val="es-ES"/>
        </w:rPr>
        <w:t>1</w:t>
      </w:r>
      <w:r w:rsidR="0061493A" w:rsidRPr="00A37E65">
        <w:rPr>
          <w:rFonts w:cstheme="minorHAnsi"/>
          <w:szCs w:val="24"/>
          <w:lang w:val="es-ES"/>
        </w:rPr>
        <w:t>).</w:t>
      </w:r>
    </w:p>
    <w:p w14:paraId="295E4B68" w14:textId="1B0DA8B7" w:rsidR="0061493A" w:rsidRPr="00A37E65" w:rsidRDefault="002143BC" w:rsidP="0061493A">
      <w:pPr>
        <w:spacing w:before="240" w:after="120"/>
        <w:jc w:val="center"/>
        <w:rPr>
          <w:rFonts w:cstheme="minorHAnsi"/>
          <w:b/>
          <w:szCs w:val="24"/>
          <w:lang w:val="es-ES"/>
        </w:rPr>
      </w:pPr>
      <w:r w:rsidRPr="00A37E65">
        <w:rPr>
          <w:rFonts w:cstheme="minorHAnsi"/>
          <w:b/>
          <w:szCs w:val="24"/>
          <w:lang w:val="es-ES"/>
        </w:rPr>
        <w:t>Figura</w:t>
      </w:r>
      <w:r w:rsidR="0061493A" w:rsidRPr="00A37E65">
        <w:rPr>
          <w:rFonts w:cstheme="minorHAnsi"/>
          <w:b/>
          <w:szCs w:val="24"/>
          <w:lang w:val="es-ES"/>
        </w:rPr>
        <w:t xml:space="preserve"> </w:t>
      </w:r>
      <w:r w:rsidR="00BD0F1A" w:rsidRPr="00A37E65">
        <w:rPr>
          <w:rFonts w:cstheme="minorHAnsi"/>
          <w:b/>
          <w:szCs w:val="24"/>
          <w:lang w:val="es-ES"/>
        </w:rPr>
        <w:t>1</w:t>
      </w:r>
      <w:r w:rsidR="00BE5781">
        <w:rPr>
          <w:rFonts w:cstheme="minorHAnsi"/>
          <w:b/>
          <w:szCs w:val="24"/>
          <w:lang w:val="es-ES"/>
        </w:rPr>
        <w:t xml:space="preserve"> –</w:t>
      </w:r>
      <w:r w:rsidR="0061493A" w:rsidRPr="00A37E65">
        <w:rPr>
          <w:rFonts w:cstheme="minorHAnsi"/>
          <w:b/>
          <w:szCs w:val="24"/>
          <w:lang w:val="es-ES"/>
        </w:rPr>
        <w:t xml:space="preserve"> </w:t>
      </w:r>
      <w:r w:rsidRPr="00A37E65">
        <w:rPr>
          <w:b/>
          <w:lang w:val="es-ES"/>
        </w:rPr>
        <w:t>Fuentes de financiación para los proyectos de la UIT</w:t>
      </w:r>
      <w:r w:rsidR="00BE5781">
        <w:rPr>
          <w:b/>
          <w:lang w:val="es-ES"/>
        </w:rPr>
        <w:br/>
      </w:r>
      <w:r w:rsidRPr="00A37E65">
        <w:rPr>
          <w:b/>
          <w:lang w:val="es-ES"/>
        </w:rPr>
        <w:t>(proyectos en curso</w:t>
      </w:r>
      <w:r w:rsidR="0061493A" w:rsidRPr="00A37E65">
        <w:rPr>
          <w:rFonts w:cstheme="minorHAnsi"/>
          <w:b/>
          <w:szCs w:val="24"/>
          <w:lang w:val="es-ES"/>
        </w:rPr>
        <w:t>)</w:t>
      </w:r>
    </w:p>
    <w:p w14:paraId="217F8D94" w14:textId="0238C0E3" w:rsidR="0061493A" w:rsidRPr="00A37E65" w:rsidRDefault="009C01D5" w:rsidP="009C01D5">
      <w:pPr>
        <w:widowControl w:val="0"/>
        <w:spacing w:after="120"/>
        <w:jc w:val="center"/>
        <w:rPr>
          <w:rFonts w:cstheme="minorBidi"/>
          <w:lang w:val="es-ES"/>
        </w:rPr>
      </w:pPr>
      <w:r>
        <w:rPr>
          <w:noProof/>
          <w:lang w:val="es-ES" w:eastAsia="es-ES"/>
        </w:rPr>
        <mc:AlternateContent>
          <mc:Choice Requires="wps">
            <w:drawing>
              <wp:anchor distT="0" distB="0" distL="114300" distR="114300" simplePos="0" relativeHeight="251659264" behindDoc="0" locked="0" layoutInCell="1" allowOverlap="1" wp14:anchorId="564C87F9" wp14:editId="7F021397">
                <wp:simplePos x="0" y="0"/>
                <wp:positionH relativeFrom="column">
                  <wp:posOffset>3850005</wp:posOffset>
                </wp:positionH>
                <wp:positionV relativeFrom="paragraph">
                  <wp:posOffset>737870</wp:posOffset>
                </wp:positionV>
                <wp:extent cx="1141171" cy="756000"/>
                <wp:effectExtent l="0" t="0" r="1905" b="6350"/>
                <wp:wrapNone/>
                <wp:docPr id="5" name="Text Box 5"/>
                <wp:cNvGraphicFramePr/>
                <a:graphic xmlns:a="http://schemas.openxmlformats.org/drawingml/2006/main">
                  <a:graphicData uri="http://schemas.microsoft.com/office/word/2010/wordprocessingShape">
                    <wps:wsp>
                      <wps:cNvSpPr txBox="1"/>
                      <wps:spPr>
                        <a:xfrm>
                          <a:off x="0" y="0"/>
                          <a:ext cx="1141171" cy="756000"/>
                        </a:xfrm>
                        <a:prstGeom prst="rect">
                          <a:avLst/>
                        </a:prstGeom>
                        <a:solidFill>
                          <a:schemeClr val="bg1"/>
                        </a:solidFill>
                        <a:ln w="6350">
                          <a:noFill/>
                        </a:ln>
                      </wps:spPr>
                      <wps:txbx>
                        <w:txbxContent>
                          <w:p w14:paraId="130BC6D7" w14:textId="2DB1097B" w:rsidR="00BE5781" w:rsidRDefault="00BE5781" w:rsidP="00BE5781">
                            <w:pPr>
                              <w:ind w:left="-57"/>
                              <w:rPr>
                                <w:rFonts w:cstheme="minorBidi"/>
                                <w:sz w:val="16"/>
                                <w:szCs w:val="16"/>
                                <w:lang w:val="es-ES"/>
                              </w:rPr>
                            </w:pPr>
                            <w:r w:rsidRPr="009C01D5">
                              <w:rPr>
                                <w:rFonts w:cstheme="minorBidi"/>
                                <w:sz w:val="16"/>
                                <w:szCs w:val="16"/>
                                <w:lang w:val="es-ES"/>
                              </w:rPr>
                              <w:t>Fondos fiduciarios</w:t>
                            </w:r>
                          </w:p>
                          <w:p w14:paraId="7BC57279" w14:textId="60C5850A" w:rsidR="00BE5781" w:rsidRDefault="00BE5781" w:rsidP="00BE5781">
                            <w:pPr>
                              <w:spacing w:before="140"/>
                              <w:ind w:left="-57"/>
                              <w:rPr>
                                <w:rFonts w:cstheme="minorBidi"/>
                                <w:sz w:val="16"/>
                                <w:szCs w:val="16"/>
                                <w:lang w:val="es-ES"/>
                              </w:rPr>
                            </w:pPr>
                            <w:r w:rsidRPr="009C01D5">
                              <w:rPr>
                                <w:rFonts w:cstheme="minorBidi"/>
                                <w:sz w:val="16"/>
                                <w:szCs w:val="16"/>
                                <w:lang w:val="es-ES"/>
                              </w:rPr>
                              <w:t>FD-TIC</w:t>
                            </w:r>
                          </w:p>
                          <w:p w14:paraId="308936ED" w14:textId="7FF91E49" w:rsidR="009C01D5" w:rsidRDefault="009C01D5" w:rsidP="00BE5781">
                            <w:pPr>
                              <w:spacing w:before="140"/>
                              <w:ind w:left="-57"/>
                            </w:pPr>
                            <w:r w:rsidRPr="009C01D5">
                              <w:rPr>
                                <w:rFonts w:cstheme="minorBidi"/>
                                <w:sz w:val="16"/>
                                <w:szCs w:val="16"/>
                                <w:lang w:val="es-ES"/>
                              </w:rPr>
                              <w:t>Iniciativas regionales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C87F9" id="_x0000_t202" coordsize="21600,21600" o:spt="202" path="m,l,21600r21600,l21600,xe">
                <v:stroke joinstyle="miter"/>
                <v:path gradientshapeok="t" o:connecttype="rect"/>
              </v:shapetype>
              <v:shape id="Text Box 5" o:spid="_x0000_s1026" type="#_x0000_t202" style="position:absolute;left:0;text-align:left;margin-left:303.15pt;margin-top:58.1pt;width:89.8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" fillcolor="white [3212]" stroked="f" strokeweight=".5pt">
                <v:textbox>
                  <w:txbxContent>
                    <w:p w14:paraId="130BC6D7" w14:textId="2DB1097B" w:rsidR="00BE5781" w:rsidRDefault="00BE5781" w:rsidP="00BE5781">
                      <w:pPr>
                        <w:ind w:left="-57"/>
                        <w:rPr>
                          <w:rFonts w:cstheme="minorBidi"/>
                          <w:sz w:val="16"/>
                          <w:szCs w:val="16"/>
                          <w:lang w:val="es-ES"/>
                        </w:rPr>
                      </w:pPr>
                      <w:r w:rsidRPr="009C01D5">
                        <w:rPr>
                          <w:rFonts w:cstheme="minorBidi"/>
                          <w:sz w:val="16"/>
                          <w:szCs w:val="16"/>
                          <w:lang w:val="es-ES"/>
                        </w:rPr>
                        <w:t>Fondos fiduciarios</w:t>
                      </w:r>
                    </w:p>
                    <w:p w14:paraId="7BC57279" w14:textId="60C5850A" w:rsidR="00BE5781" w:rsidRDefault="00BE5781" w:rsidP="00BE5781">
                      <w:pPr>
                        <w:spacing w:before="140"/>
                        <w:ind w:left="-57"/>
                        <w:rPr>
                          <w:rFonts w:cstheme="minorBidi"/>
                          <w:sz w:val="16"/>
                          <w:szCs w:val="16"/>
                          <w:lang w:val="es-ES"/>
                        </w:rPr>
                      </w:pPr>
                      <w:r w:rsidRPr="009C01D5">
                        <w:rPr>
                          <w:rFonts w:cstheme="minorBidi"/>
                          <w:sz w:val="16"/>
                          <w:szCs w:val="16"/>
                          <w:lang w:val="es-ES"/>
                        </w:rPr>
                        <w:t>FD-TIC</w:t>
                      </w:r>
                    </w:p>
                    <w:p w14:paraId="308936ED" w14:textId="7FF91E49" w:rsidR="009C01D5" w:rsidRDefault="009C01D5" w:rsidP="00BE5781">
                      <w:pPr>
                        <w:spacing w:before="140"/>
                        <w:ind w:left="-57"/>
                      </w:pPr>
                      <w:r w:rsidRPr="009C01D5">
                        <w:rPr>
                          <w:rFonts w:cstheme="minorBidi"/>
                          <w:sz w:val="16"/>
                          <w:szCs w:val="16"/>
                          <w:lang w:val="es-ES"/>
                        </w:rPr>
                        <w:t>Iniciativas regionales</w:t>
                      </w:r>
                    </w:p>
                  </w:txbxContent>
                </v:textbox>
              </v:shape>
            </w:pict>
          </mc:Fallback>
        </mc:AlternateContent>
      </w:r>
      <w:r w:rsidR="0061493A" w:rsidRPr="00A37E65">
        <w:rPr>
          <w:noProof/>
          <w:lang w:val="es-ES" w:eastAsia="es-ES"/>
        </w:rPr>
        <w:drawing>
          <wp:inline distT="0" distB="0" distL="0" distR="0" wp14:anchorId="1F60D5B7" wp14:editId="7A4CAB18">
            <wp:extent cx="3671570" cy="2340000"/>
            <wp:effectExtent l="0" t="0" r="5080" b="3175"/>
            <wp:docPr id="1" name="Chart 1">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673478" w14:textId="01AEA6DE" w:rsidR="0061493A" w:rsidRPr="00A37E65" w:rsidRDefault="001B33FA" w:rsidP="00BE5781">
      <w:pPr>
        <w:pStyle w:val="Heading2"/>
        <w:widowControl w:val="0"/>
        <w:numPr>
          <w:ilvl w:val="1"/>
          <w:numId w:val="2"/>
        </w:numPr>
        <w:tabs>
          <w:tab w:val="clear" w:pos="794"/>
          <w:tab w:val="left" w:pos="360"/>
        </w:tabs>
        <w:spacing w:before="120" w:after="120"/>
        <w:ind w:left="527" w:hanging="527"/>
        <w:textAlignment w:val="auto"/>
        <w:rPr>
          <w:rFonts w:cstheme="minorHAnsi"/>
          <w:b w:val="0"/>
          <w:bCs/>
          <w:szCs w:val="24"/>
          <w:u w:val="single"/>
          <w:lang w:val="es-ES"/>
        </w:rPr>
      </w:pPr>
      <w:r w:rsidRPr="00A37E65">
        <w:rPr>
          <w:rFonts w:cstheme="minorHAnsi"/>
          <w:b w:val="0"/>
          <w:bCs/>
          <w:szCs w:val="24"/>
          <w:u w:val="single"/>
          <w:lang w:val="es-ES"/>
        </w:rPr>
        <w:lastRenderedPageBreak/>
        <w:t>Fondos atribuidos por el Consejo para la ejecución de las iniciativas regionales de la CMDT-17</w:t>
      </w:r>
    </w:p>
    <w:p w14:paraId="5354A0EE" w14:textId="199C4086" w:rsidR="00A049C2" w:rsidRPr="00A37E65" w:rsidRDefault="009D3E94" w:rsidP="009B65CD">
      <w:pPr>
        <w:widowControl w:val="0"/>
        <w:spacing w:after="120"/>
        <w:ind w:right="-57"/>
        <w:rPr>
          <w:rFonts w:cstheme="minorHAnsi"/>
          <w:lang w:val="es-ES"/>
        </w:rPr>
      </w:pPr>
      <w:r w:rsidRPr="00A37E65">
        <w:rPr>
          <w:rFonts w:cstheme="minorHAnsi"/>
          <w:lang w:val="es-ES"/>
        </w:rPr>
        <w:t>En</w:t>
      </w:r>
      <w:r w:rsidR="0061493A" w:rsidRPr="00A37E65">
        <w:rPr>
          <w:rFonts w:cstheme="minorHAnsi"/>
          <w:lang w:val="es-ES"/>
        </w:rPr>
        <w:t xml:space="preserve"> 2022</w:t>
      </w:r>
      <w:r w:rsidRPr="00A37E65">
        <w:rPr>
          <w:rFonts w:cstheme="minorHAnsi"/>
          <w:lang w:val="es-ES"/>
        </w:rPr>
        <w:t>,</w:t>
      </w:r>
      <w:r w:rsidR="0061493A" w:rsidRPr="00A37E65">
        <w:rPr>
          <w:rFonts w:cstheme="minorHAnsi"/>
          <w:lang w:val="es-ES"/>
        </w:rPr>
        <w:t xml:space="preserve"> </w:t>
      </w:r>
      <w:r w:rsidRPr="00A37E65">
        <w:rPr>
          <w:rFonts w:cstheme="minorHAnsi"/>
          <w:lang w:val="es-ES"/>
        </w:rPr>
        <w:t xml:space="preserve">la UIT utilizó la totalidad de los </w:t>
      </w:r>
      <w:r w:rsidR="0061493A" w:rsidRPr="00A37E65">
        <w:rPr>
          <w:rFonts w:cstheme="minorHAnsi"/>
          <w:lang w:val="es-ES"/>
        </w:rPr>
        <w:t xml:space="preserve">5 </w:t>
      </w:r>
      <w:r w:rsidRPr="00A37E65">
        <w:rPr>
          <w:rFonts w:cstheme="minorHAnsi"/>
          <w:lang w:val="es-ES"/>
        </w:rPr>
        <w:t xml:space="preserve">millones CHF </w:t>
      </w:r>
      <w:r w:rsidR="0088448F" w:rsidRPr="00A37E65">
        <w:rPr>
          <w:rFonts w:cstheme="minorHAnsi"/>
          <w:szCs w:val="24"/>
          <w:lang w:val="es-ES"/>
        </w:rPr>
        <w:t>atribuidos</w:t>
      </w:r>
      <w:r w:rsidR="0088448F" w:rsidRPr="00A37E65">
        <w:rPr>
          <w:rFonts w:cstheme="minorHAnsi"/>
          <w:lang w:val="es-ES"/>
        </w:rPr>
        <w:t xml:space="preserve"> </w:t>
      </w:r>
      <w:r w:rsidRPr="00A37E65">
        <w:rPr>
          <w:rFonts w:cstheme="minorHAnsi"/>
          <w:lang w:val="es-ES"/>
        </w:rPr>
        <w:t>por el Consejo para la ejecución de las Iniciativas Regionales de la CMDT-17</w:t>
      </w:r>
      <w:r w:rsidR="0061493A" w:rsidRPr="00A37E65">
        <w:rPr>
          <w:rStyle w:val="FootnoteReference"/>
          <w:rFonts w:cstheme="minorHAnsi"/>
          <w:lang w:val="es-ES"/>
        </w:rPr>
        <w:footnoteReference w:id="4"/>
      </w:r>
      <w:r w:rsidR="0061493A" w:rsidRPr="00A37E65">
        <w:rPr>
          <w:rFonts w:cstheme="minorHAnsi"/>
          <w:lang w:val="es-ES"/>
        </w:rPr>
        <w:t xml:space="preserve">. </w:t>
      </w:r>
      <w:r w:rsidRPr="00A37E65">
        <w:rPr>
          <w:rFonts w:cstheme="minorHAnsi"/>
          <w:lang w:val="es-ES"/>
        </w:rPr>
        <w:t xml:space="preserve">Gracias a estos fondos, se han podido firmar </w:t>
      </w:r>
      <w:r w:rsidR="0061493A" w:rsidRPr="00A37E65">
        <w:rPr>
          <w:rFonts w:cstheme="minorHAnsi"/>
          <w:lang w:val="es-ES"/>
        </w:rPr>
        <w:t>37</w:t>
      </w:r>
      <w:r w:rsidR="004D07FD">
        <w:rPr>
          <w:rFonts w:cstheme="minorHAnsi"/>
          <w:lang w:val="es-ES"/>
        </w:rPr>
        <w:t> </w:t>
      </w:r>
      <w:r w:rsidRPr="00A37E65">
        <w:rPr>
          <w:rFonts w:cstheme="minorHAnsi"/>
          <w:lang w:val="es-ES"/>
        </w:rPr>
        <w:t xml:space="preserve">proyectos valorados en </w:t>
      </w:r>
      <w:r w:rsidR="0061493A" w:rsidRPr="00A37E65">
        <w:rPr>
          <w:rFonts w:cstheme="minorHAnsi"/>
          <w:lang w:val="es-ES"/>
        </w:rPr>
        <w:t>13</w:t>
      </w:r>
      <w:r w:rsidRPr="00A37E65">
        <w:rPr>
          <w:rFonts w:cstheme="minorHAnsi"/>
          <w:lang w:val="es-ES"/>
        </w:rPr>
        <w:t>,</w:t>
      </w:r>
      <w:r w:rsidR="0061493A" w:rsidRPr="00A37E65">
        <w:rPr>
          <w:rFonts w:cstheme="minorHAnsi"/>
          <w:lang w:val="es-ES"/>
        </w:rPr>
        <w:t>5</w:t>
      </w:r>
      <w:r w:rsidR="009B65CD">
        <w:rPr>
          <w:rFonts w:cstheme="minorHAnsi"/>
          <w:lang w:val="es-ES"/>
        </w:rPr>
        <w:t> </w:t>
      </w:r>
      <w:r w:rsidRPr="00A37E65">
        <w:rPr>
          <w:rFonts w:cstheme="minorHAnsi"/>
          <w:lang w:val="es-ES"/>
        </w:rPr>
        <w:t xml:space="preserve">millones CHF </w:t>
      </w:r>
      <w:r w:rsidR="0061493A" w:rsidRPr="00A37E65">
        <w:rPr>
          <w:rFonts w:cstheme="minorHAnsi"/>
          <w:lang w:val="es-ES"/>
        </w:rPr>
        <w:t>(</w:t>
      </w:r>
      <w:r w:rsidRPr="00A37E65">
        <w:rPr>
          <w:rFonts w:cstheme="minorHAnsi"/>
          <w:lang w:val="es-ES"/>
        </w:rPr>
        <w:t>si se tienen en cuenta únicamente las contribuciones en efectivo de los asociados</w:t>
      </w:r>
      <w:r w:rsidR="0061493A" w:rsidRPr="00A37E65">
        <w:rPr>
          <w:rFonts w:cstheme="minorHAnsi"/>
          <w:lang w:val="es-ES"/>
        </w:rPr>
        <w:t>)</w:t>
      </w:r>
      <w:r w:rsidR="00200EFF" w:rsidRPr="00A37E65">
        <w:rPr>
          <w:rFonts w:cstheme="minorHAnsi"/>
          <w:lang w:val="es-ES"/>
        </w:rPr>
        <w:t xml:space="preserve">: </w:t>
      </w:r>
      <w:r w:rsidR="0061493A" w:rsidRPr="00A37E65">
        <w:rPr>
          <w:rFonts w:cstheme="minorHAnsi"/>
          <w:lang w:val="es-ES"/>
        </w:rPr>
        <w:t xml:space="preserve">18 </w:t>
      </w:r>
      <w:r w:rsidR="00200EFF" w:rsidRPr="00A37E65">
        <w:rPr>
          <w:rFonts w:cstheme="minorHAnsi"/>
          <w:lang w:val="es-ES"/>
        </w:rPr>
        <w:t xml:space="preserve">de ellos </w:t>
      </w:r>
      <w:r w:rsidR="0061493A" w:rsidRPr="00A37E65">
        <w:rPr>
          <w:rFonts w:cstheme="minorHAnsi"/>
          <w:lang w:val="es-ES"/>
        </w:rPr>
        <w:t>(</w:t>
      </w:r>
      <w:r w:rsidR="00200EFF" w:rsidRPr="00A37E65">
        <w:rPr>
          <w:rFonts w:cstheme="minorHAnsi"/>
          <w:lang w:val="es-ES"/>
        </w:rPr>
        <w:t xml:space="preserve">esto es, el </w:t>
      </w:r>
      <w:r w:rsidR="0061493A" w:rsidRPr="00A37E65">
        <w:rPr>
          <w:rFonts w:cstheme="minorHAnsi"/>
          <w:lang w:val="es-ES"/>
        </w:rPr>
        <w:t xml:space="preserve">48%) </w:t>
      </w:r>
      <w:r w:rsidR="00200EFF" w:rsidRPr="00A37E65">
        <w:rPr>
          <w:rFonts w:cstheme="minorHAnsi"/>
          <w:lang w:val="es-ES"/>
        </w:rPr>
        <w:t xml:space="preserve">ya han completado sus actividades, y los otros 19 </w:t>
      </w:r>
      <w:r w:rsidR="0061493A" w:rsidRPr="00A37E65">
        <w:rPr>
          <w:rFonts w:cstheme="minorHAnsi"/>
          <w:lang w:val="es-ES"/>
        </w:rPr>
        <w:t>(</w:t>
      </w:r>
      <w:r w:rsidR="00200EFF" w:rsidRPr="00A37E65">
        <w:rPr>
          <w:rFonts w:cstheme="minorHAnsi"/>
          <w:lang w:val="es-ES"/>
        </w:rPr>
        <w:t xml:space="preserve">es decir, el </w:t>
      </w:r>
      <w:r w:rsidR="0061493A" w:rsidRPr="00A37E65">
        <w:rPr>
          <w:rFonts w:cstheme="minorHAnsi"/>
          <w:lang w:val="es-ES"/>
        </w:rPr>
        <w:t xml:space="preserve">52%) </w:t>
      </w:r>
      <w:r w:rsidR="00200EFF" w:rsidRPr="00A37E65">
        <w:rPr>
          <w:rFonts w:cstheme="minorHAnsi"/>
          <w:lang w:val="es-ES"/>
        </w:rPr>
        <w:t xml:space="preserve">concluirán sus operaciones en </w:t>
      </w:r>
      <w:r w:rsidR="0061493A" w:rsidRPr="00A37E65">
        <w:rPr>
          <w:rFonts w:cstheme="minorHAnsi"/>
          <w:lang w:val="es-ES"/>
        </w:rPr>
        <w:t>2023 (</w:t>
      </w:r>
      <w:r w:rsidR="00200EFF" w:rsidRPr="00A37E65">
        <w:rPr>
          <w:rFonts w:cstheme="minorHAnsi"/>
          <w:lang w:val="es-ES"/>
        </w:rPr>
        <w:t>véase la Figura</w:t>
      </w:r>
      <w:r w:rsidR="004D07FD">
        <w:rPr>
          <w:rFonts w:cstheme="minorHAnsi"/>
          <w:lang w:val="es-ES"/>
        </w:rPr>
        <w:t> </w:t>
      </w:r>
      <w:r w:rsidR="00585D92" w:rsidRPr="00A37E65">
        <w:rPr>
          <w:rFonts w:cstheme="minorHAnsi"/>
          <w:lang w:val="es-ES"/>
        </w:rPr>
        <w:t>2</w:t>
      </w:r>
      <w:r w:rsidR="0061493A" w:rsidRPr="00A37E65">
        <w:rPr>
          <w:rFonts w:cstheme="minorHAnsi"/>
          <w:lang w:val="es-ES"/>
        </w:rPr>
        <w:t>)</w:t>
      </w:r>
      <w:r w:rsidR="0061493A" w:rsidRPr="00A37E65">
        <w:rPr>
          <w:rStyle w:val="FootnoteReference"/>
          <w:rFonts w:cstheme="minorHAnsi"/>
          <w:lang w:val="es-ES"/>
        </w:rPr>
        <w:footnoteReference w:id="5"/>
      </w:r>
      <w:r w:rsidR="004D07FD">
        <w:rPr>
          <w:rFonts w:cstheme="minorHAnsi"/>
          <w:lang w:val="es-ES"/>
        </w:rPr>
        <w:t>.</w:t>
      </w:r>
    </w:p>
    <w:p w14:paraId="70AEB348" w14:textId="6EA81AEA" w:rsidR="0061493A" w:rsidRPr="00A37E65" w:rsidRDefault="0061493A" w:rsidP="004D1819">
      <w:pPr>
        <w:keepNext/>
        <w:spacing w:before="240" w:after="120"/>
        <w:jc w:val="center"/>
        <w:rPr>
          <w:rFonts w:cstheme="minorHAnsi"/>
          <w:b/>
          <w:szCs w:val="24"/>
          <w:lang w:val="es-ES"/>
        </w:rPr>
      </w:pPr>
      <w:r w:rsidRPr="00A37E65">
        <w:rPr>
          <w:rFonts w:cstheme="minorHAnsi"/>
          <w:b/>
          <w:szCs w:val="24"/>
          <w:lang w:val="es-ES"/>
        </w:rPr>
        <w:t>Figur</w:t>
      </w:r>
      <w:r w:rsidR="0073293C" w:rsidRPr="00A37E65">
        <w:rPr>
          <w:rFonts w:cstheme="minorHAnsi"/>
          <w:b/>
          <w:szCs w:val="24"/>
          <w:lang w:val="es-ES"/>
        </w:rPr>
        <w:t>a</w:t>
      </w:r>
      <w:r w:rsidRPr="00A37E65">
        <w:rPr>
          <w:rFonts w:cstheme="minorHAnsi"/>
          <w:b/>
          <w:szCs w:val="24"/>
          <w:lang w:val="es-ES"/>
        </w:rPr>
        <w:t xml:space="preserve"> </w:t>
      </w:r>
      <w:r w:rsidR="00585D92" w:rsidRPr="00A37E65">
        <w:rPr>
          <w:rFonts w:cstheme="minorHAnsi"/>
          <w:b/>
          <w:szCs w:val="24"/>
          <w:lang w:val="es-ES"/>
        </w:rPr>
        <w:t>2</w:t>
      </w:r>
      <w:r w:rsidR="00E374E1">
        <w:rPr>
          <w:rFonts w:cstheme="minorHAnsi"/>
          <w:b/>
          <w:szCs w:val="24"/>
          <w:lang w:val="es-ES"/>
        </w:rPr>
        <w:t xml:space="preserve"> –</w:t>
      </w:r>
      <w:r w:rsidR="00E374E1" w:rsidRPr="00A37E65">
        <w:rPr>
          <w:rFonts w:cstheme="minorHAnsi"/>
          <w:b/>
          <w:szCs w:val="24"/>
          <w:lang w:val="es-ES"/>
        </w:rPr>
        <w:t xml:space="preserve"> </w:t>
      </w:r>
      <w:r w:rsidR="0073293C" w:rsidRPr="00A37E65">
        <w:rPr>
          <w:rFonts w:cstheme="minorHAnsi"/>
          <w:b/>
          <w:szCs w:val="24"/>
          <w:lang w:val="es-ES"/>
        </w:rPr>
        <w:t>Situación actual de los proyectos financiados con cargo a los fondos aprobados</w:t>
      </w:r>
      <w:r w:rsidR="00BE5781">
        <w:rPr>
          <w:rFonts w:cstheme="minorHAnsi"/>
          <w:b/>
          <w:szCs w:val="24"/>
          <w:lang w:val="es-ES"/>
        </w:rPr>
        <w:br/>
      </w:r>
      <w:r w:rsidR="0073293C" w:rsidRPr="00A37E65">
        <w:rPr>
          <w:rFonts w:cstheme="minorHAnsi"/>
          <w:b/>
          <w:szCs w:val="24"/>
          <w:lang w:val="es-ES"/>
        </w:rPr>
        <w:t>por el Consejo para la ejecución de las Iniciativas Regionales de la CMDT</w:t>
      </w:r>
      <w:r w:rsidRPr="00A37E65">
        <w:rPr>
          <w:rFonts w:cstheme="minorHAnsi"/>
          <w:b/>
          <w:szCs w:val="24"/>
          <w:lang w:val="es-ES"/>
        </w:rPr>
        <w:t>-17</w:t>
      </w:r>
      <w:r w:rsidR="00BE5781">
        <w:rPr>
          <w:rFonts w:cstheme="minorHAnsi"/>
          <w:b/>
          <w:szCs w:val="24"/>
          <w:lang w:val="es-ES"/>
        </w:rPr>
        <w:br/>
      </w:r>
      <w:r w:rsidRPr="00A37E65">
        <w:rPr>
          <w:rFonts w:cstheme="minorHAnsi"/>
          <w:b/>
          <w:szCs w:val="24"/>
          <w:lang w:val="es-ES"/>
        </w:rPr>
        <w:t>(</w:t>
      </w:r>
      <w:r w:rsidR="0073293C" w:rsidRPr="00A37E65">
        <w:rPr>
          <w:rFonts w:cstheme="minorHAnsi"/>
          <w:b/>
          <w:szCs w:val="24"/>
          <w:lang w:val="es-ES"/>
        </w:rPr>
        <w:t xml:space="preserve">cifras en miles de </w:t>
      </w:r>
      <w:r w:rsidRPr="00A37E65">
        <w:rPr>
          <w:rFonts w:cstheme="minorHAnsi"/>
          <w:b/>
          <w:szCs w:val="24"/>
          <w:lang w:val="es-ES"/>
        </w:rPr>
        <w:t>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1077"/>
        <w:gridCol w:w="1928"/>
        <w:gridCol w:w="1701"/>
        <w:gridCol w:w="1538"/>
      </w:tblGrid>
      <w:tr w:rsidR="000B2917" w:rsidRPr="00A37E65" w14:paraId="12C493E6" w14:textId="77777777" w:rsidTr="00BE5781">
        <w:trPr>
          <w:trHeight w:val="497"/>
          <w:jc w:val="center"/>
        </w:trPr>
        <w:tc>
          <w:tcPr>
            <w:tcW w:w="2520" w:type="dxa"/>
            <w:shd w:val="clear" w:color="auto" w:fill="D9D9D9" w:themeFill="background1" w:themeFillShade="D9"/>
            <w:vAlign w:val="center"/>
            <w:hideMark/>
          </w:tcPr>
          <w:p w14:paraId="4C5A674E" w14:textId="03B91D2C" w:rsidR="000B2917" w:rsidRPr="00A37E65" w:rsidRDefault="0073293C" w:rsidP="004D1819">
            <w:pPr>
              <w:keepNext/>
              <w:spacing w:before="60" w:after="60"/>
              <w:jc w:val="center"/>
              <w:rPr>
                <w:rFonts w:cstheme="minorHAnsi"/>
                <w:sz w:val="20"/>
                <w:lang w:val="es-ES"/>
              </w:rPr>
            </w:pPr>
            <w:r w:rsidRPr="00A37E65">
              <w:rPr>
                <w:rFonts w:cstheme="minorHAnsi"/>
                <w:b/>
                <w:bCs/>
                <w:sz w:val="20"/>
                <w:lang w:val="es-ES"/>
              </w:rPr>
              <w:t>Situación</w:t>
            </w:r>
          </w:p>
        </w:tc>
        <w:tc>
          <w:tcPr>
            <w:tcW w:w="1077" w:type="dxa"/>
            <w:shd w:val="clear" w:color="auto" w:fill="D9D9D9" w:themeFill="background1" w:themeFillShade="D9"/>
            <w:vAlign w:val="center"/>
          </w:tcPr>
          <w:p w14:paraId="433A0BCE" w14:textId="396B5843" w:rsidR="000B2917" w:rsidRPr="00A37E65" w:rsidRDefault="0073293C" w:rsidP="004D1819">
            <w:pPr>
              <w:keepNext/>
              <w:spacing w:before="60" w:after="60"/>
              <w:jc w:val="center"/>
              <w:rPr>
                <w:rFonts w:cstheme="minorHAnsi"/>
                <w:b/>
                <w:bCs/>
                <w:sz w:val="20"/>
                <w:lang w:val="es-ES"/>
              </w:rPr>
            </w:pPr>
            <w:r w:rsidRPr="00A37E65">
              <w:rPr>
                <w:rFonts w:cstheme="minorHAnsi"/>
                <w:b/>
                <w:bCs/>
                <w:sz w:val="20"/>
                <w:lang w:val="es-ES"/>
              </w:rPr>
              <w:t>Proyectos</w:t>
            </w:r>
          </w:p>
        </w:tc>
        <w:tc>
          <w:tcPr>
            <w:tcW w:w="1928" w:type="dxa"/>
            <w:shd w:val="clear" w:color="auto" w:fill="D9D9D9" w:themeFill="background1" w:themeFillShade="D9"/>
            <w:vAlign w:val="center"/>
            <w:hideMark/>
          </w:tcPr>
          <w:p w14:paraId="24E3B56E" w14:textId="47D27E03" w:rsidR="000B2917" w:rsidRPr="00A37E65" w:rsidRDefault="0073293C" w:rsidP="004D1819">
            <w:pPr>
              <w:keepNext/>
              <w:spacing w:before="60" w:after="60"/>
              <w:jc w:val="center"/>
              <w:rPr>
                <w:rFonts w:cstheme="minorHAnsi"/>
                <w:b/>
                <w:bCs/>
                <w:sz w:val="20"/>
                <w:lang w:val="es-ES"/>
              </w:rPr>
            </w:pPr>
            <w:r w:rsidRPr="00A37E65">
              <w:rPr>
                <w:rFonts w:cstheme="minorHAnsi"/>
                <w:b/>
                <w:bCs/>
                <w:sz w:val="20"/>
                <w:lang w:val="es-ES"/>
              </w:rPr>
              <w:t>Fondos del Consejo de la UIT</w:t>
            </w:r>
          </w:p>
        </w:tc>
        <w:tc>
          <w:tcPr>
            <w:tcW w:w="1701" w:type="dxa"/>
            <w:shd w:val="clear" w:color="auto" w:fill="D9D9D9" w:themeFill="background1" w:themeFillShade="D9"/>
            <w:vAlign w:val="center"/>
            <w:hideMark/>
          </w:tcPr>
          <w:p w14:paraId="4EB3FD66" w14:textId="78DC11BE" w:rsidR="000B2917" w:rsidRPr="00A37E65" w:rsidRDefault="0073293C" w:rsidP="004D1819">
            <w:pPr>
              <w:keepNext/>
              <w:spacing w:before="60" w:after="60"/>
              <w:jc w:val="center"/>
              <w:rPr>
                <w:rFonts w:cstheme="minorHAnsi"/>
                <w:b/>
                <w:bCs/>
                <w:sz w:val="20"/>
                <w:lang w:val="es-ES"/>
              </w:rPr>
            </w:pPr>
            <w:r w:rsidRPr="00A37E65">
              <w:rPr>
                <w:rFonts w:cstheme="minorHAnsi"/>
                <w:b/>
                <w:bCs/>
                <w:sz w:val="20"/>
                <w:lang w:val="es-ES"/>
              </w:rPr>
              <w:t>Fondos externos</w:t>
            </w:r>
          </w:p>
        </w:tc>
        <w:tc>
          <w:tcPr>
            <w:tcW w:w="1538" w:type="dxa"/>
            <w:shd w:val="clear" w:color="auto" w:fill="D9D9D9" w:themeFill="background1" w:themeFillShade="D9"/>
            <w:vAlign w:val="center"/>
            <w:hideMark/>
          </w:tcPr>
          <w:p w14:paraId="6A0D13FC" w14:textId="539B25EC" w:rsidR="000B2917" w:rsidRPr="00A37E65" w:rsidRDefault="0073293C" w:rsidP="004D1819">
            <w:pPr>
              <w:keepNext/>
              <w:spacing w:before="60" w:after="60"/>
              <w:jc w:val="center"/>
              <w:rPr>
                <w:rFonts w:cstheme="minorHAnsi"/>
                <w:sz w:val="20"/>
                <w:lang w:val="es-ES"/>
              </w:rPr>
            </w:pPr>
            <w:r w:rsidRPr="00A37E65">
              <w:rPr>
                <w:rFonts w:cstheme="minorHAnsi"/>
                <w:b/>
                <w:bCs/>
                <w:sz w:val="20"/>
                <w:lang w:val="es-ES"/>
              </w:rPr>
              <w:t>Total fondos</w:t>
            </w:r>
          </w:p>
        </w:tc>
      </w:tr>
      <w:tr w:rsidR="000B2917" w:rsidRPr="00A37E65" w14:paraId="5DCAC5E2" w14:textId="77777777" w:rsidTr="00BE5781">
        <w:trPr>
          <w:trHeight w:val="61"/>
          <w:jc w:val="center"/>
        </w:trPr>
        <w:tc>
          <w:tcPr>
            <w:tcW w:w="2520" w:type="dxa"/>
            <w:vAlign w:val="center"/>
          </w:tcPr>
          <w:p w14:paraId="1A6AA0DE" w14:textId="10D87BEE" w:rsidR="000B2917" w:rsidRPr="00A37E65" w:rsidRDefault="000B2917" w:rsidP="00BE5781">
            <w:pPr>
              <w:spacing w:before="60" w:after="60"/>
              <w:rPr>
                <w:rFonts w:cstheme="minorHAnsi"/>
                <w:sz w:val="20"/>
                <w:lang w:val="es-ES"/>
              </w:rPr>
            </w:pPr>
            <w:r w:rsidRPr="00A37E65">
              <w:rPr>
                <w:rFonts w:cstheme="minorHAnsi"/>
                <w:sz w:val="20"/>
                <w:lang w:val="es-ES"/>
              </w:rPr>
              <w:t xml:space="preserve">1. </w:t>
            </w:r>
            <w:r w:rsidR="00123D89" w:rsidRPr="00A37E65">
              <w:rPr>
                <w:rFonts w:cstheme="minorHAnsi"/>
                <w:sz w:val="20"/>
                <w:lang w:val="es-ES"/>
              </w:rPr>
              <w:t>Proyectos en curso</w:t>
            </w:r>
          </w:p>
        </w:tc>
        <w:tc>
          <w:tcPr>
            <w:tcW w:w="1077" w:type="dxa"/>
            <w:vAlign w:val="bottom"/>
          </w:tcPr>
          <w:p w14:paraId="07AA34FA" w14:textId="77777777" w:rsidR="000B2917" w:rsidRPr="00A37E65" w:rsidRDefault="000B2917" w:rsidP="001F5C4A">
            <w:pPr>
              <w:spacing w:before="60" w:after="60"/>
              <w:jc w:val="center"/>
              <w:rPr>
                <w:rFonts w:cstheme="minorHAnsi"/>
                <w:sz w:val="20"/>
                <w:lang w:val="es-ES"/>
              </w:rPr>
            </w:pPr>
            <w:r w:rsidRPr="00A37E65">
              <w:rPr>
                <w:rFonts w:cstheme="minorHAnsi"/>
                <w:sz w:val="20"/>
                <w:lang w:val="es-ES"/>
              </w:rPr>
              <w:t>19</w:t>
            </w:r>
          </w:p>
        </w:tc>
        <w:tc>
          <w:tcPr>
            <w:tcW w:w="1928" w:type="dxa"/>
            <w:vAlign w:val="bottom"/>
          </w:tcPr>
          <w:p w14:paraId="27BF0382" w14:textId="5A3EE423" w:rsidR="000B2917" w:rsidRPr="00A37E65" w:rsidRDefault="000B2917" w:rsidP="00123D89">
            <w:pPr>
              <w:spacing w:before="60" w:after="60"/>
              <w:jc w:val="center"/>
              <w:rPr>
                <w:rFonts w:cstheme="minorHAnsi"/>
                <w:sz w:val="20"/>
                <w:lang w:val="es-ES"/>
              </w:rPr>
            </w:pPr>
            <w:r w:rsidRPr="00A37E65">
              <w:rPr>
                <w:rFonts w:cstheme="minorHAnsi"/>
                <w:sz w:val="20"/>
                <w:lang w:val="es-ES"/>
              </w:rPr>
              <w:t>2</w:t>
            </w:r>
            <w:r w:rsidR="00123D89" w:rsidRPr="00A37E65">
              <w:rPr>
                <w:rFonts w:cstheme="minorHAnsi"/>
                <w:sz w:val="20"/>
                <w:lang w:val="es-ES"/>
              </w:rPr>
              <w:t> </w:t>
            </w:r>
            <w:r w:rsidRPr="00A37E65">
              <w:rPr>
                <w:rFonts w:cstheme="minorHAnsi"/>
                <w:sz w:val="20"/>
                <w:lang w:val="es-ES"/>
              </w:rPr>
              <w:t>485</w:t>
            </w:r>
            <w:r w:rsidR="00123D89" w:rsidRPr="00A37E65">
              <w:rPr>
                <w:rFonts w:cstheme="minorHAnsi"/>
                <w:sz w:val="20"/>
                <w:lang w:val="es-ES"/>
              </w:rPr>
              <w:t>,</w:t>
            </w:r>
            <w:r w:rsidRPr="00A37E65">
              <w:rPr>
                <w:rFonts w:cstheme="minorHAnsi"/>
                <w:sz w:val="20"/>
                <w:lang w:val="es-ES"/>
              </w:rPr>
              <w:t>2</w:t>
            </w:r>
          </w:p>
        </w:tc>
        <w:tc>
          <w:tcPr>
            <w:tcW w:w="1701" w:type="dxa"/>
            <w:vAlign w:val="bottom"/>
          </w:tcPr>
          <w:p w14:paraId="65F65DE7" w14:textId="15C4A6FB" w:rsidR="000B2917" w:rsidRPr="00A37E65" w:rsidRDefault="000B2917" w:rsidP="00123D89">
            <w:pPr>
              <w:spacing w:before="60" w:after="60"/>
              <w:jc w:val="center"/>
              <w:rPr>
                <w:rFonts w:cstheme="minorHAnsi"/>
                <w:sz w:val="20"/>
                <w:lang w:val="es-ES"/>
              </w:rPr>
            </w:pPr>
            <w:r w:rsidRPr="00A37E65">
              <w:rPr>
                <w:rFonts w:cstheme="minorHAnsi"/>
                <w:sz w:val="20"/>
                <w:lang w:val="es-ES"/>
              </w:rPr>
              <w:t>6</w:t>
            </w:r>
            <w:r w:rsidR="00123D89" w:rsidRPr="00A37E65">
              <w:rPr>
                <w:rFonts w:cstheme="minorHAnsi"/>
                <w:sz w:val="20"/>
                <w:lang w:val="es-ES"/>
              </w:rPr>
              <w:t> 395,</w:t>
            </w:r>
            <w:r w:rsidRPr="00A37E65">
              <w:rPr>
                <w:rFonts w:cstheme="minorHAnsi"/>
                <w:sz w:val="20"/>
                <w:lang w:val="es-ES"/>
              </w:rPr>
              <w:t>2</w:t>
            </w:r>
          </w:p>
        </w:tc>
        <w:tc>
          <w:tcPr>
            <w:tcW w:w="1538" w:type="dxa"/>
            <w:shd w:val="clear" w:color="auto" w:fill="D9D9D9" w:themeFill="background1" w:themeFillShade="D9"/>
            <w:vAlign w:val="bottom"/>
          </w:tcPr>
          <w:p w14:paraId="377D524B" w14:textId="23E0A6C5" w:rsidR="000B2917" w:rsidRPr="00A37E65" w:rsidRDefault="000B2917" w:rsidP="00123D89">
            <w:pPr>
              <w:spacing w:before="60" w:after="60"/>
              <w:jc w:val="center"/>
              <w:rPr>
                <w:rFonts w:cstheme="minorHAnsi"/>
                <w:b/>
                <w:bCs/>
                <w:sz w:val="20"/>
                <w:lang w:val="es-ES"/>
              </w:rPr>
            </w:pPr>
            <w:r w:rsidRPr="00A37E65">
              <w:rPr>
                <w:rFonts w:cstheme="minorHAnsi"/>
                <w:b/>
                <w:bCs/>
                <w:sz w:val="20"/>
                <w:lang w:val="es-ES"/>
              </w:rPr>
              <w:t>8</w:t>
            </w:r>
            <w:r w:rsidR="00123D89" w:rsidRPr="00A37E65">
              <w:rPr>
                <w:rFonts w:cstheme="minorHAnsi"/>
                <w:b/>
                <w:bCs/>
                <w:sz w:val="20"/>
                <w:lang w:val="es-ES"/>
              </w:rPr>
              <w:t> </w:t>
            </w:r>
            <w:r w:rsidRPr="00A37E65">
              <w:rPr>
                <w:rFonts w:cstheme="minorHAnsi"/>
                <w:b/>
                <w:bCs/>
                <w:sz w:val="20"/>
                <w:lang w:val="es-ES"/>
              </w:rPr>
              <w:t>898</w:t>
            </w:r>
            <w:r w:rsidR="00123D89" w:rsidRPr="00A37E65">
              <w:rPr>
                <w:rFonts w:cstheme="minorHAnsi"/>
                <w:b/>
                <w:bCs/>
                <w:sz w:val="20"/>
                <w:lang w:val="es-ES"/>
              </w:rPr>
              <w:t>,</w:t>
            </w:r>
            <w:r w:rsidRPr="00A37E65">
              <w:rPr>
                <w:rFonts w:cstheme="minorHAnsi"/>
                <w:b/>
                <w:bCs/>
                <w:sz w:val="20"/>
                <w:lang w:val="es-ES"/>
              </w:rPr>
              <w:t>3</w:t>
            </w:r>
          </w:p>
        </w:tc>
      </w:tr>
      <w:tr w:rsidR="000B2917" w:rsidRPr="00A37E65" w14:paraId="1D866B54" w14:textId="77777777" w:rsidTr="00BE5781">
        <w:trPr>
          <w:trHeight w:val="61"/>
          <w:jc w:val="center"/>
        </w:trPr>
        <w:tc>
          <w:tcPr>
            <w:tcW w:w="2520" w:type="dxa"/>
            <w:vAlign w:val="center"/>
          </w:tcPr>
          <w:p w14:paraId="4716699C" w14:textId="170696B6" w:rsidR="000B2917" w:rsidRPr="00A37E65" w:rsidRDefault="000B2917" w:rsidP="00BE5781">
            <w:pPr>
              <w:spacing w:before="60" w:after="60"/>
              <w:rPr>
                <w:rFonts w:cstheme="minorHAnsi"/>
                <w:sz w:val="20"/>
                <w:lang w:val="es-ES"/>
              </w:rPr>
            </w:pPr>
            <w:r w:rsidRPr="00A37E65">
              <w:rPr>
                <w:rFonts w:cstheme="minorHAnsi"/>
                <w:sz w:val="20"/>
                <w:lang w:val="es-ES"/>
              </w:rPr>
              <w:t xml:space="preserve">2. </w:t>
            </w:r>
            <w:r w:rsidR="00123D89" w:rsidRPr="00A37E65">
              <w:rPr>
                <w:rFonts w:cstheme="minorHAnsi"/>
                <w:sz w:val="20"/>
                <w:lang w:val="es-ES"/>
              </w:rPr>
              <w:t>Proyectos ejecutados</w:t>
            </w:r>
          </w:p>
        </w:tc>
        <w:tc>
          <w:tcPr>
            <w:tcW w:w="1077" w:type="dxa"/>
          </w:tcPr>
          <w:p w14:paraId="41DE5ED6" w14:textId="77777777" w:rsidR="000B2917" w:rsidRPr="00A37E65" w:rsidRDefault="000B2917" w:rsidP="001F5C4A">
            <w:pPr>
              <w:spacing w:before="60" w:after="60"/>
              <w:jc w:val="center"/>
              <w:rPr>
                <w:rFonts w:cstheme="minorHAnsi"/>
                <w:sz w:val="20"/>
                <w:lang w:val="es-ES"/>
              </w:rPr>
            </w:pPr>
            <w:r w:rsidRPr="00A37E65">
              <w:rPr>
                <w:sz w:val="20"/>
                <w:lang w:val="es-ES"/>
              </w:rPr>
              <w:t>18</w:t>
            </w:r>
          </w:p>
        </w:tc>
        <w:tc>
          <w:tcPr>
            <w:tcW w:w="1928" w:type="dxa"/>
          </w:tcPr>
          <w:p w14:paraId="0AE9176E" w14:textId="7B71E094" w:rsidR="000B2917" w:rsidRPr="00A37E65" w:rsidRDefault="00123D89" w:rsidP="00123D89">
            <w:pPr>
              <w:spacing w:before="60" w:after="60"/>
              <w:jc w:val="center"/>
              <w:rPr>
                <w:rFonts w:cstheme="minorHAnsi"/>
                <w:sz w:val="20"/>
                <w:lang w:val="es-ES"/>
              </w:rPr>
            </w:pPr>
            <w:r w:rsidRPr="00A37E65">
              <w:rPr>
                <w:rFonts w:cstheme="minorHAnsi"/>
                <w:sz w:val="20"/>
                <w:lang w:val="es-ES"/>
              </w:rPr>
              <w:t>2 489,</w:t>
            </w:r>
            <w:r w:rsidR="000B2917" w:rsidRPr="00A37E65">
              <w:rPr>
                <w:rFonts w:cstheme="minorHAnsi"/>
                <w:sz w:val="20"/>
                <w:lang w:val="es-ES"/>
              </w:rPr>
              <w:t>9</w:t>
            </w:r>
          </w:p>
        </w:tc>
        <w:tc>
          <w:tcPr>
            <w:tcW w:w="1701" w:type="dxa"/>
          </w:tcPr>
          <w:p w14:paraId="2B3488B7" w14:textId="51338DA4" w:rsidR="000B2917" w:rsidRPr="00A37E65" w:rsidRDefault="000B2917" w:rsidP="00123D89">
            <w:pPr>
              <w:spacing w:before="60" w:after="60"/>
              <w:jc w:val="center"/>
              <w:rPr>
                <w:rFonts w:cstheme="minorHAnsi"/>
                <w:sz w:val="20"/>
                <w:lang w:val="es-ES"/>
              </w:rPr>
            </w:pPr>
            <w:r w:rsidRPr="00A37E65">
              <w:rPr>
                <w:rFonts w:cstheme="minorHAnsi"/>
                <w:sz w:val="20"/>
                <w:lang w:val="es-ES"/>
              </w:rPr>
              <w:t>2</w:t>
            </w:r>
            <w:r w:rsidR="00123D89" w:rsidRPr="00A37E65">
              <w:rPr>
                <w:rFonts w:cstheme="minorHAnsi"/>
                <w:sz w:val="20"/>
                <w:lang w:val="es-ES"/>
              </w:rPr>
              <w:t> </w:t>
            </w:r>
            <w:r w:rsidRPr="00A37E65">
              <w:rPr>
                <w:rFonts w:cstheme="minorHAnsi"/>
                <w:sz w:val="20"/>
                <w:lang w:val="es-ES"/>
              </w:rPr>
              <w:t>184</w:t>
            </w:r>
            <w:r w:rsidR="00123D89" w:rsidRPr="00A37E65">
              <w:rPr>
                <w:rFonts w:cstheme="minorHAnsi"/>
                <w:sz w:val="20"/>
                <w:lang w:val="es-ES"/>
              </w:rPr>
              <w:t>,</w:t>
            </w:r>
            <w:r w:rsidRPr="00A37E65">
              <w:rPr>
                <w:rFonts w:cstheme="minorHAnsi"/>
                <w:sz w:val="20"/>
                <w:lang w:val="es-ES"/>
              </w:rPr>
              <w:t>0</w:t>
            </w:r>
          </w:p>
        </w:tc>
        <w:tc>
          <w:tcPr>
            <w:tcW w:w="1538" w:type="dxa"/>
            <w:shd w:val="clear" w:color="auto" w:fill="D9D9D9" w:themeFill="background1" w:themeFillShade="D9"/>
          </w:tcPr>
          <w:p w14:paraId="196D9F56" w14:textId="6A5C49F0" w:rsidR="000B2917" w:rsidRPr="00A37E65" w:rsidRDefault="000B2917" w:rsidP="00123D89">
            <w:pPr>
              <w:spacing w:before="60" w:after="60"/>
              <w:jc w:val="center"/>
              <w:rPr>
                <w:rFonts w:cstheme="minorHAnsi"/>
                <w:b/>
                <w:bCs/>
                <w:sz w:val="20"/>
                <w:lang w:val="es-ES"/>
              </w:rPr>
            </w:pPr>
            <w:r w:rsidRPr="00A37E65">
              <w:rPr>
                <w:rFonts w:cstheme="minorHAnsi"/>
                <w:b/>
                <w:bCs/>
                <w:sz w:val="20"/>
                <w:lang w:val="es-ES"/>
              </w:rPr>
              <w:t>4</w:t>
            </w:r>
            <w:r w:rsidR="00123D89" w:rsidRPr="00A37E65">
              <w:rPr>
                <w:rFonts w:cstheme="minorHAnsi"/>
                <w:b/>
                <w:bCs/>
                <w:sz w:val="20"/>
                <w:lang w:val="es-ES"/>
              </w:rPr>
              <w:t> </w:t>
            </w:r>
            <w:r w:rsidRPr="00A37E65">
              <w:rPr>
                <w:rFonts w:cstheme="minorHAnsi"/>
                <w:b/>
                <w:bCs/>
                <w:sz w:val="20"/>
                <w:lang w:val="es-ES"/>
              </w:rPr>
              <w:t>673</w:t>
            </w:r>
            <w:r w:rsidR="00123D89" w:rsidRPr="00A37E65">
              <w:rPr>
                <w:rFonts w:cstheme="minorHAnsi"/>
                <w:b/>
                <w:bCs/>
                <w:sz w:val="20"/>
                <w:lang w:val="es-ES"/>
              </w:rPr>
              <w:t>,</w:t>
            </w:r>
            <w:r w:rsidRPr="00A37E65">
              <w:rPr>
                <w:rFonts w:cstheme="minorHAnsi"/>
                <w:b/>
                <w:bCs/>
                <w:sz w:val="20"/>
                <w:lang w:val="es-ES"/>
              </w:rPr>
              <w:t>9</w:t>
            </w:r>
          </w:p>
        </w:tc>
      </w:tr>
      <w:tr w:rsidR="000B2917" w:rsidRPr="00A37E65" w14:paraId="5DC4F946" w14:textId="77777777" w:rsidTr="00BE5781">
        <w:trPr>
          <w:trHeight w:val="61"/>
          <w:jc w:val="center"/>
        </w:trPr>
        <w:tc>
          <w:tcPr>
            <w:tcW w:w="2520" w:type="dxa"/>
            <w:shd w:val="clear" w:color="auto" w:fill="D9D9D9" w:themeFill="background1" w:themeFillShade="D9"/>
            <w:vAlign w:val="center"/>
            <w:hideMark/>
          </w:tcPr>
          <w:p w14:paraId="48D03B20" w14:textId="77777777" w:rsidR="000B2917" w:rsidRPr="00A37E65" w:rsidRDefault="000B2917" w:rsidP="00BE5781">
            <w:pPr>
              <w:spacing w:before="60" w:after="60"/>
              <w:jc w:val="right"/>
              <w:rPr>
                <w:rFonts w:cstheme="minorHAnsi"/>
                <w:b/>
                <w:bCs/>
                <w:sz w:val="20"/>
                <w:lang w:val="es-ES"/>
              </w:rPr>
            </w:pPr>
            <w:r w:rsidRPr="00A37E65">
              <w:rPr>
                <w:rFonts w:cstheme="minorHAnsi"/>
                <w:b/>
                <w:bCs/>
                <w:sz w:val="20"/>
                <w:lang w:val="es-ES"/>
              </w:rPr>
              <w:t>Total</w:t>
            </w:r>
          </w:p>
        </w:tc>
        <w:tc>
          <w:tcPr>
            <w:tcW w:w="1077" w:type="dxa"/>
            <w:shd w:val="clear" w:color="auto" w:fill="D9D9D9" w:themeFill="background1" w:themeFillShade="D9"/>
            <w:vAlign w:val="bottom"/>
          </w:tcPr>
          <w:p w14:paraId="77790AA5" w14:textId="77777777" w:rsidR="000B2917" w:rsidRPr="00A37E65" w:rsidRDefault="000B2917" w:rsidP="001F5C4A">
            <w:pPr>
              <w:spacing w:before="60" w:after="60"/>
              <w:jc w:val="center"/>
              <w:rPr>
                <w:rFonts w:cstheme="minorHAnsi"/>
                <w:b/>
                <w:bCs/>
                <w:sz w:val="20"/>
                <w:lang w:val="es-ES"/>
              </w:rPr>
            </w:pPr>
            <w:r w:rsidRPr="00A37E65">
              <w:rPr>
                <w:rFonts w:cstheme="minorHAnsi"/>
                <w:b/>
                <w:bCs/>
                <w:sz w:val="20"/>
                <w:lang w:val="es-ES"/>
              </w:rPr>
              <w:t>37</w:t>
            </w:r>
          </w:p>
        </w:tc>
        <w:tc>
          <w:tcPr>
            <w:tcW w:w="1928" w:type="dxa"/>
            <w:shd w:val="clear" w:color="auto" w:fill="D9D9D9" w:themeFill="background1" w:themeFillShade="D9"/>
            <w:vAlign w:val="bottom"/>
          </w:tcPr>
          <w:p w14:paraId="799A5BD7" w14:textId="45BBCDA3" w:rsidR="000B2917" w:rsidRPr="00A37E65" w:rsidRDefault="000B2917" w:rsidP="00123D89">
            <w:pPr>
              <w:spacing w:before="60" w:after="60"/>
              <w:jc w:val="center"/>
              <w:rPr>
                <w:rFonts w:cstheme="minorHAnsi"/>
                <w:b/>
                <w:bCs/>
                <w:sz w:val="20"/>
                <w:lang w:val="es-ES"/>
              </w:rPr>
            </w:pPr>
            <w:r w:rsidRPr="00A37E65">
              <w:rPr>
                <w:rFonts w:cstheme="minorHAnsi"/>
                <w:b/>
                <w:bCs/>
                <w:sz w:val="20"/>
                <w:lang w:val="es-ES"/>
              </w:rPr>
              <w:t>4</w:t>
            </w:r>
            <w:r w:rsidR="00123D89" w:rsidRPr="00A37E65">
              <w:rPr>
                <w:rFonts w:cstheme="minorHAnsi"/>
                <w:b/>
                <w:bCs/>
                <w:sz w:val="20"/>
                <w:lang w:val="es-ES"/>
              </w:rPr>
              <w:t> </w:t>
            </w:r>
            <w:r w:rsidRPr="00A37E65">
              <w:rPr>
                <w:rFonts w:cstheme="minorHAnsi"/>
                <w:b/>
                <w:bCs/>
                <w:sz w:val="20"/>
                <w:lang w:val="es-ES"/>
              </w:rPr>
              <w:t>975</w:t>
            </w:r>
            <w:r w:rsidR="00123D89" w:rsidRPr="00A37E65">
              <w:rPr>
                <w:rFonts w:cstheme="minorHAnsi"/>
                <w:b/>
                <w:bCs/>
                <w:sz w:val="20"/>
                <w:lang w:val="es-ES"/>
              </w:rPr>
              <w:t>,</w:t>
            </w:r>
            <w:r w:rsidRPr="00A37E65">
              <w:rPr>
                <w:rFonts w:cstheme="minorHAnsi"/>
                <w:b/>
                <w:bCs/>
                <w:sz w:val="20"/>
                <w:lang w:val="es-ES"/>
              </w:rPr>
              <w:t>1</w:t>
            </w:r>
          </w:p>
        </w:tc>
        <w:tc>
          <w:tcPr>
            <w:tcW w:w="1701" w:type="dxa"/>
            <w:shd w:val="clear" w:color="auto" w:fill="D9D9D9" w:themeFill="background1" w:themeFillShade="D9"/>
            <w:vAlign w:val="bottom"/>
          </w:tcPr>
          <w:p w14:paraId="31C249B5" w14:textId="7369F7F7" w:rsidR="000B2917" w:rsidRPr="00A37E65" w:rsidRDefault="00123D89" w:rsidP="00123D89">
            <w:pPr>
              <w:spacing w:before="60" w:after="60"/>
              <w:jc w:val="center"/>
              <w:rPr>
                <w:rFonts w:cstheme="minorHAnsi"/>
                <w:b/>
                <w:bCs/>
                <w:sz w:val="20"/>
                <w:lang w:val="es-ES"/>
              </w:rPr>
            </w:pPr>
            <w:r w:rsidRPr="00A37E65">
              <w:rPr>
                <w:rFonts w:cstheme="minorHAnsi"/>
                <w:b/>
                <w:bCs/>
                <w:sz w:val="20"/>
                <w:lang w:val="es-ES"/>
              </w:rPr>
              <w:t>8 </w:t>
            </w:r>
            <w:r w:rsidR="000B2917" w:rsidRPr="00A37E65">
              <w:rPr>
                <w:rFonts w:cstheme="minorHAnsi"/>
                <w:b/>
                <w:bCs/>
                <w:sz w:val="20"/>
                <w:lang w:val="es-ES"/>
              </w:rPr>
              <w:t>579</w:t>
            </w:r>
            <w:r w:rsidRPr="00A37E65">
              <w:rPr>
                <w:rFonts w:cstheme="minorHAnsi"/>
                <w:b/>
                <w:bCs/>
                <w:sz w:val="20"/>
                <w:lang w:val="es-ES"/>
              </w:rPr>
              <w:t>,</w:t>
            </w:r>
            <w:r w:rsidR="000B2917" w:rsidRPr="00A37E65">
              <w:rPr>
                <w:rFonts w:cstheme="minorHAnsi"/>
                <w:b/>
                <w:bCs/>
                <w:sz w:val="20"/>
                <w:lang w:val="es-ES"/>
              </w:rPr>
              <w:t>2</w:t>
            </w:r>
          </w:p>
        </w:tc>
        <w:tc>
          <w:tcPr>
            <w:tcW w:w="1538" w:type="dxa"/>
            <w:shd w:val="clear" w:color="auto" w:fill="D9D9D9" w:themeFill="background1" w:themeFillShade="D9"/>
            <w:vAlign w:val="bottom"/>
          </w:tcPr>
          <w:p w14:paraId="05926F50" w14:textId="6FE36ED8" w:rsidR="000B2917" w:rsidRPr="00A37E65" w:rsidRDefault="000B2917" w:rsidP="00123D89">
            <w:pPr>
              <w:spacing w:before="60" w:after="60"/>
              <w:jc w:val="center"/>
              <w:rPr>
                <w:rFonts w:cstheme="minorHAnsi"/>
                <w:b/>
                <w:bCs/>
                <w:sz w:val="20"/>
                <w:lang w:val="es-ES"/>
              </w:rPr>
            </w:pPr>
            <w:r w:rsidRPr="00A37E65">
              <w:rPr>
                <w:rFonts w:cstheme="minorHAnsi"/>
                <w:b/>
                <w:bCs/>
                <w:sz w:val="20"/>
                <w:lang w:val="es-ES"/>
              </w:rPr>
              <w:t>13</w:t>
            </w:r>
            <w:r w:rsidR="00123D89" w:rsidRPr="00A37E65">
              <w:rPr>
                <w:rFonts w:cstheme="minorHAnsi"/>
                <w:b/>
                <w:bCs/>
                <w:sz w:val="20"/>
                <w:lang w:val="es-ES"/>
              </w:rPr>
              <w:t> </w:t>
            </w:r>
            <w:r w:rsidRPr="00A37E65">
              <w:rPr>
                <w:rFonts w:cstheme="minorHAnsi"/>
                <w:b/>
                <w:bCs/>
                <w:sz w:val="20"/>
                <w:lang w:val="es-ES"/>
              </w:rPr>
              <w:t>572</w:t>
            </w:r>
            <w:r w:rsidR="00123D89" w:rsidRPr="00A37E65">
              <w:rPr>
                <w:rFonts w:cstheme="minorHAnsi"/>
                <w:b/>
                <w:bCs/>
                <w:sz w:val="20"/>
                <w:lang w:val="es-ES"/>
              </w:rPr>
              <w:t>,</w:t>
            </w:r>
            <w:r w:rsidRPr="00A37E65">
              <w:rPr>
                <w:rFonts w:cstheme="minorHAnsi"/>
                <w:b/>
                <w:bCs/>
                <w:sz w:val="20"/>
                <w:lang w:val="es-ES"/>
              </w:rPr>
              <w:t>1</w:t>
            </w:r>
          </w:p>
        </w:tc>
      </w:tr>
    </w:tbl>
    <w:p w14:paraId="58E446BA" w14:textId="563F8C99" w:rsidR="00915BF5" w:rsidRPr="00A37E65" w:rsidRDefault="00314272" w:rsidP="00BE5781">
      <w:pPr>
        <w:pStyle w:val="Heading1"/>
        <w:numPr>
          <w:ilvl w:val="0"/>
          <w:numId w:val="2"/>
        </w:numPr>
        <w:spacing w:before="240" w:after="120"/>
        <w:ind w:left="357" w:hanging="357"/>
        <w:textAlignment w:val="auto"/>
        <w:rPr>
          <w:rFonts w:cstheme="minorHAnsi"/>
          <w:sz w:val="24"/>
          <w:szCs w:val="24"/>
          <w:lang w:val="es-ES"/>
        </w:rPr>
      </w:pPr>
      <w:r w:rsidRPr="00A37E65">
        <w:rPr>
          <w:rFonts w:cstheme="minorHAnsi"/>
          <w:sz w:val="24"/>
          <w:szCs w:val="24"/>
          <w:lang w:val="es-ES"/>
        </w:rPr>
        <w:t>Cartera de proyectos de la UIT: proyectos en curso</w:t>
      </w:r>
    </w:p>
    <w:p w14:paraId="487A32CC" w14:textId="6F5D1CB7" w:rsidR="00915BF5" w:rsidRPr="00A37E65" w:rsidRDefault="00314272" w:rsidP="006C3AE6">
      <w:pPr>
        <w:pStyle w:val="Heading2"/>
        <w:numPr>
          <w:ilvl w:val="1"/>
          <w:numId w:val="2"/>
        </w:numPr>
        <w:spacing w:before="120" w:after="120"/>
        <w:ind w:left="540" w:hanging="540"/>
        <w:textAlignment w:val="auto"/>
        <w:rPr>
          <w:rFonts w:cstheme="minorHAnsi"/>
          <w:b w:val="0"/>
          <w:bCs/>
          <w:szCs w:val="24"/>
          <w:u w:val="single"/>
          <w:lang w:val="es-ES"/>
        </w:rPr>
      </w:pPr>
      <w:r w:rsidRPr="00A37E65">
        <w:rPr>
          <w:rFonts w:cstheme="minorHAnsi"/>
          <w:b w:val="0"/>
          <w:bCs/>
          <w:szCs w:val="24"/>
          <w:u w:val="single"/>
          <w:lang w:val="es-ES"/>
        </w:rPr>
        <w:t>Panorama general y distribución regional</w:t>
      </w:r>
    </w:p>
    <w:p w14:paraId="12FBA529" w14:textId="6EB8AE5E" w:rsidR="00915BF5" w:rsidRPr="00A37E65" w:rsidRDefault="00072004" w:rsidP="006C3AE6">
      <w:pPr>
        <w:spacing w:after="120"/>
        <w:rPr>
          <w:rFonts w:cstheme="minorHAnsi"/>
          <w:lang w:val="es-ES"/>
        </w:rPr>
      </w:pPr>
      <w:r w:rsidRPr="00A37E65">
        <w:rPr>
          <w:lang w:val="es-ES"/>
        </w:rPr>
        <w:t>Al 31 de diciembre de 2022</w:t>
      </w:r>
      <w:r w:rsidR="007B0E9D" w:rsidRPr="00A37E65">
        <w:rPr>
          <w:lang w:val="es-ES"/>
        </w:rPr>
        <w:t>,</w:t>
      </w:r>
      <w:r w:rsidRPr="00A37E65">
        <w:rPr>
          <w:lang w:val="es-ES"/>
        </w:rPr>
        <w:t xml:space="preserve"> la cartera de proyectos de la UIT cuenta con 60 proyectos en curso, valorados en 88,9 millones CHF, con un balance de 22,6 millones CHF por ejecutar. En la Figura</w:t>
      </w:r>
      <w:r w:rsidR="00BE5781">
        <w:rPr>
          <w:lang w:val="es-ES"/>
        </w:rPr>
        <w:t> </w:t>
      </w:r>
      <w:r w:rsidRPr="00A37E65">
        <w:rPr>
          <w:lang w:val="es-ES"/>
        </w:rPr>
        <w:t>3 se muestran la distribución global de esta cartera por región y el panorama general de 1)</w:t>
      </w:r>
      <w:r w:rsidR="00BE5781">
        <w:rPr>
          <w:lang w:val="es-ES"/>
        </w:rPr>
        <w:t> </w:t>
      </w:r>
      <w:r w:rsidRPr="00A37E65">
        <w:rPr>
          <w:lang w:val="es-ES"/>
        </w:rPr>
        <w:t>los</w:t>
      </w:r>
      <w:r w:rsidR="00BE5781">
        <w:rPr>
          <w:lang w:val="es-ES"/>
        </w:rPr>
        <w:t> </w:t>
      </w:r>
      <w:r w:rsidRPr="00A37E65">
        <w:rPr>
          <w:lang w:val="es-ES"/>
        </w:rPr>
        <w:t xml:space="preserve">fondos movilizados por la UIT para apoyar la ejecución de estos proyectos, </w:t>
      </w:r>
      <w:r w:rsidR="00036836" w:rsidRPr="00A37E65">
        <w:rPr>
          <w:rFonts w:cstheme="minorHAnsi"/>
          <w:lang w:val="es-ES"/>
        </w:rPr>
        <w:t>2)</w:t>
      </w:r>
      <w:r w:rsidR="00BE5781">
        <w:rPr>
          <w:rFonts w:cstheme="minorHAnsi"/>
          <w:lang w:val="es-ES"/>
        </w:rPr>
        <w:t> </w:t>
      </w:r>
      <w:r w:rsidRPr="00A37E65">
        <w:rPr>
          <w:rFonts w:cstheme="minorHAnsi"/>
          <w:lang w:val="es-ES"/>
        </w:rPr>
        <w:t>los fondos del FD</w:t>
      </w:r>
      <w:r w:rsidR="007B0E9D" w:rsidRPr="00A37E65">
        <w:rPr>
          <w:rFonts w:cstheme="minorHAnsi"/>
          <w:lang w:val="es-ES"/>
        </w:rPr>
        <w:t>-</w:t>
      </w:r>
      <w:r w:rsidRPr="00A37E65">
        <w:rPr>
          <w:rFonts w:cstheme="minorHAnsi"/>
          <w:lang w:val="es-ES"/>
        </w:rPr>
        <w:t>TIC atribuidos a estos proyectos y gestionados por la UIT</w:t>
      </w:r>
      <w:r w:rsidR="00036836" w:rsidRPr="00A37E65">
        <w:rPr>
          <w:rFonts w:cstheme="minorHAnsi"/>
          <w:lang w:val="es-ES"/>
        </w:rPr>
        <w:t xml:space="preserve">, </w:t>
      </w:r>
      <w:r w:rsidRPr="00A37E65">
        <w:rPr>
          <w:rFonts w:cstheme="minorHAnsi"/>
          <w:lang w:val="es-ES"/>
        </w:rPr>
        <w:t xml:space="preserve">y </w:t>
      </w:r>
      <w:r w:rsidR="00036836" w:rsidRPr="00A37E65">
        <w:rPr>
          <w:rFonts w:cstheme="minorHAnsi"/>
          <w:lang w:val="es-ES"/>
        </w:rPr>
        <w:t>3)</w:t>
      </w:r>
      <w:r w:rsidR="00BE5781">
        <w:rPr>
          <w:rFonts w:cstheme="minorHAnsi"/>
          <w:lang w:val="es-ES"/>
        </w:rPr>
        <w:t> </w:t>
      </w:r>
      <w:r w:rsidRPr="00A37E65">
        <w:rPr>
          <w:rFonts w:cstheme="minorHAnsi"/>
          <w:lang w:val="es-ES"/>
        </w:rPr>
        <w:t xml:space="preserve">los fondos atribuidos por la UIT con cargo a la financiación aprobada por el Consejo en apoyo de la ejecución de las </w:t>
      </w:r>
      <w:r w:rsidR="003C621B" w:rsidRPr="00A37E65">
        <w:rPr>
          <w:rFonts w:cstheme="minorHAnsi"/>
          <w:lang w:val="es-ES"/>
        </w:rPr>
        <w:t>Iniciativas Regio</w:t>
      </w:r>
      <w:r w:rsidRPr="00A37E65">
        <w:rPr>
          <w:rFonts w:cstheme="minorHAnsi"/>
          <w:lang w:val="es-ES"/>
        </w:rPr>
        <w:t>n</w:t>
      </w:r>
      <w:r w:rsidR="003C621B" w:rsidRPr="00A37E65">
        <w:rPr>
          <w:rFonts w:cstheme="minorHAnsi"/>
          <w:lang w:val="es-ES"/>
        </w:rPr>
        <w:t>a</w:t>
      </w:r>
      <w:r w:rsidRPr="00A37E65">
        <w:rPr>
          <w:rFonts w:cstheme="minorHAnsi"/>
          <w:lang w:val="es-ES"/>
        </w:rPr>
        <w:t>les de la CMDT</w:t>
      </w:r>
      <w:r w:rsidR="000E1A78" w:rsidRPr="00A37E65">
        <w:rPr>
          <w:rFonts w:cstheme="minorHAnsi"/>
          <w:lang w:val="es-ES"/>
        </w:rPr>
        <w:t>-17</w:t>
      </w:r>
      <w:r w:rsidR="00915BF5" w:rsidRPr="00A37E65">
        <w:rPr>
          <w:rFonts w:cstheme="minorHAnsi"/>
          <w:lang w:val="es-ES"/>
        </w:rPr>
        <w:t>.</w:t>
      </w:r>
    </w:p>
    <w:p w14:paraId="5AFBE2B2" w14:textId="7D03D131" w:rsidR="00915BF5" w:rsidRPr="004D07FD" w:rsidRDefault="00915BF5" w:rsidP="004D1819">
      <w:pPr>
        <w:keepNext/>
        <w:spacing w:before="240" w:after="120"/>
        <w:jc w:val="center"/>
        <w:rPr>
          <w:rFonts w:cstheme="minorHAnsi"/>
          <w:b/>
          <w:szCs w:val="24"/>
          <w:lang w:val="es-ES"/>
        </w:rPr>
      </w:pPr>
      <w:r w:rsidRPr="00A37E65">
        <w:rPr>
          <w:rFonts w:cstheme="minorHAnsi"/>
          <w:b/>
          <w:szCs w:val="24"/>
          <w:lang w:val="es-ES"/>
        </w:rPr>
        <w:t>Figur</w:t>
      </w:r>
      <w:r w:rsidR="007B0E9D" w:rsidRPr="00A37E65">
        <w:rPr>
          <w:rFonts w:cstheme="minorHAnsi"/>
          <w:b/>
          <w:szCs w:val="24"/>
          <w:lang w:val="es-ES"/>
        </w:rPr>
        <w:t>a</w:t>
      </w:r>
      <w:r w:rsidRPr="00A37E65">
        <w:rPr>
          <w:rFonts w:cstheme="minorHAnsi"/>
          <w:b/>
          <w:szCs w:val="24"/>
          <w:lang w:val="es-ES"/>
        </w:rPr>
        <w:t xml:space="preserve"> </w:t>
      </w:r>
      <w:r w:rsidR="00AF086F" w:rsidRPr="00A37E65">
        <w:rPr>
          <w:rFonts w:cstheme="minorHAnsi"/>
          <w:b/>
          <w:szCs w:val="24"/>
          <w:lang w:val="es-ES"/>
        </w:rPr>
        <w:t>3</w:t>
      </w:r>
      <w:r w:rsidR="00E374E1">
        <w:rPr>
          <w:rFonts w:cstheme="minorHAnsi"/>
          <w:b/>
          <w:szCs w:val="24"/>
          <w:lang w:val="es-ES"/>
        </w:rPr>
        <w:t xml:space="preserve"> –</w:t>
      </w:r>
      <w:r w:rsidR="00E374E1" w:rsidRPr="00A37E65">
        <w:rPr>
          <w:rFonts w:cstheme="minorHAnsi"/>
          <w:b/>
          <w:szCs w:val="24"/>
          <w:lang w:val="es-ES"/>
        </w:rPr>
        <w:t xml:space="preserve"> </w:t>
      </w:r>
      <w:r w:rsidR="007B0E9D" w:rsidRPr="00A37E65">
        <w:rPr>
          <w:rFonts w:cstheme="minorHAnsi"/>
          <w:b/>
          <w:szCs w:val="24"/>
          <w:lang w:val="es-ES"/>
        </w:rPr>
        <w:t xml:space="preserve">Presentación de los proyectos de la UIT en curso, por región </w:t>
      </w:r>
      <w:r w:rsidR="007B0E9D" w:rsidRPr="00A37E65">
        <w:rPr>
          <w:rFonts w:cstheme="minorHAnsi"/>
          <w:b/>
          <w:szCs w:val="24"/>
          <w:lang w:val="es-ES"/>
        </w:rPr>
        <w:br/>
        <w:t>(en miles 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10"/>
        <w:gridCol w:w="1191"/>
        <w:gridCol w:w="1169"/>
        <w:gridCol w:w="1644"/>
        <w:gridCol w:w="1644"/>
        <w:gridCol w:w="1361"/>
        <w:gridCol w:w="1701"/>
      </w:tblGrid>
      <w:tr w:rsidR="001463DF" w:rsidRPr="00A37E65" w14:paraId="482EC87E" w14:textId="77777777" w:rsidTr="006533A1">
        <w:trPr>
          <w:trHeight w:val="20"/>
          <w:jc w:val="center"/>
        </w:trPr>
        <w:tc>
          <w:tcPr>
            <w:tcW w:w="810" w:type="dxa"/>
            <w:shd w:val="clear" w:color="auto" w:fill="4F81BD" w:themeFill="accent1"/>
            <w:noWrap/>
            <w:vAlign w:val="center"/>
            <w:hideMark/>
          </w:tcPr>
          <w:p w14:paraId="0C34A77A" w14:textId="4B85F2B9" w:rsidR="001463DF" w:rsidRPr="00A37E65" w:rsidRDefault="007B0E9D" w:rsidP="009B65CD">
            <w:pPr>
              <w:keepNext/>
              <w:spacing w:before="60" w:after="60"/>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Regió</w:t>
            </w:r>
            <w:r w:rsidR="001463DF" w:rsidRPr="00A37E65">
              <w:rPr>
                <w:rFonts w:eastAsiaTheme="minorEastAsia" w:cstheme="minorHAnsi"/>
                <w:b/>
                <w:bCs/>
                <w:color w:val="FFFFFF" w:themeColor="background1"/>
                <w:sz w:val="20"/>
                <w:lang w:val="es-ES" w:eastAsia="zh-CN"/>
              </w:rPr>
              <w:t>n</w:t>
            </w:r>
          </w:p>
        </w:tc>
        <w:tc>
          <w:tcPr>
            <w:tcW w:w="1191" w:type="dxa"/>
            <w:shd w:val="clear" w:color="auto" w:fill="4F81BD" w:themeFill="accent1"/>
            <w:noWrap/>
            <w:vAlign w:val="center"/>
            <w:hideMark/>
          </w:tcPr>
          <w:p w14:paraId="5B099A82" w14:textId="0F852A3D" w:rsidR="001463DF" w:rsidRPr="00A37E65" w:rsidRDefault="007B0E9D" w:rsidP="009B65CD">
            <w:pPr>
              <w:keepNext/>
              <w:spacing w:before="60" w:after="60"/>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Número de proyectos</w:t>
            </w:r>
          </w:p>
        </w:tc>
        <w:tc>
          <w:tcPr>
            <w:tcW w:w="1169" w:type="dxa"/>
            <w:shd w:val="clear" w:color="auto" w:fill="4F81BD" w:themeFill="accent1"/>
            <w:noWrap/>
            <w:vAlign w:val="center"/>
            <w:hideMark/>
          </w:tcPr>
          <w:p w14:paraId="1A7946FE" w14:textId="7CBC889D" w:rsidR="001463DF" w:rsidRPr="00A37E65" w:rsidRDefault="007B0E9D" w:rsidP="009B65CD">
            <w:pPr>
              <w:keepNext/>
              <w:spacing w:before="60" w:after="60"/>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Fondos de asociados</w:t>
            </w:r>
          </w:p>
        </w:tc>
        <w:tc>
          <w:tcPr>
            <w:tcW w:w="1644" w:type="dxa"/>
            <w:shd w:val="clear" w:color="auto" w:fill="4F81BD" w:themeFill="accent1"/>
            <w:noWrap/>
            <w:vAlign w:val="center"/>
          </w:tcPr>
          <w:p w14:paraId="39A548FA" w14:textId="17B5A9F2" w:rsidR="001463DF" w:rsidRPr="00A37E65" w:rsidRDefault="007B0E9D" w:rsidP="009B65CD">
            <w:pPr>
              <w:keepNext/>
              <w:spacing w:before="60" w:after="60"/>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Fondos de la UIT</w:t>
            </w:r>
            <w:r w:rsidR="001463DF" w:rsidRPr="00A37E65">
              <w:rPr>
                <w:rFonts w:eastAsiaTheme="minorEastAsia" w:cstheme="minorHAnsi"/>
                <w:b/>
                <w:bCs/>
                <w:color w:val="FFFFFF" w:themeColor="background1"/>
                <w:sz w:val="20"/>
                <w:lang w:val="es-ES" w:eastAsia="zh-CN"/>
              </w:rPr>
              <w:t xml:space="preserve"> (</w:t>
            </w:r>
            <w:r w:rsidRPr="00A37E65">
              <w:rPr>
                <w:rFonts w:eastAsiaTheme="minorEastAsia" w:cstheme="minorHAnsi"/>
                <w:b/>
                <w:bCs/>
                <w:color w:val="FFFFFF" w:themeColor="background1"/>
                <w:sz w:val="20"/>
                <w:lang w:val="es-ES" w:eastAsia="zh-CN"/>
              </w:rPr>
              <w:t>FD-TIC</w:t>
            </w:r>
            <w:r w:rsidR="001463DF" w:rsidRPr="00A37E65">
              <w:rPr>
                <w:rFonts w:eastAsiaTheme="minorEastAsia" w:cstheme="minorHAnsi"/>
                <w:b/>
                <w:bCs/>
                <w:color w:val="FFFFFF" w:themeColor="background1"/>
                <w:sz w:val="20"/>
                <w:lang w:val="es-ES" w:eastAsia="zh-CN"/>
              </w:rPr>
              <w:t>)</w:t>
            </w:r>
          </w:p>
        </w:tc>
        <w:tc>
          <w:tcPr>
            <w:tcW w:w="1644" w:type="dxa"/>
            <w:shd w:val="clear" w:color="auto" w:fill="4F81BD" w:themeFill="accent1"/>
            <w:noWrap/>
            <w:vAlign w:val="center"/>
          </w:tcPr>
          <w:p w14:paraId="14ED7C55" w14:textId="78BC4F38" w:rsidR="001463DF" w:rsidRPr="00A37E65" w:rsidRDefault="007B0E9D" w:rsidP="009B65CD">
            <w:pPr>
              <w:keepNext/>
              <w:spacing w:before="60" w:after="60"/>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Fondos de la UIT</w:t>
            </w:r>
            <w:r w:rsidR="001463DF" w:rsidRPr="00A37E65">
              <w:rPr>
                <w:rFonts w:eastAsiaTheme="minorEastAsia" w:cstheme="minorHAnsi"/>
                <w:b/>
                <w:bCs/>
                <w:color w:val="FFFFFF" w:themeColor="background1"/>
                <w:sz w:val="20"/>
                <w:lang w:val="es-ES" w:eastAsia="zh-CN"/>
              </w:rPr>
              <w:t xml:space="preserve"> (OP)</w:t>
            </w:r>
          </w:p>
        </w:tc>
        <w:tc>
          <w:tcPr>
            <w:tcW w:w="1361" w:type="dxa"/>
            <w:shd w:val="clear" w:color="auto" w:fill="4F81BD" w:themeFill="accent1"/>
            <w:noWrap/>
            <w:vAlign w:val="center"/>
            <w:hideMark/>
          </w:tcPr>
          <w:p w14:paraId="75C796BA" w14:textId="556F7793" w:rsidR="001463DF" w:rsidRPr="00A37E65" w:rsidRDefault="001463DF" w:rsidP="009B65CD">
            <w:pPr>
              <w:keepNext/>
              <w:spacing w:before="60" w:after="60"/>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 xml:space="preserve">Total </w:t>
            </w:r>
            <w:r w:rsidR="00E07F09" w:rsidRPr="00A37E65">
              <w:rPr>
                <w:rFonts w:eastAsiaTheme="minorEastAsia" w:cstheme="minorHAnsi"/>
                <w:b/>
                <w:bCs/>
                <w:color w:val="FFFFFF" w:themeColor="background1"/>
                <w:sz w:val="20"/>
                <w:lang w:val="es-ES" w:eastAsia="zh-CN"/>
              </w:rPr>
              <w:t>fondos proyectos</w:t>
            </w:r>
          </w:p>
        </w:tc>
        <w:tc>
          <w:tcPr>
            <w:tcW w:w="1701" w:type="dxa"/>
            <w:shd w:val="clear" w:color="auto" w:fill="4F81BD" w:themeFill="accent1"/>
            <w:noWrap/>
            <w:vAlign w:val="center"/>
            <w:hideMark/>
          </w:tcPr>
          <w:p w14:paraId="04EE5336" w14:textId="4924B13A" w:rsidR="001463DF" w:rsidRPr="00A37E65" w:rsidRDefault="001463DF" w:rsidP="009B65CD">
            <w:pPr>
              <w:keepNext/>
              <w:spacing w:before="60" w:after="60"/>
              <w:ind w:left="-104"/>
              <w:jc w:val="center"/>
              <w:rPr>
                <w:rFonts w:eastAsiaTheme="minorEastAsia" w:cstheme="minorHAnsi"/>
                <w:b/>
                <w:bCs/>
                <w:color w:val="FFFFFF" w:themeColor="background1"/>
                <w:sz w:val="20"/>
                <w:lang w:val="es-ES" w:eastAsia="zh-CN"/>
              </w:rPr>
            </w:pPr>
            <w:r w:rsidRPr="00A37E65">
              <w:rPr>
                <w:rFonts w:eastAsiaTheme="minorEastAsia" w:cstheme="minorHAnsi"/>
                <w:b/>
                <w:bCs/>
                <w:color w:val="FFFFFF" w:themeColor="background1"/>
                <w:sz w:val="20"/>
                <w:lang w:val="es-ES" w:eastAsia="zh-CN"/>
              </w:rPr>
              <w:t xml:space="preserve">Balance </w:t>
            </w:r>
            <w:r w:rsidR="00E07F09" w:rsidRPr="00A37E65">
              <w:rPr>
                <w:rFonts w:eastAsiaTheme="minorEastAsia" w:cstheme="minorHAnsi"/>
                <w:b/>
                <w:bCs/>
                <w:color w:val="FFFFFF" w:themeColor="background1"/>
                <w:sz w:val="20"/>
                <w:lang w:val="es-ES" w:eastAsia="zh-CN"/>
              </w:rPr>
              <w:t>de fondos al</w:t>
            </w:r>
            <w:r w:rsidRPr="00A37E65">
              <w:rPr>
                <w:rFonts w:eastAsiaTheme="minorEastAsia" w:cstheme="minorHAnsi"/>
                <w:b/>
                <w:bCs/>
                <w:color w:val="FFFFFF" w:themeColor="background1"/>
                <w:sz w:val="20"/>
                <w:lang w:val="es-ES" w:eastAsia="zh-CN"/>
              </w:rPr>
              <w:t xml:space="preserve"> 31/12/22</w:t>
            </w:r>
          </w:p>
        </w:tc>
      </w:tr>
      <w:tr w:rsidR="001463DF" w:rsidRPr="00A37E65" w14:paraId="6C13A0BA" w14:textId="77777777" w:rsidTr="006533A1">
        <w:trPr>
          <w:trHeight w:val="54"/>
          <w:jc w:val="center"/>
        </w:trPr>
        <w:tc>
          <w:tcPr>
            <w:tcW w:w="810" w:type="dxa"/>
            <w:hideMark/>
          </w:tcPr>
          <w:p w14:paraId="51E65D82" w14:textId="0A12EC7C"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AFR</w:t>
            </w:r>
          </w:p>
        </w:tc>
        <w:tc>
          <w:tcPr>
            <w:tcW w:w="1191" w:type="dxa"/>
            <w:noWrap/>
            <w:vAlign w:val="bottom"/>
            <w:hideMark/>
          </w:tcPr>
          <w:p w14:paraId="0D9E2FAD" w14:textId="752FDE79"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9</w:t>
            </w:r>
          </w:p>
        </w:tc>
        <w:tc>
          <w:tcPr>
            <w:tcW w:w="1169" w:type="dxa"/>
            <w:vAlign w:val="bottom"/>
            <w:hideMark/>
          </w:tcPr>
          <w:p w14:paraId="0897C576" w14:textId="41E17D9F"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9</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587</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c>
          <w:tcPr>
            <w:tcW w:w="1644" w:type="dxa"/>
            <w:vAlign w:val="bottom"/>
            <w:hideMark/>
          </w:tcPr>
          <w:p w14:paraId="417EE987" w14:textId="648C1206"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967</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1</w:t>
            </w:r>
          </w:p>
        </w:tc>
        <w:tc>
          <w:tcPr>
            <w:tcW w:w="1644" w:type="dxa"/>
            <w:vAlign w:val="bottom"/>
            <w:hideMark/>
          </w:tcPr>
          <w:p w14:paraId="3CD1B995" w14:textId="1A777872"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224</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3</w:t>
            </w:r>
          </w:p>
        </w:tc>
        <w:tc>
          <w:tcPr>
            <w:tcW w:w="1361" w:type="dxa"/>
            <w:shd w:val="clear" w:color="auto" w:fill="DBE5F1" w:themeFill="accent1" w:themeFillTint="33"/>
            <w:vAlign w:val="bottom"/>
            <w:hideMark/>
          </w:tcPr>
          <w:p w14:paraId="54C9654A" w14:textId="1F99181D"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10</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913</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c>
          <w:tcPr>
            <w:tcW w:w="1701" w:type="dxa"/>
            <w:vAlign w:val="bottom"/>
            <w:hideMark/>
          </w:tcPr>
          <w:p w14:paraId="4D3FB1C2" w14:textId="51E1CB88"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6</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630</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0</w:t>
            </w:r>
          </w:p>
        </w:tc>
      </w:tr>
      <w:tr w:rsidR="001463DF" w:rsidRPr="00A37E65" w14:paraId="488B31D5" w14:textId="77777777" w:rsidTr="006533A1">
        <w:trPr>
          <w:trHeight w:val="54"/>
          <w:jc w:val="center"/>
        </w:trPr>
        <w:tc>
          <w:tcPr>
            <w:tcW w:w="810" w:type="dxa"/>
            <w:hideMark/>
          </w:tcPr>
          <w:p w14:paraId="4809F79B" w14:textId="77777777"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 xml:space="preserve">AMS </w:t>
            </w:r>
          </w:p>
        </w:tc>
        <w:tc>
          <w:tcPr>
            <w:tcW w:w="1191" w:type="dxa"/>
            <w:noWrap/>
            <w:vAlign w:val="bottom"/>
            <w:hideMark/>
          </w:tcPr>
          <w:p w14:paraId="416CCED9" w14:textId="5EC26608"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11</w:t>
            </w:r>
          </w:p>
        </w:tc>
        <w:tc>
          <w:tcPr>
            <w:tcW w:w="1169" w:type="dxa"/>
            <w:vAlign w:val="bottom"/>
            <w:hideMark/>
          </w:tcPr>
          <w:p w14:paraId="064836FF" w14:textId="7D21E033"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40</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271</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6</w:t>
            </w:r>
          </w:p>
        </w:tc>
        <w:tc>
          <w:tcPr>
            <w:tcW w:w="1644" w:type="dxa"/>
            <w:vAlign w:val="bottom"/>
            <w:hideMark/>
          </w:tcPr>
          <w:p w14:paraId="1B729826" w14:textId="6FE106A7"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112</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3</w:t>
            </w:r>
          </w:p>
        </w:tc>
        <w:tc>
          <w:tcPr>
            <w:tcW w:w="1644" w:type="dxa"/>
            <w:vAlign w:val="bottom"/>
            <w:hideMark/>
          </w:tcPr>
          <w:p w14:paraId="1643B689" w14:textId="343A5AA4"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680</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4</w:t>
            </w:r>
          </w:p>
        </w:tc>
        <w:tc>
          <w:tcPr>
            <w:tcW w:w="1361" w:type="dxa"/>
            <w:shd w:val="clear" w:color="auto" w:fill="DBE5F1" w:themeFill="accent1" w:themeFillTint="33"/>
            <w:vAlign w:val="bottom"/>
            <w:hideMark/>
          </w:tcPr>
          <w:p w14:paraId="3EBE593F" w14:textId="663B5ED9"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41</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064</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4</w:t>
            </w:r>
          </w:p>
        </w:tc>
        <w:tc>
          <w:tcPr>
            <w:tcW w:w="1701" w:type="dxa"/>
            <w:vAlign w:val="bottom"/>
            <w:hideMark/>
          </w:tcPr>
          <w:p w14:paraId="2772978F" w14:textId="1A1E91E1"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2</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835</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1</w:t>
            </w:r>
          </w:p>
        </w:tc>
      </w:tr>
      <w:tr w:rsidR="001463DF" w:rsidRPr="00A37E65" w14:paraId="2F3487DB" w14:textId="77777777" w:rsidTr="006533A1">
        <w:trPr>
          <w:trHeight w:val="300"/>
          <w:jc w:val="center"/>
        </w:trPr>
        <w:tc>
          <w:tcPr>
            <w:tcW w:w="810" w:type="dxa"/>
            <w:hideMark/>
          </w:tcPr>
          <w:p w14:paraId="1F038422" w14:textId="77777777"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 xml:space="preserve">ARB </w:t>
            </w:r>
          </w:p>
        </w:tc>
        <w:tc>
          <w:tcPr>
            <w:tcW w:w="1191" w:type="dxa"/>
            <w:vAlign w:val="bottom"/>
            <w:hideMark/>
          </w:tcPr>
          <w:p w14:paraId="64F0D854" w14:textId="3773E418"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7</w:t>
            </w:r>
          </w:p>
        </w:tc>
        <w:tc>
          <w:tcPr>
            <w:tcW w:w="1169" w:type="dxa"/>
            <w:vAlign w:val="bottom"/>
            <w:hideMark/>
          </w:tcPr>
          <w:p w14:paraId="06A7EF67" w14:textId="0325F858"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4</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305</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0</w:t>
            </w:r>
          </w:p>
        </w:tc>
        <w:tc>
          <w:tcPr>
            <w:tcW w:w="1644" w:type="dxa"/>
            <w:vAlign w:val="bottom"/>
            <w:hideMark/>
          </w:tcPr>
          <w:p w14:paraId="7397F092" w14:textId="226E4BEE"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675</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0</w:t>
            </w:r>
          </w:p>
        </w:tc>
        <w:tc>
          <w:tcPr>
            <w:tcW w:w="1644" w:type="dxa"/>
            <w:vAlign w:val="bottom"/>
            <w:hideMark/>
          </w:tcPr>
          <w:p w14:paraId="26F50D0C" w14:textId="5B4C93CA"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89</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c>
          <w:tcPr>
            <w:tcW w:w="1361" w:type="dxa"/>
            <w:shd w:val="clear" w:color="auto" w:fill="DBE5F1" w:themeFill="accent1" w:themeFillTint="33"/>
            <w:vAlign w:val="bottom"/>
            <w:hideMark/>
          </w:tcPr>
          <w:p w14:paraId="22025084" w14:textId="73F45F37"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5</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069</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c>
          <w:tcPr>
            <w:tcW w:w="1701" w:type="dxa"/>
            <w:vAlign w:val="bottom"/>
            <w:hideMark/>
          </w:tcPr>
          <w:p w14:paraId="4DD7928C" w14:textId="11F9CD9C"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2</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070</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6</w:t>
            </w:r>
          </w:p>
        </w:tc>
      </w:tr>
      <w:tr w:rsidR="001463DF" w:rsidRPr="00A37E65" w14:paraId="5F86052B" w14:textId="77777777" w:rsidTr="006533A1">
        <w:trPr>
          <w:trHeight w:val="54"/>
          <w:jc w:val="center"/>
        </w:trPr>
        <w:tc>
          <w:tcPr>
            <w:tcW w:w="810" w:type="dxa"/>
            <w:vAlign w:val="center"/>
            <w:hideMark/>
          </w:tcPr>
          <w:p w14:paraId="0D4CA804" w14:textId="77777777"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ASP</w:t>
            </w:r>
          </w:p>
        </w:tc>
        <w:tc>
          <w:tcPr>
            <w:tcW w:w="1191" w:type="dxa"/>
            <w:noWrap/>
            <w:vAlign w:val="bottom"/>
            <w:hideMark/>
          </w:tcPr>
          <w:p w14:paraId="50D6518E" w14:textId="4EC4102B"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9</w:t>
            </w:r>
          </w:p>
        </w:tc>
        <w:tc>
          <w:tcPr>
            <w:tcW w:w="1169" w:type="dxa"/>
            <w:vAlign w:val="bottom"/>
            <w:hideMark/>
          </w:tcPr>
          <w:p w14:paraId="4903A5F4" w14:textId="7A45BD39" w:rsidR="001463DF" w:rsidRPr="00A37E65" w:rsidRDefault="00062C5B"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5 </w:t>
            </w:r>
            <w:r w:rsidR="001463DF" w:rsidRPr="00A37E65">
              <w:rPr>
                <w:rFonts w:eastAsiaTheme="minorEastAsia" w:cstheme="minorHAnsi"/>
                <w:sz w:val="20"/>
                <w:lang w:val="es-ES" w:eastAsia="zh-CN"/>
              </w:rPr>
              <w:t>898</w:t>
            </w:r>
            <w:r w:rsidRPr="00A37E65">
              <w:rPr>
                <w:rFonts w:eastAsiaTheme="minorEastAsia" w:cstheme="minorHAnsi"/>
                <w:sz w:val="20"/>
                <w:lang w:val="es-ES" w:eastAsia="zh-CN"/>
              </w:rPr>
              <w:t>,</w:t>
            </w:r>
            <w:r w:rsidR="001463DF" w:rsidRPr="00A37E65">
              <w:rPr>
                <w:rFonts w:eastAsiaTheme="minorEastAsia" w:cstheme="minorHAnsi"/>
                <w:sz w:val="20"/>
                <w:lang w:val="es-ES" w:eastAsia="zh-CN"/>
              </w:rPr>
              <w:t>0</w:t>
            </w:r>
          </w:p>
        </w:tc>
        <w:tc>
          <w:tcPr>
            <w:tcW w:w="1644" w:type="dxa"/>
            <w:vAlign w:val="bottom"/>
          </w:tcPr>
          <w:p w14:paraId="2C0254AA" w14:textId="77777777" w:rsidR="001463DF" w:rsidRPr="00A37E65" w:rsidRDefault="001463DF" w:rsidP="009B65CD">
            <w:pPr>
              <w:spacing w:before="40" w:after="40"/>
              <w:jc w:val="right"/>
              <w:rPr>
                <w:rFonts w:eastAsiaTheme="minorEastAsia" w:cstheme="minorHAnsi"/>
                <w:sz w:val="20"/>
                <w:lang w:val="es-ES" w:eastAsia="zh-CN"/>
              </w:rPr>
            </w:pPr>
          </w:p>
        </w:tc>
        <w:tc>
          <w:tcPr>
            <w:tcW w:w="1644" w:type="dxa"/>
            <w:vAlign w:val="bottom"/>
            <w:hideMark/>
          </w:tcPr>
          <w:p w14:paraId="7076BB1F" w14:textId="29BFF6F4"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448</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5</w:t>
            </w:r>
          </w:p>
        </w:tc>
        <w:tc>
          <w:tcPr>
            <w:tcW w:w="1361" w:type="dxa"/>
            <w:shd w:val="clear" w:color="auto" w:fill="DBE5F1" w:themeFill="accent1" w:themeFillTint="33"/>
            <w:vAlign w:val="bottom"/>
            <w:hideMark/>
          </w:tcPr>
          <w:p w14:paraId="15F58B67" w14:textId="66AAA197"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6</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524</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9</w:t>
            </w:r>
          </w:p>
        </w:tc>
        <w:tc>
          <w:tcPr>
            <w:tcW w:w="1701" w:type="dxa"/>
            <w:vAlign w:val="bottom"/>
            <w:hideMark/>
          </w:tcPr>
          <w:p w14:paraId="07F19AB4" w14:textId="2A4365D7"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3</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668</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4</w:t>
            </w:r>
          </w:p>
        </w:tc>
      </w:tr>
      <w:tr w:rsidR="001463DF" w:rsidRPr="00A37E65" w14:paraId="073CEFE2" w14:textId="77777777" w:rsidTr="006533A1">
        <w:trPr>
          <w:trHeight w:val="54"/>
          <w:jc w:val="center"/>
        </w:trPr>
        <w:tc>
          <w:tcPr>
            <w:tcW w:w="810" w:type="dxa"/>
            <w:hideMark/>
          </w:tcPr>
          <w:p w14:paraId="3381399C" w14:textId="3888ADE4"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C</w:t>
            </w:r>
            <w:r w:rsidR="00062C5B" w:rsidRPr="00A37E65">
              <w:rPr>
                <w:rFonts w:cstheme="minorHAnsi"/>
                <w:sz w:val="20"/>
                <w:lang w:val="es-ES" w:eastAsia="zh-CN"/>
              </w:rPr>
              <w:t>EI</w:t>
            </w:r>
            <w:r w:rsidRPr="00A37E65">
              <w:rPr>
                <w:rFonts w:cstheme="minorHAnsi"/>
                <w:sz w:val="20"/>
                <w:lang w:val="es-ES" w:eastAsia="zh-CN"/>
              </w:rPr>
              <w:t xml:space="preserve"> </w:t>
            </w:r>
          </w:p>
        </w:tc>
        <w:tc>
          <w:tcPr>
            <w:tcW w:w="1191" w:type="dxa"/>
            <w:vAlign w:val="bottom"/>
            <w:hideMark/>
          </w:tcPr>
          <w:p w14:paraId="7F8BDA3A" w14:textId="661B9ED0"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2</w:t>
            </w:r>
          </w:p>
        </w:tc>
        <w:tc>
          <w:tcPr>
            <w:tcW w:w="1169" w:type="dxa"/>
            <w:vAlign w:val="bottom"/>
            <w:hideMark/>
          </w:tcPr>
          <w:p w14:paraId="333FEAFE" w14:textId="18B3CD63"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253</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c>
          <w:tcPr>
            <w:tcW w:w="1644" w:type="dxa"/>
            <w:vAlign w:val="bottom"/>
          </w:tcPr>
          <w:p w14:paraId="3626D8EF" w14:textId="77777777" w:rsidR="001463DF" w:rsidRPr="00A37E65" w:rsidRDefault="001463DF" w:rsidP="009B65CD">
            <w:pPr>
              <w:spacing w:before="40" w:after="40"/>
              <w:jc w:val="right"/>
              <w:rPr>
                <w:rFonts w:eastAsiaTheme="minorEastAsia" w:cstheme="minorHAnsi"/>
                <w:sz w:val="20"/>
                <w:lang w:val="es-ES" w:eastAsia="zh-CN"/>
              </w:rPr>
            </w:pPr>
          </w:p>
        </w:tc>
        <w:tc>
          <w:tcPr>
            <w:tcW w:w="1644" w:type="dxa"/>
            <w:vAlign w:val="bottom"/>
            <w:hideMark/>
          </w:tcPr>
          <w:p w14:paraId="0B5D0751" w14:textId="485B8BC7"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419</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1</w:t>
            </w:r>
          </w:p>
        </w:tc>
        <w:tc>
          <w:tcPr>
            <w:tcW w:w="1361" w:type="dxa"/>
            <w:shd w:val="clear" w:color="auto" w:fill="DBE5F1" w:themeFill="accent1" w:themeFillTint="33"/>
            <w:vAlign w:val="bottom"/>
            <w:hideMark/>
          </w:tcPr>
          <w:p w14:paraId="0AEE74A3" w14:textId="5850D75E"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672</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8</w:t>
            </w:r>
          </w:p>
        </w:tc>
        <w:tc>
          <w:tcPr>
            <w:tcW w:w="1701" w:type="dxa"/>
            <w:vAlign w:val="bottom"/>
            <w:hideMark/>
          </w:tcPr>
          <w:p w14:paraId="78FD4C41" w14:textId="2DF80EC2"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63</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r>
      <w:tr w:rsidR="001463DF" w:rsidRPr="00A37E65" w14:paraId="043BF588" w14:textId="77777777" w:rsidTr="006533A1">
        <w:trPr>
          <w:trHeight w:val="54"/>
          <w:jc w:val="center"/>
        </w:trPr>
        <w:tc>
          <w:tcPr>
            <w:tcW w:w="810" w:type="dxa"/>
            <w:vAlign w:val="bottom"/>
            <w:hideMark/>
          </w:tcPr>
          <w:p w14:paraId="47CB5F68" w14:textId="77777777"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EUR</w:t>
            </w:r>
          </w:p>
        </w:tc>
        <w:tc>
          <w:tcPr>
            <w:tcW w:w="1191" w:type="dxa"/>
            <w:vAlign w:val="bottom"/>
            <w:hideMark/>
          </w:tcPr>
          <w:p w14:paraId="6017FC5C" w14:textId="52048F38"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2</w:t>
            </w:r>
          </w:p>
        </w:tc>
        <w:tc>
          <w:tcPr>
            <w:tcW w:w="1169" w:type="dxa"/>
            <w:vAlign w:val="bottom"/>
            <w:hideMark/>
          </w:tcPr>
          <w:p w14:paraId="13393EA0" w14:textId="45B8C4DA"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3</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761</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2</w:t>
            </w:r>
          </w:p>
        </w:tc>
        <w:tc>
          <w:tcPr>
            <w:tcW w:w="1644" w:type="dxa"/>
            <w:vAlign w:val="bottom"/>
          </w:tcPr>
          <w:p w14:paraId="16243481" w14:textId="77777777" w:rsidR="001463DF" w:rsidRPr="00A37E65" w:rsidRDefault="001463DF" w:rsidP="009B65CD">
            <w:pPr>
              <w:spacing w:before="40" w:after="40"/>
              <w:jc w:val="right"/>
              <w:rPr>
                <w:rFonts w:eastAsiaTheme="minorEastAsia" w:cstheme="minorHAnsi"/>
                <w:sz w:val="20"/>
                <w:lang w:val="es-ES" w:eastAsia="zh-CN"/>
              </w:rPr>
            </w:pPr>
          </w:p>
        </w:tc>
        <w:tc>
          <w:tcPr>
            <w:tcW w:w="1644" w:type="dxa"/>
            <w:vAlign w:val="bottom"/>
            <w:hideMark/>
          </w:tcPr>
          <w:p w14:paraId="05FEEB12" w14:textId="77B56F40"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48</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4</w:t>
            </w:r>
          </w:p>
        </w:tc>
        <w:tc>
          <w:tcPr>
            <w:tcW w:w="1361" w:type="dxa"/>
            <w:shd w:val="clear" w:color="auto" w:fill="DBE5F1" w:themeFill="accent1" w:themeFillTint="33"/>
            <w:vAlign w:val="bottom"/>
            <w:hideMark/>
          </w:tcPr>
          <w:p w14:paraId="1F8CB97A" w14:textId="455A284A"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3</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809</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6</w:t>
            </w:r>
          </w:p>
        </w:tc>
        <w:tc>
          <w:tcPr>
            <w:tcW w:w="1701" w:type="dxa"/>
            <w:vAlign w:val="bottom"/>
            <w:hideMark/>
          </w:tcPr>
          <w:p w14:paraId="74B4500A" w14:textId="2B79C481"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1</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975</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4</w:t>
            </w:r>
          </w:p>
        </w:tc>
      </w:tr>
      <w:tr w:rsidR="001463DF" w:rsidRPr="00A37E65" w14:paraId="18B5C6B0" w14:textId="77777777" w:rsidTr="006533A1">
        <w:trPr>
          <w:trHeight w:val="54"/>
          <w:jc w:val="center"/>
        </w:trPr>
        <w:tc>
          <w:tcPr>
            <w:tcW w:w="810" w:type="dxa"/>
            <w:hideMark/>
          </w:tcPr>
          <w:p w14:paraId="0B471403" w14:textId="77777777" w:rsidR="001463DF" w:rsidRPr="00A37E65" w:rsidRDefault="001463DF" w:rsidP="009B65CD">
            <w:pPr>
              <w:spacing w:before="40" w:after="40"/>
              <w:rPr>
                <w:rFonts w:cstheme="minorHAnsi"/>
                <w:sz w:val="20"/>
                <w:lang w:val="es-ES" w:eastAsia="zh-CN"/>
              </w:rPr>
            </w:pPr>
            <w:r w:rsidRPr="00A37E65">
              <w:rPr>
                <w:rFonts w:cstheme="minorHAnsi"/>
                <w:sz w:val="20"/>
                <w:lang w:val="es-ES" w:eastAsia="zh-CN"/>
              </w:rPr>
              <w:t>MUL</w:t>
            </w:r>
          </w:p>
        </w:tc>
        <w:tc>
          <w:tcPr>
            <w:tcW w:w="1191" w:type="dxa"/>
            <w:noWrap/>
            <w:vAlign w:val="bottom"/>
            <w:hideMark/>
          </w:tcPr>
          <w:p w14:paraId="40D77402" w14:textId="7B4465F2"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20</w:t>
            </w:r>
          </w:p>
        </w:tc>
        <w:tc>
          <w:tcPr>
            <w:tcW w:w="1169" w:type="dxa"/>
            <w:vAlign w:val="bottom"/>
            <w:hideMark/>
          </w:tcPr>
          <w:p w14:paraId="248A3E0E" w14:textId="2EED3492"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15</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570</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8</w:t>
            </w:r>
          </w:p>
        </w:tc>
        <w:tc>
          <w:tcPr>
            <w:tcW w:w="1644" w:type="dxa"/>
            <w:vAlign w:val="bottom"/>
            <w:hideMark/>
          </w:tcPr>
          <w:p w14:paraId="667B63F1" w14:textId="673EF8FD"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3</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743</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1</w:t>
            </w:r>
          </w:p>
        </w:tc>
        <w:tc>
          <w:tcPr>
            <w:tcW w:w="1644" w:type="dxa"/>
            <w:vAlign w:val="bottom"/>
            <w:hideMark/>
          </w:tcPr>
          <w:p w14:paraId="26B611FC" w14:textId="3D282163"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1</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355</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7</w:t>
            </w:r>
          </w:p>
        </w:tc>
        <w:tc>
          <w:tcPr>
            <w:tcW w:w="1361" w:type="dxa"/>
            <w:shd w:val="clear" w:color="auto" w:fill="DBE5F1" w:themeFill="accent1" w:themeFillTint="33"/>
            <w:vAlign w:val="bottom"/>
            <w:hideMark/>
          </w:tcPr>
          <w:p w14:paraId="31DCA692" w14:textId="30351753" w:rsidR="001463DF" w:rsidRPr="00A37E65" w:rsidRDefault="001463DF" w:rsidP="009B65CD">
            <w:pPr>
              <w:spacing w:before="40" w:after="40"/>
              <w:jc w:val="right"/>
              <w:rPr>
                <w:rFonts w:eastAsiaTheme="minorEastAsia" w:cstheme="minorHAnsi"/>
                <w:sz w:val="20"/>
                <w:lang w:val="es-ES" w:eastAsia="zh-CN"/>
              </w:rPr>
            </w:pPr>
            <w:r w:rsidRPr="00A37E65">
              <w:rPr>
                <w:rFonts w:eastAsiaTheme="minorEastAsia" w:cstheme="minorHAnsi"/>
                <w:sz w:val="20"/>
                <w:lang w:val="es-ES" w:eastAsia="zh-CN"/>
              </w:rPr>
              <w:t>20</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940</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4</w:t>
            </w:r>
          </w:p>
        </w:tc>
        <w:tc>
          <w:tcPr>
            <w:tcW w:w="1701" w:type="dxa"/>
            <w:vAlign w:val="bottom"/>
            <w:hideMark/>
          </w:tcPr>
          <w:p w14:paraId="78EF0774" w14:textId="5C106E9D" w:rsidR="001463DF" w:rsidRPr="00A37E65" w:rsidRDefault="001463DF" w:rsidP="009B65CD">
            <w:pPr>
              <w:spacing w:before="40" w:after="40"/>
              <w:jc w:val="center"/>
              <w:rPr>
                <w:rFonts w:eastAsiaTheme="minorEastAsia" w:cstheme="minorHAnsi"/>
                <w:sz w:val="20"/>
                <w:lang w:val="es-ES" w:eastAsia="zh-CN"/>
              </w:rPr>
            </w:pPr>
            <w:r w:rsidRPr="00A37E65">
              <w:rPr>
                <w:rFonts w:eastAsiaTheme="minorEastAsia" w:cstheme="minorHAnsi"/>
                <w:sz w:val="20"/>
                <w:lang w:val="es-ES" w:eastAsia="zh-CN"/>
              </w:rPr>
              <w:t>5</w:t>
            </w:r>
            <w:r w:rsidR="00062C5B" w:rsidRPr="00A37E65">
              <w:rPr>
                <w:rFonts w:eastAsiaTheme="minorEastAsia" w:cstheme="minorHAnsi"/>
                <w:sz w:val="20"/>
                <w:lang w:val="es-ES" w:eastAsia="zh-CN"/>
              </w:rPr>
              <w:t> </w:t>
            </w:r>
            <w:r w:rsidRPr="00A37E65">
              <w:rPr>
                <w:rFonts w:eastAsiaTheme="minorEastAsia" w:cstheme="minorHAnsi"/>
                <w:sz w:val="20"/>
                <w:lang w:val="es-ES" w:eastAsia="zh-CN"/>
              </w:rPr>
              <w:t>716</w:t>
            </w:r>
            <w:r w:rsidR="00062C5B" w:rsidRPr="00A37E65">
              <w:rPr>
                <w:rFonts w:eastAsiaTheme="minorEastAsia" w:cstheme="minorHAnsi"/>
                <w:sz w:val="20"/>
                <w:lang w:val="es-ES" w:eastAsia="zh-CN"/>
              </w:rPr>
              <w:t>,</w:t>
            </w:r>
            <w:r w:rsidRPr="00A37E65">
              <w:rPr>
                <w:rFonts w:eastAsiaTheme="minorEastAsia" w:cstheme="minorHAnsi"/>
                <w:sz w:val="20"/>
                <w:lang w:val="es-ES" w:eastAsia="zh-CN"/>
              </w:rPr>
              <w:t>8</w:t>
            </w:r>
          </w:p>
        </w:tc>
      </w:tr>
      <w:tr w:rsidR="001463DF" w:rsidRPr="00A37E65" w14:paraId="5F9662CC" w14:textId="77777777" w:rsidTr="006533A1">
        <w:trPr>
          <w:trHeight w:val="54"/>
          <w:jc w:val="center"/>
        </w:trPr>
        <w:tc>
          <w:tcPr>
            <w:tcW w:w="810" w:type="dxa"/>
            <w:shd w:val="clear" w:color="auto" w:fill="DBE5F1" w:themeFill="accent1" w:themeFillTint="33"/>
            <w:noWrap/>
            <w:vAlign w:val="center"/>
            <w:hideMark/>
          </w:tcPr>
          <w:p w14:paraId="10941C04" w14:textId="77777777" w:rsidR="001463DF" w:rsidRPr="00A37E65" w:rsidRDefault="001463DF" w:rsidP="009B65CD">
            <w:pPr>
              <w:spacing w:before="40" w:after="40"/>
              <w:rPr>
                <w:rFonts w:cstheme="minorHAnsi"/>
                <w:b/>
                <w:bCs/>
                <w:sz w:val="20"/>
                <w:lang w:val="es-ES" w:eastAsia="zh-CN"/>
              </w:rPr>
            </w:pPr>
            <w:r w:rsidRPr="00A37E65">
              <w:rPr>
                <w:rFonts w:cstheme="minorHAnsi"/>
                <w:b/>
                <w:bCs/>
                <w:sz w:val="20"/>
                <w:lang w:val="es-ES" w:eastAsia="zh-CN"/>
              </w:rPr>
              <w:t>Total</w:t>
            </w:r>
          </w:p>
        </w:tc>
        <w:tc>
          <w:tcPr>
            <w:tcW w:w="1191" w:type="dxa"/>
            <w:shd w:val="clear" w:color="auto" w:fill="DBE5F1" w:themeFill="accent1" w:themeFillTint="33"/>
            <w:noWrap/>
            <w:vAlign w:val="bottom"/>
            <w:hideMark/>
          </w:tcPr>
          <w:p w14:paraId="1D038345" w14:textId="141BD701" w:rsidR="001463DF" w:rsidRPr="00A37E65" w:rsidRDefault="001463DF" w:rsidP="009B65CD">
            <w:pPr>
              <w:spacing w:before="40" w:after="40"/>
              <w:jc w:val="center"/>
              <w:rPr>
                <w:rFonts w:eastAsiaTheme="minorEastAsia" w:cstheme="minorHAnsi"/>
                <w:b/>
                <w:bCs/>
                <w:sz w:val="20"/>
                <w:lang w:val="es-ES" w:eastAsia="zh-CN"/>
              </w:rPr>
            </w:pPr>
            <w:r w:rsidRPr="00A37E65">
              <w:rPr>
                <w:rFonts w:eastAsiaTheme="minorEastAsia" w:cstheme="minorHAnsi"/>
                <w:b/>
                <w:bCs/>
                <w:sz w:val="20"/>
                <w:lang w:val="es-ES" w:eastAsia="zh-CN"/>
              </w:rPr>
              <w:t>60</w:t>
            </w:r>
          </w:p>
        </w:tc>
        <w:tc>
          <w:tcPr>
            <w:tcW w:w="1169" w:type="dxa"/>
            <w:shd w:val="clear" w:color="auto" w:fill="DBE5F1" w:themeFill="accent1" w:themeFillTint="33"/>
            <w:noWrap/>
            <w:vAlign w:val="bottom"/>
            <w:hideMark/>
          </w:tcPr>
          <w:p w14:paraId="2ACFC24A" w14:textId="4F1A0C4E" w:rsidR="001463DF" w:rsidRPr="00A37E65" w:rsidRDefault="001463DF" w:rsidP="009B65CD">
            <w:pPr>
              <w:spacing w:before="40" w:after="40"/>
              <w:jc w:val="right"/>
              <w:rPr>
                <w:rFonts w:eastAsiaTheme="minorEastAsia" w:cstheme="minorHAnsi"/>
                <w:b/>
                <w:bCs/>
                <w:sz w:val="20"/>
                <w:lang w:val="es-ES" w:eastAsia="zh-CN"/>
              </w:rPr>
            </w:pPr>
            <w:r w:rsidRPr="00A37E65">
              <w:rPr>
                <w:rFonts w:eastAsiaTheme="minorEastAsia" w:cstheme="minorHAnsi"/>
                <w:b/>
                <w:bCs/>
                <w:sz w:val="20"/>
                <w:lang w:val="es-ES" w:eastAsia="zh-CN"/>
              </w:rPr>
              <w:t>79</w:t>
            </w:r>
            <w:r w:rsidR="00062C5B" w:rsidRPr="00A37E65">
              <w:rPr>
                <w:rFonts w:eastAsiaTheme="minorEastAsia" w:cstheme="minorHAnsi"/>
                <w:b/>
                <w:bCs/>
                <w:sz w:val="20"/>
                <w:lang w:val="es-ES" w:eastAsia="zh-CN"/>
              </w:rPr>
              <w:t> </w:t>
            </w:r>
            <w:r w:rsidRPr="00A37E65">
              <w:rPr>
                <w:rFonts w:eastAsiaTheme="minorEastAsia" w:cstheme="minorHAnsi"/>
                <w:b/>
                <w:bCs/>
                <w:sz w:val="20"/>
                <w:lang w:val="es-ES" w:eastAsia="zh-CN"/>
              </w:rPr>
              <w:t>648</w:t>
            </w:r>
            <w:r w:rsidR="00062C5B" w:rsidRPr="00A37E65">
              <w:rPr>
                <w:rFonts w:eastAsiaTheme="minorEastAsia" w:cstheme="minorHAnsi"/>
                <w:b/>
                <w:bCs/>
                <w:sz w:val="20"/>
                <w:lang w:val="es-ES" w:eastAsia="zh-CN"/>
              </w:rPr>
              <w:t>,</w:t>
            </w:r>
            <w:r w:rsidRPr="00A37E65">
              <w:rPr>
                <w:rFonts w:eastAsiaTheme="minorEastAsia" w:cstheme="minorHAnsi"/>
                <w:b/>
                <w:bCs/>
                <w:sz w:val="20"/>
                <w:lang w:val="es-ES" w:eastAsia="zh-CN"/>
              </w:rPr>
              <w:t>0</w:t>
            </w:r>
          </w:p>
        </w:tc>
        <w:tc>
          <w:tcPr>
            <w:tcW w:w="1644" w:type="dxa"/>
            <w:shd w:val="clear" w:color="auto" w:fill="DBE5F1" w:themeFill="accent1" w:themeFillTint="33"/>
            <w:noWrap/>
            <w:vAlign w:val="bottom"/>
            <w:hideMark/>
          </w:tcPr>
          <w:p w14:paraId="7F5D4AA6" w14:textId="31A40B5D" w:rsidR="001463DF" w:rsidRPr="00A37E65" w:rsidRDefault="001463DF" w:rsidP="009B65CD">
            <w:pPr>
              <w:spacing w:before="40" w:after="40"/>
              <w:jc w:val="right"/>
              <w:rPr>
                <w:rFonts w:eastAsiaTheme="minorEastAsia" w:cstheme="minorHAnsi"/>
                <w:b/>
                <w:bCs/>
                <w:sz w:val="20"/>
                <w:lang w:val="es-ES" w:eastAsia="zh-CN"/>
              </w:rPr>
            </w:pPr>
            <w:r w:rsidRPr="00A37E65">
              <w:rPr>
                <w:rFonts w:eastAsiaTheme="minorEastAsia" w:cstheme="minorHAnsi"/>
                <w:b/>
                <w:bCs/>
                <w:sz w:val="20"/>
                <w:lang w:val="es-ES" w:eastAsia="zh-CN"/>
              </w:rPr>
              <w:t>5</w:t>
            </w:r>
            <w:r w:rsidR="00062C5B" w:rsidRPr="00A37E65">
              <w:rPr>
                <w:rFonts w:eastAsiaTheme="minorEastAsia" w:cstheme="minorHAnsi"/>
                <w:b/>
                <w:bCs/>
                <w:sz w:val="20"/>
                <w:lang w:val="es-ES" w:eastAsia="zh-CN"/>
              </w:rPr>
              <w:t> </w:t>
            </w:r>
            <w:r w:rsidRPr="00A37E65">
              <w:rPr>
                <w:rFonts w:eastAsiaTheme="minorEastAsia" w:cstheme="minorHAnsi"/>
                <w:b/>
                <w:bCs/>
                <w:sz w:val="20"/>
                <w:lang w:val="es-ES" w:eastAsia="zh-CN"/>
              </w:rPr>
              <w:t>497</w:t>
            </w:r>
            <w:r w:rsidR="00062C5B" w:rsidRPr="00A37E65">
              <w:rPr>
                <w:rFonts w:eastAsiaTheme="minorEastAsia" w:cstheme="minorHAnsi"/>
                <w:sz w:val="20"/>
                <w:lang w:val="es-ES" w:eastAsia="zh-CN"/>
              </w:rPr>
              <w:t>,</w:t>
            </w:r>
            <w:r w:rsidRPr="00A37E65">
              <w:rPr>
                <w:rFonts w:eastAsiaTheme="minorEastAsia" w:cstheme="minorHAnsi"/>
                <w:b/>
                <w:bCs/>
                <w:sz w:val="20"/>
                <w:lang w:val="es-ES" w:eastAsia="zh-CN"/>
              </w:rPr>
              <w:t>5</w:t>
            </w:r>
          </w:p>
        </w:tc>
        <w:tc>
          <w:tcPr>
            <w:tcW w:w="1644" w:type="dxa"/>
            <w:shd w:val="clear" w:color="auto" w:fill="DBE5F1" w:themeFill="accent1" w:themeFillTint="33"/>
            <w:noWrap/>
            <w:vAlign w:val="bottom"/>
            <w:hideMark/>
          </w:tcPr>
          <w:p w14:paraId="3905C43B" w14:textId="0568EFC6" w:rsidR="001463DF" w:rsidRPr="00A37E65" w:rsidRDefault="001463DF" w:rsidP="009B65CD">
            <w:pPr>
              <w:spacing w:before="40" w:after="40"/>
              <w:jc w:val="right"/>
              <w:rPr>
                <w:rFonts w:eastAsiaTheme="minorEastAsia" w:cstheme="minorHAnsi"/>
                <w:b/>
                <w:bCs/>
                <w:sz w:val="20"/>
                <w:lang w:val="es-ES" w:eastAsia="zh-CN"/>
              </w:rPr>
            </w:pPr>
            <w:r w:rsidRPr="00A37E65">
              <w:rPr>
                <w:rFonts w:eastAsiaTheme="minorEastAsia" w:cstheme="minorHAnsi"/>
                <w:b/>
                <w:bCs/>
                <w:sz w:val="20"/>
                <w:lang w:val="es-ES" w:eastAsia="zh-CN"/>
              </w:rPr>
              <w:t>3</w:t>
            </w:r>
            <w:r w:rsidR="00062C5B" w:rsidRPr="00A37E65">
              <w:rPr>
                <w:rFonts w:eastAsiaTheme="minorEastAsia" w:cstheme="minorHAnsi"/>
                <w:b/>
                <w:bCs/>
                <w:sz w:val="20"/>
                <w:lang w:val="es-ES" w:eastAsia="zh-CN"/>
              </w:rPr>
              <w:t> </w:t>
            </w:r>
            <w:r w:rsidRPr="00A37E65">
              <w:rPr>
                <w:rFonts w:eastAsiaTheme="minorEastAsia" w:cstheme="minorHAnsi"/>
                <w:b/>
                <w:bCs/>
                <w:sz w:val="20"/>
                <w:lang w:val="es-ES" w:eastAsia="zh-CN"/>
              </w:rPr>
              <w:t>266</w:t>
            </w:r>
            <w:r w:rsidR="00062C5B" w:rsidRPr="00A37E65">
              <w:rPr>
                <w:rFonts w:eastAsiaTheme="minorEastAsia" w:cstheme="minorHAnsi"/>
                <w:sz w:val="20"/>
                <w:lang w:val="es-ES" w:eastAsia="zh-CN"/>
              </w:rPr>
              <w:t>,</w:t>
            </w:r>
            <w:r w:rsidRPr="00A37E65">
              <w:rPr>
                <w:rFonts w:eastAsiaTheme="minorEastAsia" w:cstheme="minorHAnsi"/>
                <w:b/>
                <w:bCs/>
                <w:sz w:val="20"/>
                <w:lang w:val="es-ES" w:eastAsia="zh-CN"/>
              </w:rPr>
              <w:t>2</w:t>
            </w:r>
          </w:p>
        </w:tc>
        <w:tc>
          <w:tcPr>
            <w:tcW w:w="1361" w:type="dxa"/>
            <w:shd w:val="clear" w:color="auto" w:fill="DBE5F1" w:themeFill="accent1" w:themeFillTint="33"/>
            <w:noWrap/>
            <w:vAlign w:val="bottom"/>
            <w:hideMark/>
          </w:tcPr>
          <w:p w14:paraId="2D45E413" w14:textId="60EC33B2" w:rsidR="001463DF" w:rsidRPr="00A37E65" w:rsidRDefault="001463DF" w:rsidP="009B65CD">
            <w:pPr>
              <w:spacing w:before="40" w:after="40"/>
              <w:jc w:val="right"/>
              <w:rPr>
                <w:rFonts w:eastAsiaTheme="minorEastAsia" w:cstheme="minorHAnsi"/>
                <w:b/>
                <w:bCs/>
                <w:sz w:val="20"/>
                <w:lang w:val="es-ES" w:eastAsia="zh-CN"/>
              </w:rPr>
            </w:pPr>
            <w:r w:rsidRPr="00A37E65">
              <w:rPr>
                <w:rFonts w:eastAsiaTheme="minorEastAsia" w:cstheme="minorHAnsi"/>
                <w:b/>
                <w:bCs/>
                <w:sz w:val="20"/>
                <w:lang w:val="es-ES" w:eastAsia="zh-CN"/>
              </w:rPr>
              <w:t>88</w:t>
            </w:r>
            <w:r w:rsidR="00062C5B" w:rsidRPr="00A37E65">
              <w:rPr>
                <w:rFonts w:eastAsiaTheme="minorEastAsia" w:cstheme="minorHAnsi"/>
                <w:b/>
                <w:bCs/>
                <w:sz w:val="20"/>
                <w:lang w:val="es-ES" w:eastAsia="zh-CN"/>
              </w:rPr>
              <w:t> </w:t>
            </w:r>
            <w:r w:rsidRPr="00A37E65">
              <w:rPr>
                <w:rFonts w:eastAsiaTheme="minorEastAsia" w:cstheme="minorHAnsi"/>
                <w:b/>
                <w:bCs/>
                <w:sz w:val="20"/>
                <w:lang w:val="es-ES" w:eastAsia="zh-CN"/>
              </w:rPr>
              <w:t>995</w:t>
            </w:r>
            <w:r w:rsidR="00062C5B" w:rsidRPr="00A37E65">
              <w:rPr>
                <w:rFonts w:eastAsiaTheme="minorEastAsia" w:cstheme="minorHAnsi"/>
                <w:sz w:val="20"/>
                <w:lang w:val="es-ES" w:eastAsia="zh-CN"/>
              </w:rPr>
              <w:t>,</w:t>
            </w:r>
            <w:r w:rsidRPr="00A37E65">
              <w:rPr>
                <w:rFonts w:eastAsiaTheme="minorEastAsia" w:cstheme="minorHAnsi"/>
                <w:b/>
                <w:bCs/>
                <w:sz w:val="20"/>
                <w:lang w:val="es-ES" w:eastAsia="zh-CN"/>
              </w:rPr>
              <w:t>5</w:t>
            </w:r>
          </w:p>
        </w:tc>
        <w:tc>
          <w:tcPr>
            <w:tcW w:w="1701" w:type="dxa"/>
            <w:shd w:val="clear" w:color="auto" w:fill="DBE5F1" w:themeFill="accent1" w:themeFillTint="33"/>
            <w:noWrap/>
            <w:vAlign w:val="bottom"/>
            <w:hideMark/>
          </w:tcPr>
          <w:p w14:paraId="6D4B822B" w14:textId="7EC5692C" w:rsidR="001463DF" w:rsidRPr="00A37E65" w:rsidRDefault="001463DF" w:rsidP="009B65CD">
            <w:pPr>
              <w:spacing w:before="40" w:after="40"/>
              <w:jc w:val="center"/>
              <w:rPr>
                <w:rFonts w:eastAsiaTheme="minorEastAsia" w:cstheme="minorHAnsi"/>
                <w:b/>
                <w:bCs/>
                <w:sz w:val="20"/>
                <w:lang w:val="es-ES" w:eastAsia="zh-CN"/>
              </w:rPr>
            </w:pPr>
            <w:r w:rsidRPr="00A37E65">
              <w:rPr>
                <w:rFonts w:eastAsiaTheme="minorEastAsia" w:cstheme="minorHAnsi"/>
                <w:b/>
                <w:bCs/>
                <w:sz w:val="20"/>
                <w:lang w:val="es-ES" w:eastAsia="zh-CN"/>
              </w:rPr>
              <w:t>22</w:t>
            </w:r>
            <w:r w:rsidR="00062C5B" w:rsidRPr="00A37E65">
              <w:rPr>
                <w:rFonts w:eastAsiaTheme="minorEastAsia" w:cstheme="minorHAnsi"/>
                <w:b/>
                <w:bCs/>
                <w:sz w:val="20"/>
                <w:lang w:val="es-ES" w:eastAsia="zh-CN"/>
              </w:rPr>
              <w:t> </w:t>
            </w:r>
            <w:r w:rsidRPr="00A37E65">
              <w:rPr>
                <w:rFonts w:eastAsiaTheme="minorEastAsia" w:cstheme="minorHAnsi"/>
                <w:b/>
                <w:bCs/>
                <w:sz w:val="20"/>
                <w:lang w:val="es-ES" w:eastAsia="zh-CN"/>
              </w:rPr>
              <w:t>960</w:t>
            </w:r>
            <w:r w:rsidR="00062C5B" w:rsidRPr="00A37E65">
              <w:rPr>
                <w:rFonts w:eastAsiaTheme="minorEastAsia" w:cstheme="minorHAnsi"/>
                <w:sz w:val="20"/>
                <w:lang w:val="es-ES" w:eastAsia="zh-CN"/>
              </w:rPr>
              <w:t>,</w:t>
            </w:r>
            <w:r w:rsidRPr="00A37E65">
              <w:rPr>
                <w:rFonts w:eastAsiaTheme="minorEastAsia" w:cstheme="minorHAnsi"/>
                <w:b/>
                <w:bCs/>
                <w:sz w:val="20"/>
                <w:lang w:val="es-ES" w:eastAsia="zh-CN"/>
              </w:rPr>
              <w:t>1</w:t>
            </w:r>
          </w:p>
        </w:tc>
      </w:tr>
    </w:tbl>
    <w:p w14:paraId="1EE6DA33" w14:textId="78BF5E81" w:rsidR="00915BF5" w:rsidRPr="00A37E65" w:rsidRDefault="00324948" w:rsidP="006C3AE6">
      <w:pPr>
        <w:pStyle w:val="Heading2"/>
        <w:numPr>
          <w:ilvl w:val="1"/>
          <w:numId w:val="2"/>
        </w:numPr>
        <w:spacing w:before="120" w:after="120"/>
        <w:ind w:left="540" w:hanging="540"/>
        <w:textAlignment w:val="auto"/>
        <w:rPr>
          <w:rFonts w:cstheme="minorHAnsi"/>
          <w:b w:val="0"/>
          <w:bCs/>
          <w:szCs w:val="24"/>
          <w:u w:val="single"/>
          <w:lang w:val="es-ES"/>
        </w:rPr>
      </w:pPr>
      <w:r w:rsidRPr="00A37E65">
        <w:rPr>
          <w:rFonts w:cstheme="minorHAnsi"/>
          <w:b w:val="0"/>
          <w:bCs/>
          <w:szCs w:val="24"/>
          <w:u w:val="single"/>
          <w:lang w:val="es-ES"/>
        </w:rPr>
        <w:lastRenderedPageBreak/>
        <w:t>Proyectos firmados durante el periodo del que se informa</w:t>
      </w:r>
    </w:p>
    <w:p w14:paraId="51129EBF" w14:textId="1A0BC14A" w:rsidR="00915BF5" w:rsidRPr="00A37E65" w:rsidRDefault="00D35530" w:rsidP="006C3AE6">
      <w:pPr>
        <w:spacing w:after="120"/>
        <w:rPr>
          <w:rFonts w:cstheme="minorBidi"/>
          <w:lang w:val="es-ES"/>
        </w:rPr>
      </w:pPr>
      <w:r w:rsidRPr="00A37E65">
        <w:rPr>
          <w:rFonts w:cstheme="minorBidi"/>
          <w:lang w:val="es-ES"/>
        </w:rPr>
        <w:t xml:space="preserve">En </w:t>
      </w:r>
      <w:r w:rsidR="00CF2543" w:rsidRPr="00A37E65">
        <w:rPr>
          <w:rFonts w:cstheme="minorBidi"/>
          <w:lang w:val="es-ES"/>
        </w:rPr>
        <w:t>2022</w:t>
      </w:r>
      <w:r w:rsidRPr="00A37E65">
        <w:rPr>
          <w:rFonts w:cstheme="minorBidi"/>
          <w:lang w:val="es-ES"/>
        </w:rPr>
        <w:t>, la</w:t>
      </w:r>
      <w:r w:rsidR="00CF2543" w:rsidRPr="00A37E65">
        <w:rPr>
          <w:rFonts w:cstheme="minorBidi"/>
          <w:lang w:val="es-ES"/>
        </w:rPr>
        <w:t xml:space="preserve"> </w:t>
      </w:r>
      <w:r w:rsidR="00915BF5" w:rsidRPr="00A37E65">
        <w:rPr>
          <w:rFonts w:cstheme="minorBidi"/>
          <w:lang w:val="es-ES"/>
        </w:rPr>
        <w:t xml:space="preserve">BDT </w:t>
      </w:r>
      <w:r w:rsidRPr="00A37E65">
        <w:rPr>
          <w:rFonts w:cstheme="minorBidi"/>
          <w:lang w:val="es-ES"/>
        </w:rPr>
        <w:t xml:space="preserve">formó ocho nuevos proyectos multirregionales, regionales y nacionales, valorados en </w:t>
      </w:r>
      <w:r w:rsidR="00355857" w:rsidRPr="00A37E65">
        <w:rPr>
          <w:rFonts w:cstheme="minorBidi"/>
          <w:lang w:val="es-ES"/>
        </w:rPr>
        <w:t>5</w:t>
      </w:r>
      <w:r w:rsidRPr="00A37E65">
        <w:rPr>
          <w:rFonts w:cstheme="minorBidi"/>
          <w:lang w:val="es-ES"/>
        </w:rPr>
        <w:t>,</w:t>
      </w:r>
      <w:r w:rsidR="00355857" w:rsidRPr="00A37E65">
        <w:rPr>
          <w:rFonts w:cstheme="minorBidi"/>
          <w:lang w:val="es-ES"/>
        </w:rPr>
        <w:t>3</w:t>
      </w:r>
      <w:r w:rsidR="004D07FD">
        <w:rPr>
          <w:rFonts w:cstheme="minorBidi"/>
          <w:lang w:val="es-ES"/>
        </w:rPr>
        <w:t> </w:t>
      </w:r>
      <w:r w:rsidRPr="00A37E65">
        <w:rPr>
          <w:rFonts w:cstheme="minorBidi"/>
          <w:lang w:val="es-ES"/>
        </w:rPr>
        <w:t>millones CHF</w:t>
      </w:r>
      <w:r w:rsidR="00915BF5" w:rsidRPr="00A37E65">
        <w:rPr>
          <w:rFonts w:cstheme="minorBidi"/>
          <w:lang w:val="es-ES"/>
        </w:rPr>
        <w:t xml:space="preserve">. </w:t>
      </w:r>
      <w:r w:rsidRPr="00A37E65">
        <w:rPr>
          <w:rFonts w:cstheme="minorHAnsi"/>
          <w:lang w:val="es-ES"/>
        </w:rPr>
        <w:t xml:space="preserve">Por otra parte, se están manteniendo conversaciones para otros </w:t>
      </w:r>
      <w:r w:rsidR="00915BF5" w:rsidRPr="00A37E65">
        <w:rPr>
          <w:rFonts w:cstheme="minorBidi"/>
          <w:lang w:val="es-ES"/>
        </w:rPr>
        <w:t>1</w:t>
      </w:r>
      <w:r w:rsidR="00CC730B" w:rsidRPr="00A37E65">
        <w:rPr>
          <w:rFonts w:cstheme="minorBidi"/>
          <w:lang w:val="es-ES"/>
        </w:rPr>
        <w:t>1</w:t>
      </w:r>
      <w:r w:rsidR="0043102E">
        <w:rPr>
          <w:rFonts w:cstheme="minorBidi"/>
          <w:lang w:val="es-ES"/>
        </w:rPr>
        <w:t> </w:t>
      </w:r>
      <w:r w:rsidRPr="00A37E65">
        <w:rPr>
          <w:rFonts w:cstheme="minorBidi"/>
          <w:lang w:val="es-ES"/>
        </w:rPr>
        <w:t xml:space="preserve">proyectos </w:t>
      </w:r>
      <w:r w:rsidRPr="00A37E65">
        <w:rPr>
          <w:rFonts w:cstheme="minorHAnsi"/>
          <w:lang w:val="es-ES"/>
        </w:rPr>
        <w:t>que se espera firmar en 2023 por un valor de 17,7 millones CHF</w:t>
      </w:r>
      <w:r w:rsidRPr="00A37E65">
        <w:rPr>
          <w:rFonts w:cstheme="minorBidi"/>
          <w:lang w:val="es-ES"/>
        </w:rPr>
        <w:t>. Entre los proyectos firmados en</w:t>
      </w:r>
      <w:r w:rsidR="00BE5781">
        <w:rPr>
          <w:rFonts w:cstheme="minorBidi"/>
          <w:lang w:val="es-ES"/>
        </w:rPr>
        <w:t> </w:t>
      </w:r>
      <w:r w:rsidR="00CC730B" w:rsidRPr="00A37E65">
        <w:rPr>
          <w:rFonts w:cstheme="minorBidi"/>
          <w:lang w:val="es-ES"/>
        </w:rPr>
        <w:t xml:space="preserve">2022 </w:t>
      </w:r>
      <w:r w:rsidRPr="00A37E65">
        <w:rPr>
          <w:rFonts w:cstheme="minorBidi"/>
          <w:lang w:val="es-ES"/>
        </w:rPr>
        <w:t>figuran los siguientes</w:t>
      </w:r>
      <w:r w:rsidR="00915BF5" w:rsidRPr="00A37E65">
        <w:rPr>
          <w:rFonts w:cstheme="minorBidi"/>
          <w:lang w:val="es-ES"/>
        </w:rPr>
        <w:t>:</w:t>
      </w:r>
    </w:p>
    <w:p w14:paraId="3DAF29B8" w14:textId="4AD1B612" w:rsidR="0000305D" w:rsidRPr="00A37E65" w:rsidRDefault="009410FA"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El proyecto</w:t>
      </w:r>
      <w:r w:rsidR="009F7797" w:rsidRPr="00A37E65">
        <w:rPr>
          <w:rFonts w:cstheme="minorHAnsi"/>
          <w:lang w:val="es-ES"/>
        </w:rPr>
        <w:t xml:space="preserve"> </w:t>
      </w:r>
      <w:r w:rsidR="009262A9">
        <w:rPr>
          <w:rFonts w:cstheme="minorHAnsi"/>
          <w:lang w:val="es-ES"/>
        </w:rPr>
        <w:t>"</w:t>
      </w:r>
      <w:r w:rsidRPr="00A37E65">
        <w:rPr>
          <w:rFonts w:cstheme="minorHAnsi"/>
          <w:lang w:val="es-ES"/>
        </w:rPr>
        <w:t>Islas inteligentes en el Pacífico</w:t>
      </w:r>
      <w:r w:rsidR="009262A9">
        <w:rPr>
          <w:rFonts w:cstheme="minorHAnsi"/>
          <w:lang w:val="es-ES"/>
        </w:rPr>
        <w:t>"</w:t>
      </w:r>
      <w:r w:rsidRPr="00A37E65">
        <w:rPr>
          <w:rFonts w:cstheme="minorHAnsi"/>
          <w:lang w:val="es-ES"/>
        </w:rPr>
        <w:t xml:space="preserve"> (Smart </w:t>
      </w:r>
      <w:proofErr w:type="spellStart"/>
      <w:r w:rsidRPr="00A37E65">
        <w:rPr>
          <w:rFonts w:cstheme="minorHAnsi"/>
          <w:lang w:val="es-ES"/>
        </w:rPr>
        <w:t>Islands</w:t>
      </w:r>
      <w:proofErr w:type="spellEnd"/>
      <w:r w:rsidRPr="00A37E65">
        <w:rPr>
          <w:rFonts w:cstheme="minorHAnsi"/>
          <w:lang w:val="es-ES"/>
        </w:rPr>
        <w:t xml:space="preserve"> in </w:t>
      </w:r>
      <w:proofErr w:type="spellStart"/>
      <w:r w:rsidRPr="00A37E65">
        <w:rPr>
          <w:rFonts w:cstheme="minorHAnsi"/>
          <w:lang w:val="es-ES"/>
        </w:rPr>
        <w:t>the</w:t>
      </w:r>
      <w:proofErr w:type="spellEnd"/>
      <w:r w:rsidRPr="00A37E65">
        <w:rPr>
          <w:rFonts w:cstheme="minorHAnsi"/>
          <w:lang w:val="es-ES"/>
        </w:rPr>
        <w:t xml:space="preserve"> </w:t>
      </w:r>
      <w:proofErr w:type="spellStart"/>
      <w:r w:rsidRPr="00A37E65">
        <w:rPr>
          <w:rFonts w:cstheme="minorHAnsi"/>
          <w:lang w:val="es-ES"/>
        </w:rPr>
        <w:t>Pacific</w:t>
      </w:r>
      <w:proofErr w:type="spellEnd"/>
      <w:r w:rsidRPr="00A37E65">
        <w:rPr>
          <w:rFonts w:cstheme="minorHAnsi"/>
          <w:lang w:val="es-ES"/>
        </w:rPr>
        <w:t>)</w:t>
      </w:r>
      <w:r w:rsidR="002D6723" w:rsidRPr="00A37E65">
        <w:rPr>
          <w:rFonts w:cstheme="minorHAnsi"/>
          <w:lang w:val="es-ES"/>
        </w:rPr>
        <w:t xml:space="preserve">, </w:t>
      </w:r>
      <w:r w:rsidRPr="00A37E65">
        <w:rPr>
          <w:rFonts w:cstheme="minorHAnsi"/>
          <w:lang w:val="es-ES"/>
        </w:rPr>
        <w:t>ejecutado en colaboración con el Banco Asiático de Desarrollo</w:t>
      </w:r>
      <w:r w:rsidR="0000305D" w:rsidRPr="00A37E65">
        <w:rPr>
          <w:rFonts w:cstheme="minorHAnsi"/>
          <w:lang w:val="es-ES"/>
        </w:rPr>
        <w:t>.</w:t>
      </w:r>
    </w:p>
    <w:p w14:paraId="07264732" w14:textId="1BA5F05E" w:rsidR="008A76BF" w:rsidRPr="00A37E65" w:rsidRDefault="009410FA"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009F7797" w:rsidRPr="00A37E65">
        <w:rPr>
          <w:rFonts w:cstheme="minorHAnsi"/>
          <w:lang w:val="es-ES"/>
        </w:rPr>
        <w:t>Acelerar el logro de los ODS mediante la transformación digital para fortalecer la resiliencia comunitaria en Micronesia</w:t>
      </w:r>
      <w:r w:rsidR="009262A9">
        <w:rPr>
          <w:rFonts w:cstheme="minorHAnsi"/>
          <w:lang w:val="es-ES"/>
        </w:rPr>
        <w:t>"</w:t>
      </w:r>
      <w:r w:rsidR="009F7797" w:rsidRPr="00A37E65">
        <w:rPr>
          <w:rFonts w:cstheme="minorHAnsi"/>
          <w:lang w:val="es-ES"/>
        </w:rPr>
        <w:t xml:space="preserve"> (</w:t>
      </w:r>
      <w:proofErr w:type="spellStart"/>
      <w:r w:rsidR="009F7797" w:rsidRPr="00A37E65">
        <w:rPr>
          <w:rFonts w:cstheme="minorHAnsi"/>
          <w:lang w:val="es-ES"/>
        </w:rPr>
        <w:t>Ac</w:t>
      </w:r>
      <w:r w:rsidR="00684067" w:rsidRPr="00A37E65">
        <w:rPr>
          <w:rFonts w:cstheme="minorHAnsi"/>
          <w:lang w:val="es-ES"/>
        </w:rPr>
        <w:t>celerating</w:t>
      </w:r>
      <w:proofErr w:type="spellEnd"/>
      <w:r w:rsidR="00684067" w:rsidRPr="00A37E65">
        <w:rPr>
          <w:rFonts w:cstheme="minorHAnsi"/>
          <w:lang w:val="es-ES"/>
        </w:rPr>
        <w:t xml:space="preserve"> SDG </w:t>
      </w:r>
      <w:proofErr w:type="spellStart"/>
      <w:r w:rsidR="00684067" w:rsidRPr="00A37E65">
        <w:rPr>
          <w:rFonts w:cstheme="minorHAnsi"/>
          <w:lang w:val="es-ES"/>
        </w:rPr>
        <w:t>achievement</w:t>
      </w:r>
      <w:proofErr w:type="spellEnd"/>
      <w:r w:rsidR="00684067" w:rsidRPr="00A37E65">
        <w:rPr>
          <w:rFonts w:cstheme="minorHAnsi"/>
          <w:lang w:val="es-ES"/>
        </w:rPr>
        <w:t xml:space="preserve"> </w:t>
      </w:r>
      <w:proofErr w:type="spellStart"/>
      <w:r w:rsidR="00684067" w:rsidRPr="00A37E65">
        <w:rPr>
          <w:rFonts w:cstheme="minorHAnsi"/>
          <w:lang w:val="es-ES"/>
        </w:rPr>
        <w:t>through</w:t>
      </w:r>
      <w:proofErr w:type="spellEnd"/>
      <w:r w:rsidR="00684067" w:rsidRPr="00A37E65">
        <w:rPr>
          <w:rFonts w:cstheme="minorHAnsi"/>
          <w:lang w:val="es-ES"/>
        </w:rPr>
        <w:t xml:space="preserve"> digital transformation to strengthen community resilience in Micronesia</w:t>
      </w:r>
      <w:r w:rsidR="009F7797" w:rsidRPr="00A37E65">
        <w:rPr>
          <w:rFonts w:cstheme="minorHAnsi"/>
          <w:lang w:val="es-ES"/>
        </w:rPr>
        <w:t xml:space="preserve">), financiado por el </w:t>
      </w:r>
      <w:r w:rsidR="009F7797" w:rsidRPr="00A37E65">
        <w:rPr>
          <w:color w:val="000000"/>
          <w:lang w:val="es-ES"/>
        </w:rPr>
        <w:t xml:space="preserve">fondo de los ODS de las Naciones Unidas y ejecutado en colaboración con la Organización de las Naciones Unidas para la Alimentación y la </w:t>
      </w:r>
      <w:r w:rsidR="009F7797" w:rsidRPr="00A37E65">
        <w:rPr>
          <w:rFonts w:cstheme="minorHAnsi"/>
          <w:lang w:val="es-ES"/>
        </w:rPr>
        <w:t>Agricultura (</w:t>
      </w:r>
      <w:r w:rsidR="008A76BF" w:rsidRPr="00A37E65">
        <w:rPr>
          <w:rFonts w:cstheme="minorHAnsi"/>
          <w:lang w:val="es-ES"/>
        </w:rPr>
        <w:t>FAO</w:t>
      </w:r>
      <w:r w:rsidR="009F7797" w:rsidRPr="00A37E65">
        <w:rPr>
          <w:rFonts w:cstheme="minorHAnsi"/>
          <w:lang w:val="es-ES"/>
        </w:rPr>
        <w:t>)</w:t>
      </w:r>
      <w:r w:rsidR="008A76BF" w:rsidRPr="00A37E65">
        <w:rPr>
          <w:rFonts w:cstheme="minorHAnsi"/>
          <w:lang w:val="es-ES"/>
        </w:rPr>
        <w:t xml:space="preserve">, </w:t>
      </w:r>
      <w:r w:rsidR="009F7797" w:rsidRPr="00A37E65">
        <w:rPr>
          <w:rFonts w:cstheme="minorHAnsi"/>
          <w:lang w:val="es-ES"/>
        </w:rPr>
        <w:t>la Organización Internacional del Trabajo (OIT)</w:t>
      </w:r>
      <w:r w:rsidR="008A76BF" w:rsidRPr="00A37E65">
        <w:rPr>
          <w:rFonts w:cstheme="minorHAnsi"/>
          <w:lang w:val="es-ES"/>
        </w:rPr>
        <w:t xml:space="preserve">, </w:t>
      </w:r>
      <w:r w:rsidR="009F7797" w:rsidRPr="00A37E65">
        <w:rPr>
          <w:rFonts w:cstheme="minorHAnsi"/>
          <w:lang w:val="es-ES"/>
        </w:rPr>
        <w:t>la Oficina de las Naciones Unidas de Servicios para Proyectos (</w:t>
      </w:r>
      <w:r w:rsidR="008A76BF" w:rsidRPr="00A37E65">
        <w:rPr>
          <w:rFonts w:cstheme="minorHAnsi"/>
          <w:lang w:val="es-ES"/>
        </w:rPr>
        <w:t>UNOPS</w:t>
      </w:r>
      <w:r w:rsidR="009F7797" w:rsidRPr="00A37E65">
        <w:rPr>
          <w:rFonts w:cstheme="minorHAnsi"/>
          <w:lang w:val="es-ES"/>
        </w:rPr>
        <w:t>)</w:t>
      </w:r>
      <w:r w:rsidR="008A76BF" w:rsidRPr="00A37E65">
        <w:rPr>
          <w:rFonts w:cstheme="minorHAnsi"/>
          <w:lang w:val="es-ES"/>
        </w:rPr>
        <w:t xml:space="preserve">, </w:t>
      </w:r>
      <w:r w:rsidR="009F7797" w:rsidRPr="00A37E65">
        <w:rPr>
          <w:rFonts w:cstheme="minorHAnsi"/>
          <w:lang w:val="es-ES"/>
        </w:rPr>
        <w:t>la Organización de las Naciones Unidas para la Educación, la Ciencia y la Cultura (</w:t>
      </w:r>
      <w:r w:rsidR="008A76BF" w:rsidRPr="00A37E65">
        <w:rPr>
          <w:rFonts w:cstheme="minorHAnsi"/>
          <w:lang w:val="es-ES"/>
        </w:rPr>
        <w:t>UNESCO</w:t>
      </w:r>
      <w:r w:rsidR="009F7797" w:rsidRPr="00A37E65">
        <w:rPr>
          <w:rFonts w:cstheme="minorHAnsi"/>
          <w:lang w:val="es-ES"/>
        </w:rPr>
        <w:t>)</w:t>
      </w:r>
      <w:r w:rsidR="008A76BF" w:rsidRPr="00A37E65">
        <w:rPr>
          <w:rFonts w:cstheme="minorHAnsi"/>
          <w:lang w:val="es-ES"/>
        </w:rPr>
        <w:t xml:space="preserve">, </w:t>
      </w:r>
      <w:r w:rsidR="009F7797" w:rsidRPr="00A37E65">
        <w:rPr>
          <w:rFonts w:cstheme="minorHAnsi"/>
          <w:lang w:val="es-ES"/>
        </w:rPr>
        <w:t>el Fondo de las Naciones Unidas para la Infancia (</w:t>
      </w:r>
      <w:r w:rsidR="008A76BF" w:rsidRPr="00A37E65">
        <w:rPr>
          <w:rFonts w:cstheme="minorHAnsi"/>
          <w:lang w:val="es-ES"/>
        </w:rPr>
        <w:t>UNICEF</w:t>
      </w:r>
      <w:r w:rsidR="009F7797" w:rsidRPr="00A37E65">
        <w:rPr>
          <w:rFonts w:cstheme="minorHAnsi"/>
          <w:lang w:val="es-ES"/>
        </w:rPr>
        <w:t>)</w:t>
      </w:r>
      <w:r w:rsidR="008A76BF" w:rsidRPr="00A37E65">
        <w:rPr>
          <w:rFonts w:cstheme="minorHAnsi"/>
          <w:lang w:val="es-ES"/>
        </w:rPr>
        <w:t xml:space="preserve"> </w:t>
      </w:r>
      <w:r w:rsidR="009F7797" w:rsidRPr="00A37E65">
        <w:rPr>
          <w:rFonts w:cstheme="minorHAnsi"/>
          <w:lang w:val="es-ES"/>
        </w:rPr>
        <w:t>y la Oficina de las Naciones Unidas contra la Droga y el Delito (</w:t>
      </w:r>
      <w:r w:rsidR="008A76BF" w:rsidRPr="00A37E65">
        <w:rPr>
          <w:rFonts w:cstheme="minorHAnsi"/>
          <w:lang w:val="es-ES"/>
        </w:rPr>
        <w:t>UNODC</w:t>
      </w:r>
      <w:r w:rsidR="009F7797" w:rsidRPr="00A37E65">
        <w:rPr>
          <w:rFonts w:cstheme="minorHAnsi"/>
          <w:lang w:val="es-ES"/>
        </w:rPr>
        <w:t>)</w:t>
      </w:r>
      <w:r w:rsidR="008A76BF" w:rsidRPr="00A37E65">
        <w:rPr>
          <w:rFonts w:cstheme="minorHAnsi"/>
          <w:lang w:val="es-ES"/>
        </w:rPr>
        <w:t>.</w:t>
      </w:r>
    </w:p>
    <w:p w14:paraId="6661A578" w14:textId="1442C431" w:rsidR="00A12F6B" w:rsidRPr="00A37E65" w:rsidRDefault="009F7797"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Pr="00A37E65">
        <w:rPr>
          <w:rFonts w:cstheme="minorHAnsi"/>
          <w:lang w:val="es-ES"/>
        </w:rPr>
        <w:t>Impulsar los ODS mejorando los medios de vida, la protección social, los derechos humanos y la resiliencia de las comunidades vulnerables median</w:t>
      </w:r>
      <w:r w:rsidR="00421F7E" w:rsidRPr="00A37E65">
        <w:rPr>
          <w:rFonts w:cstheme="minorHAnsi"/>
          <w:lang w:val="es-ES"/>
        </w:rPr>
        <w:t>t</w:t>
      </w:r>
      <w:r w:rsidRPr="00A37E65">
        <w:rPr>
          <w:rFonts w:cstheme="minorHAnsi"/>
          <w:lang w:val="es-ES"/>
        </w:rPr>
        <w:t>e el trabajo digno y la transformación digital</w:t>
      </w:r>
      <w:r w:rsidR="009262A9">
        <w:rPr>
          <w:rFonts w:cstheme="minorHAnsi"/>
          <w:lang w:val="es-ES"/>
        </w:rPr>
        <w:t>"</w:t>
      </w:r>
      <w:r w:rsidRPr="00A37E65">
        <w:rPr>
          <w:rFonts w:cstheme="minorHAnsi"/>
          <w:lang w:val="es-ES"/>
        </w:rPr>
        <w:t xml:space="preserve"> (</w:t>
      </w:r>
      <w:proofErr w:type="spellStart"/>
      <w:r w:rsidR="00684067" w:rsidRPr="00A37E65">
        <w:rPr>
          <w:rFonts w:cstheme="minorHAnsi"/>
          <w:lang w:val="es-ES"/>
        </w:rPr>
        <w:t>Advancing</w:t>
      </w:r>
      <w:proofErr w:type="spellEnd"/>
      <w:r w:rsidR="00684067" w:rsidRPr="00A37E65">
        <w:rPr>
          <w:rFonts w:cstheme="minorHAnsi"/>
          <w:lang w:val="es-ES"/>
        </w:rPr>
        <w:t xml:space="preserve"> </w:t>
      </w:r>
      <w:proofErr w:type="spellStart"/>
      <w:r w:rsidR="00684067" w:rsidRPr="00A37E65">
        <w:rPr>
          <w:rFonts w:cstheme="minorHAnsi"/>
          <w:lang w:val="es-ES"/>
        </w:rPr>
        <w:t>the</w:t>
      </w:r>
      <w:proofErr w:type="spellEnd"/>
      <w:r w:rsidR="00684067" w:rsidRPr="00A37E65">
        <w:rPr>
          <w:rFonts w:cstheme="minorHAnsi"/>
          <w:lang w:val="es-ES"/>
        </w:rPr>
        <w:t xml:space="preserve"> </w:t>
      </w:r>
      <w:proofErr w:type="spellStart"/>
      <w:r w:rsidR="00684067" w:rsidRPr="00A37E65">
        <w:rPr>
          <w:rFonts w:cstheme="minorHAnsi"/>
          <w:lang w:val="es-ES"/>
        </w:rPr>
        <w:t>SDGs</w:t>
      </w:r>
      <w:proofErr w:type="spellEnd"/>
      <w:r w:rsidR="00684067" w:rsidRPr="00A37E65">
        <w:rPr>
          <w:rFonts w:cstheme="minorHAnsi"/>
          <w:lang w:val="es-ES"/>
        </w:rPr>
        <w:t xml:space="preserve"> </w:t>
      </w:r>
      <w:proofErr w:type="spellStart"/>
      <w:r w:rsidR="00684067" w:rsidRPr="00A37E65">
        <w:rPr>
          <w:rFonts w:cstheme="minorHAnsi"/>
          <w:lang w:val="es-ES"/>
        </w:rPr>
        <w:t>by</w:t>
      </w:r>
      <w:proofErr w:type="spellEnd"/>
      <w:r w:rsidR="00684067" w:rsidRPr="00A37E65">
        <w:rPr>
          <w:rFonts w:cstheme="minorHAnsi"/>
          <w:lang w:val="es-ES"/>
        </w:rPr>
        <w:t xml:space="preserve"> Improving livelihoods, social protection, human rights and resilience of vulnerable communities via decent work and digital transformation</w:t>
      </w:r>
      <w:r w:rsidRPr="00A37E65">
        <w:rPr>
          <w:rFonts w:cstheme="minorHAnsi"/>
          <w:lang w:val="es-ES"/>
        </w:rPr>
        <w:t>), financiado</w:t>
      </w:r>
      <w:r w:rsidR="00421F7E" w:rsidRPr="00A37E65">
        <w:rPr>
          <w:rFonts w:cstheme="minorHAnsi"/>
          <w:lang w:val="es-ES"/>
        </w:rPr>
        <w:t xml:space="preserve"> por el </w:t>
      </w:r>
      <w:r w:rsidR="00421F7E" w:rsidRPr="00A37E65">
        <w:rPr>
          <w:color w:val="000000"/>
          <w:lang w:val="es-ES"/>
        </w:rPr>
        <w:t xml:space="preserve">fondo de los ODS de las Naciones Unidas y ejecutado en colaboración con la </w:t>
      </w:r>
      <w:r w:rsidR="00A12F6B" w:rsidRPr="00A37E65">
        <w:rPr>
          <w:rFonts w:cstheme="minorHAnsi"/>
          <w:lang w:val="es-ES"/>
        </w:rPr>
        <w:t xml:space="preserve">UNESCO, </w:t>
      </w:r>
      <w:r w:rsidR="00421F7E" w:rsidRPr="00A37E65">
        <w:rPr>
          <w:rFonts w:cstheme="minorHAnsi"/>
          <w:lang w:val="es-ES"/>
        </w:rPr>
        <w:t xml:space="preserve">la </w:t>
      </w:r>
      <w:r w:rsidR="00A12F6B" w:rsidRPr="00A37E65">
        <w:rPr>
          <w:rFonts w:cstheme="minorHAnsi"/>
          <w:lang w:val="es-ES"/>
        </w:rPr>
        <w:t xml:space="preserve">UNODC, </w:t>
      </w:r>
      <w:r w:rsidR="00421F7E" w:rsidRPr="00A37E65">
        <w:rPr>
          <w:rFonts w:cstheme="minorHAnsi"/>
          <w:lang w:val="es-ES"/>
        </w:rPr>
        <w:t xml:space="preserve">la </w:t>
      </w:r>
      <w:r w:rsidR="00A12F6B" w:rsidRPr="00A37E65">
        <w:rPr>
          <w:rFonts w:cstheme="minorHAnsi"/>
          <w:lang w:val="es-ES"/>
        </w:rPr>
        <w:t xml:space="preserve">UNOPS, </w:t>
      </w:r>
      <w:r w:rsidR="00421F7E" w:rsidRPr="00A37E65">
        <w:rPr>
          <w:rFonts w:cstheme="minorHAnsi"/>
          <w:lang w:val="es-ES"/>
        </w:rPr>
        <w:t xml:space="preserve">la Oficina del Alto Comisionado de las Naciones Unidas para los Derechos Humanos (ACNUDH) y otras autoridades nacionales coordinadoras del Pacífico sur </w:t>
      </w:r>
      <w:r w:rsidR="00A12F6B" w:rsidRPr="00A37E65">
        <w:rPr>
          <w:rFonts w:cstheme="minorHAnsi"/>
          <w:lang w:val="es-ES"/>
        </w:rPr>
        <w:t xml:space="preserve">(Fiji, </w:t>
      </w:r>
      <w:r w:rsidR="00421F7E" w:rsidRPr="00A37E65">
        <w:rPr>
          <w:rFonts w:cstheme="minorHAnsi"/>
          <w:lang w:val="es-ES"/>
        </w:rPr>
        <w:t>Islas Salomón</w:t>
      </w:r>
      <w:r w:rsidR="00A12F6B" w:rsidRPr="00A37E65">
        <w:rPr>
          <w:rFonts w:cstheme="minorHAnsi"/>
          <w:lang w:val="es-ES"/>
        </w:rPr>
        <w:t>, Tonga, Vanuatu</w:t>
      </w:r>
      <w:r w:rsidR="00421F7E" w:rsidRPr="00A37E65">
        <w:rPr>
          <w:rFonts w:cstheme="minorHAnsi"/>
          <w:lang w:val="es-ES"/>
        </w:rPr>
        <w:t xml:space="preserve"> y </w:t>
      </w:r>
      <w:r w:rsidR="00A12F6B" w:rsidRPr="00A37E65">
        <w:rPr>
          <w:rFonts w:cstheme="minorHAnsi"/>
          <w:lang w:val="es-ES"/>
        </w:rPr>
        <w:t>Tuvalu)</w:t>
      </w:r>
      <w:r w:rsidR="006B33A9" w:rsidRPr="00A37E65">
        <w:rPr>
          <w:rFonts w:cstheme="minorHAnsi"/>
          <w:lang w:val="es-ES"/>
        </w:rPr>
        <w:t>.</w:t>
      </w:r>
    </w:p>
    <w:p w14:paraId="0495E824" w14:textId="3873BB2A" w:rsidR="00684067" w:rsidRPr="00A37E65" w:rsidRDefault="00421F7E"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Pr="00A37E65">
        <w:rPr>
          <w:rFonts w:cstheme="minorHAnsi"/>
          <w:lang w:val="es-ES"/>
        </w:rPr>
        <w:t>Aldeas Inteligentes Pakistán</w:t>
      </w:r>
      <w:r w:rsidR="009262A9">
        <w:rPr>
          <w:rFonts w:cstheme="minorHAnsi"/>
          <w:lang w:val="es-ES"/>
        </w:rPr>
        <w:t>"</w:t>
      </w:r>
      <w:r w:rsidRPr="00A37E65">
        <w:rPr>
          <w:rFonts w:cstheme="minorHAnsi"/>
          <w:lang w:val="es-ES"/>
        </w:rPr>
        <w:t xml:space="preserve"> (</w:t>
      </w:r>
      <w:r w:rsidR="00684067" w:rsidRPr="00A37E65">
        <w:rPr>
          <w:rFonts w:cstheme="minorHAnsi"/>
          <w:lang w:val="es-ES"/>
        </w:rPr>
        <w:t xml:space="preserve">Smart </w:t>
      </w:r>
      <w:proofErr w:type="spellStart"/>
      <w:r w:rsidR="00684067" w:rsidRPr="00A37E65">
        <w:rPr>
          <w:rFonts w:cstheme="minorHAnsi"/>
          <w:lang w:val="es-ES"/>
        </w:rPr>
        <w:t>Villages</w:t>
      </w:r>
      <w:proofErr w:type="spellEnd"/>
      <w:r w:rsidR="00684067" w:rsidRPr="00A37E65">
        <w:rPr>
          <w:rFonts w:cstheme="minorHAnsi"/>
          <w:lang w:val="es-ES"/>
        </w:rPr>
        <w:t xml:space="preserve"> </w:t>
      </w:r>
      <w:proofErr w:type="spellStart"/>
      <w:r w:rsidR="00684067" w:rsidRPr="00A37E65">
        <w:rPr>
          <w:rFonts w:cstheme="minorHAnsi"/>
          <w:lang w:val="es-ES"/>
        </w:rPr>
        <w:t>Pakistan</w:t>
      </w:r>
      <w:proofErr w:type="spellEnd"/>
      <w:r w:rsidRPr="00A37E65">
        <w:rPr>
          <w:rFonts w:cstheme="minorHAnsi"/>
          <w:lang w:val="es-ES"/>
        </w:rPr>
        <w:t xml:space="preserve">), financiado por </w:t>
      </w:r>
      <w:r w:rsidR="00481860" w:rsidRPr="00A37E65">
        <w:rPr>
          <w:rFonts w:cstheme="minorHAnsi"/>
          <w:lang w:val="es-ES"/>
        </w:rPr>
        <w:t>Huawei</w:t>
      </w:r>
      <w:r w:rsidR="003A7032" w:rsidRPr="00A37E65">
        <w:rPr>
          <w:rFonts w:cstheme="minorHAnsi"/>
          <w:lang w:val="es-ES"/>
        </w:rPr>
        <w:t xml:space="preserve"> </w:t>
      </w:r>
      <w:r w:rsidRPr="00A37E65">
        <w:rPr>
          <w:rFonts w:cstheme="minorHAnsi"/>
          <w:lang w:val="es-ES"/>
        </w:rPr>
        <w:t>con aportaciones de</w:t>
      </w:r>
      <w:r w:rsidR="00C66C93" w:rsidRPr="00A37E65">
        <w:rPr>
          <w:rFonts w:cstheme="minorHAnsi"/>
          <w:lang w:val="es-ES"/>
        </w:rPr>
        <w:t xml:space="preserve"> </w:t>
      </w:r>
      <w:r w:rsidRPr="00A37E65">
        <w:rPr>
          <w:rFonts w:cstheme="minorHAnsi"/>
          <w:lang w:val="es-ES"/>
        </w:rPr>
        <w:t>l</w:t>
      </w:r>
      <w:r w:rsidR="00C66C93" w:rsidRPr="00A37E65">
        <w:rPr>
          <w:rFonts w:cstheme="minorHAnsi"/>
          <w:lang w:val="es-ES"/>
        </w:rPr>
        <w:t>os</w:t>
      </w:r>
      <w:r w:rsidRPr="00A37E65">
        <w:rPr>
          <w:rFonts w:cstheme="minorHAnsi"/>
          <w:lang w:val="es-ES"/>
        </w:rPr>
        <w:t xml:space="preserve"> fondo</w:t>
      </w:r>
      <w:r w:rsidR="00C66C93" w:rsidRPr="00A37E65">
        <w:rPr>
          <w:rFonts w:cstheme="minorHAnsi"/>
          <w:lang w:val="es-ES"/>
        </w:rPr>
        <w:t>s</w:t>
      </w:r>
      <w:r w:rsidRPr="00A37E65">
        <w:rPr>
          <w:rFonts w:cstheme="minorHAnsi"/>
          <w:lang w:val="es-ES"/>
        </w:rPr>
        <w:t xml:space="preserve"> para las Iniciativas Regionales</w:t>
      </w:r>
      <w:r w:rsidR="00481860" w:rsidRPr="00A37E65">
        <w:rPr>
          <w:rFonts w:cstheme="minorHAnsi"/>
          <w:lang w:val="es-ES"/>
        </w:rPr>
        <w:t>.</w:t>
      </w:r>
    </w:p>
    <w:p w14:paraId="05F76D38" w14:textId="0FE046BC" w:rsidR="00684067" w:rsidRPr="00A37E65" w:rsidRDefault="00C66C93"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Pr="00A37E65">
        <w:rPr>
          <w:rFonts w:cstheme="minorHAnsi"/>
          <w:lang w:val="es-ES"/>
        </w:rPr>
        <w:t>Acelerador digital para mujeres emprendedoras</w:t>
      </w:r>
      <w:r w:rsidR="009262A9">
        <w:rPr>
          <w:rFonts w:cstheme="minorHAnsi"/>
          <w:lang w:val="es-ES"/>
        </w:rPr>
        <w:t>"</w:t>
      </w:r>
      <w:r w:rsidRPr="00A37E65">
        <w:rPr>
          <w:rFonts w:cstheme="minorHAnsi"/>
          <w:lang w:val="es-ES"/>
        </w:rPr>
        <w:t xml:space="preserve"> (D</w:t>
      </w:r>
      <w:r w:rsidR="00684067" w:rsidRPr="00A37E65">
        <w:rPr>
          <w:rFonts w:cstheme="minorHAnsi"/>
          <w:lang w:val="es-ES"/>
        </w:rPr>
        <w:t xml:space="preserve">igital Accelerator </w:t>
      </w:r>
      <w:proofErr w:type="spellStart"/>
      <w:r w:rsidR="00684067" w:rsidRPr="00A37E65">
        <w:rPr>
          <w:rFonts w:cstheme="minorHAnsi"/>
          <w:lang w:val="es-ES"/>
        </w:rPr>
        <w:t>for</w:t>
      </w:r>
      <w:proofErr w:type="spellEnd"/>
      <w:r w:rsidR="00684067" w:rsidRPr="00A37E65">
        <w:rPr>
          <w:rFonts w:cstheme="minorHAnsi"/>
          <w:lang w:val="es-ES"/>
        </w:rPr>
        <w:t xml:space="preserve"> </w:t>
      </w:r>
      <w:proofErr w:type="spellStart"/>
      <w:r w:rsidR="00684067" w:rsidRPr="00A37E65">
        <w:rPr>
          <w:rFonts w:cstheme="minorHAnsi"/>
          <w:lang w:val="es-ES"/>
        </w:rPr>
        <w:t>Women</w:t>
      </w:r>
      <w:proofErr w:type="spellEnd"/>
      <w:r w:rsidR="00684067" w:rsidRPr="00A37E65">
        <w:rPr>
          <w:rFonts w:cstheme="minorHAnsi"/>
          <w:lang w:val="es-ES"/>
        </w:rPr>
        <w:t xml:space="preserve"> </w:t>
      </w:r>
      <w:proofErr w:type="spellStart"/>
      <w:r w:rsidR="00684067" w:rsidRPr="00A37E65">
        <w:rPr>
          <w:rFonts w:cstheme="minorHAnsi"/>
          <w:lang w:val="es-ES"/>
        </w:rPr>
        <w:t>Entrepreneurs</w:t>
      </w:r>
      <w:proofErr w:type="spellEnd"/>
      <w:r w:rsidRPr="00A37E65">
        <w:rPr>
          <w:rFonts w:cstheme="minorHAnsi"/>
          <w:lang w:val="es-ES"/>
        </w:rPr>
        <w:t xml:space="preserve">), financiado por la fundación </w:t>
      </w:r>
      <w:r w:rsidR="00481860" w:rsidRPr="00A37E65">
        <w:rPr>
          <w:rFonts w:cstheme="minorHAnsi"/>
          <w:lang w:val="es-ES"/>
        </w:rPr>
        <w:t xml:space="preserve">Mary Kay </w:t>
      </w:r>
      <w:r w:rsidRPr="00A37E65">
        <w:rPr>
          <w:rFonts w:cstheme="minorHAnsi"/>
          <w:lang w:val="es-ES"/>
        </w:rPr>
        <w:t>con aportaciones adicionales del FD-TIC</w:t>
      </w:r>
      <w:r w:rsidR="00B652AE" w:rsidRPr="00A37E65">
        <w:rPr>
          <w:rFonts w:cstheme="minorHAnsi"/>
          <w:lang w:val="es-ES"/>
        </w:rPr>
        <w:t>.</w:t>
      </w:r>
    </w:p>
    <w:p w14:paraId="2B7D905C" w14:textId="4E6C9BE7" w:rsidR="00B652AE" w:rsidRPr="00A37E65" w:rsidRDefault="00C66C93"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00B652AE" w:rsidRPr="00A37E65">
        <w:rPr>
          <w:rFonts w:cstheme="minorHAnsi"/>
          <w:lang w:val="es-ES"/>
        </w:rPr>
        <w:t>Asistencia Técnica Especializada para la valoración de bandas de frecuencias para Sistemas Móviles Avanzados en el Ecuador</w:t>
      </w:r>
      <w:r w:rsidR="009262A9">
        <w:rPr>
          <w:rFonts w:cstheme="minorHAnsi"/>
          <w:lang w:val="es-ES"/>
        </w:rPr>
        <w:t>"</w:t>
      </w:r>
      <w:r w:rsidR="00B652AE" w:rsidRPr="00A37E65">
        <w:rPr>
          <w:rFonts w:cstheme="minorHAnsi"/>
          <w:lang w:val="es-ES"/>
        </w:rPr>
        <w:t xml:space="preserve">, </w:t>
      </w:r>
      <w:r w:rsidRPr="00A37E65">
        <w:rPr>
          <w:rFonts w:cstheme="minorHAnsi"/>
          <w:lang w:val="es-ES"/>
        </w:rPr>
        <w:t xml:space="preserve">financiado por </w:t>
      </w:r>
      <w:proofErr w:type="spellStart"/>
      <w:r w:rsidR="00B652AE" w:rsidRPr="00A37E65">
        <w:rPr>
          <w:rFonts w:cstheme="minorHAnsi"/>
          <w:lang w:val="es-ES"/>
        </w:rPr>
        <w:t>Arcotel</w:t>
      </w:r>
      <w:proofErr w:type="spellEnd"/>
      <w:r w:rsidR="00B652AE" w:rsidRPr="00A37E65">
        <w:rPr>
          <w:rFonts w:cstheme="minorHAnsi"/>
          <w:lang w:val="es-ES"/>
        </w:rPr>
        <w:t xml:space="preserve"> Ecuador.</w:t>
      </w:r>
    </w:p>
    <w:p w14:paraId="083CF72B" w14:textId="44208DDE" w:rsidR="00666903" w:rsidRPr="00A37E65" w:rsidRDefault="00C66C93"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Pr="00A37E65">
        <w:rPr>
          <w:rFonts w:cstheme="minorHAnsi"/>
          <w:lang w:val="es-ES"/>
        </w:rPr>
        <w:t>Contribución de 2022 del Gobierno de Australia (</w:t>
      </w:r>
      <w:r w:rsidR="00A37E65" w:rsidRPr="00A37E65">
        <w:rPr>
          <w:rFonts w:cstheme="minorHAnsi"/>
          <w:lang w:val="es-ES"/>
        </w:rPr>
        <w:t>DITRDC)</w:t>
      </w:r>
      <w:r w:rsidRPr="00A37E65">
        <w:rPr>
          <w:rFonts w:cstheme="minorHAnsi"/>
          <w:lang w:val="es-ES"/>
        </w:rPr>
        <w:t xml:space="preserve"> en apoyo de la CMDT</w:t>
      </w:r>
      <w:r w:rsidR="00E56576">
        <w:rPr>
          <w:rFonts w:cstheme="minorHAnsi"/>
          <w:lang w:val="es-ES"/>
        </w:rPr>
        <w:noBreakHyphen/>
      </w:r>
      <w:r w:rsidRPr="00A37E65">
        <w:rPr>
          <w:rFonts w:cstheme="minorHAnsi"/>
          <w:lang w:val="es-ES"/>
        </w:rPr>
        <w:t>22</w:t>
      </w:r>
      <w:r w:rsidR="009262A9">
        <w:rPr>
          <w:rFonts w:cstheme="minorHAnsi"/>
          <w:lang w:val="es-ES"/>
        </w:rPr>
        <w:t>"</w:t>
      </w:r>
      <w:r w:rsidRPr="00A37E65">
        <w:rPr>
          <w:rFonts w:cstheme="minorHAnsi"/>
          <w:lang w:val="es-ES"/>
        </w:rPr>
        <w:t xml:space="preserve"> (</w:t>
      </w:r>
      <w:r w:rsidR="00666903" w:rsidRPr="00A37E65">
        <w:rPr>
          <w:rFonts w:cstheme="minorHAnsi"/>
          <w:lang w:val="es-ES"/>
        </w:rPr>
        <w:t xml:space="preserve">2022 </w:t>
      </w:r>
      <w:proofErr w:type="spellStart"/>
      <w:r w:rsidR="00666903" w:rsidRPr="00A37E65">
        <w:rPr>
          <w:rFonts w:cstheme="minorHAnsi"/>
          <w:lang w:val="es-ES"/>
        </w:rPr>
        <w:t>Contribution</w:t>
      </w:r>
      <w:proofErr w:type="spellEnd"/>
      <w:r w:rsidR="00666903" w:rsidRPr="00A37E65">
        <w:rPr>
          <w:rFonts w:cstheme="minorHAnsi"/>
          <w:lang w:val="es-ES"/>
        </w:rPr>
        <w:t xml:space="preserve"> </w:t>
      </w:r>
      <w:proofErr w:type="spellStart"/>
      <w:r w:rsidR="00666903" w:rsidRPr="00A37E65">
        <w:rPr>
          <w:rFonts w:cstheme="minorHAnsi"/>
          <w:lang w:val="es-ES"/>
        </w:rPr>
        <w:t>from</w:t>
      </w:r>
      <w:proofErr w:type="spellEnd"/>
      <w:r w:rsidR="00666903" w:rsidRPr="00A37E65">
        <w:rPr>
          <w:rFonts w:cstheme="minorHAnsi"/>
          <w:lang w:val="es-ES"/>
        </w:rPr>
        <w:t xml:space="preserve"> </w:t>
      </w:r>
      <w:proofErr w:type="spellStart"/>
      <w:r w:rsidR="00666903" w:rsidRPr="00A37E65">
        <w:rPr>
          <w:rFonts w:cstheme="minorHAnsi"/>
          <w:lang w:val="es-ES"/>
        </w:rPr>
        <w:t>the</w:t>
      </w:r>
      <w:proofErr w:type="spellEnd"/>
      <w:r w:rsidR="00666903" w:rsidRPr="00A37E65">
        <w:rPr>
          <w:rFonts w:cstheme="minorHAnsi"/>
          <w:lang w:val="es-ES"/>
        </w:rPr>
        <w:t xml:space="preserve"> </w:t>
      </w:r>
      <w:proofErr w:type="spellStart"/>
      <w:r w:rsidR="00666903" w:rsidRPr="00A37E65">
        <w:rPr>
          <w:rFonts w:cstheme="minorHAnsi"/>
          <w:lang w:val="es-ES"/>
        </w:rPr>
        <w:t>Government</w:t>
      </w:r>
      <w:proofErr w:type="spellEnd"/>
      <w:r w:rsidR="00666903" w:rsidRPr="00A37E65">
        <w:rPr>
          <w:rFonts w:cstheme="minorHAnsi"/>
          <w:lang w:val="es-ES"/>
        </w:rPr>
        <w:t xml:space="preserve"> of Australia </w:t>
      </w:r>
      <w:r w:rsidRPr="00A37E65">
        <w:rPr>
          <w:rFonts w:cstheme="minorHAnsi"/>
          <w:lang w:val="es-ES"/>
        </w:rPr>
        <w:t>[</w:t>
      </w:r>
      <w:r w:rsidR="00666903" w:rsidRPr="00A37E65">
        <w:rPr>
          <w:rFonts w:cstheme="minorHAnsi"/>
          <w:lang w:val="es-ES"/>
        </w:rPr>
        <w:t>DITRDC</w:t>
      </w:r>
      <w:r w:rsidRPr="00A37E65">
        <w:rPr>
          <w:rFonts w:cstheme="minorHAnsi"/>
          <w:lang w:val="es-ES"/>
        </w:rPr>
        <w:t>]</w:t>
      </w:r>
      <w:r w:rsidR="00666903" w:rsidRPr="00A37E65">
        <w:rPr>
          <w:rFonts w:cstheme="minorHAnsi"/>
          <w:lang w:val="es-ES"/>
        </w:rPr>
        <w:t xml:space="preserve"> for supporting the WTDC-22</w:t>
      </w:r>
      <w:r w:rsidRPr="00A37E65">
        <w:rPr>
          <w:rFonts w:cstheme="minorHAnsi"/>
          <w:lang w:val="es-ES"/>
        </w:rPr>
        <w:t>)</w:t>
      </w:r>
      <w:r w:rsidR="00666903" w:rsidRPr="00A37E65">
        <w:rPr>
          <w:rFonts w:cstheme="minorHAnsi"/>
          <w:lang w:val="es-ES"/>
        </w:rPr>
        <w:t xml:space="preserve">, </w:t>
      </w:r>
      <w:r w:rsidRPr="00A37E65">
        <w:rPr>
          <w:rFonts w:cstheme="minorHAnsi"/>
          <w:lang w:val="es-ES"/>
        </w:rPr>
        <w:t xml:space="preserve">financiado por </w:t>
      </w:r>
      <w:r w:rsidR="00666903" w:rsidRPr="00A37E65">
        <w:rPr>
          <w:rFonts w:cstheme="minorHAnsi"/>
          <w:lang w:val="es-ES"/>
        </w:rPr>
        <w:t>DIRTDCA Australia.</w:t>
      </w:r>
    </w:p>
    <w:p w14:paraId="0025C368" w14:textId="7082A64B" w:rsidR="00684067" w:rsidRPr="00A37E65" w:rsidRDefault="00C66C93" w:rsidP="006C3AE6">
      <w:pPr>
        <w:pStyle w:val="ListParagraph"/>
        <w:numPr>
          <w:ilvl w:val="0"/>
          <w:numId w:val="3"/>
        </w:numPr>
        <w:spacing w:before="60" w:after="60"/>
        <w:ind w:left="357" w:hanging="357"/>
        <w:contextualSpacing w:val="0"/>
        <w:textAlignment w:val="auto"/>
        <w:rPr>
          <w:rFonts w:cstheme="minorHAnsi"/>
          <w:lang w:val="es-ES"/>
        </w:rPr>
      </w:pPr>
      <w:r w:rsidRPr="00A37E65">
        <w:rPr>
          <w:rFonts w:cstheme="minorHAnsi"/>
          <w:lang w:val="es-ES"/>
        </w:rPr>
        <w:t xml:space="preserve">El proyecto </w:t>
      </w:r>
      <w:r w:rsidR="009262A9">
        <w:rPr>
          <w:rFonts w:cstheme="minorHAnsi"/>
          <w:lang w:val="es-ES"/>
        </w:rPr>
        <w:t>"</w:t>
      </w:r>
      <w:r w:rsidR="00D60FFC" w:rsidRPr="00A37E65">
        <w:rPr>
          <w:rFonts w:cstheme="minorHAnsi"/>
          <w:lang w:val="es-ES"/>
        </w:rPr>
        <w:t>Implementación de la fase 2 de los m</w:t>
      </w:r>
      <w:r w:rsidR="00D60FFC" w:rsidRPr="00A37E65">
        <w:rPr>
          <w:color w:val="000000"/>
          <w:lang w:val="es-ES"/>
        </w:rPr>
        <w:t>apas de conectividad en caso de catástrofe</w:t>
      </w:r>
      <w:r w:rsidR="009262A9">
        <w:rPr>
          <w:color w:val="000000"/>
          <w:lang w:val="es-ES"/>
        </w:rPr>
        <w:t>"</w:t>
      </w:r>
      <w:r w:rsidR="00D60FFC" w:rsidRPr="00A37E65">
        <w:rPr>
          <w:color w:val="000000"/>
          <w:lang w:val="es-ES"/>
        </w:rPr>
        <w:t xml:space="preserve"> (</w:t>
      </w:r>
      <w:proofErr w:type="spellStart"/>
      <w:r w:rsidR="0089620F" w:rsidRPr="00A37E65">
        <w:rPr>
          <w:rFonts w:cstheme="minorHAnsi"/>
          <w:lang w:val="es-ES"/>
        </w:rPr>
        <w:t>Implementation</w:t>
      </w:r>
      <w:proofErr w:type="spellEnd"/>
      <w:r w:rsidR="0089620F" w:rsidRPr="00A37E65">
        <w:rPr>
          <w:rFonts w:cstheme="minorHAnsi"/>
          <w:lang w:val="es-ES"/>
        </w:rPr>
        <w:t xml:space="preserve"> </w:t>
      </w:r>
      <w:proofErr w:type="spellStart"/>
      <w:r w:rsidR="0089620F" w:rsidRPr="00A37E65">
        <w:rPr>
          <w:rFonts w:cstheme="minorHAnsi"/>
          <w:lang w:val="es-ES"/>
        </w:rPr>
        <w:t>of</w:t>
      </w:r>
      <w:proofErr w:type="spellEnd"/>
      <w:r w:rsidR="0089620F" w:rsidRPr="00A37E65">
        <w:rPr>
          <w:rFonts w:cstheme="minorHAnsi"/>
          <w:lang w:val="es-ES"/>
        </w:rPr>
        <w:t xml:space="preserve"> </w:t>
      </w:r>
      <w:proofErr w:type="spellStart"/>
      <w:r w:rsidR="0089620F" w:rsidRPr="00A37E65">
        <w:rPr>
          <w:rFonts w:cstheme="minorHAnsi"/>
          <w:lang w:val="es-ES"/>
        </w:rPr>
        <w:t>Phase</w:t>
      </w:r>
      <w:proofErr w:type="spellEnd"/>
      <w:r w:rsidR="0089620F" w:rsidRPr="00A37E65">
        <w:rPr>
          <w:rFonts w:cstheme="minorHAnsi"/>
          <w:lang w:val="es-ES"/>
        </w:rPr>
        <w:t xml:space="preserve"> 2 of ITU Disaster Connectivity Maps </w:t>
      </w:r>
      <w:r w:rsidR="00D60FFC" w:rsidRPr="00A37E65">
        <w:rPr>
          <w:rFonts w:cstheme="minorHAnsi"/>
          <w:lang w:val="es-ES"/>
        </w:rPr>
        <w:t>[</w:t>
      </w:r>
      <w:r w:rsidR="0089620F" w:rsidRPr="00A37E65">
        <w:rPr>
          <w:rFonts w:cstheme="minorHAnsi"/>
          <w:lang w:val="es-ES"/>
        </w:rPr>
        <w:t>DCM</w:t>
      </w:r>
      <w:r w:rsidR="00D60FFC" w:rsidRPr="00A37E65">
        <w:rPr>
          <w:rFonts w:cstheme="minorHAnsi"/>
          <w:lang w:val="es-ES"/>
        </w:rPr>
        <w:t>]</w:t>
      </w:r>
      <w:r w:rsidR="00D2313B" w:rsidRPr="00A37E65">
        <w:rPr>
          <w:rFonts w:cstheme="minorHAnsi"/>
          <w:lang w:val="es-ES"/>
        </w:rPr>
        <w:t>)</w:t>
      </w:r>
      <w:r w:rsidR="0089620F" w:rsidRPr="00A37E65">
        <w:rPr>
          <w:rFonts w:cstheme="minorHAnsi"/>
          <w:lang w:val="es-ES"/>
        </w:rPr>
        <w:t xml:space="preserve">, </w:t>
      </w:r>
      <w:r w:rsidR="00D60FFC" w:rsidRPr="00A37E65">
        <w:rPr>
          <w:rFonts w:cstheme="minorHAnsi"/>
          <w:lang w:val="es-ES"/>
        </w:rPr>
        <w:t>financiado por el Ministerio de Ciencia y TIC de la República de Corea</w:t>
      </w:r>
      <w:r w:rsidR="001E6D53" w:rsidRPr="00A37E65">
        <w:rPr>
          <w:rFonts w:cstheme="minorHAnsi"/>
          <w:lang w:val="es-ES"/>
        </w:rPr>
        <w:t>.</w:t>
      </w:r>
    </w:p>
    <w:p w14:paraId="65BF5AD5" w14:textId="2748AA9B" w:rsidR="00915BF5" w:rsidRDefault="00E812EA" w:rsidP="006C3AE6">
      <w:pPr>
        <w:spacing w:after="120"/>
        <w:rPr>
          <w:rFonts w:cstheme="minorHAnsi"/>
          <w:lang w:val="es-ES"/>
        </w:rPr>
      </w:pPr>
      <w:r w:rsidRPr="00A37E65">
        <w:rPr>
          <w:rFonts w:cstheme="minorHAnsi"/>
          <w:lang w:val="es-ES"/>
        </w:rPr>
        <w:t xml:space="preserve">Estos y otros proyectos de la UIT demuestran que, por medio de asociaciones, la UIT puede tener mayor repercusión y ayudar a sus Miembros a avanzar en el desarrollo digital. La lista de acuerdos relacionados está disponible en el </w:t>
      </w:r>
      <w:r w:rsidR="00756C26" w:rsidRPr="00A37E65">
        <w:rPr>
          <w:lang w:val="es-ES"/>
        </w:rPr>
        <w:t>Document</w:t>
      </w:r>
      <w:r w:rsidRPr="00A37E65">
        <w:rPr>
          <w:lang w:val="es-ES"/>
        </w:rPr>
        <w:t>o</w:t>
      </w:r>
      <w:r w:rsidR="00756C26" w:rsidRPr="00A37E65">
        <w:rPr>
          <w:lang w:val="es-ES"/>
        </w:rPr>
        <w:t xml:space="preserve"> INF/2</w:t>
      </w:r>
      <w:r w:rsidR="00915BF5" w:rsidRPr="00A37E65">
        <w:rPr>
          <w:rFonts w:cstheme="minorHAnsi"/>
          <w:lang w:val="es-ES"/>
        </w:rPr>
        <w:t>.</w:t>
      </w:r>
    </w:p>
    <w:p w14:paraId="29C5C9A3" w14:textId="45AEAAF8" w:rsidR="009D693A" w:rsidRDefault="009D693A" w:rsidP="006C3AE6">
      <w:pPr>
        <w:spacing w:after="120"/>
        <w:rPr>
          <w:rFonts w:cstheme="minorHAnsi"/>
          <w:lang w:val="es-ES"/>
        </w:rPr>
      </w:pPr>
      <w:r>
        <w:rPr>
          <w:rFonts w:cstheme="minorHAnsi"/>
          <w:lang w:val="es-ES"/>
        </w:rPr>
        <w:br w:type="page"/>
      </w:r>
    </w:p>
    <w:p w14:paraId="0220E8E1" w14:textId="0E50695E" w:rsidR="00915BF5" w:rsidRPr="00A37E65" w:rsidRDefault="00CA5B65" w:rsidP="006C3AE6">
      <w:pPr>
        <w:pStyle w:val="Heading1"/>
        <w:keepNext w:val="0"/>
        <w:keepLines w:val="0"/>
        <w:widowControl w:val="0"/>
        <w:numPr>
          <w:ilvl w:val="0"/>
          <w:numId w:val="2"/>
        </w:numPr>
        <w:spacing w:before="120" w:after="120"/>
        <w:textAlignment w:val="auto"/>
        <w:rPr>
          <w:rFonts w:cstheme="minorHAnsi"/>
          <w:sz w:val="24"/>
          <w:szCs w:val="24"/>
          <w:lang w:val="es-ES"/>
        </w:rPr>
      </w:pPr>
      <w:r w:rsidRPr="00A37E65">
        <w:rPr>
          <w:rFonts w:cstheme="minorHAnsi"/>
          <w:sz w:val="24"/>
          <w:szCs w:val="24"/>
          <w:lang w:val="es-ES"/>
        </w:rPr>
        <w:lastRenderedPageBreak/>
        <w:t>Fortalecimiento de las prácticas de gestión de proyectos en la BDT</w:t>
      </w:r>
    </w:p>
    <w:p w14:paraId="4392A5F4" w14:textId="4F6CD80E" w:rsidR="00915BF5" w:rsidRPr="00A37E65" w:rsidRDefault="001F5C4A" w:rsidP="006C3AE6">
      <w:pPr>
        <w:pStyle w:val="ListParagraph"/>
        <w:widowControl w:val="0"/>
        <w:spacing w:after="120"/>
        <w:ind w:left="0"/>
        <w:contextualSpacing w:val="0"/>
        <w:rPr>
          <w:rFonts w:cstheme="minorHAnsi"/>
          <w:lang w:val="es-ES"/>
        </w:rPr>
      </w:pPr>
      <w:r w:rsidRPr="00A37E65">
        <w:rPr>
          <w:lang w:val="es-ES"/>
        </w:rPr>
        <w:t>La BDT ha seguido fortaleciendo sus prácticas de gestión de proyectos en todos los proyectos de la</w:t>
      </w:r>
      <w:r w:rsidR="00BE5781">
        <w:rPr>
          <w:lang w:val="es-ES"/>
        </w:rPr>
        <w:t> </w:t>
      </w:r>
      <w:r w:rsidRPr="00A37E65">
        <w:rPr>
          <w:lang w:val="es-ES"/>
        </w:rPr>
        <w:t xml:space="preserve">UIT, a través de la organización de una amplia gama de actividades destinadas a reforzar la gobernanza de los proyectos de la BDT, la capacitación de los jefes de proyectos de la BDT, la normalización de las prácticas de gestión de proyectos en toda la BDT y la mejora de la supervisión y evaluación de los proyectos. A continuación, se resumen las actividades realizadas en </w:t>
      </w:r>
      <w:r w:rsidR="00070A1D" w:rsidRPr="00A37E65">
        <w:rPr>
          <w:rFonts w:cstheme="minorHAnsi"/>
          <w:lang w:val="es-ES"/>
        </w:rPr>
        <w:t>2022</w:t>
      </w:r>
      <w:r w:rsidR="00915BF5" w:rsidRPr="00A37E65">
        <w:rPr>
          <w:rFonts w:cstheme="minorHAnsi"/>
          <w:lang w:val="es-ES"/>
        </w:rPr>
        <w:t>:</w:t>
      </w:r>
    </w:p>
    <w:p w14:paraId="6BF54D8B" w14:textId="0B982308" w:rsidR="00915BF5" w:rsidRPr="00A37E65" w:rsidRDefault="009C7F15" w:rsidP="006C3AE6">
      <w:pPr>
        <w:pStyle w:val="ListParagraph"/>
        <w:numPr>
          <w:ilvl w:val="0"/>
          <w:numId w:val="4"/>
        </w:numPr>
        <w:spacing w:before="60" w:after="60"/>
        <w:ind w:left="357" w:hanging="357"/>
        <w:contextualSpacing w:val="0"/>
        <w:textAlignment w:val="auto"/>
        <w:rPr>
          <w:rFonts w:cstheme="minorHAnsi"/>
          <w:b/>
          <w:bCs/>
          <w:lang w:val="es-ES"/>
        </w:rPr>
      </w:pPr>
      <w:r w:rsidRPr="00A37E65">
        <w:rPr>
          <w:b/>
          <w:bCs/>
          <w:i/>
          <w:iCs/>
          <w:lang w:val="es-ES"/>
        </w:rPr>
        <w:t>Funcionamiento de la Junta de Proyectos de la BDT</w:t>
      </w:r>
      <w:r w:rsidRPr="00A37E65">
        <w:rPr>
          <w:i/>
          <w:iCs/>
          <w:lang w:val="es-ES"/>
        </w:rPr>
        <w:t>:</w:t>
      </w:r>
      <w:r w:rsidRPr="00A37E65">
        <w:rPr>
          <w:lang w:val="es-ES"/>
        </w:rPr>
        <w:t xml:space="preserve"> La Junta de Proyectos de la BDT ha seguido reuniéndose periódicamente para evaluar la viabilidad y pertinencia de las propuestas de proyectos antes de que se conviertan en proyectos, revisar y aprobar los proyectos antes de que se llegue a un acuerdo con los asociados y supervisar la ejecución y el cierre de proyectos en caso de que surjan problemas. La División de Apoyo a los Proyectos </w:t>
      </w:r>
      <w:r w:rsidR="00FE079D" w:rsidRPr="00A37E65">
        <w:rPr>
          <w:lang w:val="es-ES"/>
        </w:rPr>
        <w:t>d</w:t>
      </w:r>
      <w:r w:rsidR="00E24B98" w:rsidRPr="00A37E65">
        <w:rPr>
          <w:lang w:val="es-ES"/>
        </w:rPr>
        <w:t>a</w:t>
      </w:r>
      <w:r w:rsidR="00FE079D" w:rsidRPr="00A37E65">
        <w:rPr>
          <w:lang w:val="es-ES"/>
        </w:rPr>
        <w:t xml:space="preserve"> </w:t>
      </w:r>
      <w:r w:rsidRPr="00A37E65">
        <w:rPr>
          <w:lang w:val="es-ES"/>
        </w:rPr>
        <w:t xml:space="preserve">seguimiento regular </w:t>
      </w:r>
      <w:r w:rsidR="00E24B98" w:rsidRPr="00A37E65">
        <w:rPr>
          <w:lang w:val="es-ES"/>
        </w:rPr>
        <w:t>a</w:t>
      </w:r>
      <w:r w:rsidRPr="00A37E65">
        <w:rPr>
          <w:lang w:val="es-ES"/>
        </w:rPr>
        <w:t xml:space="preserve"> las decisiones de la Junta de Proyectos e informa a ésta de los resultados</w:t>
      </w:r>
      <w:r w:rsidR="00915BF5" w:rsidRPr="00A37E65">
        <w:rPr>
          <w:rFonts w:cstheme="minorHAnsi"/>
          <w:lang w:val="es-ES"/>
        </w:rPr>
        <w:t>.</w:t>
      </w:r>
    </w:p>
    <w:p w14:paraId="42AEDF68" w14:textId="08E797C1" w:rsidR="00E63326" w:rsidRPr="00A37E65" w:rsidRDefault="00484AFD" w:rsidP="006C3AE6">
      <w:pPr>
        <w:pStyle w:val="ListParagraph"/>
        <w:numPr>
          <w:ilvl w:val="0"/>
          <w:numId w:val="4"/>
        </w:numPr>
        <w:spacing w:before="60" w:after="60"/>
        <w:ind w:left="357" w:hanging="357"/>
        <w:contextualSpacing w:val="0"/>
        <w:textAlignment w:val="auto"/>
        <w:rPr>
          <w:rFonts w:cstheme="minorHAnsi"/>
          <w:b/>
          <w:bCs/>
          <w:lang w:val="es-ES"/>
        </w:rPr>
      </w:pPr>
      <w:r w:rsidRPr="00A37E65">
        <w:rPr>
          <w:rFonts w:cstheme="minorHAnsi"/>
          <w:b/>
          <w:bCs/>
          <w:i/>
          <w:iCs/>
          <w:lang w:val="es-ES"/>
        </w:rPr>
        <w:t xml:space="preserve">Creación de un nuevo grupo de </w:t>
      </w:r>
      <w:r w:rsidR="009262A9">
        <w:rPr>
          <w:rFonts w:cstheme="minorHAnsi"/>
          <w:b/>
          <w:bCs/>
          <w:i/>
          <w:iCs/>
          <w:lang w:val="es-ES"/>
        </w:rPr>
        <w:t>"</w:t>
      </w:r>
      <w:r w:rsidRPr="00A37E65">
        <w:rPr>
          <w:rFonts w:cstheme="minorHAnsi"/>
          <w:b/>
          <w:bCs/>
          <w:i/>
          <w:iCs/>
          <w:lang w:val="es-ES"/>
        </w:rPr>
        <w:t>proyectos con supervisión especial</w:t>
      </w:r>
      <w:r w:rsidR="009262A9">
        <w:rPr>
          <w:rFonts w:cstheme="minorHAnsi"/>
          <w:b/>
          <w:bCs/>
          <w:i/>
          <w:iCs/>
          <w:lang w:val="es-ES"/>
        </w:rPr>
        <w:t>"</w:t>
      </w:r>
      <w:r w:rsidR="00A8023D" w:rsidRPr="00613DCD">
        <w:rPr>
          <w:lang w:val="fr-FR"/>
        </w:rPr>
        <w:t xml:space="preserve">. </w:t>
      </w:r>
      <w:r w:rsidR="00EC690B" w:rsidRPr="00A37E65">
        <w:rPr>
          <w:rFonts w:cstheme="minorHAnsi"/>
          <w:bCs/>
          <w:lang w:val="es-ES"/>
        </w:rPr>
        <w:t>T</w:t>
      </w:r>
      <w:r w:rsidR="00EC690B" w:rsidRPr="00A37E65">
        <w:rPr>
          <w:lang w:val="es-ES"/>
        </w:rPr>
        <w:t>ras su primera reunión de 2023 y s</w:t>
      </w:r>
      <w:r w:rsidR="00EC690B" w:rsidRPr="00A37E65">
        <w:rPr>
          <w:rFonts w:cstheme="minorHAnsi"/>
          <w:lang w:val="es-ES"/>
        </w:rPr>
        <w:t xml:space="preserve">obre la base de las lecciones aprendidas en </w:t>
      </w:r>
      <w:r w:rsidR="00A8023D" w:rsidRPr="00A37E65">
        <w:rPr>
          <w:rFonts w:cstheme="minorHAnsi"/>
          <w:lang w:val="es-ES"/>
        </w:rPr>
        <w:t xml:space="preserve">2021 </w:t>
      </w:r>
      <w:r w:rsidR="00EC690B" w:rsidRPr="00A37E65">
        <w:rPr>
          <w:rFonts w:cstheme="minorHAnsi"/>
          <w:lang w:val="es-ES"/>
        </w:rPr>
        <w:t xml:space="preserve">y </w:t>
      </w:r>
      <w:r w:rsidR="00A8023D" w:rsidRPr="00A37E65">
        <w:rPr>
          <w:rFonts w:cstheme="minorHAnsi"/>
          <w:lang w:val="es-ES"/>
        </w:rPr>
        <w:t xml:space="preserve">2022, </w:t>
      </w:r>
      <w:r w:rsidR="00EC690B" w:rsidRPr="00A37E65">
        <w:rPr>
          <w:rFonts w:cstheme="minorHAnsi"/>
          <w:lang w:val="es-ES"/>
        </w:rPr>
        <w:t xml:space="preserve">la </w:t>
      </w:r>
      <w:r w:rsidR="00EC690B" w:rsidRPr="00A37E65">
        <w:rPr>
          <w:lang w:val="es-ES"/>
        </w:rPr>
        <w:t xml:space="preserve">Junta de Proyectos de la BDT decidió introducir un mecanismo nuevo para incorporar un nivel de supervisión adicional a los proyectos cuya ejecución se enfrenta a dificultades persistentes. Los proyectos incluidos en este grupo se supervisan semanalmente y se redacta un informe </w:t>
      </w:r>
      <w:r w:rsidR="00E24B98" w:rsidRPr="00A37E65">
        <w:rPr>
          <w:lang w:val="es-ES"/>
        </w:rPr>
        <w:t>hebdomadario p</w:t>
      </w:r>
      <w:r w:rsidR="00EC690B" w:rsidRPr="00A37E65">
        <w:rPr>
          <w:lang w:val="es-ES"/>
        </w:rPr>
        <w:t>ara el Director de la BDT, que lo examina y ofrece orientación adicional al respecto. Los proyectos continúan siendo objeto de esta supervisión especial hasta que se recuper</w:t>
      </w:r>
      <w:r w:rsidR="00E24B98" w:rsidRPr="00A37E65">
        <w:rPr>
          <w:lang w:val="es-ES"/>
        </w:rPr>
        <w:t>a</w:t>
      </w:r>
      <w:r w:rsidR="00EC690B" w:rsidRPr="00A37E65">
        <w:rPr>
          <w:lang w:val="es-ES"/>
        </w:rPr>
        <w:t xml:space="preserve"> el nivel de implementación que corresponde.</w:t>
      </w:r>
      <w:r w:rsidR="00E63326" w:rsidRPr="00A37E65">
        <w:rPr>
          <w:rFonts w:cstheme="minorHAnsi"/>
          <w:lang w:val="es-ES"/>
        </w:rPr>
        <w:t xml:space="preserve"> </w:t>
      </w:r>
    </w:p>
    <w:p w14:paraId="6A813FA9" w14:textId="24F22B7E" w:rsidR="00056BE8" w:rsidRPr="00A37E65" w:rsidRDefault="005E3B46" w:rsidP="006C3AE6">
      <w:pPr>
        <w:pStyle w:val="ListParagraph"/>
        <w:numPr>
          <w:ilvl w:val="0"/>
          <w:numId w:val="4"/>
        </w:numPr>
        <w:spacing w:before="60" w:after="60"/>
        <w:ind w:left="357" w:hanging="357"/>
        <w:contextualSpacing w:val="0"/>
        <w:textAlignment w:val="auto"/>
        <w:rPr>
          <w:rFonts w:cstheme="minorHAnsi"/>
          <w:b/>
          <w:bCs/>
          <w:lang w:val="es-ES"/>
        </w:rPr>
      </w:pPr>
      <w:r w:rsidRPr="00A37E65">
        <w:rPr>
          <w:rFonts w:cstheme="minorHAnsi"/>
          <w:b/>
          <w:bCs/>
          <w:i/>
          <w:iCs/>
          <w:lang w:val="es-ES"/>
        </w:rPr>
        <w:t>Certificación de gestión de proyectos</w:t>
      </w:r>
      <w:r w:rsidR="00BA24E7" w:rsidRPr="00613DCD">
        <w:rPr>
          <w:lang w:val="fr-FR"/>
        </w:rPr>
        <w:t>.</w:t>
      </w:r>
      <w:r w:rsidR="00915BF5" w:rsidRPr="00A37E65">
        <w:rPr>
          <w:rFonts w:cstheme="minorHAnsi"/>
          <w:b/>
          <w:bCs/>
          <w:i/>
          <w:iCs/>
          <w:lang w:val="es-ES"/>
        </w:rPr>
        <w:t xml:space="preserve"> </w:t>
      </w:r>
      <w:r w:rsidRPr="00A37E65">
        <w:rPr>
          <w:rFonts w:cstheme="minorHAnsi"/>
          <w:lang w:val="es-ES"/>
        </w:rPr>
        <w:t xml:space="preserve">En </w:t>
      </w:r>
      <w:r w:rsidR="00ED4D9F" w:rsidRPr="00A37E65">
        <w:rPr>
          <w:rFonts w:cstheme="minorHAnsi"/>
          <w:lang w:val="es-ES"/>
        </w:rPr>
        <w:t>2022</w:t>
      </w:r>
      <w:r w:rsidR="00ED4D9F" w:rsidRPr="00613DCD">
        <w:rPr>
          <w:lang w:val="fr-FR"/>
        </w:rPr>
        <w:t xml:space="preserve"> </w:t>
      </w:r>
      <w:r w:rsidRPr="00A37E65">
        <w:rPr>
          <w:rFonts w:cstheme="minorHAnsi"/>
          <w:bCs/>
          <w:lang w:val="es-ES"/>
        </w:rPr>
        <w:t>la</w:t>
      </w:r>
      <w:r w:rsidRPr="00613DCD">
        <w:rPr>
          <w:lang w:val="fr-FR"/>
        </w:rPr>
        <w:t xml:space="preserve"> </w:t>
      </w:r>
      <w:r w:rsidR="00915BF5" w:rsidRPr="00A37E65">
        <w:rPr>
          <w:rFonts w:cstheme="minorHAnsi"/>
          <w:lang w:val="es-ES"/>
        </w:rPr>
        <w:t xml:space="preserve">BDT </w:t>
      </w:r>
      <w:r w:rsidRPr="00A37E65">
        <w:rPr>
          <w:rFonts w:cstheme="minorHAnsi"/>
          <w:lang w:val="es-ES"/>
        </w:rPr>
        <w:t>continuó desarrollando el programa de certificación de gestión de proyectos y amplió su alcance para incluir también a</w:t>
      </w:r>
      <w:r w:rsidR="00E24B98" w:rsidRPr="00A37E65">
        <w:rPr>
          <w:rFonts w:cstheme="minorHAnsi"/>
          <w:lang w:val="es-ES"/>
        </w:rPr>
        <w:t>l</w:t>
      </w:r>
      <w:r w:rsidRPr="00A37E65">
        <w:rPr>
          <w:rFonts w:cstheme="minorHAnsi"/>
          <w:lang w:val="es-ES"/>
        </w:rPr>
        <w:t xml:space="preserve"> personal de las otras Oficinas y de la Secretaría General. Tras una última ronda organizada entre octubre y noviembre de</w:t>
      </w:r>
      <w:r w:rsidR="005926CA" w:rsidRPr="00A37E65">
        <w:rPr>
          <w:rFonts w:cstheme="minorHAnsi"/>
          <w:lang w:val="es-ES"/>
        </w:rPr>
        <w:t xml:space="preserve"> 202</w:t>
      </w:r>
      <w:r w:rsidR="00090E87">
        <w:rPr>
          <w:rFonts w:cstheme="minorHAnsi"/>
          <w:lang w:val="es-ES"/>
        </w:rPr>
        <w:t>2</w:t>
      </w:r>
      <w:r w:rsidR="00DF18F2" w:rsidRPr="00A37E65">
        <w:rPr>
          <w:rFonts w:cstheme="minorHAnsi"/>
          <w:lang w:val="es-ES"/>
        </w:rPr>
        <w:t>,</w:t>
      </w:r>
      <w:r w:rsidR="005926CA" w:rsidRPr="00A37E65">
        <w:rPr>
          <w:rFonts w:cstheme="minorHAnsi"/>
          <w:lang w:val="es-ES"/>
        </w:rPr>
        <w:t xml:space="preserve"> </w:t>
      </w:r>
      <w:r w:rsidR="00FF66E8" w:rsidRPr="00A37E65">
        <w:rPr>
          <w:rFonts w:cstheme="minorHAnsi"/>
          <w:lang w:val="es-ES"/>
        </w:rPr>
        <w:t>el programa ha conseguido certificar en gestión de proyectos a más de 100</w:t>
      </w:r>
      <w:r w:rsidR="00E56576">
        <w:rPr>
          <w:rFonts w:cstheme="minorHAnsi"/>
          <w:lang w:val="es-ES"/>
        </w:rPr>
        <w:t> </w:t>
      </w:r>
      <w:r w:rsidR="00FF66E8" w:rsidRPr="00A37E65">
        <w:rPr>
          <w:rFonts w:cstheme="minorHAnsi"/>
          <w:lang w:val="es-ES"/>
        </w:rPr>
        <w:t>funcionarios de la BDT.</w:t>
      </w:r>
    </w:p>
    <w:p w14:paraId="24D2B398" w14:textId="7974229C" w:rsidR="00915BF5" w:rsidRPr="00A37E65" w:rsidRDefault="009C7F15" w:rsidP="006C3AE6">
      <w:pPr>
        <w:pStyle w:val="ListParagraph"/>
        <w:numPr>
          <w:ilvl w:val="0"/>
          <w:numId w:val="4"/>
        </w:numPr>
        <w:spacing w:before="60" w:after="60"/>
        <w:ind w:left="357" w:hanging="357"/>
        <w:contextualSpacing w:val="0"/>
        <w:textAlignment w:val="auto"/>
        <w:rPr>
          <w:rFonts w:cstheme="minorHAnsi"/>
          <w:lang w:val="es-ES"/>
        </w:rPr>
      </w:pPr>
      <w:r w:rsidRPr="00A37E65">
        <w:rPr>
          <w:rFonts w:cstheme="minorHAnsi"/>
          <w:b/>
          <w:bCs/>
          <w:i/>
          <w:iCs/>
          <w:lang w:val="es-ES"/>
        </w:rPr>
        <w:t>Supervisión de proyectos de la UIT</w:t>
      </w:r>
      <w:r w:rsidRPr="00613DCD">
        <w:rPr>
          <w:lang w:val="fr-FR"/>
        </w:rPr>
        <w:t xml:space="preserve">: </w:t>
      </w:r>
      <w:r w:rsidRPr="00A37E65">
        <w:rPr>
          <w:rFonts w:cstheme="minorHAnsi"/>
          <w:lang w:val="es-ES"/>
        </w:rPr>
        <w:t>Todos los proyectos de la UIT se supervisan diariamente y se informa al final de cada trimestre. El resulta</w:t>
      </w:r>
      <w:r w:rsidR="00E24B98" w:rsidRPr="00A37E65">
        <w:rPr>
          <w:rFonts w:cstheme="minorHAnsi"/>
          <w:lang w:val="es-ES"/>
        </w:rPr>
        <w:t>do de esta labor se transmite a</w:t>
      </w:r>
      <w:r w:rsidRPr="00A37E65">
        <w:rPr>
          <w:rFonts w:cstheme="minorHAnsi"/>
          <w:lang w:val="es-ES"/>
        </w:rPr>
        <w:t>l</w:t>
      </w:r>
      <w:r w:rsidR="00E24B98" w:rsidRPr="00A37E65">
        <w:rPr>
          <w:rFonts w:cstheme="minorHAnsi"/>
          <w:lang w:val="es-ES"/>
        </w:rPr>
        <w:t xml:space="preserve"> equipo de</w:t>
      </w:r>
      <w:r w:rsidRPr="00A37E65">
        <w:rPr>
          <w:rFonts w:cstheme="minorHAnsi"/>
          <w:lang w:val="es-ES"/>
        </w:rPr>
        <w:t xml:space="preserve"> dirección de la BDT y </w:t>
      </w:r>
      <w:r w:rsidR="00B148DA" w:rsidRPr="00A37E65">
        <w:rPr>
          <w:rFonts w:cstheme="minorHAnsi"/>
          <w:lang w:val="es-ES"/>
        </w:rPr>
        <w:t xml:space="preserve">a </w:t>
      </w:r>
      <w:r w:rsidRPr="00A37E65">
        <w:rPr>
          <w:rFonts w:cstheme="minorHAnsi"/>
          <w:lang w:val="es-ES"/>
        </w:rPr>
        <w:t>los jefes de proyecto por medio de informes de evaluación trimestrales y mediante el uso de los paneles de gestión interna que permiten tomar decisiones sobre proyectos basándose en los datos</w:t>
      </w:r>
      <w:r w:rsidR="00725770" w:rsidRPr="00A37E65">
        <w:rPr>
          <w:rFonts w:cstheme="minorHAnsi"/>
          <w:lang w:val="es-ES"/>
        </w:rPr>
        <w:t xml:space="preserve">. </w:t>
      </w:r>
    </w:p>
    <w:p w14:paraId="2EC04177" w14:textId="585BD4B2" w:rsidR="00D82270" w:rsidRPr="00A37E65" w:rsidRDefault="007E6C14" w:rsidP="006C3AE6">
      <w:pPr>
        <w:pStyle w:val="ListParagraph"/>
        <w:numPr>
          <w:ilvl w:val="0"/>
          <w:numId w:val="4"/>
        </w:numPr>
        <w:spacing w:before="60" w:after="60"/>
        <w:ind w:left="357" w:hanging="357"/>
        <w:contextualSpacing w:val="0"/>
        <w:textAlignment w:val="auto"/>
        <w:rPr>
          <w:rFonts w:cstheme="minorHAnsi"/>
          <w:lang w:val="es-ES"/>
        </w:rPr>
      </w:pPr>
      <w:r w:rsidRPr="00A37E65">
        <w:rPr>
          <w:rFonts w:cstheme="minorHAnsi"/>
          <w:b/>
          <w:bCs/>
          <w:i/>
          <w:iCs/>
          <w:lang w:val="es-ES"/>
        </w:rPr>
        <w:t>Fortalecimiento de la ejecución de proyectos</w:t>
      </w:r>
      <w:r w:rsidR="00090E87">
        <w:rPr>
          <w:rFonts w:cstheme="minorHAnsi"/>
          <w:lang w:val="es-ES"/>
        </w:rPr>
        <w:t>:</w:t>
      </w:r>
      <w:r w:rsidR="000704B9">
        <w:rPr>
          <w:rFonts w:cstheme="minorHAnsi"/>
          <w:lang w:val="es-ES"/>
        </w:rPr>
        <w:t xml:space="preserve"> </w:t>
      </w:r>
      <w:r w:rsidRPr="00A37E65">
        <w:rPr>
          <w:rFonts w:cstheme="minorHAnsi"/>
          <w:lang w:val="es-ES"/>
        </w:rPr>
        <w:t xml:space="preserve">A partir de </w:t>
      </w:r>
      <w:r w:rsidR="00D82270" w:rsidRPr="00A37E65">
        <w:rPr>
          <w:rFonts w:cstheme="minorHAnsi"/>
          <w:lang w:val="es-ES"/>
        </w:rPr>
        <w:t>2023</w:t>
      </w:r>
      <w:r w:rsidRPr="00A37E65">
        <w:rPr>
          <w:rFonts w:cstheme="minorHAnsi"/>
          <w:lang w:val="es-ES"/>
        </w:rPr>
        <w:t>, todos los documentos de los proyectos elaborados por la UIT incluyen la identificación de un coordinador del país o los países beneficiari</w:t>
      </w:r>
      <w:r w:rsidR="0086287E" w:rsidRPr="00A37E65">
        <w:rPr>
          <w:rFonts w:cstheme="minorHAnsi"/>
          <w:lang w:val="es-ES"/>
        </w:rPr>
        <w:t>o</w:t>
      </w:r>
      <w:r w:rsidRPr="00A37E65">
        <w:rPr>
          <w:rFonts w:cstheme="minorHAnsi"/>
          <w:lang w:val="es-ES"/>
        </w:rPr>
        <w:t xml:space="preserve">s, a fin de fortalecer la ejecución de los proyectos y velar por su </w:t>
      </w:r>
      <w:r w:rsidR="00B148DA" w:rsidRPr="00A37E65">
        <w:rPr>
          <w:rFonts w:cstheme="minorHAnsi"/>
          <w:lang w:val="es-ES"/>
        </w:rPr>
        <w:t>autoría</w:t>
      </w:r>
      <w:r w:rsidRPr="00A37E65">
        <w:rPr>
          <w:rFonts w:cstheme="minorHAnsi"/>
          <w:lang w:val="es-ES"/>
        </w:rPr>
        <w:t xml:space="preserve"> y sostenibilidad a largo plazo</w:t>
      </w:r>
      <w:r w:rsidR="00D82270" w:rsidRPr="00A37E65">
        <w:rPr>
          <w:rFonts w:cstheme="minorHAnsi"/>
          <w:lang w:val="es-ES"/>
        </w:rPr>
        <w:t>.</w:t>
      </w:r>
    </w:p>
    <w:p w14:paraId="4240989F" w14:textId="03F86DD6" w:rsidR="00915BF5" w:rsidRPr="00A37E65" w:rsidRDefault="005B728C" w:rsidP="006C3AE6">
      <w:pPr>
        <w:pStyle w:val="Heading1"/>
        <w:numPr>
          <w:ilvl w:val="0"/>
          <w:numId w:val="2"/>
        </w:numPr>
        <w:spacing w:before="120" w:after="120"/>
        <w:textAlignment w:val="auto"/>
        <w:rPr>
          <w:rFonts w:cstheme="minorHAnsi"/>
          <w:sz w:val="24"/>
          <w:szCs w:val="24"/>
          <w:lang w:val="es-ES"/>
        </w:rPr>
      </w:pPr>
      <w:r w:rsidRPr="00A37E65">
        <w:rPr>
          <w:rFonts w:cstheme="minorHAnsi"/>
          <w:sz w:val="24"/>
          <w:szCs w:val="24"/>
          <w:lang w:val="es-ES"/>
        </w:rPr>
        <w:t>Conclusion</w:t>
      </w:r>
      <w:r w:rsidR="005E3B46" w:rsidRPr="00A37E65">
        <w:rPr>
          <w:rFonts w:cstheme="minorHAnsi"/>
          <w:sz w:val="24"/>
          <w:szCs w:val="24"/>
          <w:lang w:val="es-ES"/>
        </w:rPr>
        <w:t>e</w:t>
      </w:r>
      <w:r w:rsidRPr="00A37E65">
        <w:rPr>
          <w:rFonts w:cstheme="minorHAnsi"/>
          <w:sz w:val="24"/>
          <w:szCs w:val="24"/>
          <w:lang w:val="es-ES"/>
        </w:rPr>
        <w:t>s</w:t>
      </w:r>
    </w:p>
    <w:p w14:paraId="474C7B3D" w14:textId="0FA08B66" w:rsidR="00BB6298" w:rsidRPr="00A37E65" w:rsidRDefault="001D1D8F" w:rsidP="006C3AE6">
      <w:pPr>
        <w:spacing w:after="120"/>
        <w:rPr>
          <w:rFonts w:cstheme="minorHAnsi"/>
          <w:lang w:val="es-ES"/>
        </w:rPr>
      </w:pPr>
      <w:r w:rsidRPr="00A37E65">
        <w:rPr>
          <w:rFonts w:cstheme="minorHAnsi"/>
          <w:lang w:val="es-ES"/>
        </w:rPr>
        <w:t>La cartera de proyectos de la</w:t>
      </w:r>
      <w:r w:rsidR="005B728C" w:rsidRPr="00A37E65">
        <w:rPr>
          <w:rFonts w:cstheme="minorHAnsi"/>
          <w:lang w:val="es-ES"/>
        </w:rPr>
        <w:t xml:space="preserve"> BDT </w:t>
      </w:r>
      <w:r w:rsidRPr="00A37E65">
        <w:rPr>
          <w:rFonts w:cstheme="minorHAnsi"/>
          <w:lang w:val="es-ES"/>
        </w:rPr>
        <w:t>sigue teniendo influencia sobre el terreno, ya que constituye un mecanismo clave para que la Oficina preste asistencia técnica a los Estados Miembros de la UIT, implique a los Miembros de Sector del UIT-D y proporcione productos y servicios nuevos relacionados con el desarrollo digital.</w:t>
      </w:r>
      <w:r w:rsidR="00B54C21" w:rsidRPr="00A37E65">
        <w:rPr>
          <w:rFonts w:cstheme="minorHAnsi"/>
          <w:lang w:val="es-ES"/>
        </w:rPr>
        <w:t xml:space="preserve"> </w:t>
      </w:r>
    </w:p>
    <w:p w14:paraId="3A93A0B4" w14:textId="68D4EF19" w:rsidR="00470DBC" w:rsidRPr="00A37E65" w:rsidRDefault="001D1D8F" w:rsidP="006C3AE6">
      <w:pPr>
        <w:spacing w:after="120"/>
        <w:rPr>
          <w:rFonts w:cstheme="minorHAnsi"/>
          <w:lang w:val="es-ES"/>
        </w:rPr>
      </w:pPr>
      <w:r w:rsidRPr="00A37E65">
        <w:rPr>
          <w:rFonts w:cstheme="minorHAnsi"/>
          <w:lang w:val="es-ES"/>
        </w:rPr>
        <w:t>En</w:t>
      </w:r>
      <w:r w:rsidR="00BB6298" w:rsidRPr="00A37E65">
        <w:rPr>
          <w:rFonts w:cstheme="minorHAnsi"/>
          <w:lang w:val="es-ES"/>
        </w:rPr>
        <w:t xml:space="preserve"> </w:t>
      </w:r>
      <w:r w:rsidR="005F41D4" w:rsidRPr="00A37E65">
        <w:rPr>
          <w:rFonts w:cstheme="minorHAnsi"/>
          <w:lang w:val="es-ES"/>
        </w:rPr>
        <w:t xml:space="preserve">2022 </w:t>
      </w:r>
      <w:r w:rsidRPr="00A37E65">
        <w:rPr>
          <w:rFonts w:cstheme="minorHAnsi"/>
          <w:lang w:val="es-ES"/>
        </w:rPr>
        <w:t>la BDT ha continuado firmando proyectos nuevos por valor de</w:t>
      </w:r>
      <w:r w:rsidR="005F41D4" w:rsidRPr="00A37E65">
        <w:rPr>
          <w:rFonts w:cstheme="minorHAnsi"/>
          <w:lang w:val="es-ES"/>
        </w:rPr>
        <w:t xml:space="preserve"> 5</w:t>
      </w:r>
      <w:r w:rsidRPr="00A37E65">
        <w:rPr>
          <w:rFonts w:cstheme="minorHAnsi"/>
          <w:lang w:val="es-ES"/>
        </w:rPr>
        <w:t>,</w:t>
      </w:r>
      <w:r w:rsidR="005F41D4" w:rsidRPr="00A37E65">
        <w:rPr>
          <w:rFonts w:cstheme="minorHAnsi"/>
          <w:lang w:val="es-ES"/>
        </w:rPr>
        <w:t xml:space="preserve">3 </w:t>
      </w:r>
      <w:r w:rsidRPr="00A37E65">
        <w:rPr>
          <w:rFonts w:cstheme="minorHAnsi"/>
          <w:lang w:val="es-ES"/>
        </w:rPr>
        <w:t xml:space="preserve">millones CHF </w:t>
      </w:r>
      <w:r w:rsidR="005F41D4" w:rsidRPr="00A37E65">
        <w:rPr>
          <w:rFonts w:cstheme="minorHAnsi"/>
          <w:lang w:val="es-ES"/>
        </w:rPr>
        <w:t>(</w:t>
      </w:r>
      <w:r w:rsidRPr="00A37E65">
        <w:rPr>
          <w:rFonts w:cstheme="minorHAnsi"/>
          <w:lang w:val="es-ES"/>
        </w:rPr>
        <w:t>véase la Figura</w:t>
      </w:r>
      <w:r w:rsidR="00454CA8">
        <w:rPr>
          <w:rFonts w:cstheme="minorHAnsi"/>
          <w:lang w:val="es-ES"/>
        </w:rPr>
        <w:t> </w:t>
      </w:r>
      <w:r w:rsidR="0004310C" w:rsidRPr="00A37E65">
        <w:rPr>
          <w:rFonts w:cstheme="minorHAnsi"/>
          <w:lang w:val="es-ES"/>
        </w:rPr>
        <w:t>4</w:t>
      </w:r>
      <w:r w:rsidR="005F41D4" w:rsidRPr="00A37E65">
        <w:rPr>
          <w:rFonts w:cstheme="minorHAnsi"/>
          <w:lang w:val="es-ES"/>
        </w:rPr>
        <w:t>)</w:t>
      </w:r>
      <w:r w:rsidR="00835F22" w:rsidRPr="00A37E65">
        <w:rPr>
          <w:rFonts w:cstheme="minorHAnsi"/>
          <w:lang w:val="es-ES"/>
        </w:rPr>
        <w:t xml:space="preserve">. </w:t>
      </w:r>
      <w:r w:rsidRPr="00A37E65">
        <w:rPr>
          <w:rFonts w:cstheme="minorHAnsi"/>
          <w:lang w:val="es-ES"/>
        </w:rPr>
        <w:t>Es importante señalar que estos proyectos se han financiado y se están ejecutando de consuno con otras organizaciones, como organismos gubernamentales nacionales, entidades de cooperación bilateral, instituciones sin ánimo de lucro, el sector privado y organismos del sistema de las Naciones Unidas</w:t>
      </w:r>
      <w:r w:rsidR="00915BF5" w:rsidRPr="00A37E65">
        <w:rPr>
          <w:rFonts w:cstheme="minorHAnsi"/>
          <w:lang w:val="es-ES"/>
        </w:rPr>
        <w:t>.</w:t>
      </w:r>
    </w:p>
    <w:p w14:paraId="35B0B220" w14:textId="5DEFB324" w:rsidR="00915BF5" w:rsidRPr="00A37E65" w:rsidRDefault="00AB2232" w:rsidP="00BE5781">
      <w:pPr>
        <w:keepNext/>
        <w:keepLines/>
        <w:spacing w:before="240" w:after="120"/>
        <w:jc w:val="center"/>
        <w:rPr>
          <w:rFonts w:cstheme="minorHAnsi"/>
          <w:b/>
          <w:szCs w:val="24"/>
          <w:lang w:val="es-ES"/>
        </w:rPr>
      </w:pPr>
      <w:r w:rsidRPr="00A37E65">
        <w:rPr>
          <w:rFonts w:cstheme="minorHAnsi"/>
          <w:b/>
          <w:szCs w:val="24"/>
          <w:lang w:val="es-ES"/>
        </w:rPr>
        <w:lastRenderedPageBreak/>
        <w:t>Figura</w:t>
      </w:r>
      <w:r w:rsidR="00915BF5" w:rsidRPr="00A37E65">
        <w:rPr>
          <w:rFonts w:cstheme="minorHAnsi"/>
          <w:b/>
          <w:szCs w:val="24"/>
          <w:lang w:val="es-ES"/>
        </w:rPr>
        <w:t xml:space="preserve"> </w:t>
      </w:r>
      <w:r w:rsidR="00FC2EAA" w:rsidRPr="00A37E65">
        <w:rPr>
          <w:rFonts w:cstheme="minorHAnsi"/>
          <w:b/>
          <w:szCs w:val="24"/>
          <w:lang w:val="es-ES"/>
        </w:rPr>
        <w:t>4</w:t>
      </w:r>
      <w:r w:rsidR="00E374E1">
        <w:rPr>
          <w:rFonts w:cstheme="minorHAnsi"/>
          <w:b/>
          <w:szCs w:val="24"/>
          <w:lang w:val="es-ES"/>
        </w:rPr>
        <w:t xml:space="preserve"> –</w:t>
      </w:r>
      <w:r w:rsidR="00E374E1" w:rsidRPr="00A37E65">
        <w:rPr>
          <w:rFonts w:cstheme="minorHAnsi"/>
          <w:b/>
          <w:szCs w:val="24"/>
          <w:lang w:val="es-ES"/>
        </w:rPr>
        <w:t xml:space="preserve"> </w:t>
      </w:r>
      <w:r w:rsidRPr="00A37E65">
        <w:rPr>
          <w:rFonts w:cstheme="minorHAnsi"/>
          <w:b/>
          <w:szCs w:val="24"/>
          <w:lang w:val="es-ES"/>
        </w:rPr>
        <w:t>Nuevo proyectos firmados por la UIT</w:t>
      </w:r>
      <w:r w:rsidR="00E374E1">
        <w:rPr>
          <w:rFonts w:cstheme="minorHAnsi"/>
          <w:b/>
          <w:szCs w:val="24"/>
          <w:lang w:val="es-ES"/>
        </w:rPr>
        <w:br/>
      </w:r>
      <w:r w:rsidR="00851751" w:rsidRPr="00A37E65">
        <w:rPr>
          <w:rFonts w:cstheme="minorHAnsi"/>
          <w:b/>
          <w:szCs w:val="24"/>
          <w:lang w:val="es-ES"/>
        </w:rPr>
        <w:t>(</w:t>
      </w:r>
      <w:r w:rsidR="00915BF5" w:rsidRPr="00A37E65">
        <w:rPr>
          <w:rFonts w:cstheme="minorHAnsi"/>
          <w:b/>
          <w:szCs w:val="24"/>
          <w:lang w:val="es-ES"/>
        </w:rPr>
        <w:t>201</w:t>
      </w:r>
      <w:r w:rsidR="009B0491" w:rsidRPr="00A37E65">
        <w:rPr>
          <w:rFonts w:cstheme="minorHAnsi"/>
          <w:b/>
          <w:szCs w:val="24"/>
          <w:lang w:val="es-ES"/>
        </w:rPr>
        <w:t>2</w:t>
      </w:r>
      <w:r w:rsidR="00915BF5" w:rsidRPr="00A37E65">
        <w:rPr>
          <w:rFonts w:cstheme="minorHAnsi"/>
          <w:b/>
          <w:szCs w:val="24"/>
          <w:lang w:val="es-ES"/>
        </w:rPr>
        <w:t>-202</w:t>
      </w:r>
      <w:r w:rsidR="009B0491" w:rsidRPr="00A37E65">
        <w:rPr>
          <w:rFonts w:cstheme="minorHAnsi"/>
          <w:b/>
          <w:szCs w:val="24"/>
          <w:lang w:val="es-ES"/>
        </w:rPr>
        <w:t>2</w:t>
      </w:r>
      <w:r w:rsidR="00851751" w:rsidRPr="00A37E65">
        <w:rPr>
          <w:rFonts w:cstheme="minorHAnsi"/>
          <w:b/>
          <w:szCs w:val="24"/>
          <w:lang w:val="es-ES"/>
        </w:rPr>
        <w:t>)</w:t>
      </w:r>
    </w:p>
    <w:p w14:paraId="058B2426" w14:textId="71D8AE40" w:rsidR="009262A9" w:rsidRDefault="001A6A9E" w:rsidP="006C3AE6">
      <w:pPr>
        <w:spacing w:after="120"/>
        <w:rPr>
          <w:rFonts w:cstheme="minorHAnsi"/>
          <w:lang w:val="es-ES"/>
        </w:rPr>
      </w:pPr>
      <w:r>
        <w:rPr>
          <w:rFonts w:cstheme="minorHAnsi"/>
          <w:noProof/>
          <w:lang w:val="es-ES"/>
        </w:rPr>
        <mc:AlternateContent>
          <mc:Choice Requires="wps">
            <w:drawing>
              <wp:anchor distT="0" distB="0" distL="114300" distR="114300" simplePos="0" relativeHeight="251660288" behindDoc="0" locked="0" layoutInCell="1" allowOverlap="1" wp14:anchorId="64D7B071" wp14:editId="0E5F0446">
                <wp:simplePos x="0" y="0"/>
                <wp:positionH relativeFrom="column">
                  <wp:posOffset>289408</wp:posOffset>
                </wp:positionH>
                <wp:positionV relativeFrom="paragraph">
                  <wp:posOffset>35687</wp:posOffset>
                </wp:positionV>
                <wp:extent cx="503555" cy="1382573"/>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503555" cy="1382573"/>
                        </a:xfrm>
                        <a:prstGeom prst="rect">
                          <a:avLst/>
                        </a:prstGeom>
                        <a:solidFill>
                          <a:schemeClr val="lt1"/>
                        </a:solidFill>
                        <a:ln w="6350">
                          <a:noFill/>
                        </a:ln>
                      </wps:spPr>
                      <wps:txbx>
                        <w:txbxContent>
                          <w:p w14:paraId="1857DC1B" w14:textId="5D2C45DC" w:rsidR="009262A9" w:rsidRPr="009262A9" w:rsidRDefault="009262A9" w:rsidP="00EB1282">
                            <w:pPr>
                              <w:spacing w:before="0" w:line="180" w:lineRule="exact"/>
                              <w:rPr>
                                <w:sz w:val="20"/>
                                <w:lang w:val="es-ES"/>
                              </w:rPr>
                            </w:pPr>
                            <w:r w:rsidRPr="009262A9">
                              <w:rPr>
                                <w:sz w:val="20"/>
                                <w:lang w:val="es-ES"/>
                              </w:rPr>
                              <w:t>25,00</w:t>
                            </w:r>
                          </w:p>
                          <w:p w14:paraId="068103F5" w14:textId="25258B9B" w:rsidR="009262A9" w:rsidRPr="009262A9" w:rsidRDefault="009262A9" w:rsidP="00EB1282">
                            <w:pPr>
                              <w:spacing w:before="220"/>
                              <w:rPr>
                                <w:sz w:val="20"/>
                                <w:lang w:val="es-ES"/>
                              </w:rPr>
                            </w:pPr>
                            <w:r w:rsidRPr="009262A9">
                              <w:rPr>
                                <w:sz w:val="20"/>
                                <w:lang w:val="es-ES"/>
                              </w:rPr>
                              <w:t>20,00</w:t>
                            </w:r>
                          </w:p>
                          <w:p w14:paraId="2C69819E" w14:textId="0377A2D1" w:rsidR="009262A9" w:rsidRPr="009262A9" w:rsidRDefault="009262A9" w:rsidP="00EB1282">
                            <w:pPr>
                              <w:spacing w:before="200"/>
                              <w:rPr>
                                <w:sz w:val="20"/>
                                <w:lang w:val="es-ES"/>
                              </w:rPr>
                            </w:pPr>
                            <w:r w:rsidRPr="009262A9">
                              <w:rPr>
                                <w:sz w:val="20"/>
                                <w:lang w:val="es-ES"/>
                              </w:rPr>
                              <w:t>15,00</w:t>
                            </w:r>
                          </w:p>
                          <w:p w14:paraId="1FADE998" w14:textId="41BEC509" w:rsidR="009262A9" w:rsidRPr="009262A9" w:rsidRDefault="009262A9" w:rsidP="00EB1282">
                            <w:pPr>
                              <w:spacing w:before="200"/>
                              <w:rPr>
                                <w:sz w:val="20"/>
                                <w:lang w:val="es-ES"/>
                              </w:rPr>
                            </w:pPr>
                            <w:r w:rsidRPr="009262A9">
                              <w:rPr>
                                <w:sz w:val="20"/>
                                <w:lang w:val="es-ES"/>
                              </w:rPr>
                              <w:t>10,00</w:t>
                            </w:r>
                          </w:p>
                          <w:p w14:paraId="4E99CF33" w14:textId="2605560B" w:rsidR="009262A9" w:rsidRPr="009262A9" w:rsidRDefault="009262A9" w:rsidP="00EB1282">
                            <w:pPr>
                              <w:spacing w:before="200"/>
                              <w:rPr>
                                <w:sz w:val="20"/>
                                <w:lang w:val="es-ES"/>
                              </w:rPr>
                            </w:pPr>
                            <w:r w:rsidRPr="009262A9">
                              <w:rPr>
                                <w:sz w:val="20"/>
                                <w:lang w:val="es-ES"/>
                              </w:rPr>
                              <w:t>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B071" id="Text Box 7" o:spid="_x0000_s1027" type="#_x0000_t202" style="position:absolute;margin-left:22.8pt;margin-top:2.8pt;width:39.65pt;height:10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" fillcolor="white [3201]" stroked="f" strokeweight=".5pt">
                <v:textbox>
                  <w:txbxContent>
                    <w:p w14:paraId="1857DC1B" w14:textId="5D2C45DC" w:rsidR="009262A9" w:rsidRPr="009262A9" w:rsidRDefault="009262A9" w:rsidP="00EB1282">
                      <w:pPr>
                        <w:spacing w:before="0" w:line="180" w:lineRule="exact"/>
                        <w:rPr>
                          <w:sz w:val="20"/>
                          <w:lang w:val="es-ES"/>
                        </w:rPr>
                      </w:pPr>
                      <w:r w:rsidRPr="009262A9">
                        <w:rPr>
                          <w:sz w:val="20"/>
                          <w:lang w:val="es-ES"/>
                        </w:rPr>
                        <w:t>25,00</w:t>
                      </w:r>
                    </w:p>
                    <w:p w14:paraId="068103F5" w14:textId="25258B9B" w:rsidR="009262A9" w:rsidRPr="009262A9" w:rsidRDefault="009262A9" w:rsidP="00EB1282">
                      <w:pPr>
                        <w:spacing w:before="220"/>
                        <w:rPr>
                          <w:sz w:val="20"/>
                          <w:lang w:val="es-ES"/>
                        </w:rPr>
                      </w:pPr>
                      <w:r w:rsidRPr="009262A9">
                        <w:rPr>
                          <w:sz w:val="20"/>
                          <w:lang w:val="es-ES"/>
                        </w:rPr>
                        <w:t>20,00</w:t>
                      </w:r>
                    </w:p>
                    <w:p w14:paraId="2C69819E" w14:textId="0377A2D1" w:rsidR="009262A9" w:rsidRPr="009262A9" w:rsidRDefault="009262A9" w:rsidP="00EB1282">
                      <w:pPr>
                        <w:spacing w:before="200"/>
                        <w:rPr>
                          <w:sz w:val="20"/>
                          <w:lang w:val="es-ES"/>
                        </w:rPr>
                      </w:pPr>
                      <w:r w:rsidRPr="009262A9">
                        <w:rPr>
                          <w:sz w:val="20"/>
                          <w:lang w:val="es-ES"/>
                        </w:rPr>
                        <w:t>15,00</w:t>
                      </w:r>
                    </w:p>
                    <w:p w14:paraId="1FADE998" w14:textId="41BEC509" w:rsidR="009262A9" w:rsidRPr="009262A9" w:rsidRDefault="009262A9" w:rsidP="00EB1282">
                      <w:pPr>
                        <w:spacing w:before="200"/>
                        <w:rPr>
                          <w:sz w:val="20"/>
                          <w:lang w:val="es-ES"/>
                        </w:rPr>
                      </w:pPr>
                      <w:r w:rsidRPr="009262A9">
                        <w:rPr>
                          <w:sz w:val="20"/>
                          <w:lang w:val="es-ES"/>
                        </w:rPr>
                        <w:t>10,00</w:t>
                      </w:r>
                    </w:p>
                    <w:p w14:paraId="4E99CF33" w14:textId="2605560B" w:rsidR="009262A9" w:rsidRPr="009262A9" w:rsidRDefault="009262A9" w:rsidP="00EB1282">
                      <w:pPr>
                        <w:spacing w:before="200"/>
                        <w:rPr>
                          <w:sz w:val="20"/>
                          <w:lang w:val="es-ES"/>
                        </w:rPr>
                      </w:pPr>
                      <w:r w:rsidRPr="009262A9">
                        <w:rPr>
                          <w:sz w:val="20"/>
                          <w:lang w:val="es-ES"/>
                        </w:rPr>
                        <w:t>  5,00</w:t>
                      </w:r>
                    </w:p>
                  </w:txbxContent>
                </v:textbox>
              </v:shape>
            </w:pict>
          </mc:Fallback>
        </mc:AlternateContent>
      </w:r>
      <w:r w:rsidR="009262A9" w:rsidRPr="00A37E65">
        <w:rPr>
          <w:noProof/>
          <w:lang w:val="es-ES" w:eastAsia="es-ES"/>
        </w:rPr>
        <w:drawing>
          <wp:inline distT="0" distB="0" distL="0" distR="0" wp14:anchorId="2B9F4B69" wp14:editId="6C4C0921">
            <wp:extent cx="6120765" cy="2160233"/>
            <wp:effectExtent l="0" t="0" r="13335" b="12065"/>
            <wp:docPr id="6" name="Chart 6">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027E1A" w14:textId="5C65E6D5" w:rsidR="00070A7C" w:rsidRPr="00A37E65" w:rsidRDefault="00ED0DB2" w:rsidP="006C3AE6">
      <w:pPr>
        <w:spacing w:after="120"/>
        <w:rPr>
          <w:rFonts w:cstheme="minorHAnsi"/>
          <w:lang w:val="es-ES"/>
        </w:rPr>
      </w:pPr>
      <w:r w:rsidRPr="00A37E65">
        <w:rPr>
          <w:rFonts w:cstheme="minorHAnsi"/>
          <w:lang w:val="es-ES"/>
        </w:rPr>
        <w:t>Estos logros son el resultado de la coordinación entre los equipos de Apoyo a Proyect</w:t>
      </w:r>
      <w:r w:rsidR="003C2980" w:rsidRPr="00A37E65">
        <w:rPr>
          <w:rFonts w:cstheme="minorHAnsi"/>
          <w:lang w:val="es-ES"/>
        </w:rPr>
        <w:t>os, Movilización de recursos y A</w:t>
      </w:r>
      <w:r w:rsidRPr="00A37E65">
        <w:rPr>
          <w:rFonts w:cstheme="minorHAnsi"/>
          <w:lang w:val="es-ES"/>
        </w:rPr>
        <w:t xml:space="preserve">sociaciones, y miembros y sector privado </w:t>
      </w:r>
      <w:r w:rsidR="003C2980" w:rsidRPr="00A37E65">
        <w:rPr>
          <w:rFonts w:cstheme="minorHAnsi"/>
          <w:lang w:val="es-ES"/>
        </w:rPr>
        <w:t xml:space="preserve">bajo los auspicios </w:t>
      </w:r>
      <w:r w:rsidRPr="00A37E65">
        <w:rPr>
          <w:rFonts w:cstheme="minorHAnsi"/>
          <w:lang w:val="es-ES"/>
        </w:rPr>
        <w:t>del Departamento de Asociaciones para el Desarrollo Digital de la BD</w:t>
      </w:r>
      <w:r w:rsidR="00070A7C" w:rsidRPr="00A37E65">
        <w:rPr>
          <w:rFonts w:cstheme="minorHAnsi"/>
          <w:lang w:val="es-ES"/>
        </w:rPr>
        <w:t>T</w:t>
      </w:r>
      <w:r w:rsidR="00675DD5" w:rsidRPr="00A37E65">
        <w:rPr>
          <w:rFonts w:cstheme="minorHAnsi"/>
          <w:lang w:val="es-ES"/>
        </w:rPr>
        <w:t>.</w:t>
      </w:r>
      <w:r w:rsidR="00070A7C" w:rsidRPr="00A37E65">
        <w:rPr>
          <w:rStyle w:val="FootnoteReference"/>
          <w:rFonts w:cstheme="minorHAnsi"/>
          <w:lang w:val="es-ES"/>
        </w:rPr>
        <w:footnoteReference w:id="6"/>
      </w:r>
    </w:p>
    <w:p w14:paraId="357A4203" w14:textId="04DA19C4" w:rsidR="004C7540" w:rsidRPr="00A37E65" w:rsidRDefault="004F5342" w:rsidP="006C3AE6">
      <w:pPr>
        <w:widowControl w:val="0"/>
        <w:spacing w:after="120"/>
        <w:rPr>
          <w:rFonts w:cstheme="minorHAnsi"/>
          <w:lang w:val="es-ES"/>
        </w:rPr>
      </w:pPr>
      <w:r w:rsidRPr="00A37E65">
        <w:rPr>
          <w:rFonts w:cstheme="minorHAnsi"/>
          <w:lang w:val="es-ES"/>
        </w:rPr>
        <w:t>E</w:t>
      </w:r>
      <w:r w:rsidR="004C7540" w:rsidRPr="00A37E65">
        <w:rPr>
          <w:rFonts w:cstheme="minorHAnsi"/>
          <w:lang w:val="es-ES"/>
        </w:rPr>
        <w:t>n conclusi</w:t>
      </w:r>
      <w:r w:rsidRPr="00A37E65">
        <w:rPr>
          <w:rFonts w:cstheme="minorHAnsi"/>
          <w:lang w:val="es-ES"/>
        </w:rPr>
        <w:t>ó</w:t>
      </w:r>
      <w:r w:rsidR="004C7540" w:rsidRPr="00A37E65">
        <w:rPr>
          <w:rFonts w:cstheme="minorHAnsi"/>
          <w:lang w:val="es-ES"/>
        </w:rPr>
        <w:t xml:space="preserve">n, </w:t>
      </w:r>
      <w:r w:rsidRPr="00A37E65">
        <w:rPr>
          <w:rFonts w:cstheme="minorHAnsi"/>
          <w:lang w:val="es-ES"/>
        </w:rPr>
        <w:t xml:space="preserve">al atribuir el </w:t>
      </w:r>
      <w:r w:rsidRPr="00A37E65">
        <w:rPr>
          <w:color w:val="000000"/>
          <w:lang w:val="es-ES"/>
        </w:rPr>
        <w:t xml:space="preserve">capital inicial </w:t>
      </w:r>
      <w:r w:rsidR="00994790" w:rsidRPr="00A37E65">
        <w:rPr>
          <w:color w:val="000000"/>
          <w:lang w:val="es-ES"/>
        </w:rPr>
        <w:t xml:space="preserve">de </w:t>
      </w:r>
      <w:r w:rsidRPr="00A37E65">
        <w:rPr>
          <w:color w:val="000000"/>
          <w:lang w:val="es-ES"/>
        </w:rPr>
        <w:t>2018 a la ejecución de las Iniciativas Regionales aprobadas por la CMDT</w:t>
      </w:r>
      <w:r w:rsidR="004C7540" w:rsidRPr="00A37E65">
        <w:rPr>
          <w:rFonts w:cstheme="minorHAnsi"/>
          <w:lang w:val="es-ES"/>
        </w:rPr>
        <w:t xml:space="preserve">-17, </w:t>
      </w:r>
      <w:r w:rsidRPr="00A37E65">
        <w:rPr>
          <w:rFonts w:cstheme="minorHAnsi"/>
          <w:lang w:val="es-ES"/>
        </w:rPr>
        <w:t xml:space="preserve">el Consejo posibilitó la movilización de </w:t>
      </w:r>
      <w:r w:rsidR="00A4206C" w:rsidRPr="00A37E65">
        <w:rPr>
          <w:rFonts w:cstheme="minorHAnsi"/>
          <w:lang w:val="es-ES"/>
        </w:rPr>
        <w:t>8</w:t>
      </w:r>
      <w:r w:rsidRPr="00A37E65">
        <w:rPr>
          <w:rFonts w:cstheme="minorHAnsi"/>
          <w:lang w:val="es-ES"/>
        </w:rPr>
        <w:t>,</w:t>
      </w:r>
      <w:r w:rsidR="00A4206C" w:rsidRPr="00A37E65">
        <w:rPr>
          <w:rFonts w:cstheme="minorHAnsi"/>
          <w:lang w:val="es-ES"/>
        </w:rPr>
        <w:t>7</w:t>
      </w:r>
      <w:r w:rsidR="00871287">
        <w:rPr>
          <w:rFonts w:cstheme="minorHAnsi"/>
          <w:lang w:val="es-ES"/>
        </w:rPr>
        <w:t> </w:t>
      </w:r>
      <w:r w:rsidRPr="00A37E65">
        <w:rPr>
          <w:rFonts w:cstheme="minorHAnsi"/>
          <w:lang w:val="es-ES"/>
        </w:rPr>
        <w:t>millones</w:t>
      </w:r>
      <w:r w:rsidR="00871287">
        <w:rPr>
          <w:rFonts w:cstheme="minorHAnsi"/>
          <w:lang w:val="es-ES"/>
        </w:rPr>
        <w:t> </w:t>
      </w:r>
      <w:r w:rsidRPr="00A37E65">
        <w:rPr>
          <w:rFonts w:cstheme="minorHAnsi"/>
          <w:lang w:val="es-ES"/>
        </w:rPr>
        <w:t xml:space="preserve">CHF de financiación externa, de manera que la BDT pudo cofinanciar </w:t>
      </w:r>
      <w:r w:rsidR="004C7540" w:rsidRPr="00A37E65">
        <w:rPr>
          <w:rFonts w:cstheme="minorHAnsi"/>
          <w:lang w:val="es-ES"/>
        </w:rPr>
        <w:t>37</w:t>
      </w:r>
      <w:r w:rsidR="00871287">
        <w:rPr>
          <w:rFonts w:cstheme="minorHAnsi"/>
          <w:lang w:val="es-ES"/>
        </w:rPr>
        <w:t> </w:t>
      </w:r>
      <w:r w:rsidRPr="00A37E65">
        <w:rPr>
          <w:rFonts w:cstheme="minorHAnsi"/>
          <w:lang w:val="es-ES"/>
        </w:rPr>
        <w:t xml:space="preserve">proyectos de gran repercusión con un valor total de financiación de proyectos de </w:t>
      </w:r>
      <w:r w:rsidR="00EC23F1" w:rsidRPr="00A37E65">
        <w:rPr>
          <w:rFonts w:cstheme="minorHAnsi"/>
          <w:lang w:val="es-ES"/>
        </w:rPr>
        <w:t>13</w:t>
      </w:r>
      <w:r w:rsidRPr="00A37E65">
        <w:rPr>
          <w:rFonts w:cstheme="minorHAnsi"/>
          <w:lang w:val="es-ES"/>
        </w:rPr>
        <w:t>,</w:t>
      </w:r>
      <w:r w:rsidR="00EC23F1" w:rsidRPr="00A37E65">
        <w:rPr>
          <w:rFonts w:cstheme="minorHAnsi"/>
          <w:lang w:val="es-ES"/>
        </w:rPr>
        <w:t xml:space="preserve">5 </w:t>
      </w:r>
      <w:r w:rsidRPr="00A37E65">
        <w:rPr>
          <w:rFonts w:cstheme="minorHAnsi"/>
          <w:lang w:val="es-ES"/>
        </w:rPr>
        <w:t>millones CHF</w:t>
      </w:r>
      <w:r w:rsidR="004C7540" w:rsidRPr="00A37E65">
        <w:rPr>
          <w:rFonts w:cstheme="minorHAnsi"/>
          <w:lang w:val="es-ES"/>
        </w:rPr>
        <w:t>.</w:t>
      </w:r>
    </w:p>
    <w:p w14:paraId="4742CDE1" w14:textId="4DD2F087" w:rsidR="000E5E7F" w:rsidRPr="00A37E65" w:rsidRDefault="004F5342" w:rsidP="006C3AE6">
      <w:pPr>
        <w:widowControl w:val="0"/>
        <w:spacing w:after="120"/>
        <w:rPr>
          <w:rFonts w:cstheme="minorHAnsi"/>
          <w:lang w:val="es-ES"/>
        </w:rPr>
      </w:pPr>
      <w:r w:rsidRPr="00A37E65">
        <w:rPr>
          <w:rFonts w:cstheme="minorHAnsi"/>
          <w:lang w:val="es-ES"/>
        </w:rPr>
        <w:t>Los buenos resultados de la utilización de los fondos atribuidos por el Consejo demuestra</w:t>
      </w:r>
      <w:r w:rsidR="00A37E65" w:rsidRPr="00A37E65">
        <w:rPr>
          <w:rFonts w:cstheme="minorHAnsi"/>
          <w:lang w:val="es-ES"/>
        </w:rPr>
        <w:t>n</w:t>
      </w:r>
      <w:r w:rsidRPr="00A37E65">
        <w:rPr>
          <w:rFonts w:cstheme="minorHAnsi"/>
          <w:lang w:val="es-ES"/>
        </w:rPr>
        <w:t xml:space="preserve"> la importancia de que la UIT tenga acceso a fuentes de financiación adicionales que puedan utilizarse para movilizar fondos de asociados y donantes en apoyo de los Est</w:t>
      </w:r>
      <w:r w:rsidR="00A37E65" w:rsidRPr="00A37E65">
        <w:rPr>
          <w:rFonts w:cstheme="minorHAnsi"/>
          <w:lang w:val="es-ES"/>
        </w:rPr>
        <w:t>a</w:t>
      </w:r>
      <w:r w:rsidRPr="00A37E65">
        <w:rPr>
          <w:rFonts w:cstheme="minorHAnsi"/>
          <w:lang w:val="es-ES"/>
        </w:rPr>
        <w:t>dos Miembros de la UIT</w:t>
      </w:r>
      <w:r w:rsidR="00E14B10" w:rsidRPr="00A37E65">
        <w:rPr>
          <w:rFonts w:cstheme="minorHAnsi"/>
          <w:lang w:val="es-ES"/>
        </w:rPr>
        <w:t>.</w:t>
      </w:r>
    </w:p>
    <w:p w14:paraId="69B70EE0" w14:textId="3E17742C" w:rsidR="00EC6FED" w:rsidRDefault="00994790" w:rsidP="006C3AE6">
      <w:pPr>
        <w:spacing w:after="120"/>
        <w:rPr>
          <w:rFonts w:cstheme="minorHAnsi"/>
          <w:lang w:val="es-ES"/>
        </w:rPr>
      </w:pPr>
      <w:r w:rsidRPr="00A37E65">
        <w:rPr>
          <w:rFonts w:cstheme="minorHAnsi"/>
          <w:lang w:val="es-ES"/>
        </w:rPr>
        <w:t xml:space="preserve">Se invita al GADT a apoyar la atribución de nuevo capital inicial para la ejecución de las Iniciativas </w:t>
      </w:r>
      <w:r w:rsidR="000C116C" w:rsidRPr="00A37E65">
        <w:rPr>
          <w:rFonts w:cstheme="minorHAnsi"/>
          <w:lang w:val="es-ES"/>
        </w:rPr>
        <w:t>R</w:t>
      </w:r>
      <w:r w:rsidRPr="00A37E65">
        <w:rPr>
          <w:rFonts w:cstheme="minorHAnsi"/>
          <w:lang w:val="es-ES"/>
        </w:rPr>
        <w:t>egional</w:t>
      </w:r>
      <w:r w:rsidR="000C116C" w:rsidRPr="00A37E65">
        <w:rPr>
          <w:rFonts w:cstheme="minorHAnsi"/>
          <w:lang w:val="es-ES"/>
        </w:rPr>
        <w:t>e</w:t>
      </w:r>
      <w:r w:rsidRPr="00A37E65">
        <w:rPr>
          <w:rFonts w:cstheme="minorHAnsi"/>
          <w:lang w:val="es-ES"/>
        </w:rPr>
        <w:t>s aprobadas por la CMDT</w:t>
      </w:r>
      <w:r w:rsidR="003F4206" w:rsidRPr="00A37E65">
        <w:rPr>
          <w:rFonts w:cstheme="minorHAnsi"/>
          <w:lang w:val="es-ES"/>
        </w:rPr>
        <w:t>-22</w:t>
      </w:r>
      <w:r w:rsidRPr="00A37E65">
        <w:rPr>
          <w:rFonts w:cstheme="minorHAnsi"/>
          <w:lang w:val="es-ES"/>
        </w:rPr>
        <w:t>, de forma similar a la atribuci</w:t>
      </w:r>
      <w:r w:rsidR="00A37E65" w:rsidRPr="00A37E65">
        <w:rPr>
          <w:rFonts w:cstheme="minorHAnsi"/>
          <w:lang w:val="es-ES"/>
        </w:rPr>
        <w:t>ón realizada por el C</w:t>
      </w:r>
      <w:r w:rsidRPr="00A37E65">
        <w:rPr>
          <w:rFonts w:cstheme="minorHAnsi"/>
          <w:lang w:val="es-ES"/>
        </w:rPr>
        <w:t>onsejo en 2018 para la financiación de las Iniciativas Regionales adoptadas por la CMDT</w:t>
      </w:r>
      <w:r w:rsidR="008D2327" w:rsidRPr="00A37E65">
        <w:rPr>
          <w:rFonts w:cstheme="minorHAnsi"/>
          <w:lang w:val="es-ES"/>
        </w:rPr>
        <w:t xml:space="preserve">-22 </w:t>
      </w:r>
      <w:r w:rsidRPr="00A37E65">
        <w:rPr>
          <w:rFonts w:cstheme="minorHAnsi"/>
          <w:lang w:val="es-ES"/>
        </w:rPr>
        <w:t xml:space="preserve">para </w:t>
      </w:r>
      <w:r w:rsidR="003F4206" w:rsidRPr="00A37E65">
        <w:rPr>
          <w:rFonts w:cstheme="minorHAnsi"/>
          <w:lang w:val="es-ES"/>
        </w:rPr>
        <w:t>2023-2027</w:t>
      </w:r>
      <w:r w:rsidRPr="00A37E65">
        <w:rPr>
          <w:rFonts w:cstheme="minorHAnsi"/>
          <w:lang w:val="es-ES"/>
        </w:rPr>
        <w:t>, con miras a facilitar la implementación de proyectos relacionados en el marco de cada Iniciativa Regional y en todas las regiones</w:t>
      </w:r>
      <w:r w:rsidR="003F4206" w:rsidRPr="00A37E65">
        <w:rPr>
          <w:rFonts w:cstheme="minorHAnsi"/>
          <w:lang w:val="es-ES"/>
        </w:rPr>
        <w:t>.</w:t>
      </w:r>
    </w:p>
    <w:p w14:paraId="24D08305" w14:textId="77777777" w:rsidR="00EB1282" w:rsidRPr="00A37E65" w:rsidRDefault="00EB1282" w:rsidP="00EB1282">
      <w:pPr>
        <w:rPr>
          <w:lang w:val="es-ES"/>
        </w:rPr>
      </w:pPr>
    </w:p>
    <w:p w14:paraId="7759C759" w14:textId="68BF8418" w:rsidR="00821996" w:rsidRDefault="003C58BF" w:rsidP="00577CDC">
      <w:pPr>
        <w:tabs>
          <w:tab w:val="clear" w:pos="794"/>
          <w:tab w:val="clear" w:pos="1191"/>
          <w:tab w:val="clear" w:pos="1588"/>
          <w:tab w:val="clear" w:pos="1985"/>
        </w:tabs>
        <w:spacing w:after="120"/>
        <w:jc w:val="center"/>
        <w:rPr>
          <w:lang w:val="es-ES"/>
        </w:rPr>
      </w:pPr>
      <w:bookmarkStart w:id="6" w:name="Proposal"/>
      <w:bookmarkEnd w:id="6"/>
      <w:r w:rsidRPr="00A37E65">
        <w:rPr>
          <w:lang w:val="es-ES"/>
        </w:rPr>
        <w:t>_____________</w:t>
      </w:r>
      <w:r w:rsidR="004122C5" w:rsidRPr="00A37E65">
        <w:rPr>
          <w:lang w:val="es-ES"/>
        </w:rPr>
        <w:t>_</w:t>
      </w:r>
      <w:r w:rsidR="00922EC1" w:rsidRPr="00A37E65">
        <w:rPr>
          <w:lang w:val="es-ES"/>
        </w:rPr>
        <w:t>_</w:t>
      </w:r>
    </w:p>
    <w:p w14:paraId="7995A238" w14:textId="77777777" w:rsidR="003D0E89" w:rsidRPr="00A37E65" w:rsidRDefault="003D0E89" w:rsidP="00202DC1">
      <w:pPr>
        <w:rPr>
          <w:lang w:val="es-ES"/>
        </w:rPr>
      </w:pPr>
    </w:p>
    <w:sectPr w:rsidR="003D0E89" w:rsidRPr="00A37E65" w:rsidSect="009262A9">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DF610" w14:textId="77777777" w:rsidR="001F5C4A" w:rsidRDefault="001F5C4A">
      <w:r>
        <w:separator/>
      </w:r>
    </w:p>
  </w:endnote>
  <w:endnote w:type="continuationSeparator" w:id="0">
    <w:p w14:paraId="3EADDB30" w14:textId="77777777" w:rsidR="001F5C4A" w:rsidRDefault="001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7285" w14:textId="77777777" w:rsidR="00613DCD" w:rsidRDefault="006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B24ED" w14:textId="77777777" w:rsidR="00613DCD" w:rsidRDefault="0061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13DCD" w:rsidRPr="00BB452B" w14:paraId="5770A1F1" w14:textId="77777777" w:rsidTr="00276725">
      <w:tc>
        <w:tcPr>
          <w:tcW w:w="1526" w:type="dxa"/>
          <w:tcBorders>
            <w:top w:val="single" w:sz="4" w:space="0" w:color="000000"/>
          </w:tcBorders>
          <w:shd w:val="clear" w:color="auto" w:fill="auto"/>
        </w:tcPr>
        <w:p w14:paraId="7EFC12D1" w14:textId="77777777" w:rsidR="00613DCD" w:rsidRPr="00842E57" w:rsidRDefault="00613DCD" w:rsidP="00613DCD">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276AE845" w14:textId="77777777" w:rsidR="00613DCD" w:rsidRPr="00842E57" w:rsidRDefault="00613DCD" w:rsidP="00613DCD">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4B5D5AC9" w14:textId="77777777" w:rsidR="00613DCD" w:rsidRPr="00842E57" w:rsidRDefault="00613DCD" w:rsidP="00613DCD">
          <w:pPr>
            <w:pStyle w:val="FirstFooter"/>
            <w:tabs>
              <w:tab w:val="left" w:pos="2302"/>
            </w:tabs>
            <w:rPr>
              <w:sz w:val="18"/>
              <w:szCs w:val="18"/>
              <w:lang w:val="es-ES_tradnl"/>
            </w:rPr>
          </w:pPr>
          <w:r w:rsidRPr="00EB6C49">
            <w:rPr>
              <w:sz w:val="18"/>
              <w:szCs w:val="18"/>
              <w:lang w:val="es-ES_tradnl"/>
            </w:rPr>
            <w:t>Sr. Jos</w:t>
          </w:r>
          <w:r>
            <w:rPr>
              <w:sz w:val="18"/>
              <w:szCs w:val="18"/>
              <w:lang w:val="es-ES_tradnl"/>
            </w:rPr>
            <w:t>é</w:t>
          </w:r>
          <w:r w:rsidRPr="00EB6C49">
            <w:rPr>
              <w:sz w:val="18"/>
              <w:szCs w:val="18"/>
              <w:lang w:val="es-ES_tradnl"/>
            </w:rPr>
            <w:t xml:space="preserve"> María D</w:t>
          </w:r>
          <w:r>
            <w:rPr>
              <w:sz w:val="18"/>
              <w:szCs w:val="18"/>
              <w:lang w:val="es-ES_tradnl"/>
            </w:rPr>
            <w:t>í</w:t>
          </w:r>
          <w:r w:rsidRPr="00EB6C49">
            <w:rPr>
              <w:sz w:val="18"/>
              <w:szCs w:val="18"/>
              <w:lang w:val="es-ES_tradnl"/>
            </w:rPr>
            <w:t>az Batanero, Jefe de la División de Apoyo a Proyectos, Oficina de Desarrollo de las Telecomunicaciones</w:t>
          </w:r>
        </w:p>
      </w:tc>
    </w:tr>
    <w:tr w:rsidR="00613DCD" w:rsidRPr="00842E57" w14:paraId="2CCA3366" w14:textId="77777777" w:rsidTr="00276725">
      <w:tc>
        <w:tcPr>
          <w:tcW w:w="1526" w:type="dxa"/>
          <w:shd w:val="clear" w:color="auto" w:fill="auto"/>
        </w:tcPr>
        <w:p w14:paraId="17017AFC" w14:textId="77777777" w:rsidR="00613DCD" w:rsidRPr="00842E57" w:rsidRDefault="00613DCD" w:rsidP="00613DCD">
          <w:pPr>
            <w:pStyle w:val="FirstFooter"/>
            <w:tabs>
              <w:tab w:val="left" w:pos="1559"/>
              <w:tab w:val="left" w:pos="3828"/>
            </w:tabs>
            <w:rPr>
              <w:sz w:val="20"/>
              <w:lang w:val="es-ES_tradnl"/>
            </w:rPr>
          </w:pPr>
        </w:p>
      </w:tc>
      <w:tc>
        <w:tcPr>
          <w:tcW w:w="2410" w:type="dxa"/>
          <w:shd w:val="clear" w:color="auto" w:fill="auto"/>
        </w:tcPr>
        <w:p w14:paraId="2ED7E69F" w14:textId="77777777" w:rsidR="00613DCD" w:rsidRPr="00842E57" w:rsidRDefault="00613DCD" w:rsidP="00613DCD">
          <w:pPr>
            <w:pStyle w:val="FirstFooter"/>
            <w:tabs>
              <w:tab w:val="left" w:pos="2302"/>
            </w:tabs>
            <w:rPr>
              <w:sz w:val="18"/>
              <w:szCs w:val="18"/>
              <w:lang w:val="es-ES_tradnl"/>
            </w:rPr>
          </w:pPr>
          <w:r w:rsidRPr="00842E57">
            <w:rPr>
              <w:sz w:val="18"/>
              <w:szCs w:val="18"/>
              <w:lang w:val="es-ES_tradnl"/>
            </w:rPr>
            <w:t>Tel.:</w:t>
          </w:r>
        </w:p>
      </w:tc>
      <w:tc>
        <w:tcPr>
          <w:tcW w:w="5987" w:type="dxa"/>
        </w:tcPr>
        <w:p w14:paraId="2BB729C5" w14:textId="77777777" w:rsidR="00613DCD" w:rsidRPr="00842E57" w:rsidRDefault="00613DCD" w:rsidP="00613DCD">
          <w:pPr>
            <w:pStyle w:val="FirstFooter"/>
            <w:tabs>
              <w:tab w:val="left" w:pos="2302"/>
            </w:tabs>
            <w:rPr>
              <w:sz w:val="18"/>
              <w:szCs w:val="18"/>
              <w:lang w:val="es-ES_tradnl"/>
            </w:rPr>
          </w:pPr>
          <w:r w:rsidRPr="00EB6C49">
            <w:rPr>
              <w:sz w:val="18"/>
              <w:szCs w:val="18"/>
              <w:lang w:val="es-ES_tradnl"/>
            </w:rPr>
            <w:t>+41 22 730 5495</w:t>
          </w:r>
        </w:p>
      </w:tc>
    </w:tr>
    <w:tr w:rsidR="00613DCD" w:rsidRPr="00842E57" w14:paraId="335D06D8" w14:textId="77777777" w:rsidTr="00276725">
      <w:tc>
        <w:tcPr>
          <w:tcW w:w="1526" w:type="dxa"/>
          <w:shd w:val="clear" w:color="auto" w:fill="auto"/>
        </w:tcPr>
        <w:p w14:paraId="642298CF" w14:textId="77777777" w:rsidR="00613DCD" w:rsidRPr="00842E57" w:rsidRDefault="00613DCD" w:rsidP="00613DCD">
          <w:pPr>
            <w:pStyle w:val="FirstFooter"/>
            <w:tabs>
              <w:tab w:val="left" w:pos="1559"/>
              <w:tab w:val="left" w:pos="3828"/>
            </w:tabs>
            <w:rPr>
              <w:sz w:val="20"/>
              <w:lang w:val="es-ES_tradnl"/>
            </w:rPr>
          </w:pPr>
        </w:p>
      </w:tc>
      <w:tc>
        <w:tcPr>
          <w:tcW w:w="2410" w:type="dxa"/>
          <w:shd w:val="clear" w:color="auto" w:fill="auto"/>
        </w:tcPr>
        <w:p w14:paraId="1E4D255A" w14:textId="77777777" w:rsidR="00613DCD" w:rsidRPr="00842E57" w:rsidRDefault="00613DCD" w:rsidP="00613DCD">
          <w:pPr>
            <w:pStyle w:val="FirstFooter"/>
            <w:tabs>
              <w:tab w:val="left" w:pos="2302"/>
            </w:tabs>
            <w:rPr>
              <w:sz w:val="18"/>
              <w:szCs w:val="18"/>
              <w:lang w:val="es-ES_tradnl"/>
            </w:rPr>
          </w:pPr>
          <w:r w:rsidRPr="00842E57">
            <w:rPr>
              <w:sz w:val="18"/>
              <w:szCs w:val="18"/>
              <w:lang w:val="es-ES_tradnl"/>
            </w:rPr>
            <w:t>Correo-e:</w:t>
          </w:r>
        </w:p>
      </w:tc>
      <w:tc>
        <w:tcPr>
          <w:tcW w:w="5987" w:type="dxa"/>
        </w:tcPr>
        <w:p w14:paraId="109EB39B" w14:textId="77777777" w:rsidR="00613DCD" w:rsidRPr="00842E57" w:rsidRDefault="00613DCD" w:rsidP="00613DCD">
          <w:pPr>
            <w:pStyle w:val="FirstFooter"/>
            <w:tabs>
              <w:tab w:val="left" w:pos="2302"/>
            </w:tabs>
            <w:rPr>
              <w:sz w:val="18"/>
              <w:szCs w:val="18"/>
              <w:lang w:val="es-ES_tradnl"/>
            </w:rPr>
          </w:pPr>
          <w:hyperlink r:id="rId1" w:history="1">
            <w:r w:rsidRPr="00CD4FC3">
              <w:rPr>
                <w:rStyle w:val="Hyperlink"/>
                <w:sz w:val="18"/>
                <w:szCs w:val="18"/>
                <w:lang w:val="es-ES_tradnl"/>
              </w:rPr>
              <w:t>jose.batanero@itu.int</w:t>
            </w:r>
          </w:hyperlink>
        </w:p>
      </w:tc>
    </w:tr>
  </w:tbl>
  <w:p w14:paraId="5AEFE7F9" w14:textId="77777777" w:rsidR="001F5C4A" w:rsidRPr="006C3AE6" w:rsidRDefault="001F5C4A" w:rsidP="00B80157">
    <w:pPr>
      <w:pStyle w:val="Footer"/>
      <w:jc w:val="center"/>
      <w:rPr>
        <w:caps w:val="0"/>
        <w:lang w:val="en-GB"/>
      </w:rPr>
    </w:pPr>
    <w:bookmarkStart w:id="7" w:name="_GoBack"/>
    <w:bookmarkEnd w:id="7"/>
  </w:p>
  <w:p w14:paraId="40A321D0" w14:textId="7B4DAE1C" w:rsidR="001F5C4A" w:rsidRPr="006C3AE6" w:rsidRDefault="00613DCD" w:rsidP="006C3AE6">
    <w:pPr>
      <w:pStyle w:val="Footer"/>
      <w:jc w:val="center"/>
      <w:rPr>
        <w:caps w:val="0"/>
        <w:lang w:val="en-GB"/>
      </w:rPr>
    </w:pPr>
    <w:hyperlink r:id="rId2" w:history="1">
      <w:r w:rsidR="001F5C4A">
        <w:rPr>
          <w:rStyle w:val="Hyperlink"/>
          <w:caps w:val="0"/>
          <w:lang w:val="en-GB"/>
        </w:rPr>
        <w:t>GADT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791EB" w14:textId="77777777" w:rsidR="001F5C4A" w:rsidRDefault="001F5C4A">
      <w:r>
        <w:t>____________________</w:t>
      </w:r>
    </w:p>
  </w:footnote>
  <w:footnote w:type="continuationSeparator" w:id="0">
    <w:p w14:paraId="08B9A187" w14:textId="77777777" w:rsidR="001F5C4A" w:rsidRDefault="001F5C4A">
      <w:r>
        <w:continuationSeparator/>
      </w:r>
    </w:p>
  </w:footnote>
  <w:footnote w:id="1">
    <w:p w14:paraId="2313775C" w14:textId="2FC20B6F" w:rsidR="001F5C4A" w:rsidRPr="004B6513" w:rsidRDefault="001F5C4A" w:rsidP="004B6513">
      <w:pPr>
        <w:pStyle w:val="FootnoteText"/>
        <w:spacing w:before="0"/>
        <w:ind w:left="0" w:firstLine="0"/>
        <w:rPr>
          <w:sz w:val="20"/>
          <w:lang w:val="es-ES"/>
        </w:rPr>
      </w:pPr>
      <w:r w:rsidRPr="006C3AE6">
        <w:rPr>
          <w:rStyle w:val="FootnoteReference"/>
          <w:sz w:val="20"/>
        </w:rPr>
        <w:footnoteRef/>
      </w:r>
      <w:r w:rsidR="00E068F2">
        <w:rPr>
          <w:i/>
          <w:iCs/>
          <w:sz w:val="20"/>
          <w:lang w:val="es-ES"/>
        </w:rPr>
        <w:tab/>
      </w:r>
      <w:r w:rsidRPr="004B6513">
        <w:rPr>
          <w:i/>
          <w:iCs/>
          <w:sz w:val="20"/>
          <w:lang w:val="es-ES"/>
        </w:rPr>
        <w:t>Véase un resumen de la cartera de proyectos de la UIT en</w:t>
      </w:r>
      <w:r w:rsidRPr="002A72CA">
        <w:rPr>
          <w:sz w:val="18"/>
          <w:szCs w:val="18"/>
          <w:lang w:val="es-ES"/>
        </w:rPr>
        <w:t xml:space="preserve"> </w:t>
      </w:r>
      <w:hyperlink r:id="rId1" w:history="1">
        <w:r w:rsidRPr="004B6513">
          <w:rPr>
            <w:rStyle w:val="Hyperlink"/>
            <w:i/>
            <w:iCs/>
            <w:sz w:val="20"/>
            <w:lang w:val="es-ES"/>
          </w:rPr>
          <w:t>www.itu.int/en/ITU-D/Projects</w:t>
        </w:r>
      </w:hyperlink>
      <w:r w:rsidRPr="004B6513">
        <w:rPr>
          <w:i/>
          <w:iCs/>
          <w:sz w:val="20"/>
          <w:lang w:val="es-ES"/>
        </w:rPr>
        <w:t xml:space="preserve"> </w:t>
      </w:r>
    </w:p>
  </w:footnote>
  <w:footnote w:id="2">
    <w:p w14:paraId="36F2A2D7" w14:textId="423D75B2" w:rsidR="001F5C4A" w:rsidRPr="004B6513" w:rsidRDefault="001F5C4A" w:rsidP="006C3AE6">
      <w:pPr>
        <w:pStyle w:val="FootnoteText"/>
        <w:spacing w:before="0"/>
        <w:ind w:left="0" w:firstLine="0"/>
        <w:rPr>
          <w:i/>
          <w:iCs/>
          <w:sz w:val="20"/>
          <w:lang w:val="es-ES"/>
        </w:rPr>
      </w:pPr>
      <w:r w:rsidRPr="006C3AE6">
        <w:rPr>
          <w:rStyle w:val="FootnoteReference"/>
          <w:i/>
          <w:iCs/>
          <w:sz w:val="20"/>
        </w:rPr>
        <w:footnoteRef/>
      </w:r>
      <w:r w:rsidR="00E068F2">
        <w:rPr>
          <w:i/>
          <w:iCs/>
          <w:sz w:val="20"/>
          <w:lang w:val="es-ES"/>
        </w:rPr>
        <w:tab/>
      </w:r>
      <w:r w:rsidRPr="004B6513">
        <w:rPr>
          <w:i/>
          <w:iCs/>
          <w:sz w:val="20"/>
          <w:lang w:val="es-ES"/>
        </w:rPr>
        <w:t xml:space="preserve">Las cifras facilitadas en el informe se refieren al </w:t>
      </w:r>
      <w:r w:rsidR="000434F2">
        <w:rPr>
          <w:i/>
          <w:iCs/>
          <w:sz w:val="20"/>
          <w:lang w:val="es-ES"/>
        </w:rPr>
        <w:t>balance</w:t>
      </w:r>
      <w:r>
        <w:rPr>
          <w:i/>
          <w:iCs/>
          <w:sz w:val="20"/>
          <w:lang w:val="es-ES"/>
        </w:rPr>
        <w:t xml:space="preserve"> financiero al cierre de las cuentas de </w:t>
      </w:r>
      <w:r w:rsidRPr="004B6513">
        <w:rPr>
          <w:i/>
          <w:iCs/>
          <w:sz w:val="20"/>
          <w:lang w:val="es-ES"/>
        </w:rPr>
        <w:t>2022 (</w:t>
      </w:r>
      <w:r w:rsidR="00D64531">
        <w:rPr>
          <w:i/>
          <w:iCs/>
          <w:sz w:val="20"/>
          <w:lang w:val="es-ES"/>
        </w:rPr>
        <w:t>balance</w:t>
      </w:r>
      <w:r>
        <w:rPr>
          <w:i/>
          <w:iCs/>
          <w:sz w:val="20"/>
          <w:lang w:val="es-ES"/>
        </w:rPr>
        <w:t xml:space="preserve"> al</w:t>
      </w:r>
      <w:r w:rsidRPr="004B6513">
        <w:rPr>
          <w:i/>
          <w:iCs/>
          <w:sz w:val="20"/>
          <w:lang w:val="es-ES"/>
        </w:rPr>
        <w:t xml:space="preserve"> 31 </w:t>
      </w:r>
      <w:r>
        <w:rPr>
          <w:i/>
          <w:iCs/>
          <w:sz w:val="20"/>
          <w:lang w:val="es-ES"/>
        </w:rPr>
        <w:t xml:space="preserve">de diciembre </w:t>
      </w:r>
      <w:r w:rsidRPr="004B6513">
        <w:rPr>
          <w:i/>
          <w:iCs/>
          <w:sz w:val="20"/>
          <w:lang w:val="es-ES"/>
        </w:rPr>
        <w:t>2022). a</w:t>
      </w:r>
    </w:p>
  </w:footnote>
  <w:footnote w:id="3">
    <w:p w14:paraId="7C6FBD17" w14:textId="4AD8F55F" w:rsidR="001F5C4A" w:rsidRPr="001B33FA" w:rsidRDefault="001F5C4A" w:rsidP="006C3AE6">
      <w:pPr>
        <w:pStyle w:val="FootnoteText"/>
        <w:spacing w:before="0"/>
        <w:ind w:left="0" w:firstLine="0"/>
        <w:rPr>
          <w:i/>
          <w:iCs/>
          <w:sz w:val="20"/>
          <w:lang w:val="es-ES"/>
        </w:rPr>
      </w:pPr>
      <w:r w:rsidRPr="006C3AE6">
        <w:rPr>
          <w:rStyle w:val="FootnoteReference"/>
          <w:i/>
          <w:iCs/>
          <w:sz w:val="20"/>
        </w:rPr>
        <w:footnoteRef/>
      </w:r>
      <w:r w:rsidRPr="001B33FA">
        <w:rPr>
          <w:i/>
          <w:iCs/>
          <w:sz w:val="20"/>
          <w:lang w:val="es-ES"/>
        </w:rPr>
        <w:t xml:space="preserve"> </w:t>
      </w:r>
      <w:r w:rsidR="00E068F2">
        <w:rPr>
          <w:i/>
          <w:iCs/>
          <w:sz w:val="20"/>
          <w:lang w:val="es-ES"/>
        </w:rPr>
        <w:tab/>
      </w:r>
      <w:r w:rsidRPr="001B33FA">
        <w:rPr>
          <w:i/>
          <w:iCs/>
          <w:sz w:val="20"/>
          <w:lang w:val="es-ES"/>
        </w:rPr>
        <w:t>Para obtener más informaci</w:t>
      </w:r>
      <w:r>
        <w:rPr>
          <w:i/>
          <w:iCs/>
          <w:sz w:val="20"/>
          <w:lang w:val="es-ES"/>
        </w:rPr>
        <w:t xml:space="preserve">ón sobre el FD-TIC, consulte el Documento </w:t>
      </w:r>
      <w:r w:rsidRPr="001B33FA">
        <w:rPr>
          <w:i/>
          <w:iCs/>
          <w:sz w:val="20"/>
          <w:lang w:val="es-ES"/>
        </w:rPr>
        <w:t xml:space="preserve">C22/034, </w:t>
      </w:r>
      <w:r>
        <w:rPr>
          <w:i/>
          <w:iCs/>
          <w:sz w:val="20"/>
          <w:lang w:val="es-ES"/>
        </w:rPr>
        <w:t xml:space="preserve">disponible en </w:t>
      </w:r>
      <w:r w:rsidR="00613DCD">
        <w:fldChar w:fldCharType="begin"/>
      </w:r>
      <w:r w:rsidR="00613DCD" w:rsidRPr="00613DCD">
        <w:rPr>
          <w:lang w:val="fr-FR"/>
        </w:rPr>
        <w:instrText xml:space="preserve"> HYPERLINK "https://www.itu.int/md/S22-CL-C-0034/en" </w:instrText>
      </w:r>
      <w:r w:rsidR="00613DCD">
        <w:fldChar w:fldCharType="separate"/>
      </w:r>
      <w:r w:rsidRPr="001B33FA">
        <w:rPr>
          <w:rStyle w:val="Hyperlink"/>
          <w:i/>
          <w:iCs/>
          <w:sz w:val="20"/>
          <w:lang w:val="es-ES"/>
        </w:rPr>
        <w:t>https://www.itu.int/md/S22-CL-C-0034/en</w:t>
      </w:r>
      <w:r w:rsidR="00613DCD">
        <w:rPr>
          <w:rStyle w:val="Hyperlink"/>
          <w:i/>
          <w:iCs/>
          <w:sz w:val="20"/>
          <w:lang w:val="es-ES"/>
        </w:rPr>
        <w:fldChar w:fldCharType="end"/>
      </w:r>
    </w:p>
  </w:footnote>
  <w:footnote w:id="4">
    <w:p w14:paraId="65B61363" w14:textId="004A10D6" w:rsidR="001F5C4A" w:rsidRPr="009D3E94" w:rsidRDefault="001F5C4A" w:rsidP="006C3AE6">
      <w:pPr>
        <w:pStyle w:val="FootnoteText"/>
        <w:tabs>
          <w:tab w:val="clear" w:pos="255"/>
          <w:tab w:val="left" w:pos="270"/>
        </w:tabs>
        <w:spacing w:before="0"/>
        <w:ind w:left="0" w:firstLine="0"/>
        <w:rPr>
          <w:rFonts w:cstheme="minorHAnsi"/>
          <w:i/>
          <w:iCs/>
          <w:sz w:val="20"/>
          <w:lang w:val="es-ES"/>
        </w:rPr>
      </w:pPr>
      <w:r w:rsidRPr="006C3AE6">
        <w:rPr>
          <w:rStyle w:val="FootnoteReference"/>
          <w:rFonts w:cstheme="minorHAnsi"/>
          <w:i/>
          <w:iCs/>
          <w:sz w:val="20"/>
        </w:rPr>
        <w:footnoteRef/>
      </w:r>
      <w:r w:rsidRPr="009D3E94">
        <w:rPr>
          <w:rFonts w:cstheme="minorHAnsi"/>
          <w:i/>
          <w:iCs/>
          <w:sz w:val="20"/>
          <w:lang w:val="es-ES"/>
        </w:rPr>
        <w:t xml:space="preserve"> </w:t>
      </w:r>
      <w:r w:rsidR="00E068F2">
        <w:rPr>
          <w:rFonts w:cstheme="minorHAnsi"/>
          <w:i/>
          <w:iCs/>
          <w:sz w:val="20"/>
          <w:lang w:val="es-ES"/>
        </w:rPr>
        <w:tab/>
      </w:r>
      <w:r w:rsidRPr="009D3E94">
        <w:rPr>
          <w:rFonts w:cstheme="minorHAnsi"/>
          <w:i/>
          <w:iCs/>
          <w:sz w:val="20"/>
          <w:lang w:val="es-ES"/>
        </w:rPr>
        <w:t xml:space="preserve">La reunión de 2018 del Consejo de la UIT </w:t>
      </w:r>
      <w:r>
        <w:rPr>
          <w:rFonts w:cstheme="minorHAnsi"/>
          <w:i/>
          <w:iCs/>
          <w:sz w:val="20"/>
          <w:lang w:val="es-ES"/>
        </w:rPr>
        <w:t>atribuyó</w:t>
      </w:r>
      <w:r w:rsidRPr="009D3E94">
        <w:rPr>
          <w:rFonts w:cstheme="minorHAnsi"/>
          <w:i/>
          <w:iCs/>
          <w:sz w:val="20"/>
          <w:lang w:val="es-ES"/>
        </w:rPr>
        <w:t xml:space="preserve"> 5 millones CHF para </w:t>
      </w:r>
      <w:r>
        <w:rPr>
          <w:rFonts w:cstheme="minorHAnsi"/>
          <w:i/>
          <w:iCs/>
          <w:sz w:val="20"/>
          <w:lang w:val="es-ES"/>
        </w:rPr>
        <w:t>el desarrollo de proyectos relacionados con la ejecución de las Iniciativas Regionales de la CMDT-17</w:t>
      </w:r>
      <w:r w:rsidRPr="009D3E94">
        <w:rPr>
          <w:rFonts w:cstheme="minorHAnsi"/>
          <w:i/>
          <w:iCs/>
          <w:sz w:val="20"/>
          <w:lang w:val="es-ES"/>
        </w:rPr>
        <w:t>.</w:t>
      </w:r>
    </w:p>
  </w:footnote>
  <w:footnote w:id="5">
    <w:p w14:paraId="1512BCDF" w14:textId="209187C9" w:rsidR="001F5C4A" w:rsidRPr="00613DCD" w:rsidRDefault="001F5C4A" w:rsidP="00E068F2">
      <w:pPr>
        <w:pStyle w:val="FootnoteText"/>
        <w:tabs>
          <w:tab w:val="clear" w:pos="255"/>
          <w:tab w:val="left" w:pos="270"/>
        </w:tabs>
        <w:spacing w:before="0"/>
        <w:ind w:left="0" w:firstLine="0"/>
        <w:rPr>
          <w:lang w:val="fr-FR"/>
        </w:rPr>
      </w:pPr>
      <w:r w:rsidRPr="006C3AE6">
        <w:rPr>
          <w:rStyle w:val="FootnoteReference"/>
          <w:sz w:val="20"/>
        </w:rPr>
        <w:footnoteRef/>
      </w:r>
      <w:r w:rsidRPr="008A1450">
        <w:rPr>
          <w:sz w:val="20"/>
          <w:lang w:val="es-ES"/>
        </w:rPr>
        <w:t xml:space="preserve"> </w:t>
      </w:r>
      <w:r w:rsidR="00E068F2">
        <w:rPr>
          <w:sz w:val="20"/>
          <w:lang w:val="es-ES"/>
        </w:rPr>
        <w:tab/>
      </w:r>
      <w:r w:rsidRPr="008A1450">
        <w:rPr>
          <w:rFonts w:cstheme="minorHAnsi"/>
          <w:i/>
          <w:iCs/>
          <w:sz w:val="20"/>
          <w:lang w:val="es-ES"/>
        </w:rPr>
        <w:t xml:space="preserve">Para obtener más información sobre la utilización de los fondos aprobados por el </w:t>
      </w:r>
      <w:r w:rsidR="003F0277">
        <w:rPr>
          <w:rFonts w:cstheme="minorHAnsi"/>
          <w:i/>
          <w:iCs/>
          <w:sz w:val="20"/>
          <w:lang w:val="es-ES"/>
        </w:rPr>
        <w:t>C</w:t>
      </w:r>
      <w:r w:rsidRPr="008A1450">
        <w:rPr>
          <w:rFonts w:cstheme="minorHAnsi"/>
          <w:i/>
          <w:iCs/>
          <w:sz w:val="20"/>
          <w:lang w:val="es-ES"/>
        </w:rPr>
        <w:t xml:space="preserve">onsejo en apoyo de las Iniciativas Regionales de la CMDT-17, </w:t>
      </w:r>
      <w:r>
        <w:rPr>
          <w:rFonts w:cstheme="minorHAnsi"/>
          <w:i/>
          <w:iCs/>
          <w:sz w:val="20"/>
          <w:lang w:val="es-ES"/>
        </w:rPr>
        <w:t xml:space="preserve">consulte el Documento </w:t>
      </w:r>
      <w:r w:rsidRPr="008A1450">
        <w:rPr>
          <w:rFonts w:cstheme="minorHAnsi"/>
          <w:i/>
          <w:iCs/>
          <w:sz w:val="20"/>
          <w:lang w:val="es-ES"/>
        </w:rPr>
        <w:t xml:space="preserve">TDAG-23/INF-3-E </w:t>
      </w:r>
      <w:r>
        <w:rPr>
          <w:rFonts w:cstheme="minorHAnsi"/>
          <w:i/>
          <w:iCs/>
          <w:sz w:val="20"/>
          <w:lang w:val="es-ES"/>
        </w:rPr>
        <w:t>disponible en</w:t>
      </w:r>
      <w:r w:rsidRPr="008A1450">
        <w:rPr>
          <w:rFonts w:cstheme="minorHAnsi"/>
          <w:i/>
          <w:iCs/>
          <w:sz w:val="20"/>
          <w:lang w:val="es-ES"/>
        </w:rPr>
        <w:t xml:space="preserve"> </w:t>
      </w:r>
      <w:r>
        <w:rPr>
          <w:rFonts w:cstheme="minorHAnsi"/>
          <w:i/>
          <w:iCs/>
          <w:sz w:val="20"/>
          <w:lang w:val="es-ES"/>
        </w:rPr>
        <w:t>ENLACE</w:t>
      </w:r>
      <w:r w:rsidR="004D07FD" w:rsidRPr="00613DCD">
        <w:rPr>
          <w:lang w:val="fr-FR"/>
        </w:rPr>
        <w:t>.</w:t>
      </w:r>
    </w:p>
  </w:footnote>
  <w:footnote w:id="6">
    <w:p w14:paraId="4EACA893" w14:textId="75F54B50" w:rsidR="001F5C4A" w:rsidRPr="00ED0DB2" w:rsidRDefault="001F5C4A" w:rsidP="00E068F2">
      <w:pPr>
        <w:pStyle w:val="FootnoteText"/>
        <w:tabs>
          <w:tab w:val="clear" w:pos="255"/>
          <w:tab w:val="left" w:pos="270"/>
        </w:tabs>
        <w:spacing w:before="0"/>
        <w:ind w:left="0" w:firstLine="0"/>
        <w:rPr>
          <w:rFonts w:cstheme="minorHAnsi"/>
          <w:i/>
          <w:iCs/>
          <w:sz w:val="20"/>
          <w:lang w:val="es-ES"/>
        </w:rPr>
      </w:pPr>
      <w:r w:rsidRPr="006C3AE6">
        <w:rPr>
          <w:rStyle w:val="FootnoteReference"/>
          <w:i/>
          <w:iCs/>
          <w:sz w:val="20"/>
        </w:rPr>
        <w:footnoteRef/>
      </w:r>
      <w:r w:rsidRPr="00ED0DB2">
        <w:rPr>
          <w:i/>
          <w:iCs/>
          <w:sz w:val="20"/>
          <w:lang w:val="es-ES"/>
        </w:rPr>
        <w:t xml:space="preserve"> </w:t>
      </w:r>
      <w:r w:rsidR="00E068F2">
        <w:rPr>
          <w:i/>
          <w:iCs/>
          <w:sz w:val="20"/>
          <w:lang w:val="es-ES"/>
        </w:rPr>
        <w:tab/>
      </w:r>
      <w:r w:rsidR="00ED0DB2" w:rsidRPr="00ED0DB2">
        <w:rPr>
          <w:rFonts w:cstheme="minorHAnsi"/>
          <w:i/>
          <w:iCs/>
          <w:sz w:val="20"/>
          <w:lang w:val="es-ES"/>
        </w:rPr>
        <w:t>Para más información sobre las asociaciones del UIT-D y la movilización de recursos, consulte los Documentos</w:t>
      </w:r>
      <w:r w:rsidR="00454CA8">
        <w:rPr>
          <w:rFonts w:cstheme="minorHAnsi"/>
          <w:sz w:val="18"/>
          <w:szCs w:val="18"/>
          <w:lang w:val="es-ES"/>
        </w:rPr>
        <w:t> </w:t>
      </w:r>
      <w:r w:rsidRPr="00ED0DB2">
        <w:rPr>
          <w:rFonts w:cstheme="minorHAnsi"/>
          <w:i/>
          <w:iCs/>
          <w:sz w:val="20"/>
          <w:lang w:val="es-ES"/>
        </w:rPr>
        <w:t>TDAG</w:t>
      </w:r>
      <w:r w:rsidR="00090E87">
        <w:rPr>
          <w:rFonts w:cstheme="minorHAnsi"/>
          <w:i/>
          <w:iCs/>
          <w:sz w:val="20"/>
          <w:lang w:val="es-ES"/>
        </w:rPr>
        <w:noBreakHyphen/>
      </w:r>
      <w:r w:rsidRPr="00ED0DB2">
        <w:rPr>
          <w:rFonts w:cstheme="minorHAnsi"/>
          <w:i/>
          <w:iCs/>
          <w:sz w:val="20"/>
          <w:lang w:val="es-ES"/>
        </w:rPr>
        <w:t>23/4</w:t>
      </w:r>
      <w:r w:rsidR="00ED0DB2">
        <w:rPr>
          <w:rFonts w:cstheme="minorHAnsi"/>
          <w:i/>
          <w:iCs/>
          <w:sz w:val="20"/>
          <w:lang w:val="es-ES"/>
        </w:rPr>
        <w:t xml:space="preserve">, </w:t>
      </w:r>
      <w:r w:rsidRPr="00ED0DB2">
        <w:rPr>
          <w:rFonts w:cstheme="minorHAnsi"/>
          <w:i/>
          <w:iCs/>
          <w:sz w:val="20"/>
          <w:lang w:val="es-ES"/>
        </w:rPr>
        <w:t>INF/1</w:t>
      </w:r>
      <w:r w:rsidR="00ED0DB2">
        <w:rPr>
          <w:rFonts w:cstheme="minorHAnsi"/>
          <w:i/>
          <w:iCs/>
          <w:sz w:val="20"/>
          <w:lang w:val="es-ES"/>
        </w:rPr>
        <w:t xml:space="preserve"> y </w:t>
      </w:r>
      <w:r w:rsidRPr="00ED0DB2">
        <w:rPr>
          <w:rFonts w:cstheme="minorHAnsi"/>
          <w:i/>
          <w:iCs/>
          <w:sz w:val="20"/>
          <w:lang w:val="es-ES"/>
        </w:rPr>
        <w:t xml:space="preserve">TDAG-23/8 </w:t>
      </w:r>
      <w:r w:rsidR="00ED0DB2" w:rsidRPr="00ED0DB2">
        <w:rPr>
          <w:rFonts w:cstheme="minorHAnsi"/>
          <w:i/>
          <w:iCs/>
          <w:sz w:val="20"/>
          <w:lang w:val="es-ES"/>
        </w:rPr>
        <w:t>sobre los Miembros de Sector, Asociados e Instituciones Académicas del</w:t>
      </w:r>
      <w:r w:rsidR="00454CA8">
        <w:rPr>
          <w:rFonts w:cstheme="minorHAnsi"/>
          <w:i/>
          <w:iCs/>
          <w:sz w:val="20"/>
          <w:lang w:val="es-ES"/>
        </w:rPr>
        <w:t> </w:t>
      </w:r>
      <w:r w:rsidR="00ED0DB2" w:rsidRPr="00ED0DB2">
        <w:rPr>
          <w:rFonts w:cstheme="minorHAnsi"/>
          <w:i/>
          <w:iCs/>
          <w:sz w:val="20"/>
          <w:lang w:val="es-ES"/>
        </w:rPr>
        <w:t>UIT-D</w:t>
      </w:r>
      <w:r w:rsidRPr="00ED0DB2">
        <w:rPr>
          <w:rFonts w:cstheme="minorHAnsi"/>
          <w:i/>
          <w:iCs/>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80268" w14:textId="77777777" w:rsidR="00613DCD" w:rsidRDefault="0061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687BBE8" w:rsidR="001F5C4A" w:rsidRPr="00EF2157" w:rsidRDefault="001F5C4A"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7</w:t>
    </w:r>
    <w:r w:rsidRPr="006D271A">
      <w:rPr>
        <w:sz w:val="22"/>
        <w:szCs w:val="22"/>
        <w:lang w:val="de-CH"/>
      </w:rPr>
      <w:t>-</w:t>
    </w:r>
    <w:r>
      <w:rPr>
        <w:sz w:val="22"/>
        <w:szCs w:val="22"/>
        <w:lang w:val="de-CH"/>
      </w:rPr>
      <w:t>S</w:t>
    </w:r>
    <w:r>
      <w:rPr>
        <w:sz w:val="22"/>
        <w:szCs w:val="22"/>
        <w:lang w:val="de-CH"/>
      </w:rPr>
      <w:tab/>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37E65">
      <w:rPr>
        <w:noProof/>
        <w:sz w:val="22"/>
        <w:szCs w:val="22"/>
        <w:lang w:val="de-CH"/>
      </w:rPr>
      <w:t>4</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A619" w14:textId="77777777" w:rsidR="00613DCD" w:rsidRDefault="00613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D4F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23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2DF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545E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EA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88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EB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87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80A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161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1EB9"/>
    <w:rsid w:val="00002716"/>
    <w:rsid w:val="0000305D"/>
    <w:rsid w:val="00003C43"/>
    <w:rsid w:val="00005791"/>
    <w:rsid w:val="00010827"/>
    <w:rsid w:val="00015089"/>
    <w:rsid w:val="0002520B"/>
    <w:rsid w:val="00036836"/>
    <w:rsid w:val="00037A9E"/>
    <w:rsid w:val="00037F91"/>
    <w:rsid w:val="00041909"/>
    <w:rsid w:val="0004310C"/>
    <w:rsid w:val="000434F2"/>
    <w:rsid w:val="00044E9D"/>
    <w:rsid w:val="000539F1"/>
    <w:rsid w:val="00053CAE"/>
    <w:rsid w:val="00054747"/>
    <w:rsid w:val="00055A2A"/>
    <w:rsid w:val="00056BE8"/>
    <w:rsid w:val="00057C28"/>
    <w:rsid w:val="000615C1"/>
    <w:rsid w:val="00061675"/>
    <w:rsid w:val="00062C5B"/>
    <w:rsid w:val="000704B9"/>
    <w:rsid w:val="00070A1D"/>
    <w:rsid w:val="00070A7C"/>
    <w:rsid w:val="00072004"/>
    <w:rsid w:val="000743AA"/>
    <w:rsid w:val="0007468A"/>
    <w:rsid w:val="0009076F"/>
    <w:rsid w:val="00090E87"/>
    <w:rsid w:val="0009225C"/>
    <w:rsid w:val="000A17C4"/>
    <w:rsid w:val="000A36A4"/>
    <w:rsid w:val="000A5840"/>
    <w:rsid w:val="000B2352"/>
    <w:rsid w:val="000B2917"/>
    <w:rsid w:val="000C116C"/>
    <w:rsid w:val="000C7B84"/>
    <w:rsid w:val="000D261B"/>
    <w:rsid w:val="000D58A3"/>
    <w:rsid w:val="000E1A78"/>
    <w:rsid w:val="000E3ED4"/>
    <w:rsid w:val="000E3F9C"/>
    <w:rsid w:val="000E47E7"/>
    <w:rsid w:val="000E5E7F"/>
    <w:rsid w:val="000F1550"/>
    <w:rsid w:val="000F251B"/>
    <w:rsid w:val="000F5FE8"/>
    <w:rsid w:val="000F6644"/>
    <w:rsid w:val="001002FF"/>
    <w:rsid w:val="00100833"/>
    <w:rsid w:val="00102F72"/>
    <w:rsid w:val="00107E85"/>
    <w:rsid w:val="00113E34"/>
    <w:rsid w:val="00113EE8"/>
    <w:rsid w:val="0011455A"/>
    <w:rsid w:val="00114A65"/>
    <w:rsid w:val="001173EA"/>
    <w:rsid w:val="001205D7"/>
    <w:rsid w:val="00120C21"/>
    <w:rsid w:val="00123D89"/>
    <w:rsid w:val="0012662E"/>
    <w:rsid w:val="00130A94"/>
    <w:rsid w:val="00133061"/>
    <w:rsid w:val="001365DC"/>
    <w:rsid w:val="00141699"/>
    <w:rsid w:val="001463DF"/>
    <w:rsid w:val="00147000"/>
    <w:rsid w:val="00154C85"/>
    <w:rsid w:val="00156428"/>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A6A9E"/>
    <w:rsid w:val="001B33FA"/>
    <w:rsid w:val="001B357F"/>
    <w:rsid w:val="001B528D"/>
    <w:rsid w:val="001C3444"/>
    <w:rsid w:val="001C3702"/>
    <w:rsid w:val="001C4656"/>
    <w:rsid w:val="001C46BC"/>
    <w:rsid w:val="001D1D8F"/>
    <w:rsid w:val="001D1E06"/>
    <w:rsid w:val="001E2842"/>
    <w:rsid w:val="001E6D53"/>
    <w:rsid w:val="001F23E6"/>
    <w:rsid w:val="001F4238"/>
    <w:rsid w:val="001F5C4A"/>
    <w:rsid w:val="00200A38"/>
    <w:rsid w:val="00200A46"/>
    <w:rsid w:val="00200EFF"/>
    <w:rsid w:val="00202DC1"/>
    <w:rsid w:val="00211B6F"/>
    <w:rsid w:val="002143BC"/>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7A76"/>
    <w:rsid w:val="002715FD"/>
    <w:rsid w:val="002770B1"/>
    <w:rsid w:val="00285B33"/>
    <w:rsid w:val="00287A3C"/>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4272"/>
    <w:rsid w:val="00317D1A"/>
    <w:rsid w:val="003211FF"/>
    <w:rsid w:val="003242AB"/>
    <w:rsid w:val="00324948"/>
    <w:rsid w:val="00327247"/>
    <w:rsid w:val="00327A9D"/>
    <w:rsid w:val="0033084A"/>
    <w:rsid w:val="0033130E"/>
    <w:rsid w:val="0033269C"/>
    <w:rsid w:val="00351C79"/>
    <w:rsid w:val="0035516C"/>
    <w:rsid w:val="00355857"/>
    <w:rsid w:val="00355A4C"/>
    <w:rsid w:val="003604FB"/>
    <w:rsid w:val="00360B73"/>
    <w:rsid w:val="003702DE"/>
    <w:rsid w:val="003744CE"/>
    <w:rsid w:val="00380B71"/>
    <w:rsid w:val="0038365A"/>
    <w:rsid w:val="00386A89"/>
    <w:rsid w:val="0039648E"/>
    <w:rsid w:val="003A5860"/>
    <w:rsid w:val="003A5AFE"/>
    <w:rsid w:val="003A5D5F"/>
    <w:rsid w:val="003A7032"/>
    <w:rsid w:val="003A7FFE"/>
    <w:rsid w:val="003B0A63"/>
    <w:rsid w:val="003B50E1"/>
    <w:rsid w:val="003C1746"/>
    <w:rsid w:val="003C2980"/>
    <w:rsid w:val="003C2AA9"/>
    <w:rsid w:val="003C58BF"/>
    <w:rsid w:val="003C621B"/>
    <w:rsid w:val="003D0E89"/>
    <w:rsid w:val="003D451D"/>
    <w:rsid w:val="003F0277"/>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1F7E"/>
    <w:rsid w:val="00423C6A"/>
    <w:rsid w:val="0043102E"/>
    <w:rsid w:val="0044411E"/>
    <w:rsid w:val="00444C11"/>
    <w:rsid w:val="00445528"/>
    <w:rsid w:val="00445A3B"/>
    <w:rsid w:val="00453435"/>
    <w:rsid w:val="00454CA8"/>
    <w:rsid w:val="00457EFA"/>
    <w:rsid w:val="00460089"/>
    <w:rsid w:val="00466398"/>
    <w:rsid w:val="00470DBC"/>
    <w:rsid w:val="0047306D"/>
    <w:rsid w:val="00473791"/>
    <w:rsid w:val="00476E48"/>
    <w:rsid w:val="00481860"/>
    <w:rsid w:val="00481DE9"/>
    <w:rsid w:val="00484AFD"/>
    <w:rsid w:val="004858C2"/>
    <w:rsid w:val="0049128B"/>
    <w:rsid w:val="00493B49"/>
    <w:rsid w:val="00495501"/>
    <w:rsid w:val="004964FF"/>
    <w:rsid w:val="004A070A"/>
    <w:rsid w:val="004A0B2F"/>
    <w:rsid w:val="004A18F9"/>
    <w:rsid w:val="004A320E"/>
    <w:rsid w:val="004A4E9C"/>
    <w:rsid w:val="004B0744"/>
    <w:rsid w:val="004B1A3C"/>
    <w:rsid w:val="004B2A1E"/>
    <w:rsid w:val="004B6513"/>
    <w:rsid w:val="004B73D1"/>
    <w:rsid w:val="004C7540"/>
    <w:rsid w:val="004D07FD"/>
    <w:rsid w:val="004D1819"/>
    <w:rsid w:val="004D1E8C"/>
    <w:rsid w:val="004D2CC3"/>
    <w:rsid w:val="004D35CB"/>
    <w:rsid w:val="004D4C9D"/>
    <w:rsid w:val="004D7DAB"/>
    <w:rsid w:val="004E20E5"/>
    <w:rsid w:val="004E64EA"/>
    <w:rsid w:val="004E7828"/>
    <w:rsid w:val="004F46AA"/>
    <w:rsid w:val="004F5342"/>
    <w:rsid w:val="004F6A70"/>
    <w:rsid w:val="00500AD7"/>
    <w:rsid w:val="00502ABF"/>
    <w:rsid w:val="00504DB0"/>
    <w:rsid w:val="00506542"/>
    <w:rsid w:val="00507C35"/>
    <w:rsid w:val="00507FF4"/>
    <w:rsid w:val="00510735"/>
    <w:rsid w:val="00514D2F"/>
    <w:rsid w:val="0053534F"/>
    <w:rsid w:val="00535FC0"/>
    <w:rsid w:val="00542074"/>
    <w:rsid w:val="0054420E"/>
    <w:rsid w:val="00544D1B"/>
    <w:rsid w:val="00545DC0"/>
    <w:rsid w:val="00545F6C"/>
    <w:rsid w:val="005477D9"/>
    <w:rsid w:val="0055720C"/>
    <w:rsid w:val="00561796"/>
    <w:rsid w:val="005632DD"/>
    <w:rsid w:val="0056423B"/>
    <w:rsid w:val="00567D67"/>
    <w:rsid w:val="00573063"/>
    <w:rsid w:val="00573424"/>
    <w:rsid w:val="0057402F"/>
    <w:rsid w:val="00577CDC"/>
    <w:rsid w:val="00581653"/>
    <w:rsid w:val="005849D6"/>
    <w:rsid w:val="00585367"/>
    <w:rsid w:val="00585D92"/>
    <w:rsid w:val="005866E9"/>
    <w:rsid w:val="005871A1"/>
    <w:rsid w:val="0058737E"/>
    <w:rsid w:val="00592518"/>
    <w:rsid w:val="005926CA"/>
    <w:rsid w:val="00592E87"/>
    <w:rsid w:val="0059420B"/>
    <w:rsid w:val="00594C4D"/>
    <w:rsid w:val="005A33B0"/>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B46"/>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3DCD"/>
    <w:rsid w:val="0061493A"/>
    <w:rsid w:val="00623F30"/>
    <w:rsid w:val="00625FB8"/>
    <w:rsid w:val="006261BD"/>
    <w:rsid w:val="00626AE3"/>
    <w:rsid w:val="00631DF8"/>
    <w:rsid w:val="00635EDB"/>
    <w:rsid w:val="0064734E"/>
    <w:rsid w:val="00650137"/>
    <w:rsid w:val="006509D7"/>
    <w:rsid w:val="00651CE8"/>
    <w:rsid w:val="006533A1"/>
    <w:rsid w:val="0065521B"/>
    <w:rsid w:val="00666903"/>
    <w:rsid w:val="00671EF6"/>
    <w:rsid w:val="0067205B"/>
    <w:rsid w:val="006746A4"/>
    <w:rsid w:val="006748F8"/>
    <w:rsid w:val="00675DD5"/>
    <w:rsid w:val="00676960"/>
    <w:rsid w:val="00680489"/>
    <w:rsid w:val="00683C32"/>
    <w:rsid w:val="00684067"/>
    <w:rsid w:val="00686753"/>
    <w:rsid w:val="00687D1F"/>
    <w:rsid w:val="00690BB2"/>
    <w:rsid w:val="00693D09"/>
    <w:rsid w:val="006A3368"/>
    <w:rsid w:val="006A3AD7"/>
    <w:rsid w:val="006A6549"/>
    <w:rsid w:val="006A7710"/>
    <w:rsid w:val="006A7A61"/>
    <w:rsid w:val="006B1E59"/>
    <w:rsid w:val="006B2FFB"/>
    <w:rsid w:val="006B33A9"/>
    <w:rsid w:val="006C10A2"/>
    <w:rsid w:val="006C1F18"/>
    <w:rsid w:val="006C3AE6"/>
    <w:rsid w:val="006D40D5"/>
    <w:rsid w:val="006E0385"/>
    <w:rsid w:val="006E0CC0"/>
    <w:rsid w:val="006F009A"/>
    <w:rsid w:val="006F3D93"/>
    <w:rsid w:val="006F5ACD"/>
    <w:rsid w:val="006F7A14"/>
    <w:rsid w:val="007019B1"/>
    <w:rsid w:val="00721657"/>
    <w:rsid w:val="00722341"/>
    <w:rsid w:val="007224EB"/>
    <w:rsid w:val="00725770"/>
    <w:rsid w:val="007279A8"/>
    <w:rsid w:val="00727B1A"/>
    <w:rsid w:val="0073293C"/>
    <w:rsid w:val="00735102"/>
    <w:rsid w:val="00741337"/>
    <w:rsid w:val="00752258"/>
    <w:rsid w:val="007529E1"/>
    <w:rsid w:val="00756C26"/>
    <w:rsid w:val="00762880"/>
    <w:rsid w:val="00762AD6"/>
    <w:rsid w:val="00762E02"/>
    <w:rsid w:val="00772290"/>
    <w:rsid w:val="00777265"/>
    <w:rsid w:val="007805E7"/>
    <w:rsid w:val="0078222A"/>
    <w:rsid w:val="007850DF"/>
    <w:rsid w:val="00787D48"/>
    <w:rsid w:val="00791835"/>
    <w:rsid w:val="00795294"/>
    <w:rsid w:val="007A4E50"/>
    <w:rsid w:val="007B0E9D"/>
    <w:rsid w:val="007B18A7"/>
    <w:rsid w:val="007B250E"/>
    <w:rsid w:val="007B3C92"/>
    <w:rsid w:val="007C27FC"/>
    <w:rsid w:val="007C51FF"/>
    <w:rsid w:val="007D50E4"/>
    <w:rsid w:val="007E0AFE"/>
    <w:rsid w:val="007E2DC5"/>
    <w:rsid w:val="007E6C14"/>
    <w:rsid w:val="007F01A4"/>
    <w:rsid w:val="007F1CC7"/>
    <w:rsid w:val="008027AC"/>
    <w:rsid w:val="008028CE"/>
    <w:rsid w:val="0080332E"/>
    <w:rsid w:val="008141E0"/>
    <w:rsid w:val="00816EE1"/>
    <w:rsid w:val="00816F88"/>
    <w:rsid w:val="008216D6"/>
    <w:rsid w:val="00821996"/>
    <w:rsid w:val="00822323"/>
    <w:rsid w:val="00827BC6"/>
    <w:rsid w:val="008300AD"/>
    <w:rsid w:val="00833024"/>
    <w:rsid w:val="00835F22"/>
    <w:rsid w:val="008419B1"/>
    <w:rsid w:val="00844A56"/>
    <w:rsid w:val="00845B11"/>
    <w:rsid w:val="00851751"/>
    <w:rsid w:val="00851844"/>
    <w:rsid w:val="00851B8D"/>
    <w:rsid w:val="00852081"/>
    <w:rsid w:val="0086287E"/>
    <w:rsid w:val="00871287"/>
    <w:rsid w:val="00872B6E"/>
    <w:rsid w:val="0087467A"/>
    <w:rsid w:val="00874DFD"/>
    <w:rsid w:val="008802F9"/>
    <w:rsid w:val="008818DF"/>
    <w:rsid w:val="00883086"/>
    <w:rsid w:val="0088448F"/>
    <w:rsid w:val="008879FD"/>
    <w:rsid w:val="00894C37"/>
    <w:rsid w:val="0089620F"/>
    <w:rsid w:val="008A00EA"/>
    <w:rsid w:val="008A069C"/>
    <w:rsid w:val="008A1450"/>
    <w:rsid w:val="008A3F93"/>
    <w:rsid w:val="008A6236"/>
    <w:rsid w:val="008A6E1C"/>
    <w:rsid w:val="008A72FD"/>
    <w:rsid w:val="008A76BF"/>
    <w:rsid w:val="008B0442"/>
    <w:rsid w:val="008B0FE9"/>
    <w:rsid w:val="008B2EDF"/>
    <w:rsid w:val="008B3128"/>
    <w:rsid w:val="008B47C7"/>
    <w:rsid w:val="008B54CB"/>
    <w:rsid w:val="008B5A3D"/>
    <w:rsid w:val="008C4010"/>
    <w:rsid w:val="008C4FDF"/>
    <w:rsid w:val="008C5F4E"/>
    <w:rsid w:val="008C6B1F"/>
    <w:rsid w:val="008D186A"/>
    <w:rsid w:val="008D2327"/>
    <w:rsid w:val="008D5E4F"/>
    <w:rsid w:val="008E34F0"/>
    <w:rsid w:val="008E69D6"/>
    <w:rsid w:val="008F14F5"/>
    <w:rsid w:val="008F31F2"/>
    <w:rsid w:val="008F4DC8"/>
    <w:rsid w:val="008F71C1"/>
    <w:rsid w:val="00900616"/>
    <w:rsid w:val="00902D41"/>
    <w:rsid w:val="00902F49"/>
    <w:rsid w:val="00904230"/>
    <w:rsid w:val="00914004"/>
    <w:rsid w:val="00915BF5"/>
    <w:rsid w:val="00921571"/>
    <w:rsid w:val="00922EC1"/>
    <w:rsid w:val="00923CF1"/>
    <w:rsid w:val="00924E99"/>
    <w:rsid w:val="009262A9"/>
    <w:rsid w:val="009301F1"/>
    <w:rsid w:val="009307DF"/>
    <w:rsid w:val="0093214B"/>
    <w:rsid w:val="009359B8"/>
    <w:rsid w:val="00935FF0"/>
    <w:rsid w:val="009410FA"/>
    <w:rsid w:val="009431F8"/>
    <w:rsid w:val="00947A35"/>
    <w:rsid w:val="00950FCE"/>
    <w:rsid w:val="00953FB8"/>
    <w:rsid w:val="0096201B"/>
    <w:rsid w:val="00962081"/>
    <w:rsid w:val="00966CB5"/>
    <w:rsid w:val="00975786"/>
    <w:rsid w:val="00981CB7"/>
    <w:rsid w:val="00983E1F"/>
    <w:rsid w:val="00993F46"/>
    <w:rsid w:val="00994790"/>
    <w:rsid w:val="00997358"/>
    <w:rsid w:val="009A452B"/>
    <w:rsid w:val="009B0491"/>
    <w:rsid w:val="009B050C"/>
    <w:rsid w:val="009B087F"/>
    <w:rsid w:val="009B2AF4"/>
    <w:rsid w:val="009B2DB9"/>
    <w:rsid w:val="009B65CD"/>
    <w:rsid w:val="009B7B36"/>
    <w:rsid w:val="009C01D5"/>
    <w:rsid w:val="009C110B"/>
    <w:rsid w:val="009C5441"/>
    <w:rsid w:val="009C7F15"/>
    <w:rsid w:val="009D119F"/>
    <w:rsid w:val="009D3E94"/>
    <w:rsid w:val="009D49A2"/>
    <w:rsid w:val="009D693A"/>
    <w:rsid w:val="009F3940"/>
    <w:rsid w:val="009F3EB2"/>
    <w:rsid w:val="009F6EB1"/>
    <w:rsid w:val="009F7797"/>
    <w:rsid w:val="00A049C2"/>
    <w:rsid w:val="00A11D05"/>
    <w:rsid w:val="00A12F6B"/>
    <w:rsid w:val="00A13162"/>
    <w:rsid w:val="00A142BD"/>
    <w:rsid w:val="00A20267"/>
    <w:rsid w:val="00A304F5"/>
    <w:rsid w:val="00A3158C"/>
    <w:rsid w:val="00A32DF3"/>
    <w:rsid w:val="00A33523"/>
    <w:rsid w:val="00A33E32"/>
    <w:rsid w:val="00A35E20"/>
    <w:rsid w:val="00A36F6D"/>
    <w:rsid w:val="00A37E65"/>
    <w:rsid w:val="00A4206C"/>
    <w:rsid w:val="00A50CA0"/>
    <w:rsid w:val="00A525CC"/>
    <w:rsid w:val="00A53E7C"/>
    <w:rsid w:val="00A5732D"/>
    <w:rsid w:val="00A60087"/>
    <w:rsid w:val="00A642FC"/>
    <w:rsid w:val="00A66163"/>
    <w:rsid w:val="00A705E8"/>
    <w:rsid w:val="00A721F4"/>
    <w:rsid w:val="00A73C60"/>
    <w:rsid w:val="00A76372"/>
    <w:rsid w:val="00A8023D"/>
    <w:rsid w:val="00A9392C"/>
    <w:rsid w:val="00A9462B"/>
    <w:rsid w:val="00A97B83"/>
    <w:rsid w:val="00A97D59"/>
    <w:rsid w:val="00AA0EFF"/>
    <w:rsid w:val="00AA3176"/>
    <w:rsid w:val="00AA3E09"/>
    <w:rsid w:val="00AA4BEF"/>
    <w:rsid w:val="00AA7ED8"/>
    <w:rsid w:val="00AB1659"/>
    <w:rsid w:val="00AB2232"/>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11EC6"/>
    <w:rsid w:val="00B148DA"/>
    <w:rsid w:val="00B310F9"/>
    <w:rsid w:val="00B3729B"/>
    <w:rsid w:val="00B37866"/>
    <w:rsid w:val="00B412FB"/>
    <w:rsid w:val="00B44299"/>
    <w:rsid w:val="00B4576B"/>
    <w:rsid w:val="00B46350"/>
    <w:rsid w:val="00B46DF3"/>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426B"/>
    <w:rsid w:val="00BD79F0"/>
    <w:rsid w:val="00BE2B4D"/>
    <w:rsid w:val="00BE5781"/>
    <w:rsid w:val="00BE7696"/>
    <w:rsid w:val="00C015F8"/>
    <w:rsid w:val="00C02C2A"/>
    <w:rsid w:val="00C07E26"/>
    <w:rsid w:val="00C1011C"/>
    <w:rsid w:val="00C12F94"/>
    <w:rsid w:val="00C17774"/>
    <w:rsid w:val="00C177C5"/>
    <w:rsid w:val="00C34EC3"/>
    <w:rsid w:val="00C4038C"/>
    <w:rsid w:val="00C40BEA"/>
    <w:rsid w:val="00C42BA2"/>
    <w:rsid w:val="00C44066"/>
    <w:rsid w:val="00C44E13"/>
    <w:rsid w:val="00C60A41"/>
    <w:rsid w:val="00C62DE8"/>
    <w:rsid w:val="00C62DFB"/>
    <w:rsid w:val="00C630E6"/>
    <w:rsid w:val="00C63812"/>
    <w:rsid w:val="00C64AF3"/>
    <w:rsid w:val="00C66C93"/>
    <w:rsid w:val="00C66F4D"/>
    <w:rsid w:val="00C67BB5"/>
    <w:rsid w:val="00C72713"/>
    <w:rsid w:val="00C76517"/>
    <w:rsid w:val="00C848EF"/>
    <w:rsid w:val="00C86600"/>
    <w:rsid w:val="00C87BCA"/>
    <w:rsid w:val="00C87EED"/>
    <w:rsid w:val="00C94506"/>
    <w:rsid w:val="00C954BC"/>
    <w:rsid w:val="00C97990"/>
    <w:rsid w:val="00CA1F0B"/>
    <w:rsid w:val="00CA5B65"/>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72E5"/>
    <w:rsid w:val="00D013EE"/>
    <w:rsid w:val="00D01F54"/>
    <w:rsid w:val="00D040F7"/>
    <w:rsid w:val="00D04A76"/>
    <w:rsid w:val="00D10FC7"/>
    <w:rsid w:val="00D11BE2"/>
    <w:rsid w:val="00D1519F"/>
    <w:rsid w:val="00D15309"/>
    <w:rsid w:val="00D20E99"/>
    <w:rsid w:val="00D21C83"/>
    <w:rsid w:val="00D2313B"/>
    <w:rsid w:val="00D3312F"/>
    <w:rsid w:val="00D35530"/>
    <w:rsid w:val="00D35BDD"/>
    <w:rsid w:val="00D51759"/>
    <w:rsid w:val="00D52A52"/>
    <w:rsid w:val="00D60FFC"/>
    <w:rsid w:val="00D62EFD"/>
    <w:rsid w:val="00D63006"/>
    <w:rsid w:val="00D64531"/>
    <w:rsid w:val="00D664B1"/>
    <w:rsid w:val="00D72301"/>
    <w:rsid w:val="00D82270"/>
    <w:rsid w:val="00D90A1B"/>
    <w:rsid w:val="00D911D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66B4"/>
    <w:rsid w:val="00DE1972"/>
    <w:rsid w:val="00DE27AB"/>
    <w:rsid w:val="00DE55E0"/>
    <w:rsid w:val="00DE60FC"/>
    <w:rsid w:val="00DF0592"/>
    <w:rsid w:val="00DF18F2"/>
    <w:rsid w:val="00DF2AB3"/>
    <w:rsid w:val="00DF406E"/>
    <w:rsid w:val="00DF7250"/>
    <w:rsid w:val="00E00CAA"/>
    <w:rsid w:val="00E03EBF"/>
    <w:rsid w:val="00E05209"/>
    <w:rsid w:val="00E05AC1"/>
    <w:rsid w:val="00E068F2"/>
    <w:rsid w:val="00E07CA8"/>
    <w:rsid w:val="00E07F09"/>
    <w:rsid w:val="00E11BCF"/>
    <w:rsid w:val="00E14B10"/>
    <w:rsid w:val="00E2258E"/>
    <w:rsid w:val="00E24B98"/>
    <w:rsid w:val="00E260C2"/>
    <w:rsid w:val="00E32596"/>
    <w:rsid w:val="00E35897"/>
    <w:rsid w:val="00E368F7"/>
    <w:rsid w:val="00E36EB8"/>
    <w:rsid w:val="00E374E1"/>
    <w:rsid w:val="00E37FB8"/>
    <w:rsid w:val="00E40B07"/>
    <w:rsid w:val="00E418C8"/>
    <w:rsid w:val="00E42326"/>
    <w:rsid w:val="00E43544"/>
    <w:rsid w:val="00E44D89"/>
    <w:rsid w:val="00E477EA"/>
    <w:rsid w:val="00E50697"/>
    <w:rsid w:val="00E55807"/>
    <w:rsid w:val="00E56576"/>
    <w:rsid w:val="00E57792"/>
    <w:rsid w:val="00E578D0"/>
    <w:rsid w:val="00E57FE1"/>
    <w:rsid w:val="00E63326"/>
    <w:rsid w:val="00E63B14"/>
    <w:rsid w:val="00E65CA0"/>
    <w:rsid w:val="00E70D05"/>
    <w:rsid w:val="00E70D9F"/>
    <w:rsid w:val="00E7271A"/>
    <w:rsid w:val="00E74533"/>
    <w:rsid w:val="00E812EA"/>
    <w:rsid w:val="00E83810"/>
    <w:rsid w:val="00E86933"/>
    <w:rsid w:val="00E9605B"/>
    <w:rsid w:val="00E97298"/>
    <w:rsid w:val="00E97753"/>
    <w:rsid w:val="00EA0C51"/>
    <w:rsid w:val="00EA0FA3"/>
    <w:rsid w:val="00EA44C9"/>
    <w:rsid w:val="00EA784E"/>
    <w:rsid w:val="00EA7DE7"/>
    <w:rsid w:val="00EB1282"/>
    <w:rsid w:val="00EB5445"/>
    <w:rsid w:val="00EB7A8A"/>
    <w:rsid w:val="00EB7F4B"/>
    <w:rsid w:val="00EC23F1"/>
    <w:rsid w:val="00EC5E3C"/>
    <w:rsid w:val="00EC690B"/>
    <w:rsid w:val="00EC6FED"/>
    <w:rsid w:val="00EC7F3B"/>
    <w:rsid w:val="00ED0DB2"/>
    <w:rsid w:val="00ED4D9F"/>
    <w:rsid w:val="00ED5299"/>
    <w:rsid w:val="00ED7B55"/>
    <w:rsid w:val="00EE3A64"/>
    <w:rsid w:val="00EE50E5"/>
    <w:rsid w:val="00EE60F5"/>
    <w:rsid w:val="00EF01CF"/>
    <w:rsid w:val="00EF2157"/>
    <w:rsid w:val="00EF3F57"/>
    <w:rsid w:val="00EF71A2"/>
    <w:rsid w:val="00F02980"/>
    <w:rsid w:val="00F03590"/>
    <w:rsid w:val="00F03622"/>
    <w:rsid w:val="00F077FD"/>
    <w:rsid w:val="00F1639B"/>
    <w:rsid w:val="00F204F3"/>
    <w:rsid w:val="00F218AB"/>
    <w:rsid w:val="00F22CA0"/>
    <w:rsid w:val="00F238B3"/>
    <w:rsid w:val="00F24FED"/>
    <w:rsid w:val="00F25586"/>
    <w:rsid w:val="00F2651D"/>
    <w:rsid w:val="00F27362"/>
    <w:rsid w:val="00F31498"/>
    <w:rsid w:val="00F32FEF"/>
    <w:rsid w:val="00F33385"/>
    <w:rsid w:val="00F335A8"/>
    <w:rsid w:val="00F41B1C"/>
    <w:rsid w:val="00F42E13"/>
    <w:rsid w:val="00F42F1C"/>
    <w:rsid w:val="00F43B44"/>
    <w:rsid w:val="00F440E5"/>
    <w:rsid w:val="00F448F6"/>
    <w:rsid w:val="00F44BC9"/>
    <w:rsid w:val="00F52741"/>
    <w:rsid w:val="00F53D8A"/>
    <w:rsid w:val="00F626F7"/>
    <w:rsid w:val="00F71FF3"/>
    <w:rsid w:val="00F736F9"/>
    <w:rsid w:val="00F73833"/>
    <w:rsid w:val="00F9211C"/>
    <w:rsid w:val="00FA095D"/>
    <w:rsid w:val="00FA1B58"/>
    <w:rsid w:val="00FA5EF6"/>
    <w:rsid w:val="00FA6C8B"/>
    <w:rsid w:val="00FA6CDA"/>
    <w:rsid w:val="00FA7527"/>
    <w:rsid w:val="00FA7C89"/>
    <w:rsid w:val="00FB1D7B"/>
    <w:rsid w:val="00FB4139"/>
    <w:rsid w:val="00FB476E"/>
    <w:rsid w:val="00FC0D90"/>
    <w:rsid w:val="00FC2EAA"/>
    <w:rsid w:val="00FC7D8C"/>
    <w:rsid w:val="00FD3980"/>
    <w:rsid w:val="00FD431E"/>
    <w:rsid w:val="00FD50CA"/>
    <w:rsid w:val="00FD5A2C"/>
    <w:rsid w:val="00FD7779"/>
    <w:rsid w:val="00FE079D"/>
    <w:rsid w:val="00FE0D47"/>
    <w:rsid w:val="00FE1D5C"/>
    <w:rsid w:val="00FE2F8B"/>
    <w:rsid w:val="00FE3669"/>
    <w:rsid w:val="00FE4113"/>
    <w:rsid w:val="00FE5204"/>
    <w:rsid w:val="00FF287F"/>
    <w:rsid w:val="00FF66E8"/>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 w:type="character" w:customStyle="1" w:styleId="preferred">
    <w:name w:val="preferred"/>
    <w:basedOn w:val="DefaultParagraphFont"/>
    <w:rsid w:val="0042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Proje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0F-44E6-B9AC-CCDF029513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0F-44E6-B9AC-CCDF029513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0F-44E6-B9AC-CCDF029513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Regional Initiatives</c:v>
                </c:pt>
              </c:strCache>
            </c:strRef>
          </c:cat>
          <c:val>
            <c:numRef>
              <c:f>Summary!$M$5:$M$7</c:f>
              <c:numCache>
                <c:formatCode>General</c:formatCode>
                <c:ptCount val="3"/>
                <c:pt idx="0">
                  <c:v>79647979</c:v>
                </c:pt>
                <c:pt idx="1">
                  <c:v>5497533</c:v>
                </c:pt>
                <c:pt idx="2">
                  <c:v>3266160</c:v>
                </c:pt>
              </c:numCache>
            </c:numRef>
          </c:val>
          <c:extLst>
            <c:ext xmlns:c16="http://schemas.microsoft.com/office/drawing/2014/chart" uri="{C3380CC4-5D6E-409C-BE32-E72D297353CC}">
              <c16:uniqueId val="{00000006-900F-44E6-B9AC-CCDF029513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dLbl>
              <c:idx val="0"/>
              <c:tx>
                <c:rich>
                  <a:bodyPr/>
                  <a:lstStyle/>
                  <a:p>
                    <a:r>
                      <a:rPr lang="en-US"/>
                      <a:t>10,91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A3-4DF1-9621-CCFA10FEC2ED}"/>
                </c:ext>
              </c:extLst>
            </c:dLbl>
            <c:dLbl>
              <c:idx val="1"/>
              <c:tx>
                <c:rich>
                  <a:bodyPr/>
                  <a:lstStyle/>
                  <a:p>
                    <a:r>
                      <a:rPr lang="en-US"/>
                      <a:t>9,93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A3-4DF1-9621-CCFA10FEC2ED}"/>
                </c:ext>
              </c:extLst>
            </c:dLbl>
            <c:dLbl>
              <c:idx val="2"/>
              <c:tx>
                <c:rich>
                  <a:bodyPr/>
                  <a:lstStyle/>
                  <a:p>
                    <a:r>
                      <a:rPr lang="en-US"/>
                      <a:t>7,67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A3-4DF1-9621-CCFA10FEC2ED}"/>
                </c:ext>
              </c:extLst>
            </c:dLbl>
            <c:dLbl>
              <c:idx val="3"/>
              <c:tx>
                <c:rich>
                  <a:bodyPr/>
                  <a:lstStyle/>
                  <a:p>
                    <a:r>
                      <a:rPr lang="en-US"/>
                      <a:t>5,29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A3-4DF1-9621-CCFA10FEC2ED}"/>
                </c:ext>
              </c:extLst>
            </c:dLbl>
            <c:dLbl>
              <c:idx val="4"/>
              <c:tx>
                <c:rich>
                  <a:bodyPr/>
                  <a:lstStyle/>
                  <a:p>
                    <a:r>
                      <a:rPr lang="en-US"/>
                      <a:t>2,77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A3-4DF1-9621-CCFA10FEC2ED}"/>
                </c:ext>
              </c:extLst>
            </c:dLbl>
            <c:dLbl>
              <c:idx val="5"/>
              <c:tx>
                <c:rich>
                  <a:bodyPr/>
                  <a:lstStyle/>
                  <a:p>
                    <a:r>
                      <a:rPr lang="en-US"/>
                      <a:t>9,73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A3-4DF1-9621-CCFA10FEC2ED}"/>
                </c:ext>
              </c:extLst>
            </c:dLbl>
            <c:dLbl>
              <c:idx val="6"/>
              <c:tx>
                <c:rich>
                  <a:bodyPr/>
                  <a:lstStyle/>
                  <a:p>
                    <a:r>
                      <a:rPr lang="en-US"/>
                      <a:t>10,72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A3-4DF1-9621-CCFA10FEC2ED}"/>
                </c:ext>
              </c:extLst>
            </c:dLbl>
            <c:dLbl>
              <c:idx val="7"/>
              <c:tx>
                <c:rich>
                  <a:bodyPr/>
                  <a:lstStyle/>
                  <a:p>
                    <a:r>
                      <a:rPr lang="en-US"/>
                      <a:t>13,61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A3-4DF1-9621-CCFA10FEC2ED}"/>
                </c:ext>
              </c:extLst>
            </c:dLbl>
            <c:dLbl>
              <c:idx val="8"/>
              <c:tx>
                <c:rich>
                  <a:bodyPr/>
                  <a:lstStyle/>
                  <a:p>
                    <a:r>
                      <a:rPr lang="en-US"/>
                      <a:t>14,90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A3-4DF1-9621-CCFA10FEC2ED}"/>
                </c:ext>
              </c:extLst>
            </c:dLbl>
            <c:dLbl>
              <c:idx val="9"/>
              <c:tx>
                <c:rich>
                  <a:bodyPr/>
                  <a:lstStyle/>
                  <a:p>
                    <a:r>
                      <a:rPr lang="en-US"/>
                      <a:t>19,32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A3-4DF1-9621-CCFA10FEC2ED}"/>
                </c:ext>
              </c:extLst>
            </c:dLbl>
            <c:dLbl>
              <c:idx val="10"/>
              <c:tx>
                <c:rich>
                  <a:bodyPr/>
                  <a:lstStyle/>
                  <a:p>
                    <a:r>
                      <a:rPr lang="en-US"/>
                      <a:t>5,34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8A3-4DF1-9621-CCFA10FEC2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'Projects per year'!$A$5:$A$15</c:f>
              <c:numCache>
                <c:formatCode>0_);\(0\)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'Projects per year'!$B$5:$B$15</c:f>
              <c:numCache>
                <c:formatCode>_(* #,##0.00_);_(* \(#,##0.00\);_(* "-"??_);_(@_)</c:formatCode>
                <c:ptCount val="11"/>
                <c:pt idx="0">
                  <c:v>10905274</c:v>
                </c:pt>
                <c:pt idx="1">
                  <c:v>9927803</c:v>
                </c:pt>
                <c:pt idx="2">
                  <c:v>7674402</c:v>
                </c:pt>
                <c:pt idx="3">
                  <c:v>5289174</c:v>
                </c:pt>
                <c:pt idx="4">
                  <c:v>2767939</c:v>
                </c:pt>
                <c:pt idx="5">
                  <c:v>9730134</c:v>
                </c:pt>
                <c:pt idx="6">
                  <c:v>10721579</c:v>
                </c:pt>
                <c:pt idx="7">
                  <c:v>13612980</c:v>
                </c:pt>
                <c:pt idx="8">
                  <c:v>14901477</c:v>
                </c:pt>
                <c:pt idx="9">
                  <c:v>19315000</c:v>
                </c:pt>
                <c:pt idx="10">
                  <c:v>5342000</c:v>
                </c:pt>
              </c:numCache>
            </c:numRef>
          </c:val>
          <c:extLst>
            <c:ext xmlns:c16="http://schemas.microsoft.com/office/drawing/2014/chart" uri="{C3380CC4-5D6E-409C-BE32-E72D297353CC}">
              <c16:uniqueId val="{0000000B-98A3-4DF1-9621-CCFA10FEC2ED}"/>
            </c:ext>
          </c:extLst>
        </c:ser>
        <c:dLbls>
          <c:dLblPos val="outEnd"/>
          <c:showLegendKey val="0"/>
          <c:showVal val="1"/>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06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Millones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0BDA-9FC6-455E-8245-312F309A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3.xml><?xml version="1.0" encoding="utf-8"?>
<ds:datastoreItem xmlns:ds="http://schemas.openxmlformats.org/officeDocument/2006/customXml" ds:itemID="{E4D487F4-BEB8-42B2-AA71-EA89B47CCB63}">
  <ds:schemaRefs>
    <ds:schemaRef ds:uri="d4ea696a-cca3-460b-a983-57ac2621983a"/>
    <ds:schemaRef ds:uri="http://purl.org/dc/terms/"/>
    <ds:schemaRef ds:uri="29399490-13b9-4c73-b71e-403b715b75a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36F8DF-ADB5-49A9-A22E-B6D4837D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2270</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20</cp:revision>
  <cp:lastPrinted>2014-11-04T09:22:00Z</cp:lastPrinted>
  <dcterms:created xsi:type="dcterms:W3CDTF">2023-05-15T08:59:00Z</dcterms:created>
  <dcterms:modified xsi:type="dcterms:W3CDTF">2023-06-01T11:24:00Z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