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AC3D7B" w14:paraId="3F0E9EC4" w14:textId="77777777" w:rsidTr="00952667">
        <w:trPr>
          <w:cantSplit/>
          <w:trHeight w:val="1134"/>
        </w:trPr>
        <w:tc>
          <w:tcPr>
            <w:tcW w:w="6379" w:type="dxa"/>
          </w:tcPr>
          <w:p w14:paraId="68FE8375" w14:textId="60D4E501" w:rsidR="00307769" w:rsidRPr="00AC3D7B" w:rsidRDefault="001011EB" w:rsidP="00307769">
            <w:pPr>
              <w:tabs>
                <w:tab w:val="clear" w:pos="1191"/>
                <w:tab w:val="clear" w:pos="1588"/>
                <w:tab w:val="clear" w:pos="1985"/>
              </w:tabs>
              <w:ind w:left="34"/>
              <w:rPr>
                <w:b/>
                <w:bCs/>
                <w:sz w:val="32"/>
                <w:szCs w:val="32"/>
                <w:lang w:val="fr-FR"/>
              </w:rPr>
            </w:pPr>
            <w:r w:rsidRPr="00AC3D7B">
              <w:rPr>
                <w:b/>
                <w:bCs/>
                <w:sz w:val="32"/>
                <w:szCs w:val="32"/>
                <w:lang w:val="fr-FR"/>
              </w:rPr>
              <w:t xml:space="preserve">Groupe consultatif pour le développement </w:t>
            </w:r>
            <w:r w:rsidR="00307769" w:rsidRPr="00AC3D7B">
              <w:rPr>
                <w:b/>
                <w:bCs/>
                <w:sz w:val="32"/>
                <w:szCs w:val="32"/>
                <w:lang w:val="fr-FR"/>
              </w:rPr>
              <w:br/>
            </w:r>
            <w:r w:rsidRPr="00AC3D7B">
              <w:rPr>
                <w:b/>
                <w:bCs/>
                <w:sz w:val="32"/>
                <w:szCs w:val="32"/>
                <w:lang w:val="fr-FR"/>
              </w:rPr>
              <w:t>des télécommunications (GCDT</w:t>
            </w:r>
            <w:r w:rsidR="00307769" w:rsidRPr="00AC3D7B">
              <w:rPr>
                <w:b/>
                <w:bCs/>
                <w:sz w:val="32"/>
                <w:szCs w:val="32"/>
                <w:lang w:val="fr-FR"/>
              </w:rPr>
              <w:t>)</w:t>
            </w:r>
          </w:p>
          <w:p w14:paraId="5F5F590A" w14:textId="0A20C9ED" w:rsidR="00307769" w:rsidRPr="00AC3D7B" w:rsidRDefault="00307769" w:rsidP="001011EB">
            <w:pPr>
              <w:tabs>
                <w:tab w:val="clear" w:pos="1191"/>
                <w:tab w:val="clear" w:pos="1588"/>
                <w:tab w:val="clear" w:pos="1985"/>
              </w:tabs>
              <w:spacing w:after="120"/>
              <w:ind w:left="34"/>
              <w:rPr>
                <w:rFonts w:ascii="Verdana" w:hAnsi="Verdana"/>
                <w:sz w:val="28"/>
                <w:szCs w:val="28"/>
                <w:lang w:val="fr-FR"/>
              </w:rPr>
            </w:pPr>
            <w:r w:rsidRPr="00AC3D7B">
              <w:rPr>
                <w:b/>
                <w:bCs/>
                <w:sz w:val="26"/>
                <w:szCs w:val="26"/>
                <w:lang w:val="fr-FR"/>
              </w:rPr>
              <w:t>30</w:t>
            </w:r>
            <w:r w:rsidR="001011EB" w:rsidRPr="00AC3D7B">
              <w:rPr>
                <w:b/>
                <w:bCs/>
                <w:sz w:val="26"/>
                <w:szCs w:val="26"/>
                <w:lang w:val="fr-FR"/>
              </w:rPr>
              <w:t>ème réunion</w:t>
            </w:r>
            <w:r w:rsidRPr="00AC3D7B">
              <w:rPr>
                <w:b/>
                <w:bCs/>
                <w:sz w:val="26"/>
                <w:szCs w:val="26"/>
                <w:lang w:val="fr-FR"/>
              </w:rPr>
              <w:t xml:space="preserve">, </w:t>
            </w:r>
            <w:r w:rsidR="001011EB" w:rsidRPr="00AC3D7B">
              <w:rPr>
                <w:b/>
                <w:bCs/>
                <w:sz w:val="26"/>
                <w:szCs w:val="26"/>
                <w:lang w:val="fr-FR"/>
              </w:rPr>
              <w:t>Genève</w:t>
            </w:r>
            <w:r w:rsidRPr="00AC3D7B">
              <w:rPr>
                <w:b/>
                <w:bCs/>
                <w:sz w:val="26"/>
                <w:szCs w:val="26"/>
                <w:lang w:val="fr-FR"/>
              </w:rPr>
              <w:t xml:space="preserve"> </w:t>
            </w:r>
            <w:r w:rsidR="001011EB" w:rsidRPr="00AC3D7B">
              <w:rPr>
                <w:b/>
                <w:bCs/>
                <w:sz w:val="26"/>
                <w:szCs w:val="26"/>
                <w:lang w:val="fr-FR"/>
              </w:rPr>
              <w:t>(Suisse)</w:t>
            </w:r>
            <w:r w:rsidRPr="00AC3D7B">
              <w:rPr>
                <w:b/>
                <w:bCs/>
                <w:sz w:val="26"/>
                <w:szCs w:val="26"/>
                <w:lang w:val="fr-FR"/>
              </w:rPr>
              <w:t xml:space="preserve">, 19-23 </w:t>
            </w:r>
            <w:r w:rsidR="001011EB" w:rsidRPr="00AC3D7B">
              <w:rPr>
                <w:b/>
                <w:bCs/>
                <w:sz w:val="26"/>
                <w:szCs w:val="26"/>
                <w:lang w:val="fr-FR"/>
              </w:rPr>
              <w:t>juin</w:t>
            </w:r>
            <w:r w:rsidRPr="00AC3D7B">
              <w:rPr>
                <w:b/>
                <w:bCs/>
                <w:sz w:val="26"/>
                <w:szCs w:val="26"/>
                <w:lang w:val="fr-FR"/>
              </w:rPr>
              <w:t xml:space="preserve"> 2023</w:t>
            </w:r>
          </w:p>
        </w:tc>
        <w:tc>
          <w:tcPr>
            <w:tcW w:w="3509" w:type="dxa"/>
          </w:tcPr>
          <w:p w14:paraId="67E7B4C4" w14:textId="0F52E4CC" w:rsidR="00307769" w:rsidRPr="00AC3D7B" w:rsidRDefault="00307769" w:rsidP="00952667">
            <w:pPr>
              <w:spacing w:after="120"/>
              <w:ind w:right="142"/>
              <w:jc w:val="right"/>
              <w:rPr>
                <w:lang w:val="fr-FR"/>
              </w:rPr>
            </w:pPr>
            <w:r w:rsidRPr="00AC3D7B">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C3D7B" w14:paraId="3C13197B" w14:textId="77777777" w:rsidTr="0009076F">
        <w:trPr>
          <w:cantSplit/>
        </w:trPr>
        <w:tc>
          <w:tcPr>
            <w:tcW w:w="6379" w:type="dxa"/>
            <w:tcBorders>
              <w:top w:val="single" w:sz="12" w:space="0" w:color="auto"/>
            </w:tcBorders>
          </w:tcPr>
          <w:p w14:paraId="2EED9DB2" w14:textId="77777777" w:rsidR="00683C32" w:rsidRPr="00AC3D7B"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AC3D7B" w:rsidRDefault="00683C32" w:rsidP="00107E85">
            <w:pPr>
              <w:spacing w:before="0"/>
              <w:rPr>
                <w:b/>
                <w:bCs/>
                <w:sz w:val="20"/>
                <w:lang w:val="fr-FR"/>
              </w:rPr>
            </w:pPr>
          </w:p>
        </w:tc>
      </w:tr>
      <w:tr w:rsidR="00683C32" w:rsidRPr="00AC3D7B" w14:paraId="0BB3FBC4" w14:textId="77777777" w:rsidTr="0009076F">
        <w:trPr>
          <w:cantSplit/>
        </w:trPr>
        <w:tc>
          <w:tcPr>
            <w:tcW w:w="6379" w:type="dxa"/>
          </w:tcPr>
          <w:p w14:paraId="43C54B3D" w14:textId="77777777" w:rsidR="00683C32" w:rsidRPr="00AC3D7B" w:rsidRDefault="00683C32" w:rsidP="00400CCF">
            <w:pPr>
              <w:pStyle w:val="Committee"/>
              <w:spacing w:before="0"/>
              <w:rPr>
                <w:b w:val="0"/>
                <w:szCs w:val="24"/>
                <w:lang w:val="fr-FR"/>
              </w:rPr>
            </w:pPr>
          </w:p>
        </w:tc>
        <w:tc>
          <w:tcPr>
            <w:tcW w:w="3509" w:type="dxa"/>
          </w:tcPr>
          <w:p w14:paraId="02E44EE9" w14:textId="62352DF3" w:rsidR="00683C32" w:rsidRPr="00AC3D7B" w:rsidRDefault="0096201B" w:rsidP="00E25345">
            <w:pPr>
              <w:spacing w:before="0"/>
              <w:jc w:val="both"/>
              <w:rPr>
                <w:bCs/>
                <w:szCs w:val="24"/>
                <w:lang w:val="fr-FR"/>
              </w:rPr>
            </w:pPr>
            <w:r w:rsidRPr="00AC3D7B">
              <w:rPr>
                <w:b/>
                <w:bCs/>
                <w:lang w:val="fr-FR"/>
              </w:rPr>
              <w:t xml:space="preserve">Document </w:t>
            </w:r>
            <w:bookmarkStart w:id="0" w:name="DocRef1"/>
            <w:bookmarkEnd w:id="0"/>
            <w:r w:rsidRPr="00AC3D7B">
              <w:rPr>
                <w:b/>
                <w:bCs/>
                <w:lang w:val="fr-FR"/>
              </w:rPr>
              <w:t>TDAG</w:t>
            </w:r>
            <w:r w:rsidR="003242AB" w:rsidRPr="00AC3D7B">
              <w:rPr>
                <w:b/>
                <w:bCs/>
                <w:lang w:val="fr-FR"/>
              </w:rPr>
              <w:t>-</w:t>
            </w:r>
            <w:r w:rsidR="00B648C7" w:rsidRPr="00AC3D7B">
              <w:rPr>
                <w:b/>
                <w:bCs/>
                <w:lang w:val="fr-FR"/>
              </w:rPr>
              <w:t>2</w:t>
            </w:r>
            <w:bookmarkStart w:id="1" w:name="DocNo1"/>
            <w:bookmarkEnd w:id="1"/>
            <w:r w:rsidR="00307769" w:rsidRPr="00AC3D7B">
              <w:rPr>
                <w:b/>
                <w:bCs/>
                <w:lang w:val="fr-FR"/>
              </w:rPr>
              <w:t>3</w:t>
            </w:r>
            <w:r w:rsidR="0009076F" w:rsidRPr="00AC3D7B">
              <w:rPr>
                <w:b/>
                <w:bCs/>
                <w:lang w:val="fr-FR"/>
              </w:rPr>
              <w:t>/</w:t>
            </w:r>
            <w:r w:rsidR="00AE2B9C" w:rsidRPr="00AC3D7B">
              <w:rPr>
                <w:b/>
                <w:bCs/>
                <w:lang w:val="fr-FR"/>
              </w:rPr>
              <w:t>7</w:t>
            </w:r>
            <w:r w:rsidRPr="00AC3D7B">
              <w:rPr>
                <w:b/>
                <w:bCs/>
                <w:lang w:val="fr-FR"/>
              </w:rPr>
              <w:t>-</w:t>
            </w:r>
            <w:r w:rsidR="00E25345" w:rsidRPr="00AC3D7B">
              <w:rPr>
                <w:b/>
                <w:bCs/>
                <w:lang w:val="fr-FR"/>
              </w:rPr>
              <w:t>F</w:t>
            </w:r>
          </w:p>
        </w:tc>
      </w:tr>
      <w:tr w:rsidR="00683C32" w:rsidRPr="00AC3D7B" w14:paraId="24D04936" w14:textId="77777777" w:rsidTr="0009076F">
        <w:trPr>
          <w:cantSplit/>
        </w:trPr>
        <w:tc>
          <w:tcPr>
            <w:tcW w:w="6379" w:type="dxa"/>
          </w:tcPr>
          <w:p w14:paraId="12CE4DBF" w14:textId="77777777" w:rsidR="00683C32" w:rsidRPr="00AC3D7B" w:rsidRDefault="00683C32" w:rsidP="00400CCF">
            <w:pPr>
              <w:spacing w:before="0"/>
              <w:rPr>
                <w:b/>
                <w:bCs/>
                <w:smallCaps/>
                <w:szCs w:val="24"/>
                <w:lang w:val="fr-FR"/>
              </w:rPr>
            </w:pPr>
          </w:p>
        </w:tc>
        <w:tc>
          <w:tcPr>
            <w:tcW w:w="3509" w:type="dxa"/>
          </w:tcPr>
          <w:p w14:paraId="0F89640F" w14:textId="3922C050" w:rsidR="00683C32" w:rsidRPr="00AC3D7B" w:rsidRDefault="00AE2B9C" w:rsidP="00B648C7">
            <w:pPr>
              <w:spacing w:before="0"/>
              <w:rPr>
                <w:b/>
                <w:szCs w:val="24"/>
                <w:lang w:val="fr-FR"/>
              </w:rPr>
            </w:pPr>
            <w:bookmarkStart w:id="2" w:name="CreationDate"/>
            <w:bookmarkEnd w:id="2"/>
            <w:r w:rsidRPr="00AC3D7B">
              <w:rPr>
                <w:b/>
                <w:bCs/>
                <w:szCs w:val="28"/>
                <w:lang w:val="fr-FR"/>
              </w:rPr>
              <w:t>9 mai</w:t>
            </w:r>
            <w:r w:rsidR="00CE0422" w:rsidRPr="00AC3D7B">
              <w:rPr>
                <w:b/>
                <w:bCs/>
                <w:szCs w:val="28"/>
                <w:lang w:val="fr-FR"/>
              </w:rPr>
              <w:t xml:space="preserve"> 20</w:t>
            </w:r>
            <w:r w:rsidR="00B648C7" w:rsidRPr="00AC3D7B">
              <w:rPr>
                <w:b/>
                <w:bCs/>
                <w:szCs w:val="28"/>
                <w:lang w:val="fr-FR"/>
              </w:rPr>
              <w:t>2</w:t>
            </w:r>
            <w:r w:rsidR="00307769" w:rsidRPr="00AC3D7B">
              <w:rPr>
                <w:b/>
                <w:bCs/>
                <w:szCs w:val="28"/>
                <w:lang w:val="fr-FR"/>
              </w:rPr>
              <w:t>3</w:t>
            </w:r>
          </w:p>
        </w:tc>
      </w:tr>
      <w:tr w:rsidR="00683C32" w:rsidRPr="00AC3D7B" w14:paraId="7B96545F" w14:textId="77777777" w:rsidTr="0009076F">
        <w:trPr>
          <w:cantSplit/>
        </w:trPr>
        <w:tc>
          <w:tcPr>
            <w:tcW w:w="6379" w:type="dxa"/>
          </w:tcPr>
          <w:p w14:paraId="65956FD3" w14:textId="77777777" w:rsidR="00683C32" w:rsidRPr="00AC3D7B" w:rsidRDefault="00683C32" w:rsidP="00400CCF">
            <w:pPr>
              <w:spacing w:before="0"/>
              <w:rPr>
                <w:b/>
                <w:bCs/>
                <w:smallCaps/>
                <w:szCs w:val="24"/>
                <w:lang w:val="fr-FR"/>
              </w:rPr>
            </w:pPr>
          </w:p>
        </w:tc>
        <w:tc>
          <w:tcPr>
            <w:tcW w:w="3509" w:type="dxa"/>
          </w:tcPr>
          <w:p w14:paraId="30EFD39F" w14:textId="33ACFB79" w:rsidR="00514D2F" w:rsidRPr="00AC3D7B" w:rsidRDefault="0096201B" w:rsidP="001011EB">
            <w:pPr>
              <w:spacing w:before="0"/>
              <w:rPr>
                <w:szCs w:val="24"/>
                <w:lang w:val="fr-FR"/>
              </w:rPr>
            </w:pPr>
            <w:r w:rsidRPr="00AC3D7B">
              <w:rPr>
                <w:b/>
                <w:lang w:val="fr-FR"/>
              </w:rPr>
              <w:t>Original:</w:t>
            </w:r>
            <w:bookmarkStart w:id="3" w:name="Original"/>
            <w:bookmarkEnd w:id="3"/>
            <w:r w:rsidR="00CE0422" w:rsidRPr="00AC3D7B">
              <w:rPr>
                <w:b/>
                <w:lang w:val="fr-FR"/>
              </w:rPr>
              <w:t xml:space="preserve"> </w:t>
            </w:r>
            <w:r w:rsidR="001011EB" w:rsidRPr="00AC3D7B">
              <w:rPr>
                <w:b/>
                <w:lang w:val="fr-FR"/>
              </w:rPr>
              <w:t>anglais</w:t>
            </w:r>
          </w:p>
        </w:tc>
      </w:tr>
      <w:tr w:rsidR="00A13162" w:rsidRPr="00427689" w14:paraId="31656E31" w14:textId="77777777" w:rsidTr="00107E85">
        <w:trPr>
          <w:cantSplit/>
          <w:trHeight w:val="852"/>
        </w:trPr>
        <w:tc>
          <w:tcPr>
            <w:tcW w:w="9888" w:type="dxa"/>
            <w:gridSpan w:val="2"/>
          </w:tcPr>
          <w:p w14:paraId="512FCA01" w14:textId="2F94438C" w:rsidR="00A13162" w:rsidRPr="00AC3D7B" w:rsidRDefault="00F44C77" w:rsidP="0030353C">
            <w:pPr>
              <w:pStyle w:val="Source"/>
              <w:rPr>
                <w:lang w:val="fr-FR"/>
              </w:rPr>
            </w:pPr>
            <w:bookmarkStart w:id="4" w:name="Source"/>
            <w:bookmarkEnd w:id="4"/>
            <w:r w:rsidRPr="00AC3D7B">
              <w:rPr>
                <w:lang w:val="fr-FR"/>
              </w:rPr>
              <w:t>Directeur du Bureau de développement des télécommunications</w:t>
            </w:r>
          </w:p>
        </w:tc>
      </w:tr>
      <w:tr w:rsidR="00AC6F14" w:rsidRPr="00AC3D7B" w14:paraId="2CBD3A36" w14:textId="77777777" w:rsidTr="00107E85">
        <w:trPr>
          <w:cantSplit/>
        </w:trPr>
        <w:tc>
          <w:tcPr>
            <w:tcW w:w="9888" w:type="dxa"/>
            <w:gridSpan w:val="2"/>
          </w:tcPr>
          <w:p w14:paraId="1B4121DF" w14:textId="100BE35E" w:rsidR="00AC6F14" w:rsidRPr="00AC3D7B" w:rsidRDefault="00F44C77" w:rsidP="001011EB">
            <w:pPr>
              <w:pStyle w:val="Title1"/>
              <w:rPr>
                <w:lang w:val="fr-FR"/>
              </w:rPr>
            </w:pPr>
            <w:bookmarkStart w:id="5" w:name="Title"/>
            <w:bookmarkEnd w:id="5"/>
            <w:r w:rsidRPr="00AC3D7B">
              <w:rPr>
                <w:lang w:val="fr-FR"/>
              </w:rPr>
              <w:t>Projets de l'UIT-D</w:t>
            </w:r>
          </w:p>
        </w:tc>
      </w:tr>
      <w:tr w:rsidR="00A721F4" w:rsidRPr="00AC3D7B" w14:paraId="23A30231" w14:textId="77777777" w:rsidTr="00A721F4">
        <w:trPr>
          <w:cantSplit/>
        </w:trPr>
        <w:tc>
          <w:tcPr>
            <w:tcW w:w="9888" w:type="dxa"/>
            <w:gridSpan w:val="2"/>
            <w:tcBorders>
              <w:bottom w:val="single" w:sz="4" w:space="0" w:color="auto"/>
            </w:tcBorders>
          </w:tcPr>
          <w:p w14:paraId="726EE70E" w14:textId="77777777" w:rsidR="00A721F4" w:rsidRPr="00AC3D7B" w:rsidRDefault="00A721F4" w:rsidP="0030353C">
            <w:pPr>
              <w:rPr>
                <w:lang w:val="fr-FR"/>
              </w:rPr>
            </w:pPr>
          </w:p>
        </w:tc>
      </w:tr>
      <w:tr w:rsidR="00A721F4" w:rsidRPr="00AC3D7B"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AC3D7B" w:rsidRDefault="001011EB" w:rsidP="00EA0C51">
            <w:pPr>
              <w:spacing w:after="120"/>
              <w:rPr>
                <w:b/>
                <w:bCs/>
                <w:szCs w:val="24"/>
                <w:lang w:val="fr-FR"/>
              </w:rPr>
            </w:pPr>
            <w:r w:rsidRPr="00AC3D7B">
              <w:rPr>
                <w:b/>
                <w:bCs/>
                <w:szCs w:val="24"/>
                <w:lang w:val="fr-FR"/>
              </w:rPr>
              <w:t>Résumé</w:t>
            </w:r>
            <w:r w:rsidR="00A721F4" w:rsidRPr="00AC3D7B">
              <w:rPr>
                <w:b/>
                <w:bCs/>
                <w:szCs w:val="24"/>
                <w:lang w:val="fr-FR"/>
              </w:rPr>
              <w:t>:</w:t>
            </w:r>
          </w:p>
          <w:p w14:paraId="1C88B947" w14:textId="030EFD51" w:rsidR="00AE2B9C" w:rsidRPr="00AC3D7B" w:rsidRDefault="00AE2B9C" w:rsidP="00AE2B9C">
            <w:pPr>
              <w:spacing w:after="120"/>
              <w:rPr>
                <w:rFonts w:cstheme="minorHAnsi"/>
                <w:lang w:val="fr-FR"/>
              </w:rPr>
            </w:pPr>
            <w:r w:rsidRPr="00AC3D7B">
              <w:rPr>
                <w:lang w:val="fr-FR"/>
              </w:rPr>
              <w:t>L</w:t>
            </w:r>
            <w:r w:rsidR="002F0EE1" w:rsidRPr="00AC3D7B">
              <w:rPr>
                <w:lang w:val="fr-FR"/>
              </w:rPr>
              <w:t>'</w:t>
            </w:r>
            <w:r w:rsidRPr="00AC3D7B">
              <w:rPr>
                <w:lang w:val="fr-FR"/>
              </w:rPr>
              <w:t>Union internationale des télécommunications a une double responsabilité en tant qu</w:t>
            </w:r>
            <w:r w:rsidR="002F0EE1" w:rsidRPr="00AC3D7B">
              <w:rPr>
                <w:lang w:val="fr-FR"/>
              </w:rPr>
              <w:t>'</w:t>
            </w:r>
            <w:r w:rsidRPr="00AC3D7B">
              <w:rPr>
                <w:lang w:val="fr-FR"/>
              </w:rPr>
              <w:t>institution spécialisée de l</w:t>
            </w:r>
            <w:r w:rsidR="002F0EE1" w:rsidRPr="00AC3D7B">
              <w:rPr>
                <w:lang w:val="fr-FR"/>
              </w:rPr>
              <w:t>'</w:t>
            </w:r>
            <w:r w:rsidRPr="00AC3D7B">
              <w:rPr>
                <w:lang w:val="fr-FR"/>
              </w:rPr>
              <w:t>Organisation des Nations Unies et agent d</w:t>
            </w:r>
            <w:r w:rsidR="002F0EE1" w:rsidRPr="00AC3D7B">
              <w:rPr>
                <w:lang w:val="fr-FR"/>
              </w:rPr>
              <w:t>'</w:t>
            </w:r>
            <w:r w:rsidRPr="00AC3D7B">
              <w:rPr>
                <w:lang w:val="fr-FR"/>
              </w:rPr>
              <w:t>exécution. L</w:t>
            </w:r>
            <w:r w:rsidR="002F0EE1" w:rsidRPr="00AC3D7B">
              <w:rPr>
                <w:lang w:val="fr-FR"/>
              </w:rPr>
              <w:t>'</w:t>
            </w:r>
            <w:r w:rsidRPr="00AC3D7B">
              <w:rPr>
                <w:lang w:val="fr-FR"/>
              </w:rPr>
              <w:t>une des fonctions essentielles du Secteur du développement des télécommunications de l</w:t>
            </w:r>
            <w:r w:rsidR="002F0EE1" w:rsidRPr="00AC3D7B">
              <w:rPr>
                <w:lang w:val="fr-FR"/>
              </w:rPr>
              <w:t>'</w:t>
            </w:r>
            <w:r w:rsidRPr="00AC3D7B">
              <w:rPr>
                <w:lang w:val="fr-FR"/>
              </w:rPr>
              <w:t>UIT (UIT-D) consiste à s</w:t>
            </w:r>
            <w:r w:rsidR="002F0EE1" w:rsidRPr="00AC3D7B">
              <w:rPr>
                <w:lang w:val="fr-FR"/>
              </w:rPr>
              <w:t>'</w:t>
            </w:r>
            <w:r w:rsidRPr="00AC3D7B">
              <w:rPr>
                <w:lang w:val="fr-FR"/>
              </w:rPr>
              <w:t>acquitter de cette double responsabilité de l</w:t>
            </w:r>
            <w:r w:rsidR="002F0EE1" w:rsidRPr="00AC3D7B">
              <w:rPr>
                <w:lang w:val="fr-FR"/>
              </w:rPr>
              <w:t>'</w:t>
            </w:r>
            <w:r w:rsidRPr="00AC3D7B">
              <w:rPr>
                <w:lang w:val="fr-FR"/>
              </w:rPr>
              <w:t>Union pour la mise en œuvre de projets dans le cadre du système des Nations Unies pour le développement ou d</w:t>
            </w:r>
            <w:r w:rsidR="002F0EE1" w:rsidRPr="00AC3D7B">
              <w:rPr>
                <w:lang w:val="fr-FR"/>
              </w:rPr>
              <w:t>'</w:t>
            </w:r>
            <w:r w:rsidRPr="00AC3D7B">
              <w:rPr>
                <w:lang w:val="fr-FR"/>
              </w:rPr>
              <w:t>autres arrangements de financement, afin de faciliter et d</w:t>
            </w:r>
            <w:r w:rsidR="002F0EE1" w:rsidRPr="00AC3D7B">
              <w:rPr>
                <w:lang w:val="fr-FR"/>
              </w:rPr>
              <w:t>'</w:t>
            </w:r>
            <w:r w:rsidRPr="00AC3D7B">
              <w:rPr>
                <w:lang w:val="fr-FR"/>
              </w:rPr>
              <w:t>améliorer le développement des télécommunications en offrant, organisant et coordonnant les activités de coopération et d</w:t>
            </w:r>
            <w:r w:rsidR="002F0EE1" w:rsidRPr="00AC3D7B">
              <w:rPr>
                <w:lang w:val="fr-FR"/>
              </w:rPr>
              <w:t>'</w:t>
            </w:r>
            <w:r w:rsidRPr="00AC3D7B">
              <w:rPr>
                <w:lang w:val="fr-FR"/>
              </w:rPr>
              <w:t>assistance techniques.</w:t>
            </w:r>
          </w:p>
          <w:p w14:paraId="4082D7E8" w14:textId="0FF3BA27" w:rsidR="00A721F4" w:rsidRPr="00AC3D7B" w:rsidRDefault="00AE2B9C" w:rsidP="00AE2B9C">
            <w:pPr>
              <w:spacing w:after="120"/>
              <w:rPr>
                <w:rFonts w:cstheme="minorHAnsi"/>
                <w:lang w:val="fr-FR"/>
              </w:rPr>
            </w:pPr>
            <w:r w:rsidRPr="00AC3D7B">
              <w:rPr>
                <w:lang w:val="fr-FR"/>
              </w:rPr>
              <w:t>Le présent document donne un aperçu général des travaux menés par le Bureau de développement des télécommunications en ce qui concerne la conception et la mise en œuvre de projets dans les six régions définies par l</w:t>
            </w:r>
            <w:r w:rsidR="002F0EE1" w:rsidRPr="00AC3D7B">
              <w:rPr>
                <w:lang w:val="fr-FR"/>
              </w:rPr>
              <w:t>'</w:t>
            </w:r>
            <w:r w:rsidRPr="00AC3D7B">
              <w:rPr>
                <w:lang w:val="fr-FR"/>
              </w:rPr>
              <w:t>UIT-D, à savoir la région Afrique, la région Amériques, la région des États arabes, la région Asie-Pacifique, la région de la CEI (Communauté des États indépendants) et la région Europe, ainsi qu</w:t>
            </w:r>
            <w:r w:rsidR="002F0EE1" w:rsidRPr="00AC3D7B">
              <w:rPr>
                <w:lang w:val="fr-FR"/>
              </w:rPr>
              <w:t>'</w:t>
            </w:r>
            <w:r w:rsidRPr="00AC3D7B">
              <w:rPr>
                <w:lang w:val="fr-FR"/>
              </w:rPr>
              <w:t>à l</w:t>
            </w:r>
            <w:r w:rsidR="002F0EE1" w:rsidRPr="00AC3D7B">
              <w:rPr>
                <w:lang w:val="fr-FR"/>
              </w:rPr>
              <w:t>'</w:t>
            </w:r>
            <w:r w:rsidRPr="00AC3D7B">
              <w:rPr>
                <w:lang w:val="fr-FR"/>
              </w:rPr>
              <w:t>échelle multirégionale.</w:t>
            </w:r>
          </w:p>
          <w:p w14:paraId="76A1C541" w14:textId="23209CDB" w:rsidR="00A721F4" w:rsidRPr="00AC3D7B" w:rsidRDefault="001011EB" w:rsidP="00EA0C51">
            <w:pPr>
              <w:spacing w:after="120"/>
              <w:rPr>
                <w:b/>
                <w:bCs/>
                <w:szCs w:val="24"/>
                <w:lang w:val="fr-FR"/>
              </w:rPr>
            </w:pPr>
            <w:r w:rsidRPr="00AC3D7B">
              <w:rPr>
                <w:b/>
                <w:bCs/>
                <w:lang w:val="fr-FR"/>
              </w:rPr>
              <w:t>Suite à donner</w:t>
            </w:r>
            <w:r w:rsidR="00A721F4" w:rsidRPr="00AC3D7B">
              <w:rPr>
                <w:b/>
                <w:bCs/>
                <w:lang w:val="fr-FR"/>
              </w:rPr>
              <w:t>:</w:t>
            </w:r>
          </w:p>
          <w:p w14:paraId="371956FC" w14:textId="6FAE838A" w:rsidR="00A721F4" w:rsidRPr="00AC3D7B" w:rsidRDefault="00AE2B9C" w:rsidP="00EA0C51">
            <w:pPr>
              <w:spacing w:after="120"/>
              <w:rPr>
                <w:szCs w:val="24"/>
                <w:lang w:val="fr-FR"/>
              </w:rPr>
            </w:pPr>
            <w:r w:rsidRPr="00AC3D7B">
              <w:rPr>
                <w:lang w:val="fr-FR"/>
              </w:rPr>
              <w:t>Le GCDT est invité à prendre note du présent document et à fournir les indications qu</w:t>
            </w:r>
            <w:r w:rsidR="002F0EE1" w:rsidRPr="00AC3D7B">
              <w:rPr>
                <w:lang w:val="fr-FR"/>
              </w:rPr>
              <w:t>'</w:t>
            </w:r>
            <w:r w:rsidRPr="00AC3D7B">
              <w:rPr>
                <w:lang w:val="fr-FR"/>
              </w:rPr>
              <w:t>il jugera utiles.</w:t>
            </w:r>
          </w:p>
          <w:p w14:paraId="622ACB80" w14:textId="39EE560D" w:rsidR="00A721F4" w:rsidRPr="00AC3D7B" w:rsidRDefault="00A721F4" w:rsidP="00EA0C51">
            <w:pPr>
              <w:spacing w:after="120"/>
              <w:rPr>
                <w:b/>
                <w:bCs/>
                <w:szCs w:val="24"/>
                <w:lang w:val="fr-FR"/>
              </w:rPr>
            </w:pPr>
            <w:r w:rsidRPr="00AC3D7B">
              <w:rPr>
                <w:b/>
                <w:bCs/>
                <w:szCs w:val="24"/>
                <w:lang w:val="fr-FR"/>
              </w:rPr>
              <w:t>R</w:t>
            </w:r>
            <w:r w:rsidR="001011EB" w:rsidRPr="00AC3D7B">
              <w:rPr>
                <w:b/>
                <w:bCs/>
                <w:szCs w:val="24"/>
                <w:lang w:val="fr-FR"/>
              </w:rPr>
              <w:t>é</w:t>
            </w:r>
            <w:r w:rsidRPr="00AC3D7B">
              <w:rPr>
                <w:b/>
                <w:bCs/>
                <w:szCs w:val="24"/>
                <w:lang w:val="fr-FR"/>
              </w:rPr>
              <w:t>f</w:t>
            </w:r>
            <w:r w:rsidR="001011EB" w:rsidRPr="00AC3D7B">
              <w:rPr>
                <w:b/>
                <w:bCs/>
                <w:szCs w:val="24"/>
                <w:lang w:val="fr-FR"/>
              </w:rPr>
              <w:t>é</w:t>
            </w:r>
            <w:r w:rsidRPr="00AC3D7B">
              <w:rPr>
                <w:b/>
                <w:bCs/>
                <w:szCs w:val="24"/>
                <w:lang w:val="fr-FR"/>
              </w:rPr>
              <w:t>rences:</w:t>
            </w:r>
          </w:p>
          <w:p w14:paraId="1ECDD20E" w14:textId="4E9F5938" w:rsidR="00A721F4" w:rsidRPr="00AC3D7B" w:rsidRDefault="00AE2B9C" w:rsidP="00EA0C51">
            <w:pPr>
              <w:spacing w:after="120"/>
              <w:rPr>
                <w:lang w:val="fr-FR"/>
              </w:rPr>
            </w:pPr>
            <w:r w:rsidRPr="00AC3D7B">
              <w:rPr>
                <w:lang w:val="fr-FR"/>
              </w:rPr>
              <w:t>Résolutions 17 (Rév. Kigali, 2022) et 52 (Rév. Dubaï, 2014) de la Conférence mondiale de développement des télécommunications (CMDT) et Résolution 157 (Rév. Bucarest, 2022) de la Conférence de plénipotentiaires.</w:t>
            </w:r>
          </w:p>
        </w:tc>
      </w:tr>
    </w:tbl>
    <w:p w14:paraId="607A042F" w14:textId="221BB506" w:rsidR="00AE2B9C" w:rsidRPr="00AC3D7B" w:rsidRDefault="00923CF1" w:rsidP="00AE2B9C">
      <w:pPr>
        <w:pStyle w:val="Heading1"/>
        <w:rPr>
          <w:sz w:val="24"/>
          <w:lang w:val="fr-FR"/>
        </w:rPr>
      </w:pPr>
      <w:r w:rsidRPr="00AC3D7B">
        <w:rPr>
          <w:lang w:val="fr-FR"/>
        </w:rPr>
        <w:br w:type="page"/>
      </w:r>
      <w:r w:rsidR="00AE2B9C" w:rsidRPr="00AC3D7B">
        <w:rPr>
          <w:lang w:val="fr-FR"/>
        </w:rPr>
        <w:lastRenderedPageBreak/>
        <w:t>1</w:t>
      </w:r>
      <w:r w:rsidR="00AE2B9C" w:rsidRPr="00AC3D7B">
        <w:rPr>
          <w:lang w:val="fr-FR"/>
        </w:rPr>
        <w:tab/>
        <w:t>Introduction</w:t>
      </w:r>
    </w:p>
    <w:p w14:paraId="4A64052D" w14:textId="33F7A98C" w:rsidR="00AE2B9C" w:rsidRPr="00AC3D7B" w:rsidRDefault="00AE2B9C" w:rsidP="00A07FDF">
      <w:pPr>
        <w:rPr>
          <w:lang w:val="fr-FR"/>
        </w:rPr>
      </w:pPr>
      <w:r w:rsidRPr="00AC3D7B">
        <w:rPr>
          <w:lang w:val="fr-FR"/>
        </w:rPr>
        <w:t>Conformément aux Résolutions 17 (Rév. Kigali, 2022) et 52 (Rév. Dubaï, 2014) de la Conférence mondiale de développement des télécommunications (CMDT) et à la Résolution 157 (Rév.</w:t>
      </w:r>
      <w:r w:rsidR="002F0EE1" w:rsidRPr="00AC3D7B">
        <w:rPr>
          <w:lang w:val="fr-FR"/>
        </w:rPr>
        <w:t> </w:t>
      </w:r>
      <w:r w:rsidRPr="00AC3D7B">
        <w:rPr>
          <w:lang w:val="fr-FR"/>
        </w:rPr>
        <w:t>Bucarest, 2022) de la Conférence de plénipotentiaires, le Bureau de développement des télécommunications (BDT) de l</w:t>
      </w:r>
      <w:r w:rsidR="002F0EE1" w:rsidRPr="00AC3D7B">
        <w:rPr>
          <w:lang w:val="fr-FR"/>
        </w:rPr>
        <w:t>'</w:t>
      </w:r>
      <w:r w:rsidRPr="00AC3D7B">
        <w:rPr>
          <w:lang w:val="fr-FR"/>
        </w:rPr>
        <w:t>UIT s</w:t>
      </w:r>
      <w:r w:rsidR="002F0EE1" w:rsidRPr="00AC3D7B">
        <w:rPr>
          <w:lang w:val="fr-FR"/>
        </w:rPr>
        <w:t>'</w:t>
      </w:r>
      <w:r w:rsidRPr="00AC3D7B">
        <w:rPr>
          <w:lang w:val="fr-FR"/>
        </w:rPr>
        <w:t>acquitte de la responsabilité de l</w:t>
      </w:r>
      <w:r w:rsidR="002F0EE1" w:rsidRPr="00AC3D7B">
        <w:rPr>
          <w:lang w:val="fr-FR"/>
        </w:rPr>
        <w:t>'</w:t>
      </w:r>
      <w:r w:rsidRPr="00AC3D7B">
        <w:rPr>
          <w:lang w:val="fr-FR"/>
        </w:rPr>
        <w:t>Union pour mettre en œuvre des projets dans le cadre du système de développement des Nations Unies ou d</w:t>
      </w:r>
      <w:r w:rsidR="002F0EE1" w:rsidRPr="00AC3D7B">
        <w:rPr>
          <w:lang w:val="fr-FR"/>
        </w:rPr>
        <w:t>'</w:t>
      </w:r>
      <w:r w:rsidRPr="00AC3D7B">
        <w:rPr>
          <w:lang w:val="fr-FR"/>
        </w:rPr>
        <w:t>autres arrangements de financement, afin de faciliter et d</w:t>
      </w:r>
      <w:r w:rsidR="002F0EE1" w:rsidRPr="00AC3D7B">
        <w:rPr>
          <w:lang w:val="fr-FR"/>
        </w:rPr>
        <w:t>'</w:t>
      </w:r>
      <w:r w:rsidRPr="00AC3D7B">
        <w:rPr>
          <w:lang w:val="fr-FR"/>
        </w:rPr>
        <w:t>améliorer le développement des télécommunications/technologies de l</w:t>
      </w:r>
      <w:r w:rsidR="002F0EE1" w:rsidRPr="00AC3D7B">
        <w:rPr>
          <w:lang w:val="fr-FR"/>
        </w:rPr>
        <w:t>'</w:t>
      </w:r>
      <w:r w:rsidRPr="00AC3D7B">
        <w:rPr>
          <w:lang w:val="fr-FR"/>
        </w:rPr>
        <w:t>information et de la communication (TIC), en offrant, organisant et coordonnant les activités de coopération et d</w:t>
      </w:r>
      <w:r w:rsidR="002F0EE1" w:rsidRPr="00AC3D7B">
        <w:rPr>
          <w:lang w:val="fr-FR"/>
        </w:rPr>
        <w:t>'</w:t>
      </w:r>
      <w:r w:rsidRPr="00AC3D7B">
        <w:rPr>
          <w:lang w:val="fr-FR"/>
        </w:rPr>
        <w:t>assistance techniques. Le présent rapport donne un aperçu de l</w:t>
      </w:r>
      <w:r w:rsidR="002F0EE1" w:rsidRPr="00AC3D7B">
        <w:rPr>
          <w:lang w:val="fr-FR"/>
        </w:rPr>
        <w:t>'</w:t>
      </w:r>
      <w:r w:rsidRPr="00AC3D7B">
        <w:rPr>
          <w:lang w:val="fr-FR"/>
        </w:rPr>
        <w:t>état d</w:t>
      </w:r>
      <w:r w:rsidR="002F0EE1" w:rsidRPr="00AC3D7B">
        <w:rPr>
          <w:lang w:val="fr-FR"/>
        </w:rPr>
        <w:t>'</w:t>
      </w:r>
      <w:r w:rsidRPr="00AC3D7B">
        <w:rPr>
          <w:lang w:val="fr-FR"/>
        </w:rPr>
        <w:t>avancement du portefeuille de projets de l</w:t>
      </w:r>
      <w:r w:rsidR="002F0EE1" w:rsidRPr="00AC3D7B">
        <w:rPr>
          <w:lang w:val="fr-FR"/>
        </w:rPr>
        <w:t>'</w:t>
      </w:r>
      <w:r w:rsidRPr="00AC3D7B">
        <w:rPr>
          <w:lang w:val="fr-FR"/>
        </w:rPr>
        <w:t>UIT</w:t>
      </w:r>
      <w:r w:rsidRPr="00AC3D7B">
        <w:rPr>
          <w:rStyle w:val="FootnoteReference"/>
          <w:rFonts w:cstheme="minorHAnsi"/>
          <w:szCs w:val="18"/>
          <w:lang w:val="fr-FR"/>
        </w:rPr>
        <w:footnoteReference w:id="1"/>
      </w:r>
      <w:r w:rsidRPr="00AC3D7B">
        <w:rPr>
          <w:lang w:val="fr-FR"/>
        </w:rPr>
        <w:t xml:space="preserve"> pour la période comprise entre janvier et décembre 2022</w:t>
      </w:r>
      <w:r w:rsidRPr="00AC3D7B">
        <w:rPr>
          <w:rStyle w:val="FootnoteReference"/>
          <w:rFonts w:cstheme="minorHAnsi"/>
          <w:szCs w:val="18"/>
          <w:lang w:val="fr-FR"/>
        </w:rPr>
        <w:footnoteReference w:id="2"/>
      </w:r>
      <w:r w:rsidRPr="00AC3D7B">
        <w:rPr>
          <w:lang w:val="fr-FR"/>
        </w:rPr>
        <w:t>.</w:t>
      </w:r>
    </w:p>
    <w:p w14:paraId="35A3FEF3" w14:textId="5805F972" w:rsidR="00AE2B9C" w:rsidRPr="00AC3D7B" w:rsidRDefault="00AE2B9C" w:rsidP="00AE2B9C">
      <w:pPr>
        <w:pStyle w:val="Heading1"/>
        <w:rPr>
          <w:rFonts w:cstheme="minorHAnsi"/>
          <w:sz w:val="24"/>
          <w:szCs w:val="24"/>
          <w:lang w:val="fr-FR"/>
        </w:rPr>
      </w:pPr>
      <w:r w:rsidRPr="00AC3D7B">
        <w:rPr>
          <w:lang w:val="fr-FR"/>
        </w:rPr>
        <w:t>2</w:t>
      </w:r>
      <w:r w:rsidRPr="00AC3D7B">
        <w:rPr>
          <w:lang w:val="fr-FR"/>
        </w:rPr>
        <w:tab/>
        <w:t>Sources de financement des projets en cours de l</w:t>
      </w:r>
      <w:r w:rsidR="002F0EE1" w:rsidRPr="00AC3D7B">
        <w:rPr>
          <w:lang w:val="fr-FR"/>
        </w:rPr>
        <w:t>'</w:t>
      </w:r>
      <w:r w:rsidRPr="00AC3D7B">
        <w:rPr>
          <w:lang w:val="fr-FR"/>
        </w:rPr>
        <w:t>UIT</w:t>
      </w:r>
    </w:p>
    <w:p w14:paraId="6F787835" w14:textId="5EC94F74" w:rsidR="00AE2B9C" w:rsidRPr="00AC3D7B" w:rsidRDefault="00AE2B9C" w:rsidP="00A07FDF">
      <w:pPr>
        <w:rPr>
          <w:rFonts w:cstheme="minorHAnsi"/>
          <w:szCs w:val="24"/>
          <w:lang w:val="fr-FR"/>
        </w:rPr>
      </w:pPr>
      <w:r w:rsidRPr="00AC3D7B">
        <w:rPr>
          <w:lang w:val="fr-FR"/>
        </w:rPr>
        <w:t>L</w:t>
      </w:r>
      <w:r w:rsidR="002F0EE1" w:rsidRPr="00AC3D7B">
        <w:rPr>
          <w:lang w:val="fr-FR"/>
        </w:rPr>
        <w:t>'</w:t>
      </w:r>
      <w:r w:rsidRPr="00AC3D7B">
        <w:rPr>
          <w:lang w:val="fr-FR"/>
        </w:rPr>
        <w:t>UIT n</w:t>
      </w:r>
      <w:r w:rsidR="002F0EE1" w:rsidRPr="00AC3D7B">
        <w:rPr>
          <w:lang w:val="fr-FR"/>
        </w:rPr>
        <w:t>'</w:t>
      </w:r>
      <w:r w:rsidRPr="00AC3D7B">
        <w:rPr>
          <w:lang w:val="fr-FR"/>
        </w:rPr>
        <w:t>est pas une institution de financement. Cela signifie que les projets de l</w:t>
      </w:r>
      <w:r w:rsidR="002F0EE1" w:rsidRPr="00AC3D7B">
        <w:rPr>
          <w:lang w:val="fr-FR"/>
        </w:rPr>
        <w:t>'</w:t>
      </w:r>
      <w:r w:rsidRPr="00AC3D7B">
        <w:rPr>
          <w:lang w:val="fr-FR"/>
        </w:rPr>
        <w:t>UIT sont financés pour l</w:t>
      </w:r>
      <w:r w:rsidR="002F0EE1" w:rsidRPr="00AC3D7B">
        <w:rPr>
          <w:lang w:val="fr-FR"/>
        </w:rPr>
        <w:t>'</w:t>
      </w:r>
      <w:r w:rsidRPr="00AC3D7B">
        <w:rPr>
          <w:lang w:val="fr-FR"/>
        </w:rPr>
        <w:t>essentiel au moyen de</w:t>
      </w:r>
      <w:r w:rsidR="00C879C2" w:rsidRPr="00AC3D7B">
        <w:rPr>
          <w:lang w:val="fr-FR"/>
        </w:rPr>
        <w:t xml:space="preserve"> </w:t>
      </w:r>
      <w:r w:rsidRPr="00AC3D7B">
        <w:rPr>
          <w:lang w:val="fr-FR"/>
        </w:rPr>
        <w:t>ressources extrabudgétaires mobilisées par l</w:t>
      </w:r>
      <w:r w:rsidR="002F0EE1" w:rsidRPr="00AC3D7B">
        <w:rPr>
          <w:lang w:val="fr-FR"/>
        </w:rPr>
        <w:t>'</w:t>
      </w:r>
      <w:r w:rsidRPr="00AC3D7B">
        <w:rPr>
          <w:lang w:val="fr-FR"/>
        </w:rPr>
        <w:t>UIT en faveur des États</w:t>
      </w:r>
      <w:r w:rsidR="002F0EE1" w:rsidRPr="00AC3D7B">
        <w:rPr>
          <w:lang w:val="fr-FR"/>
        </w:rPr>
        <w:t> </w:t>
      </w:r>
      <w:r w:rsidRPr="00AC3D7B">
        <w:rPr>
          <w:lang w:val="fr-FR"/>
        </w:rPr>
        <w:t>Membres de l</w:t>
      </w:r>
      <w:r w:rsidR="002F0EE1" w:rsidRPr="00AC3D7B">
        <w:rPr>
          <w:lang w:val="fr-FR"/>
        </w:rPr>
        <w:t>'</w:t>
      </w:r>
      <w:r w:rsidRPr="00AC3D7B">
        <w:rPr>
          <w:lang w:val="fr-FR"/>
        </w:rPr>
        <w:t>Union (Fonds d</w:t>
      </w:r>
      <w:r w:rsidR="002F0EE1" w:rsidRPr="00AC3D7B">
        <w:rPr>
          <w:lang w:val="fr-FR"/>
        </w:rPr>
        <w:t>'</w:t>
      </w:r>
      <w:r w:rsidRPr="00AC3D7B">
        <w:rPr>
          <w:lang w:val="fr-FR"/>
        </w:rPr>
        <w:t>affectation spéciale et contributions volontaires). Dans certains cas, et conformément aux règles et règlements internes de l</w:t>
      </w:r>
      <w:r w:rsidR="002F0EE1" w:rsidRPr="00AC3D7B">
        <w:rPr>
          <w:lang w:val="fr-FR"/>
        </w:rPr>
        <w:t>'</w:t>
      </w:r>
      <w:r w:rsidRPr="00AC3D7B">
        <w:rPr>
          <w:lang w:val="fr-FR"/>
        </w:rPr>
        <w:t>UIT, l</w:t>
      </w:r>
      <w:r w:rsidR="002F0EE1" w:rsidRPr="00AC3D7B">
        <w:rPr>
          <w:lang w:val="fr-FR"/>
        </w:rPr>
        <w:t>'</w:t>
      </w:r>
      <w:r w:rsidRPr="00AC3D7B">
        <w:rPr>
          <w:lang w:val="fr-FR"/>
        </w:rPr>
        <w:t>Union peut également utiliser des fonds provenant du Fonds pour le développement des TIC (FDTIC)</w:t>
      </w:r>
      <w:r w:rsidRPr="00AC3D7B">
        <w:rPr>
          <w:rStyle w:val="FootnoteReference"/>
          <w:rFonts w:cstheme="minorHAnsi"/>
          <w:szCs w:val="18"/>
          <w:lang w:val="fr-FR"/>
        </w:rPr>
        <w:footnoteReference w:id="3"/>
      </w:r>
      <w:r w:rsidRPr="00AC3D7B">
        <w:rPr>
          <w:lang w:val="fr-FR"/>
        </w:rPr>
        <w:t>, géré par l</w:t>
      </w:r>
      <w:r w:rsidR="002F0EE1" w:rsidRPr="00AC3D7B">
        <w:rPr>
          <w:lang w:val="fr-FR"/>
        </w:rPr>
        <w:t>'</w:t>
      </w:r>
      <w:r w:rsidRPr="00AC3D7B">
        <w:rPr>
          <w:lang w:val="fr-FR"/>
        </w:rPr>
        <w:t>UIT, ainsi que des fonds alloués par le Conseil de l</w:t>
      </w:r>
      <w:r w:rsidR="002F0EE1" w:rsidRPr="00AC3D7B">
        <w:rPr>
          <w:lang w:val="fr-FR"/>
        </w:rPr>
        <w:t>'</w:t>
      </w:r>
      <w:r w:rsidRPr="00AC3D7B">
        <w:rPr>
          <w:lang w:val="fr-FR"/>
        </w:rPr>
        <w:t xml:space="preserve">UIT pour financer des projets. </w:t>
      </w:r>
    </w:p>
    <w:p w14:paraId="7BA8717A" w14:textId="0D89CC77" w:rsidR="00AE2B9C" w:rsidRPr="00AC3D7B" w:rsidRDefault="00AE2B9C" w:rsidP="00A07FDF">
      <w:pPr>
        <w:spacing w:after="240"/>
        <w:rPr>
          <w:rFonts w:cstheme="minorHAnsi"/>
          <w:szCs w:val="24"/>
          <w:lang w:val="fr-FR"/>
        </w:rPr>
      </w:pPr>
      <w:r w:rsidRPr="00AC3D7B">
        <w:rPr>
          <w:lang w:val="fr-FR"/>
        </w:rPr>
        <w:t>D</w:t>
      </w:r>
      <w:r w:rsidR="002F0EE1" w:rsidRPr="00AC3D7B">
        <w:rPr>
          <w:lang w:val="fr-FR"/>
        </w:rPr>
        <w:t>'</w:t>
      </w:r>
      <w:r w:rsidRPr="00AC3D7B">
        <w:rPr>
          <w:lang w:val="fr-FR"/>
        </w:rPr>
        <w:t>après le budget actuel</w:t>
      </w:r>
      <w:r w:rsidR="00C879C2" w:rsidRPr="00AC3D7B">
        <w:rPr>
          <w:lang w:val="fr-FR"/>
        </w:rPr>
        <w:t xml:space="preserve"> </w:t>
      </w:r>
      <w:r w:rsidRPr="00AC3D7B">
        <w:rPr>
          <w:lang w:val="fr-FR"/>
        </w:rPr>
        <w:t>pour la mise en œuvre des projets au 31 décembre 2022, le</w:t>
      </w:r>
      <w:r w:rsidR="00C879C2" w:rsidRPr="00AC3D7B">
        <w:rPr>
          <w:lang w:val="fr-FR"/>
        </w:rPr>
        <w:t xml:space="preserve"> </w:t>
      </w:r>
      <w:r w:rsidRPr="00AC3D7B">
        <w:rPr>
          <w:lang w:val="fr-FR"/>
        </w:rPr>
        <w:t>financement des projets de l</w:t>
      </w:r>
      <w:r w:rsidR="002F0EE1" w:rsidRPr="00AC3D7B">
        <w:rPr>
          <w:lang w:val="fr-FR"/>
        </w:rPr>
        <w:t>'</w:t>
      </w:r>
      <w:r w:rsidRPr="00AC3D7B">
        <w:rPr>
          <w:lang w:val="fr-FR"/>
        </w:rPr>
        <w:t>UIT en cours provient à hauteur de 90% environ de fonds d</w:t>
      </w:r>
      <w:r w:rsidR="002F0EE1" w:rsidRPr="00AC3D7B">
        <w:rPr>
          <w:lang w:val="fr-FR"/>
        </w:rPr>
        <w:t>'</w:t>
      </w:r>
      <w:r w:rsidRPr="00AC3D7B">
        <w:rPr>
          <w:lang w:val="fr-FR"/>
        </w:rPr>
        <w:t>affectation spéciale, à hauteur de 6%</w:t>
      </w:r>
      <w:r w:rsidR="00C879C2" w:rsidRPr="00AC3D7B">
        <w:rPr>
          <w:lang w:val="fr-FR"/>
        </w:rPr>
        <w:t xml:space="preserve"> </w:t>
      </w:r>
      <w:r w:rsidRPr="00AC3D7B">
        <w:rPr>
          <w:lang w:val="fr-FR"/>
        </w:rPr>
        <w:t>du Fonds FDTIC et à hauteur de 4%</w:t>
      </w:r>
      <w:r w:rsidR="00C879C2" w:rsidRPr="00AC3D7B">
        <w:rPr>
          <w:lang w:val="fr-FR"/>
        </w:rPr>
        <w:t xml:space="preserve"> </w:t>
      </w:r>
      <w:r w:rsidRPr="00AC3D7B">
        <w:rPr>
          <w:lang w:val="fr-FR"/>
        </w:rPr>
        <w:t>des fonds alloués par le Conseil à sa session de</w:t>
      </w:r>
      <w:r w:rsidR="002F0EE1" w:rsidRPr="00AC3D7B">
        <w:rPr>
          <w:lang w:val="fr-FR"/>
        </w:rPr>
        <w:t> </w:t>
      </w:r>
      <w:r w:rsidRPr="00AC3D7B">
        <w:rPr>
          <w:lang w:val="fr-FR"/>
        </w:rPr>
        <w:t>2018 pour la mise en œuvre des initiatives régionales (voir la Figure 1).</w:t>
      </w:r>
    </w:p>
    <w:p w14:paraId="081648A4" w14:textId="0076D8C3" w:rsidR="00AE2B9C" w:rsidRPr="00AC3D7B" w:rsidRDefault="00AE2B9C" w:rsidP="00AE2B9C">
      <w:pPr>
        <w:pStyle w:val="Figuretitle"/>
        <w:rPr>
          <w:rFonts w:cstheme="minorHAnsi"/>
          <w:szCs w:val="24"/>
          <w:lang w:val="fr-FR"/>
        </w:rPr>
      </w:pPr>
      <w:r w:rsidRPr="00AC3D7B">
        <w:rPr>
          <w:lang w:val="fr-FR"/>
        </w:rPr>
        <w:t>Figure 1 – Sources de financement des projets de l</w:t>
      </w:r>
      <w:r w:rsidR="002F0EE1" w:rsidRPr="00AC3D7B">
        <w:rPr>
          <w:lang w:val="fr-FR"/>
        </w:rPr>
        <w:t>'</w:t>
      </w:r>
      <w:r w:rsidRPr="00AC3D7B">
        <w:rPr>
          <w:lang w:val="fr-FR"/>
        </w:rPr>
        <w:t>UIT (projets en cours)</w:t>
      </w:r>
    </w:p>
    <w:p w14:paraId="59ED5DAB" w14:textId="6A665999" w:rsidR="00AE2B9C" w:rsidRPr="00AC3D7B" w:rsidRDefault="005F1FB1" w:rsidP="00AE2B9C">
      <w:pPr>
        <w:jc w:val="center"/>
        <w:rPr>
          <w:rFonts w:cstheme="minorBidi"/>
          <w:lang w:val="fr-FR"/>
        </w:rPr>
      </w:pPr>
      <w:r w:rsidRPr="00AC3D7B">
        <w:rPr>
          <w:rFonts w:cstheme="minorBidi"/>
          <w:noProof/>
          <w:lang w:val="fr-FR"/>
        </w:rPr>
        <mc:AlternateContent>
          <mc:Choice Requires="wps">
            <w:drawing>
              <wp:anchor distT="45720" distB="45720" distL="114300" distR="114300" simplePos="0" relativeHeight="251659264" behindDoc="0" locked="0" layoutInCell="1" allowOverlap="1" wp14:anchorId="0B2D61AA" wp14:editId="32E18AD1">
                <wp:simplePos x="0" y="0"/>
                <wp:positionH relativeFrom="column">
                  <wp:posOffset>3763922</wp:posOffset>
                </wp:positionH>
                <wp:positionV relativeFrom="paragraph">
                  <wp:posOffset>628015</wp:posOffset>
                </wp:positionV>
                <wp:extent cx="1534160" cy="140462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404620"/>
                        </a:xfrm>
                        <a:prstGeom prst="rect">
                          <a:avLst/>
                        </a:prstGeom>
                        <a:solidFill>
                          <a:srgbClr val="FFFFFF"/>
                        </a:solidFill>
                        <a:ln w="9525">
                          <a:noFill/>
                          <a:miter lim="800000"/>
                          <a:headEnd/>
                          <a:tailEnd/>
                        </a:ln>
                      </wps:spPr>
                      <wps:txbx>
                        <w:txbxContent>
                          <w:p w14:paraId="6E29A9B2" w14:textId="7CCAA5C1" w:rsidR="005F1FB1" w:rsidRPr="005F1FB1" w:rsidRDefault="005F1FB1" w:rsidP="005F1FB1">
                            <w:pPr>
                              <w:rPr>
                                <w:sz w:val="18"/>
                                <w:szCs w:val="18"/>
                                <w:lang w:val="fr-FR"/>
                              </w:rPr>
                            </w:pPr>
                            <w:r w:rsidRPr="005F1FB1">
                              <w:rPr>
                                <w:sz w:val="18"/>
                                <w:szCs w:val="18"/>
                                <w:lang w:val="fr-FR"/>
                              </w:rPr>
                              <w:t>Fonds d'affectation spéciale</w:t>
                            </w:r>
                          </w:p>
                          <w:p w14:paraId="4F5FF791" w14:textId="77777777" w:rsidR="005F1FB1" w:rsidRPr="005F1FB1" w:rsidRDefault="005F1FB1" w:rsidP="005F1FB1">
                            <w:pPr>
                              <w:spacing w:before="100"/>
                              <w:rPr>
                                <w:sz w:val="18"/>
                                <w:szCs w:val="18"/>
                                <w:lang w:val="fr-FR"/>
                              </w:rPr>
                            </w:pPr>
                            <w:r w:rsidRPr="005F1FB1">
                              <w:rPr>
                                <w:sz w:val="18"/>
                                <w:szCs w:val="18"/>
                                <w:lang w:val="fr-FR"/>
                              </w:rPr>
                              <w:t>Fonds FDTIC</w:t>
                            </w:r>
                          </w:p>
                          <w:p w14:paraId="025DB294" w14:textId="79CB06A3" w:rsidR="005F1FB1" w:rsidRPr="00427689" w:rsidRDefault="005F1FB1" w:rsidP="005F1FB1">
                            <w:pPr>
                              <w:spacing w:before="100"/>
                              <w:rPr>
                                <w:sz w:val="18"/>
                                <w:szCs w:val="18"/>
                                <w:lang w:val="fr-FR"/>
                              </w:rPr>
                            </w:pPr>
                            <w:r w:rsidRPr="005F1FB1">
                              <w:rPr>
                                <w:sz w:val="18"/>
                                <w:szCs w:val="18"/>
                                <w:lang w:val="fr-FR"/>
                              </w:rPr>
                              <w:t>Initiatives régionales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D61AA" id="_x0000_t202" coordsize="21600,21600" o:spt="202" path="m,l,21600r21600,l21600,xe">
                <v:stroke joinstyle="miter"/>
                <v:path gradientshapeok="t" o:connecttype="rect"/>
              </v:shapetype>
              <v:shape id="Text Box 2" o:spid="_x0000_s1026" type="#_x0000_t202" style="position:absolute;left:0;text-align:left;margin-left:296.35pt;margin-top:49.45pt;width:120.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GhIA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" stroked="f">
                <v:textbox style="mso-fit-shape-to-text:t">
                  <w:txbxContent>
                    <w:p w14:paraId="6E29A9B2" w14:textId="7CCAA5C1" w:rsidR="005F1FB1" w:rsidRPr="005F1FB1" w:rsidRDefault="005F1FB1" w:rsidP="005F1FB1">
                      <w:pPr>
                        <w:rPr>
                          <w:sz w:val="18"/>
                          <w:szCs w:val="18"/>
                          <w:lang w:val="fr-FR"/>
                        </w:rPr>
                      </w:pPr>
                      <w:r w:rsidRPr="005F1FB1">
                        <w:rPr>
                          <w:sz w:val="18"/>
                          <w:szCs w:val="18"/>
                          <w:lang w:val="fr-FR"/>
                        </w:rPr>
                        <w:t>Fonds d'affectation spéciale</w:t>
                      </w:r>
                    </w:p>
                    <w:p w14:paraId="4F5FF791" w14:textId="77777777" w:rsidR="005F1FB1" w:rsidRPr="005F1FB1" w:rsidRDefault="005F1FB1" w:rsidP="005F1FB1">
                      <w:pPr>
                        <w:spacing w:before="100"/>
                        <w:rPr>
                          <w:sz w:val="18"/>
                          <w:szCs w:val="18"/>
                          <w:lang w:val="fr-FR"/>
                        </w:rPr>
                      </w:pPr>
                      <w:r w:rsidRPr="005F1FB1">
                        <w:rPr>
                          <w:sz w:val="18"/>
                          <w:szCs w:val="18"/>
                          <w:lang w:val="fr-FR"/>
                        </w:rPr>
                        <w:t>Fonds FDTIC</w:t>
                      </w:r>
                    </w:p>
                    <w:p w14:paraId="025DB294" w14:textId="79CB06A3" w:rsidR="005F1FB1" w:rsidRPr="00427689" w:rsidRDefault="005F1FB1" w:rsidP="005F1FB1">
                      <w:pPr>
                        <w:spacing w:before="100"/>
                        <w:rPr>
                          <w:sz w:val="18"/>
                          <w:szCs w:val="18"/>
                          <w:lang w:val="fr-FR"/>
                        </w:rPr>
                      </w:pPr>
                      <w:r w:rsidRPr="005F1FB1">
                        <w:rPr>
                          <w:sz w:val="18"/>
                          <w:szCs w:val="18"/>
                          <w:lang w:val="fr-FR"/>
                        </w:rPr>
                        <w:t>Initiatives régionales</w:t>
                      </w:r>
                    </w:p>
                  </w:txbxContent>
                </v:textbox>
              </v:shape>
            </w:pict>
          </mc:Fallback>
        </mc:AlternateContent>
      </w:r>
      <w:r w:rsidR="00AE2B9C" w:rsidRPr="00AC3D7B">
        <w:rPr>
          <w:noProof/>
          <w:lang w:val="fr-FR"/>
        </w:rPr>
        <w:drawing>
          <wp:inline distT="0" distB="0" distL="0" distR="0" wp14:anchorId="3C734CED" wp14:editId="2E5B046E">
            <wp:extent cx="3483610" cy="2053193"/>
            <wp:effectExtent l="0" t="0" r="2540" b="4445"/>
            <wp:docPr id="1" name="Chart 1">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E01E3B" w14:textId="0970EE75" w:rsidR="00AE2B9C" w:rsidRPr="00AC3D7B" w:rsidRDefault="00AE2B9C" w:rsidP="00AE2B9C">
      <w:pPr>
        <w:pStyle w:val="Heading2"/>
        <w:rPr>
          <w:rFonts w:cstheme="minorHAnsi"/>
          <w:szCs w:val="24"/>
          <w:lang w:val="fr-FR"/>
        </w:rPr>
      </w:pPr>
      <w:r w:rsidRPr="00AC3D7B">
        <w:rPr>
          <w:lang w:val="fr-FR"/>
        </w:rPr>
        <w:lastRenderedPageBreak/>
        <w:t>2.1</w:t>
      </w:r>
      <w:r w:rsidRPr="00AC3D7B">
        <w:rPr>
          <w:lang w:val="fr-FR"/>
        </w:rPr>
        <w:tab/>
        <w:t>Fonds alloués par le Conseil pour la mise en œuvre des initiatives régionales de la CMDT</w:t>
      </w:r>
      <w:r w:rsidRPr="00AC3D7B">
        <w:rPr>
          <w:lang w:val="fr-FR"/>
        </w:rPr>
        <w:noBreakHyphen/>
        <w:t>17</w:t>
      </w:r>
    </w:p>
    <w:p w14:paraId="49F4A7D5" w14:textId="11975004" w:rsidR="00AE2B9C" w:rsidRPr="00AC3D7B" w:rsidRDefault="00AE2B9C" w:rsidP="00AE2B9C">
      <w:pPr>
        <w:widowControl w:val="0"/>
        <w:spacing w:after="120"/>
        <w:rPr>
          <w:rFonts w:cstheme="minorHAnsi"/>
          <w:lang w:val="fr-FR"/>
        </w:rPr>
      </w:pPr>
      <w:r w:rsidRPr="00AC3D7B">
        <w:rPr>
          <w:lang w:val="fr-FR"/>
        </w:rPr>
        <w:t>En 2022, l</w:t>
      </w:r>
      <w:r w:rsidR="002F0EE1" w:rsidRPr="00AC3D7B">
        <w:rPr>
          <w:lang w:val="fr-FR"/>
        </w:rPr>
        <w:t>'</w:t>
      </w:r>
      <w:r w:rsidRPr="00AC3D7B">
        <w:rPr>
          <w:lang w:val="fr-FR"/>
        </w:rPr>
        <w:t>UIT a utilisé l</w:t>
      </w:r>
      <w:r w:rsidR="002F0EE1" w:rsidRPr="00AC3D7B">
        <w:rPr>
          <w:lang w:val="fr-FR"/>
        </w:rPr>
        <w:t>'</w:t>
      </w:r>
      <w:r w:rsidRPr="00AC3D7B">
        <w:rPr>
          <w:lang w:val="fr-FR"/>
        </w:rPr>
        <w:t>intégralité du montant de 5,0 millions CHF alloué par le Conseil pour la mise en œuvre des initiatives régionales de la CMDT-17</w:t>
      </w:r>
      <w:r w:rsidR="002F0EE1" w:rsidRPr="00AC3D7B">
        <w:rPr>
          <w:rStyle w:val="FootnoteReference"/>
          <w:rFonts w:cstheme="minorHAnsi"/>
          <w:lang w:val="fr-FR"/>
        </w:rPr>
        <w:footnoteReference w:id="4"/>
      </w:r>
      <w:r w:rsidRPr="00AC3D7B">
        <w:rPr>
          <w:lang w:val="fr-FR"/>
        </w:rPr>
        <w:t>. Ces fonds ont permis de signer un total de 37 projets, d</w:t>
      </w:r>
      <w:r w:rsidR="002F0EE1" w:rsidRPr="00AC3D7B">
        <w:rPr>
          <w:lang w:val="fr-FR"/>
        </w:rPr>
        <w:t>'</w:t>
      </w:r>
      <w:r w:rsidRPr="00AC3D7B">
        <w:rPr>
          <w:lang w:val="fr-FR"/>
        </w:rPr>
        <w:t>un montant de</w:t>
      </w:r>
      <w:r w:rsidR="00C879C2" w:rsidRPr="00AC3D7B">
        <w:rPr>
          <w:lang w:val="fr-FR"/>
        </w:rPr>
        <w:t xml:space="preserve"> </w:t>
      </w:r>
      <w:r w:rsidRPr="00AC3D7B">
        <w:rPr>
          <w:lang w:val="fr-FR"/>
        </w:rPr>
        <w:t>13,5 millions CHF (compte tenu uniquement des contributions en espèces versées par les partenaires).</w:t>
      </w:r>
      <w:r w:rsidR="00C879C2" w:rsidRPr="00AC3D7B">
        <w:rPr>
          <w:lang w:val="fr-FR"/>
        </w:rPr>
        <w:t xml:space="preserve"> </w:t>
      </w:r>
      <w:r w:rsidRPr="00AC3D7B">
        <w:rPr>
          <w:lang w:val="fr-FR"/>
        </w:rPr>
        <w:t>Les activités ont déjà été menées à bien pour 18 de ces projets(48%), et seront achevées pour les 19 autres (52%) dans le courant de</w:t>
      </w:r>
      <w:r w:rsidR="00C879C2" w:rsidRPr="00AC3D7B">
        <w:rPr>
          <w:lang w:val="fr-FR"/>
        </w:rPr>
        <w:t xml:space="preserve"> </w:t>
      </w:r>
      <w:r w:rsidRPr="00AC3D7B">
        <w:rPr>
          <w:lang w:val="fr-FR"/>
        </w:rPr>
        <w:t>2023 (voir la Figure</w:t>
      </w:r>
      <w:r w:rsidR="002F0EE1" w:rsidRPr="00AC3D7B">
        <w:rPr>
          <w:lang w:val="fr-FR"/>
        </w:rPr>
        <w:t> </w:t>
      </w:r>
      <w:r w:rsidRPr="00AC3D7B">
        <w:rPr>
          <w:lang w:val="fr-FR"/>
        </w:rPr>
        <w:t>2)</w:t>
      </w:r>
      <w:r w:rsidR="002F0EE1" w:rsidRPr="00AC3D7B">
        <w:rPr>
          <w:rStyle w:val="FootnoteReference"/>
          <w:rFonts w:cstheme="minorHAnsi"/>
          <w:lang w:val="fr-FR"/>
        </w:rPr>
        <w:footnoteReference w:id="5"/>
      </w:r>
      <w:r w:rsidRPr="00AC3D7B">
        <w:rPr>
          <w:lang w:val="fr-FR"/>
        </w:rPr>
        <w:t>.</w:t>
      </w:r>
    </w:p>
    <w:p w14:paraId="49D78499" w14:textId="08CF29D2" w:rsidR="00AE2B9C" w:rsidRPr="00AC3D7B" w:rsidRDefault="00AE2B9C" w:rsidP="005F1FB1">
      <w:pPr>
        <w:pStyle w:val="Figuretitle"/>
        <w:spacing w:before="240" w:after="240"/>
        <w:rPr>
          <w:rFonts w:cstheme="minorHAnsi"/>
          <w:szCs w:val="24"/>
          <w:lang w:val="fr-FR"/>
        </w:rPr>
      </w:pPr>
      <w:r w:rsidRPr="00AC3D7B">
        <w:rPr>
          <w:lang w:val="fr-FR"/>
        </w:rPr>
        <w:t>Figure 2 – État d</w:t>
      </w:r>
      <w:r w:rsidR="002F0EE1" w:rsidRPr="00AC3D7B">
        <w:rPr>
          <w:lang w:val="fr-FR"/>
        </w:rPr>
        <w:t>'</w:t>
      </w:r>
      <w:r w:rsidRPr="00AC3D7B">
        <w:rPr>
          <w:lang w:val="fr-FR"/>
        </w:rPr>
        <w:t>avancement des projets</w:t>
      </w:r>
      <w:r w:rsidR="00C879C2" w:rsidRPr="00AC3D7B">
        <w:rPr>
          <w:lang w:val="fr-FR"/>
        </w:rPr>
        <w:t xml:space="preserve"> </w:t>
      </w:r>
      <w:r w:rsidRPr="00AC3D7B">
        <w:rPr>
          <w:lang w:val="fr-FR"/>
        </w:rPr>
        <w:t>financés</w:t>
      </w:r>
      <w:r w:rsidR="00C879C2" w:rsidRPr="00AC3D7B">
        <w:rPr>
          <w:lang w:val="fr-FR"/>
        </w:rPr>
        <w:t xml:space="preserve"> </w:t>
      </w:r>
      <w:r w:rsidRPr="00AC3D7B">
        <w:rPr>
          <w:lang w:val="fr-FR"/>
        </w:rPr>
        <w:t>au titre des fonds approuvés par le Conseil pour la mise en œuvre des initiatives régionales de la CMDT-17 (en milliers CHF)</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1019"/>
        <w:gridCol w:w="1590"/>
        <w:gridCol w:w="1538"/>
        <w:gridCol w:w="1538"/>
      </w:tblGrid>
      <w:tr w:rsidR="00AE2B9C" w:rsidRPr="00AC3D7B" w14:paraId="237AF7EE" w14:textId="77777777" w:rsidTr="003863B6">
        <w:trPr>
          <w:trHeight w:val="497"/>
          <w:jc w:val="center"/>
        </w:trPr>
        <w:tc>
          <w:tcPr>
            <w:tcW w:w="2520" w:type="dxa"/>
            <w:shd w:val="clear" w:color="auto" w:fill="D9D9D9" w:themeFill="background1" w:themeFillShade="D9"/>
            <w:vAlign w:val="center"/>
            <w:hideMark/>
          </w:tcPr>
          <w:p w14:paraId="6C06C2D6" w14:textId="79451ABD" w:rsidR="00AE2B9C" w:rsidRPr="00AC3D7B" w:rsidRDefault="00AE2B9C" w:rsidP="002F0EE1">
            <w:pPr>
              <w:pStyle w:val="Tablehead"/>
              <w:rPr>
                <w:rFonts w:cstheme="minorHAnsi"/>
                <w:sz w:val="20"/>
                <w:lang w:val="fr-FR"/>
              </w:rPr>
            </w:pPr>
            <w:r w:rsidRPr="00AC3D7B">
              <w:rPr>
                <w:lang w:val="fr-FR"/>
              </w:rPr>
              <w:t>État d</w:t>
            </w:r>
            <w:r w:rsidR="002F0EE1" w:rsidRPr="00AC3D7B">
              <w:rPr>
                <w:lang w:val="fr-FR"/>
              </w:rPr>
              <w:t>'</w:t>
            </w:r>
            <w:r w:rsidRPr="00AC3D7B">
              <w:rPr>
                <w:lang w:val="fr-FR"/>
              </w:rPr>
              <w:t>avancement</w:t>
            </w:r>
          </w:p>
        </w:tc>
        <w:tc>
          <w:tcPr>
            <w:tcW w:w="1019" w:type="dxa"/>
            <w:shd w:val="clear" w:color="auto" w:fill="D9D9D9" w:themeFill="background1" w:themeFillShade="D9"/>
            <w:vAlign w:val="center"/>
          </w:tcPr>
          <w:p w14:paraId="5A6D831A" w14:textId="77777777" w:rsidR="00AE2B9C" w:rsidRPr="00AC3D7B" w:rsidRDefault="00AE2B9C" w:rsidP="002F0EE1">
            <w:pPr>
              <w:pStyle w:val="Tablehead"/>
              <w:rPr>
                <w:rFonts w:cstheme="minorHAnsi"/>
                <w:sz w:val="20"/>
                <w:lang w:val="fr-FR"/>
              </w:rPr>
            </w:pPr>
            <w:r w:rsidRPr="00AC3D7B">
              <w:rPr>
                <w:lang w:val="fr-FR"/>
              </w:rPr>
              <w:t>Projets</w:t>
            </w:r>
          </w:p>
        </w:tc>
        <w:tc>
          <w:tcPr>
            <w:tcW w:w="1590" w:type="dxa"/>
            <w:shd w:val="clear" w:color="auto" w:fill="D9D9D9" w:themeFill="background1" w:themeFillShade="D9"/>
            <w:vAlign w:val="center"/>
            <w:hideMark/>
          </w:tcPr>
          <w:p w14:paraId="364B63EC" w14:textId="39C806F3" w:rsidR="00AE2B9C" w:rsidRPr="00AC3D7B" w:rsidRDefault="00AE2B9C" w:rsidP="002F0EE1">
            <w:pPr>
              <w:pStyle w:val="Tablehead"/>
              <w:rPr>
                <w:rFonts w:cstheme="minorHAnsi"/>
                <w:sz w:val="20"/>
                <w:lang w:val="fr-FR"/>
              </w:rPr>
            </w:pPr>
            <w:r w:rsidRPr="00AC3D7B">
              <w:rPr>
                <w:lang w:val="fr-FR"/>
              </w:rPr>
              <w:t>Fonds alloués par le Conseil de l</w:t>
            </w:r>
            <w:r w:rsidR="002F0EE1" w:rsidRPr="00AC3D7B">
              <w:rPr>
                <w:lang w:val="fr-FR"/>
              </w:rPr>
              <w:t>'</w:t>
            </w:r>
            <w:r w:rsidRPr="00AC3D7B">
              <w:rPr>
                <w:lang w:val="fr-FR"/>
              </w:rPr>
              <w:t>UIT</w:t>
            </w:r>
          </w:p>
        </w:tc>
        <w:tc>
          <w:tcPr>
            <w:tcW w:w="1538" w:type="dxa"/>
            <w:shd w:val="clear" w:color="auto" w:fill="D9D9D9" w:themeFill="background1" w:themeFillShade="D9"/>
            <w:vAlign w:val="center"/>
            <w:hideMark/>
          </w:tcPr>
          <w:p w14:paraId="054528A8" w14:textId="77777777" w:rsidR="00AE2B9C" w:rsidRPr="00AC3D7B" w:rsidRDefault="00AE2B9C" w:rsidP="002F0EE1">
            <w:pPr>
              <w:pStyle w:val="Tablehead"/>
              <w:rPr>
                <w:rFonts w:cstheme="minorHAnsi"/>
                <w:sz w:val="20"/>
                <w:lang w:val="fr-FR"/>
              </w:rPr>
            </w:pPr>
            <w:r w:rsidRPr="00AC3D7B">
              <w:rPr>
                <w:lang w:val="fr-FR"/>
              </w:rPr>
              <w:t>Fonds extérieurs</w:t>
            </w:r>
          </w:p>
        </w:tc>
        <w:tc>
          <w:tcPr>
            <w:tcW w:w="1538" w:type="dxa"/>
            <w:shd w:val="clear" w:color="auto" w:fill="D9D9D9" w:themeFill="background1" w:themeFillShade="D9"/>
            <w:vAlign w:val="center"/>
            <w:hideMark/>
          </w:tcPr>
          <w:p w14:paraId="4935794A" w14:textId="77777777" w:rsidR="00AE2B9C" w:rsidRPr="00AC3D7B" w:rsidRDefault="00AE2B9C" w:rsidP="002F0EE1">
            <w:pPr>
              <w:pStyle w:val="Tablehead"/>
              <w:rPr>
                <w:rFonts w:cstheme="minorHAnsi"/>
                <w:sz w:val="20"/>
                <w:lang w:val="fr-FR"/>
              </w:rPr>
            </w:pPr>
            <w:r w:rsidRPr="00AC3D7B">
              <w:rPr>
                <w:lang w:val="fr-FR"/>
              </w:rPr>
              <w:t>Total des fonds</w:t>
            </w:r>
          </w:p>
        </w:tc>
      </w:tr>
      <w:tr w:rsidR="00AE2B9C" w:rsidRPr="00AC3D7B" w14:paraId="17492CD9" w14:textId="77777777" w:rsidTr="003863B6">
        <w:trPr>
          <w:trHeight w:val="61"/>
          <w:jc w:val="center"/>
        </w:trPr>
        <w:tc>
          <w:tcPr>
            <w:tcW w:w="2520" w:type="dxa"/>
            <w:vAlign w:val="center"/>
          </w:tcPr>
          <w:p w14:paraId="3F863C74" w14:textId="5DE12396" w:rsidR="00AE2B9C" w:rsidRPr="00AC3D7B" w:rsidRDefault="00AE2B9C" w:rsidP="002F0EE1">
            <w:pPr>
              <w:pStyle w:val="Tabletext"/>
              <w:rPr>
                <w:rFonts w:cstheme="minorHAnsi"/>
                <w:sz w:val="20"/>
                <w:lang w:val="fr-FR"/>
              </w:rPr>
            </w:pPr>
            <w:r w:rsidRPr="00AC3D7B">
              <w:rPr>
                <w:lang w:val="fr-FR"/>
              </w:rPr>
              <w:t>1</w:t>
            </w:r>
            <w:r w:rsidR="002F0EE1" w:rsidRPr="00AC3D7B">
              <w:rPr>
                <w:lang w:val="fr-FR"/>
              </w:rPr>
              <w:t>)</w:t>
            </w:r>
            <w:r w:rsidR="002F0EE1" w:rsidRPr="00AC3D7B">
              <w:rPr>
                <w:lang w:val="fr-FR"/>
              </w:rPr>
              <w:tab/>
            </w:r>
            <w:r w:rsidRPr="00AC3D7B">
              <w:rPr>
                <w:lang w:val="fr-FR"/>
              </w:rPr>
              <w:t>Projets en cours</w:t>
            </w:r>
          </w:p>
        </w:tc>
        <w:tc>
          <w:tcPr>
            <w:tcW w:w="1019" w:type="dxa"/>
            <w:vAlign w:val="bottom"/>
          </w:tcPr>
          <w:p w14:paraId="1BCA0390" w14:textId="77777777" w:rsidR="00AE2B9C" w:rsidRPr="00AC3D7B" w:rsidRDefault="00AE2B9C" w:rsidP="002F0EE1">
            <w:pPr>
              <w:pStyle w:val="Tabletext"/>
              <w:jc w:val="center"/>
              <w:rPr>
                <w:rFonts w:cstheme="minorHAnsi"/>
                <w:sz w:val="20"/>
                <w:lang w:val="fr-FR"/>
              </w:rPr>
            </w:pPr>
            <w:r w:rsidRPr="00AC3D7B">
              <w:rPr>
                <w:lang w:val="fr-FR"/>
              </w:rPr>
              <w:t>19</w:t>
            </w:r>
          </w:p>
        </w:tc>
        <w:tc>
          <w:tcPr>
            <w:tcW w:w="1590" w:type="dxa"/>
            <w:vAlign w:val="bottom"/>
          </w:tcPr>
          <w:p w14:paraId="2FF7617D" w14:textId="77777777" w:rsidR="00AE2B9C" w:rsidRPr="00AC3D7B" w:rsidRDefault="00AE2B9C" w:rsidP="002F0EE1">
            <w:pPr>
              <w:pStyle w:val="Tabletext"/>
              <w:jc w:val="center"/>
              <w:rPr>
                <w:rFonts w:cstheme="minorHAnsi"/>
                <w:sz w:val="20"/>
                <w:lang w:val="fr-FR"/>
              </w:rPr>
            </w:pPr>
            <w:r w:rsidRPr="00AC3D7B">
              <w:rPr>
                <w:lang w:val="fr-FR"/>
              </w:rPr>
              <w:t>2 485,2</w:t>
            </w:r>
          </w:p>
        </w:tc>
        <w:tc>
          <w:tcPr>
            <w:tcW w:w="1538" w:type="dxa"/>
            <w:vAlign w:val="bottom"/>
          </w:tcPr>
          <w:p w14:paraId="4063B866" w14:textId="77777777" w:rsidR="00AE2B9C" w:rsidRPr="00AC3D7B" w:rsidRDefault="00AE2B9C" w:rsidP="002F0EE1">
            <w:pPr>
              <w:pStyle w:val="Tabletext"/>
              <w:jc w:val="center"/>
              <w:rPr>
                <w:rFonts w:cstheme="minorHAnsi"/>
                <w:sz w:val="20"/>
                <w:lang w:val="fr-FR"/>
              </w:rPr>
            </w:pPr>
            <w:r w:rsidRPr="00AC3D7B">
              <w:rPr>
                <w:lang w:val="fr-FR"/>
              </w:rPr>
              <w:t>6 395,2</w:t>
            </w:r>
          </w:p>
        </w:tc>
        <w:tc>
          <w:tcPr>
            <w:tcW w:w="1538" w:type="dxa"/>
            <w:shd w:val="clear" w:color="auto" w:fill="D9D9D9" w:themeFill="background1" w:themeFillShade="D9"/>
            <w:vAlign w:val="bottom"/>
          </w:tcPr>
          <w:p w14:paraId="4CA5FF8A" w14:textId="77777777" w:rsidR="00AE2B9C" w:rsidRPr="00AC3D7B" w:rsidRDefault="00AE2B9C" w:rsidP="002F0EE1">
            <w:pPr>
              <w:pStyle w:val="Tabletext"/>
              <w:jc w:val="center"/>
              <w:rPr>
                <w:rFonts w:cstheme="minorHAnsi"/>
                <w:sz w:val="20"/>
                <w:lang w:val="fr-FR"/>
              </w:rPr>
            </w:pPr>
            <w:r w:rsidRPr="00AC3D7B">
              <w:rPr>
                <w:lang w:val="fr-FR"/>
              </w:rPr>
              <w:t>8 898,3</w:t>
            </w:r>
          </w:p>
        </w:tc>
      </w:tr>
      <w:tr w:rsidR="00AE2B9C" w:rsidRPr="00AC3D7B" w14:paraId="2FDEEEE8" w14:textId="77777777" w:rsidTr="003863B6">
        <w:trPr>
          <w:trHeight w:val="61"/>
          <w:jc w:val="center"/>
        </w:trPr>
        <w:tc>
          <w:tcPr>
            <w:tcW w:w="2520" w:type="dxa"/>
            <w:vAlign w:val="center"/>
          </w:tcPr>
          <w:p w14:paraId="6D4A40E5" w14:textId="440D337C" w:rsidR="00AE2B9C" w:rsidRPr="00AC3D7B" w:rsidRDefault="00AE2B9C" w:rsidP="002F0EE1">
            <w:pPr>
              <w:pStyle w:val="Tabletext"/>
              <w:rPr>
                <w:rFonts w:cstheme="minorHAnsi"/>
                <w:sz w:val="20"/>
                <w:lang w:val="fr-FR"/>
              </w:rPr>
            </w:pPr>
            <w:r w:rsidRPr="00AC3D7B">
              <w:rPr>
                <w:lang w:val="fr-FR"/>
              </w:rPr>
              <w:t>2</w:t>
            </w:r>
            <w:r w:rsidR="002F0EE1" w:rsidRPr="00AC3D7B">
              <w:rPr>
                <w:lang w:val="fr-FR"/>
              </w:rPr>
              <w:t>)</w:t>
            </w:r>
            <w:r w:rsidR="002F0EE1" w:rsidRPr="00AC3D7B">
              <w:rPr>
                <w:lang w:val="fr-FR"/>
              </w:rPr>
              <w:tab/>
            </w:r>
            <w:r w:rsidRPr="00AC3D7B">
              <w:rPr>
                <w:lang w:val="fr-FR"/>
              </w:rPr>
              <w:t xml:space="preserve">Projets mis en </w:t>
            </w:r>
            <w:r w:rsidR="002F0EE1" w:rsidRPr="00AC3D7B">
              <w:rPr>
                <w:lang w:val="fr-FR"/>
              </w:rPr>
              <w:t>œuvre</w:t>
            </w:r>
          </w:p>
        </w:tc>
        <w:tc>
          <w:tcPr>
            <w:tcW w:w="1019" w:type="dxa"/>
          </w:tcPr>
          <w:p w14:paraId="54A876A5" w14:textId="77777777" w:rsidR="00AE2B9C" w:rsidRPr="00AC3D7B" w:rsidRDefault="00AE2B9C" w:rsidP="002F0EE1">
            <w:pPr>
              <w:pStyle w:val="Tabletext"/>
              <w:jc w:val="center"/>
              <w:rPr>
                <w:rFonts w:cstheme="minorHAnsi"/>
                <w:sz w:val="20"/>
                <w:lang w:val="fr-FR"/>
              </w:rPr>
            </w:pPr>
            <w:r w:rsidRPr="00AC3D7B">
              <w:rPr>
                <w:lang w:val="fr-FR"/>
              </w:rPr>
              <w:t>18</w:t>
            </w:r>
          </w:p>
        </w:tc>
        <w:tc>
          <w:tcPr>
            <w:tcW w:w="1590" w:type="dxa"/>
          </w:tcPr>
          <w:p w14:paraId="5DDC6FAE" w14:textId="77777777" w:rsidR="00AE2B9C" w:rsidRPr="00AC3D7B" w:rsidRDefault="00AE2B9C" w:rsidP="002F0EE1">
            <w:pPr>
              <w:pStyle w:val="Tabletext"/>
              <w:jc w:val="center"/>
              <w:rPr>
                <w:rFonts w:cstheme="minorHAnsi"/>
                <w:sz w:val="20"/>
                <w:lang w:val="fr-FR"/>
              </w:rPr>
            </w:pPr>
            <w:r w:rsidRPr="00AC3D7B">
              <w:rPr>
                <w:lang w:val="fr-FR"/>
              </w:rPr>
              <w:t>2 489,9</w:t>
            </w:r>
          </w:p>
        </w:tc>
        <w:tc>
          <w:tcPr>
            <w:tcW w:w="1538" w:type="dxa"/>
          </w:tcPr>
          <w:p w14:paraId="6CB55AF2" w14:textId="77777777" w:rsidR="00AE2B9C" w:rsidRPr="00AC3D7B" w:rsidRDefault="00AE2B9C" w:rsidP="002F0EE1">
            <w:pPr>
              <w:pStyle w:val="Tabletext"/>
              <w:jc w:val="center"/>
              <w:rPr>
                <w:rFonts w:cstheme="minorHAnsi"/>
                <w:sz w:val="20"/>
                <w:lang w:val="fr-FR"/>
              </w:rPr>
            </w:pPr>
            <w:r w:rsidRPr="00AC3D7B">
              <w:rPr>
                <w:lang w:val="fr-FR"/>
              </w:rPr>
              <w:t>2 184,0</w:t>
            </w:r>
          </w:p>
        </w:tc>
        <w:tc>
          <w:tcPr>
            <w:tcW w:w="1538" w:type="dxa"/>
            <w:shd w:val="clear" w:color="auto" w:fill="D9D9D9" w:themeFill="background1" w:themeFillShade="D9"/>
          </w:tcPr>
          <w:p w14:paraId="046EF5F8" w14:textId="77777777" w:rsidR="00AE2B9C" w:rsidRPr="00AC3D7B" w:rsidRDefault="00AE2B9C" w:rsidP="002F0EE1">
            <w:pPr>
              <w:pStyle w:val="Tabletext"/>
              <w:jc w:val="center"/>
              <w:rPr>
                <w:rFonts w:cstheme="minorHAnsi"/>
                <w:sz w:val="20"/>
                <w:lang w:val="fr-FR"/>
              </w:rPr>
            </w:pPr>
            <w:r w:rsidRPr="00AC3D7B">
              <w:rPr>
                <w:lang w:val="fr-FR"/>
              </w:rPr>
              <w:t>4 673,9</w:t>
            </w:r>
          </w:p>
        </w:tc>
      </w:tr>
      <w:tr w:rsidR="00AE2B9C" w:rsidRPr="00AC3D7B" w14:paraId="36F5E60C" w14:textId="77777777" w:rsidTr="003863B6">
        <w:trPr>
          <w:trHeight w:val="61"/>
          <w:jc w:val="center"/>
        </w:trPr>
        <w:tc>
          <w:tcPr>
            <w:tcW w:w="2520" w:type="dxa"/>
            <w:shd w:val="clear" w:color="auto" w:fill="D9D9D9" w:themeFill="background1" w:themeFillShade="D9"/>
            <w:vAlign w:val="center"/>
            <w:hideMark/>
          </w:tcPr>
          <w:p w14:paraId="167FFC85" w14:textId="77777777" w:rsidR="00AE2B9C" w:rsidRPr="00AC3D7B" w:rsidRDefault="00AE2B9C" w:rsidP="002F0EE1">
            <w:pPr>
              <w:pStyle w:val="Tabletext"/>
              <w:jc w:val="center"/>
              <w:rPr>
                <w:rFonts w:cstheme="minorHAnsi"/>
                <w:b/>
                <w:bCs/>
                <w:sz w:val="20"/>
                <w:lang w:val="fr-FR"/>
              </w:rPr>
            </w:pPr>
            <w:r w:rsidRPr="00AC3D7B">
              <w:rPr>
                <w:b/>
                <w:bCs/>
                <w:lang w:val="fr-FR"/>
              </w:rPr>
              <w:t>Total</w:t>
            </w:r>
          </w:p>
        </w:tc>
        <w:tc>
          <w:tcPr>
            <w:tcW w:w="1019" w:type="dxa"/>
            <w:shd w:val="clear" w:color="auto" w:fill="D9D9D9" w:themeFill="background1" w:themeFillShade="D9"/>
            <w:vAlign w:val="bottom"/>
          </w:tcPr>
          <w:p w14:paraId="470743AC" w14:textId="77777777" w:rsidR="00AE2B9C" w:rsidRPr="00AC3D7B" w:rsidRDefault="00AE2B9C" w:rsidP="002F0EE1">
            <w:pPr>
              <w:pStyle w:val="Tabletext"/>
              <w:jc w:val="center"/>
              <w:rPr>
                <w:rFonts w:cstheme="minorHAnsi"/>
                <w:b/>
                <w:bCs/>
                <w:sz w:val="20"/>
                <w:lang w:val="fr-FR"/>
              </w:rPr>
            </w:pPr>
            <w:r w:rsidRPr="00AC3D7B">
              <w:rPr>
                <w:b/>
                <w:bCs/>
                <w:lang w:val="fr-FR"/>
              </w:rPr>
              <w:t>37</w:t>
            </w:r>
          </w:p>
        </w:tc>
        <w:tc>
          <w:tcPr>
            <w:tcW w:w="1590" w:type="dxa"/>
            <w:shd w:val="clear" w:color="auto" w:fill="D9D9D9" w:themeFill="background1" w:themeFillShade="D9"/>
            <w:vAlign w:val="bottom"/>
          </w:tcPr>
          <w:p w14:paraId="7CBBF0A7" w14:textId="77777777" w:rsidR="00AE2B9C" w:rsidRPr="00AC3D7B" w:rsidRDefault="00AE2B9C" w:rsidP="002F0EE1">
            <w:pPr>
              <w:pStyle w:val="Tabletext"/>
              <w:jc w:val="center"/>
              <w:rPr>
                <w:rFonts w:cstheme="minorHAnsi"/>
                <w:b/>
                <w:bCs/>
                <w:sz w:val="20"/>
                <w:lang w:val="fr-FR"/>
              </w:rPr>
            </w:pPr>
            <w:r w:rsidRPr="00AC3D7B">
              <w:rPr>
                <w:b/>
                <w:bCs/>
                <w:lang w:val="fr-FR"/>
              </w:rPr>
              <w:t>4 975,1</w:t>
            </w:r>
          </w:p>
        </w:tc>
        <w:tc>
          <w:tcPr>
            <w:tcW w:w="1538" w:type="dxa"/>
            <w:shd w:val="clear" w:color="auto" w:fill="D9D9D9" w:themeFill="background1" w:themeFillShade="D9"/>
            <w:vAlign w:val="bottom"/>
          </w:tcPr>
          <w:p w14:paraId="510C2855" w14:textId="77777777" w:rsidR="00AE2B9C" w:rsidRPr="00AC3D7B" w:rsidRDefault="00AE2B9C" w:rsidP="002F0EE1">
            <w:pPr>
              <w:pStyle w:val="Tabletext"/>
              <w:jc w:val="center"/>
              <w:rPr>
                <w:rFonts w:cstheme="minorHAnsi"/>
                <w:b/>
                <w:bCs/>
                <w:sz w:val="20"/>
                <w:lang w:val="fr-FR"/>
              </w:rPr>
            </w:pPr>
            <w:r w:rsidRPr="00AC3D7B">
              <w:rPr>
                <w:b/>
                <w:bCs/>
                <w:lang w:val="fr-FR"/>
              </w:rPr>
              <w:t>8 579,2</w:t>
            </w:r>
          </w:p>
        </w:tc>
        <w:tc>
          <w:tcPr>
            <w:tcW w:w="1538" w:type="dxa"/>
            <w:shd w:val="clear" w:color="auto" w:fill="D9D9D9" w:themeFill="background1" w:themeFillShade="D9"/>
            <w:vAlign w:val="bottom"/>
          </w:tcPr>
          <w:p w14:paraId="5A7433D9" w14:textId="77777777" w:rsidR="00AE2B9C" w:rsidRPr="00AC3D7B" w:rsidRDefault="00AE2B9C" w:rsidP="002F0EE1">
            <w:pPr>
              <w:pStyle w:val="Tabletext"/>
              <w:jc w:val="center"/>
              <w:rPr>
                <w:rFonts w:cstheme="minorHAnsi"/>
                <w:b/>
                <w:bCs/>
                <w:sz w:val="20"/>
                <w:lang w:val="fr-FR"/>
              </w:rPr>
            </w:pPr>
            <w:r w:rsidRPr="00AC3D7B">
              <w:rPr>
                <w:b/>
                <w:bCs/>
                <w:lang w:val="fr-FR"/>
              </w:rPr>
              <w:t>13 572,1</w:t>
            </w:r>
          </w:p>
        </w:tc>
      </w:tr>
    </w:tbl>
    <w:p w14:paraId="12872883" w14:textId="518C6EEE" w:rsidR="00AE2B9C" w:rsidRPr="00AC3D7B" w:rsidRDefault="00AE2B9C" w:rsidP="00AE2B9C">
      <w:pPr>
        <w:pStyle w:val="Heading1"/>
        <w:rPr>
          <w:rFonts w:cstheme="minorHAnsi"/>
          <w:sz w:val="24"/>
          <w:szCs w:val="24"/>
          <w:lang w:val="fr-FR"/>
        </w:rPr>
      </w:pPr>
      <w:r w:rsidRPr="00AC3D7B">
        <w:rPr>
          <w:lang w:val="fr-FR"/>
        </w:rPr>
        <w:t>3</w:t>
      </w:r>
      <w:r w:rsidRPr="00AC3D7B">
        <w:rPr>
          <w:lang w:val="fr-FR"/>
        </w:rPr>
        <w:tab/>
        <w:t>Portefeuille de projets de l</w:t>
      </w:r>
      <w:r w:rsidR="002F0EE1" w:rsidRPr="00AC3D7B">
        <w:rPr>
          <w:lang w:val="fr-FR"/>
        </w:rPr>
        <w:t>'</w:t>
      </w:r>
      <w:r w:rsidRPr="00AC3D7B">
        <w:rPr>
          <w:lang w:val="fr-FR"/>
        </w:rPr>
        <w:t>UIT: projets en cours</w:t>
      </w:r>
    </w:p>
    <w:p w14:paraId="6629EE5F" w14:textId="77A0186F" w:rsidR="00AE2B9C" w:rsidRPr="00AC3D7B" w:rsidRDefault="00AE2B9C" w:rsidP="00AE2B9C">
      <w:pPr>
        <w:pStyle w:val="Heading2"/>
        <w:rPr>
          <w:rFonts w:cstheme="minorHAnsi"/>
          <w:szCs w:val="24"/>
          <w:lang w:val="fr-FR"/>
        </w:rPr>
      </w:pPr>
      <w:r w:rsidRPr="00AC3D7B">
        <w:rPr>
          <w:lang w:val="fr-FR"/>
        </w:rPr>
        <w:t>3.1</w:t>
      </w:r>
      <w:r w:rsidRPr="00AC3D7B">
        <w:rPr>
          <w:lang w:val="fr-FR"/>
        </w:rPr>
        <w:tab/>
        <w:t>Vue d</w:t>
      </w:r>
      <w:r w:rsidR="002F0EE1" w:rsidRPr="00AC3D7B">
        <w:rPr>
          <w:lang w:val="fr-FR"/>
        </w:rPr>
        <w:t>'</w:t>
      </w:r>
      <w:r w:rsidRPr="00AC3D7B">
        <w:rPr>
          <w:lang w:val="fr-FR"/>
        </w:rPr>
        <w:t>ensemble et répartition régionale</w:t>
      </w:r>
    </w:p>
    <w:p w14:paraId="71AAA8F8" w14:textId="4FA3C648" w:rsidR="00AE2B9C" w:rsidRPr="00AC3D7B" w:rsidRDefault="00AE2B9C" w:rsidP="00AE2B9C">
      <w:pPr>
        <w:spacing w:after="120"/>
        <w:rPr>
          <w:lang w:val="fr-FR"/>
        </w:rPr>
      </w:pPr>
      <w:r w:rsidRPr="00AC3D7B">
        <w:rPr>
          <w:lang w:val="fr-FR"/>
        </w:rPr>
        <w:t>Au 31 décembre 2022, le portefeuille de projets de l</w:t>
      </w:r>
      <w:r w:rsidR="002F0EE1" w:rsidRPr="00AC3D7B">
        <w:rPr>
          <w:lang w:val="fr-FR"/>
        </w:rPr>
        <w:t>'</w:t>
      </w:r>
      <w:r w:rsidRPr="00AC3D7B">
        <w:rPr>
          <w:lang w:val="fr-FR"/>
        </w:rPr>
        <w:t>UIT comprenait 60 projets en cours, dont le montant s</w:t>
      </w:r>
      <w:r w:rsidR="002F0EE1" w:rsidRPr="00AC3D7B">
        <w:rPr>
          <w:lang w:val="fr-FR"/>
        </w:rPr>
        <w:t>'</w:t>
      </w:r>
      <w:r w:rsidRPr="00AC3D7B">
        <w:rPr>
          <w:lang w:val="fr-FR"/>
        </w:rPr>
        <w:t>élève à 88,9 millions CHF, avec un solde de fonds de 22,6 millions CHF non encore engagés. La Figure 3 illustre la répartition générale de ce portefeuille par région et donne un aperçu 1) des fonds mobilisés par l</w:t>
      </w:r>
      <w:r w:rsidR="002F0EE1" w:rsidRPr="00AC3D7B">
        <w:rPr>
          <w:lang w:val="fr-FR"/>
        </w:rPr>
        <w:t>'</w:t>
      </w:r>
      <w:r w:rsidRPr="00AC3D7B">
        <w:rPr>
          <w:lang w:val="fr-FR"/>
        </w:rPr>
        <w:t xml:space="preserve">UIT pour appuyer la mise en </w:t>
      </w:r>
      <w:r w:rsidR="002F0EE1" w:rsidRPr="00AC3D7B">
        <w:rPr>
          <w:lang w:val="fr-FR"/>
        </w:rPr>
        <w:t>œuvre</w:t>
      </w:r>
      <w:r w:rsidRPr="00AC3D7B">
        <w:rPr>
          <w:lang w:val="fr-FR"/>
        </w:rPr>
        <w:t xml:space="preserve"> de ces projets</w:t>
      </w:r>
      <w:r w:rsidR="005F1FB1" w:rsidRPr="00AC3D7B">
        <w:rPr>
          <w:lang w:val="fr-FR"/>
        </w:rPr>
        <w:t>;</w:t>
      </w:r>
      <w:r w:rsidRPr="00AC3D7B">
        <w:rPr>
          <w:lang w:val="fr-FR"/>
        </w:rPr>
        <w:t xml:space="preserve"> 2) des fonds affectés à ces projets</w:t>
      </w:r>
      <w:r w:rsidR="00C879C2" w:rsidRPr="00AC3D7B">
        <w:rPr>
          <w:lang w:val="fr-FR"/>
        </w:rPr>
        <w:t xml:space="preserve"> </w:t>
      </w:r>
      <w:r w:rsidRPr="00AC3D7B">
        <w:rPr>
          <w:lang w:val="fr-FR"/>
        </w:rPr>
        <w:t>au titre du Fonds pour le développement des TIC (FDTIC), géré par l</w:t>
      </w:r>
      <w:r w:rsidR="002F0EE1" w:rsidRPr="00AC3D7B">
        <w:rPr>
          <w:lang w:val="fr-FR"/>
        </w:rPr>
        <w:t>'</w:t>
      </w:r>
      <w:r w:rsidRPr="00AC3D7B">
        <w:rPr>
          <w:lang w:val="fr-FR"/>
        </w:rPr>
        <w:t>UIT</w:t>
      </w:r>
      <w:r w:rsidR="005F1FB1" w:rsidRPr="00AC3D7B">
        <w:rPr>
          <w:lang w:val="fr-FR"/>
        </w:rPr>
        <w:t>;</w:t>
      </w:r>
      <w:r w:rsidRPr="00AC3D7B">
        <w:rPr>
          <w:lang w:val="fr-FR"/>
        </w:rPr>
        <w:t xml:space="preserve"> et</w:t>
      </w:r>
      <w:r w:rsidR="007B4AEF" w:rsidRPr="00AC3D7B">
        <w:rPr>
          <w:lang w:val="fr-FR"/>
        </w:rPr>
        <w:t> </w:t>
      </w:r>
      <w:r w:rsidRPr="00AC3D7B">
        <w:rPr>
          <w:lang w:val="fr-FR"/>
        </w:rPr>
        <w:t>3)</w:t>
      </w:r>
      <w:r w:rsidR="007B4AEF" w:rsidRPr="00AC3D7B">
        <w:rPr>
          <w:lang w:val="fr-FR"/>
        </w:rPr>
        <w:t> </w:t>
      </w:r>
      <w:r w:rsidRPr="00AC3D7B">
        <w:rPr>
          <w:lang w:val="fr-FR"/>
        </w:rPr>
        <w:t>des fonds alloués par l</w:t>
      </w:r>
      <w:r w:rsidR="002F0EE1" w:rsidRPr="00AC3D7B">
        <w:rPr>
          <w:lang w:val="fr-FR"/>
        </w:rPr>
        <w:t>'</w:t>
      </w:r>
      <w:r w:rsidRPr="00AC3D7B">
        <w:rPr>
          <w:lang w:val="fr-FR"/>
        </w:rPr>
        <w:t>UIT</w:t>
      </w:r>
      <w:r w:rsidR="00C879C2" w:rsidRPr="00AC3D7B">
        <w:rPr>
          <w:lang w:val="fr-FR"/>
        </w:rPr>
        <w:t xml:space="preserve"> </w:t>
      </w:r>
      <w:r w:rsidRPr="00AC3D7B">
        <w:rPr>
          <w:lang w:val="fr-FR"/>
        </w:rPr>
        <w:t>au titre des</w:t>
      </w:r>
      <w:r w:rsidR="00C879C2" w:rsidRPr="00AC3D7B">
        <w:rPr>
          <w:lang w:val="fr-FR"/>
        </w:rPr>
        <w:t xml:space="preserve"> </w:t>
      </w:r>
      <w:r w:rsidRPr="00AC3D7B">
        <w:rPr>
          <w:lang w:val="fr-FR"/>
        </w:rPr>
        <w:t xml:space="preserve">fonds approuvés par le Conseil pour appuyer la mise en </w:t>
      </w:r>
      <w:r w:rsidR="002F0EE1" w:rsidRPr="00AC3D7B">
        <w:rPr>
          <w:lang w:val="fr-FR"/>
        </w:rPr>
        <w:t>œuvre</w:t>
      </w:r>
      <w:r w:rsidRPr="00AC3D7B">
        <w:rPr>
          <w:lang w:val="fr-FR"/>
        </w:rPr>
        <w:t xml:space="preserve"> des initiatives régionales de la CMDT-17.</w:t>
      </w:r>
    </w:p>
    <w:p w14:paraId="68F91723" w14:textId="36F97FD8" w:rsidR="007656FC" w:rsidRPr="00AC3D7B" w:rsidRDefault="007656FC">
      <w:pPr>
        <w:tabs>
          <w:tab w:val="clear" w:pos="794"/>
          <w:tab w:val="clear" w:pos="1191"/>
          <w:tab w:val="clear" w:pos="1588"/>
          <w:tab w:val="clear" w:pos="1985"/>
        </w:tabs>
        <w:overflowPunct/>
        <w:autoSpaceDE/>
        <w:autoSpaceDN/>
        <w:adjustRightInd/>
        <w:spacing w:before="0"/>
        <w:textAlignment w:val="auto"/>
        <w:rPr>
          <w:rFonts w:cstheme="minorHAnsi"/>
          <w:lang w:val="fr-FR"/>
        </w:rPr>
      </w:pPr>
      <w:r w:rsidRPr="00AC3D7B">
        <w:rPr>
          <w:rFonts w:cstheme="minorHAnsi"/>
          <w:lang w:val="fr-FR"/>
        </w:rPr>
        <w:br w:type="page"/>
      </w:r>
    </w:p>
    <w:p w14:paraId="3B2138F7" w14:textId="5B3F4CFA" w:rsidR="00AE2B9C" w:rsidRPr="00AC3D7B" w:rsidRDefault="00AE2B9C" w:rsidP="005F1FB1">
      <w:pPr>
        <w:pStyle w:val="Figuretitle"/>
        <w:keepNext/>
        <w:spacing w:after="240"/>
        <w:rPr>
          <w:lang w:val="fr-FR"/>
        </w:rPr>
      </w:pPr>
      <w:r w:rsidRPr="00AC3D7B">
        <w:rPr>
          <w:lang w:val="fr-FR"/>
        </w:rPr>
        <w:lastRenderedPageBreak/>
        <w:t>Figure 3 – Vue d</w:t>
      </w:r>
      <w:r w:rsidR="002F0EE1" w:rsidRPr="00AC3D7B">
        <w:rPr>
          <w:lang w:val="fr-FR"/>
        </w:rPr>
        <w:t>'</w:t>
      </w:r>
      <w:r w:rsidRPr="00AC3D7B">
        <w:rPr>
          <w:lang w:val="fr-FR"/>
        </w:rPr>
        <w:t>ensemble des projets de l</w:t>
      </w:r>
      <w:r w:rsidR="002F0EE1" w:rsidRPr="00AC3D7B">
        <w:rPr>
          <w:lang w:val="fr-FR"/>
        </w:rPr>
        <w:t>'</w:t>
      </w:r>
      <w:r w:rsidRPr="00AC3D7B">
        <w:rPr>
          <w:lang w:val="fr-FR"/>
        </w:rPr>
        <w:t>UIT en cours, par région (en milliers CHF)</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702"/>
        <w:gridCol w:w="990"/>
        <w:gridCol w:w="1169"/>
        <w:gridCol w:w="145"/>
        <w:gridCol w:w="1024"/>
        <w:gridCol w:w="1169"/>
        <w:gridCol w:w="1351"/>
        <w:gridCol w:w="1270"/>
      </w:tblGrid>
      <w:tr w:rsidR="00AE2B9C" w:rsidRPr="00AC3D7B" w14:paraId="49136A3A" w14:textId="77777777" w:rsidTr="007656FC">
        <w:trPr>
          <w:cantSplit/>
          <w:trHeight w:val="852"/>
          <w:jc w:val="center"/>
        </w:trPr>
        <w:tc>
          <w:tcPr>
            <w:tcW w:w="1702" w:type="dxa"/>
            <w:shd w:val="clear" w:color="auto" w:fill="4F81BD" w:themeFill="accent1"/>
            <w:noWrap/>
            <w:vAlign w:val="center"/>
            <w:hideMark/>
          </w:tcPr>
          <w:p w14:paraId="049333C6" w14:textId="77777777" w:rsidR="00AE2B9C" w:rsidRPr="00AC3D7B" w:rsidRDefault="00AE2B9C" w:rsidP="005F1FB1">
            <w:pPr>
              <w:pStyle w:val="Tablehead"/>
              <w:rPr>
                <w:rFonts w:eastAsiaTheme="minorEastAsia" w:cstheme="minorHAnsi"/>
                <w:color w:val="FFFFFF" w:themeColor="background1"/>
                <w:sz w:val="20"/>
                <w:lang w:val="fr-FR"/>
              </w:rPr>
            </w:pPr>
            <w:r w:rsidRPr="00AC3D7B">
              <w:rPr>
                <w:color w:val="FFFFFF" w:themeColor="background1"/>
                <w:sz w:val="20"/>
                <w:lang w:val="fr-FR"/>
              </w:rPr>
              <w:t>Région</w:t>
            </w:r>
          </w:p>
        </w:tc>
        <w:tc>
          <w:tcPr>
            <w:tcW w:w="990" w:type="dxa"/>
            <w:shd w:val="clear" w:color="auto" w:fill="4F81BD" w:themeFill="accent1"/>
            <w:noWrap/>
            <w:vAlign w:val="center"/>
            <w:hideMark/>
          </w:tcPr>
          <w:p w14:paraId="1E35F6D1" w14:textId="77777777" w:rsidR="00AE2B9C" w:rsidRPr="00AC3D7B" w:rsidRDefault="00AE2B9C" w:rsidP="005F1FB1">
            <w:pPr>
              <w:pStyle w:val="Tablehead"/>
              <w:rPr>
                <w:rFonts w:eastAsiaTheme="minorEastAsia" w:cstheme="minorHAnsi"/>
                <w:color w:val="FFFFFF" w:themeColor="background1"/>
                <w:sz w:val="20"/>
                <w:lang w:val="fr-FR"/>
              </w:rPr>
            </w:pPr>
            <w:r w:rsidRPr="00AC3D7B">
              <w:rPr>
                <w:color w:val="FFFFFF" w:themeColor="background1"/>
                <w:sz w:val="20"/>
                <w:lang w:val="fr-FR"/>
              </w:rPr>
              <w:t>Nombre de projets</w:t>
            </w:r>
          </w:p>
        </w:tc>
        <w:tc>
          <w:tcPr>
            <w:tcW w:w="1314" w:type="dxa"/>
            <w:gridSpan w:val="2"/>
            <w:shd w:val="clear" w:color="auto" w:fill="4F81BD" w:themeFill="accent1"/>
            <w:noWrap/>
            <w:vAlign w:val="center"/>
            <w:hideMark/>
          </w:tcPr>
          <w:p w14:paraId="174A7922" w14:textId="3B98B9EE" w:rsidR="00AE2B9C" w:rsidRPr="00AC3D7B" w:rsidRDefault="00AE2B9C" w:rsidP="005F1FB1">
            <w:pPr>
              <w:pStyle w:val="Tablehead"/>
              <w:rPr>
                <w:rFonts w:eastAsiaTheme="minorEastAsia" w:cstheme="minorHAnsi"/>
                <w:color w:val="FFFFFF" w:themeColor="background1"/>
                <w:sz w:val="20"/>
                <w:lang w:val="fr-FR"/>
              </w:rPr>
            </w:pPr>
            <w:r w:rsidRPr="00AC3D7B">
              <w:rPr>
                <w:color w:val="FFFFFF" w:themeColor="background1"/>
                <w:sz w:val="20"/>
                <w:lang w:val="fr-FR"/>
              </w:rPr>
              <w:t xml:space="preserve">Fonds provenant de partenaires </w:t>
            </w:r>
          </w:p>
        </w:tc>
        <w:tc>
          <w:tcPr>
            <w:tcW w:w="1024" w:type="dxa"/>
            <w:shd w:val="clear" w:color="auto" w:fill="4F81BD" w:themeFill="accent1"/>
            <w:noWrap/>
            <w:vAlign w:val="center"/>
          </w:tcPr>
          <w:p w14:paraId="1F15D296" w14:textId="10B65979" w:rsidR="00AE2B9C" w:rsidRPr="00AC3D7B" w:rsidRDefault="00AE2B9C" w:rsidP="005F1FB1">
            <w:pPr>
              <w:pStyle w:val="Tablehead"/>
              <w:keepLines/>
              <w:rPr>
                <w:rFonts w:eastAsiaTheme="minorEastAsia" w:cstheme="minorHAnsi"/>
                <w:color w:val="FFFFFF" w:themeColor="background1"/>
                <w:sz w:val="20"/>
                <w:lang w:val="fr-FR"/>
              </w:rPr>
            </w:pPr>
            <w:r w:rsidRPr="00AC3D7B">
              <w:rPr>
                <w:color w:val="FFFFFF" w:themeColor="background1"/>
                <w:sz w:val="20"/>
                <w:lang w:val="fr-FR"/>
              </w:rPr>
              <w:t>Fonds de l</w:t>
            </w:r>
            <w:r w:rsidR="002F0EE1" w:rsidRPr="00AC3D7B">
              <w:rPr>
                <w:color w:val="FFFFFF" w:themeColor="background1"/>
                <w:sz w:val="20"/>
                <w:lang w:val="fr-FR"/>
              </w:rPr>
              <w:t>'</w:t>
            </w:r>
            <w:r w:rsidRPr="00AC3D7B">
              <w:rPr>
                <w:color w:val="FFFFFF" w:themeColor="background1"/>
                <w:sz w:val="20"/>
                <w:lang w:val="fr-FR"/>
              </w:rPr>
              <w:t>UIT (FDTIC)</w:t>
            </w:r>
          </w:p>
        </w:tc>
        <w:tc>
          <w:tcPr>
            <w:tcW w:w="1169" w:type="dxa"/>
            <w:shd w:val="clear" w:color="auto" w:fill="4F81BD" w:themeFill="accent1"/>
            <w:noWrap/>
            <w:vAlign w:val="center"/>
          </w:tcPr>
          <w:p w14:paraId="233C980A" w14:textId="32001145" w:rsidR="00AE2B9C" w:rsidRPr="00AC3D7B" w:rsidRDefault="00AE2B9C" w:rsidP="005F1FB1">
            <w:pPr>
              <w:pStyle w:val="Tablehead"/>
              <w:keepLines/>
              <w:rPr>
                <w:rFonts w:eastAsiaTheme="minorEastAsia" w:cstheme="minorHAnsi"/>
                <w:color w:val="FFFFFF" w:themeColor="background1"/>
                <w:sz w:val="20"/>
                <w:lang w:val="fr-FR"/>
              </w:rPr>
            </w:pPr>
            <w:r w:rsidRPr="00AC3D7B">
              <w:rPr>
                <w:color w:val="FFFFFF" w:themeColor="background1"/>
                <w:sz w:val="20"/>
                <w:lang w:val="fr-FR"/>
              </w:rPr>
              <w:t>Fonds de l</w:t>
            </w:r>
            <w:r w:rsidR="002F0EE1" w:rsidRPr="00AC3D7B">
              <w:rPr>
                <w:color w:val="FFFFFF" w:themeColor="background1"/>
                <w:sz w:val="20"/>
                <w:lang w:val="fr-FR"/>
              </w:rPr>
              <w:t>'</w:t>
            </w:r>
            <w:r w:rsidRPr="00AC3D7B">
              <w:rPr>
                <w:color w:val="FFFFFF" w:themeColor="background1"/>
                <w:sz w:val="20"/>
                <w:lang w:val="fr-FR"/>
              </w:rPr>
              <w:t>UIT (Budget ordinaire)</w:t>
            </w:r>
          </w:p>
        </w:tc>
        <w:tc>
          <w:tcPr>
            <w:tcW w:w="1351" w:type="dxa"/>
            <w:shd w:val="clear" w:color="auto" w:fill="4F81BD" w:themeFill="accent1"/>
            <w:noWrap/>
            <w:vAlign w:val="center"/>
            <w:hideMark/>
          </w:tcPr>
          <w:p w14:paraId="66A17F69" w14:textId="77777777" w:rsidR="00AE2B9C" w:rsidRPr="00AC3D7B" w:rsidRDefault="00AE2B9C" w:rsidP="005F1FB1">
            <w:pPr>
              <w:pStyle w:val="Tablehead"/>
              <w:keepLines/>
              <w:rPr>
                <w:rFonts w:eastAsiaTheme="minorEastAsia" w:cstheme="minorHAnsi"/>
                <w:color w:val="FFFFFF" w:themeColor="background1"/>
                <w:sz w:val="20"/>
                <w:lang w:val="fr-FR"/>
              </w:rPr>
            </w:pPr>
            <w:r w:rsidRPr="00AC3D7B">
              <w:rPr>
                <w:color w:val="FFFFFF" w:themeColor="background1"/>
                <w:sz w:val="20"/>
                <w:lang w:val="fr-FR"/>
              </w:rPr>
              <w:t>Total du financement des projets</w:t>
            </w:r>
          </w:p>
        </w:tc>
        <w:tc>
          <w:tcPr>
            <w:tcW w:w="1270" w:type="dxa"/>
            <w:shd w:val="clear" w:color="auto" w:fill="4F81BD" w:themeFill="accent1"/>
            <w:noWrap/>
            <w:vAlign w:val="center"/>
            <w:hideMark/>
          </w:tcPr>
          <w:p w14:paraId="5CA1DFCC" w14:textId="68299DC1" w:rsidR="00AE2B9C" w:rsidRPr="00AC3D7B" w:rsidRDefault="00AE2B9C" w:rsidP="005F1FB1">
            <w:pPr>
              <w:pStyle w:val="Tablehead"/>
              <w:keepLines/>
              <w:rPr>
                <w:rFonts w:eastAsiaTheme="minorEastAsia" w:cstheme="minorHAnsi"/>
                <w:color w:val="FFFFFF" w:themeColor="background1"/>
                <w:sz w:val="20"/>
                <w:lang w:val="fr-FR"/>
              </w:rPr>
            </w:pPr>
            <w:r w:rsidRPr="00AC3D7B">
              <w:rPr>
                <w:color w:val="FFFFFF" w:themeColor="background1"/>
                <w:sz w:val="20"/>
                <w:lang w:val="fr-FR"/>
              </w:rPr>
              <w:t>Solde des fonds au</w:t>
            </w:r>
            <w:r w:rsidR="005F1FB1" w:rsidRPr="00AC3D7B">
              <w:rPr>
                <w:color w:val="FFFFFF" w:themeColor="background1"/>
                <w:sz w:val="20"/>
                <w:lang w:val="fr-FR"/>
              </w:rPr>
              <w:t> </w:t>
            </w:r>
            <w:r w:rsidRPr="00AC3D7B">
              <w:rPr>
                <w:color w:val="FFFFFF" w:themeColor="background1"/>
                <w:sz w:val="20"/>
                <w:lang w:val="fr-FR"/>
              </w:rPr>
              <w:t>31/12/22</w:t>
            </w:r>
          </w:p>
        </w:tc>
      </w:tr>
      <w:tr w:rsidR="00AE2B9C" w:rsidRPr="00AC3D7B" w14:paraId="536C2D8E" w14:textId="77777777" w:rsidTr="007656FC">
        <w:trPr>
          <w:cantSplit/>
          <w:trHeight w:val="54"/>
          <w:jc w:val="center"/>
        </w:trPr>
        <w:tc>
          <w:tcPr>
            <w:tcW w:w="1702" w:type="dxa"/>
            <w:hideMark/>
          </w:tcPr>
          <w:p w14:paraId="08DF1A1A" w14:textId="58FA8568" w:rsidR="00AE2B9C" w:rsidRPr="00AC3D7B" w:rsidRDefault="00AE2B9C" w:rsidP="005F1FB1">
            <w:pPr>
              <w:pStyle w:val="Tabletext"/>
              <w:keepNext/>
              <w:keepLines/>
              <w:rPr>
                <w:rFonts w:cstheme="minorHAnsi"/>
                <w:sz w:val="20"/>
                <w:lang w:val="fr-FR"/>
              </w:rPr>
            </w:pPr>
            <w:r w:rsidRPr="00AC3D7B">
              <w:rPr>
                <w:sz w:val="20"/>
                <w:lang w:val="fr-FR"/>
              </w:rPr>
              <w:t>AFR</w:t>
            </w:r>
          </w:p>
        </w:tc>
        <w:tc>
          <w:tcPr>
            <w:tcW w:w="990" w:type="dxa"/>
            <w:noWrap/>
            <w:vAlign w:val="bottom"/>
            <w:hideMark/>
          </w:tcPr>
          <w:p w14:paraId="71F9018D"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9</w:t>
            </w:r>
          </w:p>
        </w:tc>
        <w:tc>
          <w:tcPr>
            <w:tcW w:w="1169" w:type="dxa"/>
            <w:vAlign w:val="bottom"/>
            <w:hideMark/>
          </w:tcPr>
          <w:p w14:paraId="78BD8192"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9 587,7</w:t>
            </w:r>
          </w:p>
        </w:tc>
        <w:tc>
          <w:tcPr>
            <w:tcW w:w="1169" w:type="dxa"/>
            <w:gridSpan w:val="2"/>
            <w:vAlign w:val="bottom"/>
            <w:hideMark/>
          </w:tcPr>
          <w:p w14:paraId="1920A7EA"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967,1</w:t>
            </w:r>
          </w:p>
        </w:tc>
        <w:tc>
          <w:tcPr>
            <w:tcW w:w="1169" w:type="dxa"/>
            <w:vAlign w:val="bottom"/>
            <w:hideMark/>
          </w:tcPr>
          <w:p w14:paraId="14D688D0"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224,3</w:t>
            </w:r>
          </w:p>
        </w:tc>
        <w:tc>
          <w:tcPr>
            <w:tcW w:w="1351" w:type="dxa"/>
            <w:shd w:val="clear" w:color="auto" w:fill="DBE5F1" w:themeFill="accent1" w:themeFillTint="33"/>
            <w:vAlign w:val="bottom"/>
            <w:hideMark/>
          </w:tcPr>
          <w:p w14:paraId="054B4E03"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10 913,7</w:t>
            </w:r>
          </w:p>
        </w:tc>
        <w:tc>
          <w:tcPr>
            <w:tcW w:w="1270" w:type="dxa"/>
            <w:vAlign w:val="bottom"/>
            <w:hideMark/>
          </w:tcPr>
          <w:p w14:paraId="34FC7047"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6 630,0</w:t>
            </w:r>
          </w:p>
        </w:tc>
      </w:tr>
      <w:tr w:rsidR="00AE2B9C" w:rsidRPr="00AC3D7B" w14:paraId="71B6ECCF" w14:textId="77777777" w:rsidTr="007656FC">
        <w:trPr>
          <w:cantSplit/>
          <w:trHeight w:val="54"/>
          <w:jc w:val="center"/>
        </w:trPr>
        <w:tc>
          <w:tcPr>
            <w:tcW w:w="1702" w:type="dxa"/>
            <w:hideMark/>
          </w:tcPr>
          <w:p w14:paraId="781C91A6" w14:textId="3ACA4012" w:rsidR="00AE2B9C" w:rsidRPr="00AC3D7B" w:rsidRDefault="00AE2B9C" w:rsidP="005F1FB1">
            <w:pPr>
              <w:pStyle w:val="Tabletext"/>
              <w:keepNext/>
              <w:keepLines/>
              <w:rPr>
                <w:rFonts w:cstheme="minorHAnsi"/>
                <w:sz w:val="20"/>
                <w:lang w:val="fr-FR"/>
              </w:rPr>
            </w:pPr>
            <w:r w:rsidRPr="00AC3D7B">
              <w:rPr>
                <w:sz w:val="20"/>
                <w:lang w:val="fr-FR"/>
              </w:rPr>
              <w:t>AMS</w:t>
            </w:r>
          </w:p>
        </w:tc>
        <w:tc>
          <w:tcPr>
            <w:tcW w:w="990" w:type="dxa"/>
            <w:noWrap/>
            <w:vAlign w:val="bottom"/>
            <w:hideMark/>
          </w:tcPr>
          <w:p w14:paraId="7B0C912D"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11</w:t>
            </w:r>
          </w:p>
        </w:tc>
        <w:tc>
          <w:tcPr>
            <w:tcW w:w="1169" w:type="dxa"/>
            <w:vAlign w:val="bottom"/>
            <w:hideMark/>
          </w:tcPr>
          <w:p w14:paraId="2C2A5F90"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40 271,6</w:t>
            </w:r>
          </w:p>
        </w:tc>
        <w:tc>
          <w:tcPr>
            <w:tcW w:w="1169" w:type="dxa"/>
            <w:gridSpan w:val="2"/>
            <w:vAlign w:val="bottom"/>
            <w:hideMark/>
          </w:tcPr>
          <w:p w14:paraId="70A0E6A9"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112,3</w:t>
            </w:r>
          </w:p>
        </w:tc>
        <w:tc>
          <w:tcPr>
            <w:tcW w:w="1169" w:type="dxa"/>
            <w:vAlign w:val="bottom"/>
            <w:hideMark/>
          </w:tcPr>
          <w:p w14:paraId="67BDC8F1"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680,4</w:t>
            </w:r>
          </w:p>
        </w:tc>
        <w:tc>
          <w:tcPr>
            <w:tcW w:w="1351" w:type="dxa"/>
            <w:shd w:val="clear" w:color="auto" w:fill="DBE5F1" w:themeFill="accent1" w:themeFillTint="33"/>
            <w:vAlign w:val="bottom"/>
            <w:hideMark/>
          </w:tcPr>
          <w:p w14:paraId="76D2C6F3"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41 064,4</w:t>
            </w:r>
          </w:p>
        </w:tc>
        <w:tc>
          <w:tcPr>
            <w:tcW w:w="1270" w:type="dxa"/>
            <w:vAlign w:val="bottom"/>
            <w:hideMark/>
          </w:tcPr>
          <w:p w14:paraId="0F274CB8"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2 835,1</w:t>
            </w:r>
          </w:p>
        </w:tc>
      </w:tr>
      <w:tr w:rsidR="00AE2B9C" w:rsidRPr="00AC3D7B" w14:paraId="267D7600" w14:textId="77777777" w:rsidTr="007656FC">
        <w:trPr>
          <w:cantSplit/>
          <w:trHeight w:val="300"/>
          <w:jc w:val="center"/>
        </w:trPr>
        <w:tc>
          <w:tcPr>
            <w:tcW w:w="1702" w:type="dxa"/>
            <w:hideMark/>
          </w:tcPr>
          <w:p w14:paraId="11A7A35C" w14:textId="7C08C721" w:rsidR="00AE2B9C" w:rsidRPr="00AC3D7B" w:rsidRDefault="00AE2B9C" w:rsidP="005F1FB1">
            <w:pPr>
              <w:pStyle w:val="Tabletext"/>
              <w:keepLines/>
              <w:rPr>
                <w:rFonts w:cstheme="minorHAnsi"/>
                <w:sz w:val="20"/>
                <w:lang w:val="fr-FR"/>
              </w:rPr>
            </w:pPr>
            <w:r w:rsidRPr="00AC3D7B">
              <w:rPr>
                <w:sz w:val="20"/>
                <w:lang w:val="fr-FR"/>
              </w:rPr>
              <w:t>ARB</w:t>
            </w:r>
          </w:p>
        </w:tc>
        <w:tc>
          <w:tcPr>
            <w:tcW w:w="990" w:type="dxa"/>
            <w:vAlign w:val="bottom"/>
            <w:hideMark/>
          </w:tcPr>
          <w:p w14:paraId="6732B219"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7</w:t>
            </w:r>
          </w:p>
        </w:tc>
        <w:tc>
          <w:tcPr>
            <w:tcW w:w="1169" w:type="dxa"/>
            <w:vAlign w:val="bottom"/>
            <w:hideMark/>
          </w:tcPr>
          <w:p w14:paraId="1EE75355"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4 305,0</w:t>
            </w:r>
          </w:p>
        </w:tc>
        <w:tc>
          <w:tcPr>
            <w:tcW w:w="1169" w:type="dxa"/>
            <w:gridSpan w:val="2"/>
            <w:vAlign w:val="bottom"/>
            <w:hideMark/>
          </w:tcPr>
          <w:p w14:paraId="2B74AD16"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675,0</w:t>
            </w:r>
          </w:p>
        </w:tc>
        <w:tc>
          <w:tcPr>
            <w:tcW w:w="1169" w:type="dxa"/>
            <w:vAlign w:val="bottom"/>
            <w:hideMark/>
          </w:tcPr>
          <w:p w14:paraId="3620EA3A"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89,7</w:t>
            </w:r>
          </w:p>
        </w:tc>
        <w:tc>
          <w:tcPr>
            <w:tcW w:w="1351" w:type="dxa"/>
            <w:shd w:val="clear" w:color="auto" w:fill="DBE5F1" w:themeFill="accent1" w:themeFillTint="33"/>
            <w:vAlign w:val="bottom"/>
            <w:hideMark/>
          </w:tcPr>
          <w:p w14:paraId="27C6869E"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5 069,7</w:t>
            </w:r>
          </w:p>
        </w:tc>
        <w:tc>
          <w:tcPr>
            <w:tcW w:w="1270" w:type="dxa"/>
            <w:vAlign w:val="bottom"/>
            <w:hideMark/>
          </w:tcPr>
          <w:p w14:paraId="0627232F" w14:textId="77777777" w:rsidR="00AE2B9C" w:rsidRPr="00AC3D7B" w:rsidRDefault="00AE2B9C" w:rsidP="005F1FB1">
            <w:pPr>
              <w:pStyle w:val="Tabletext"/>
              <w:keepNext/>
              <w:keepLines/>
              <w:jc w:val="center"/>
              <w:rPr>
                <w:rFonts w:eastAsiaTheme="minorEastAsia" w:cstheme="minorHAnsi"/>
                <w:sz w:val="20"/>
                <w:lang w:val="fr-FR"/>
              </w:rPr>
            </w:pPr>
            <w:r w:rsidRPr="00AC3D7B">
              <w:rPr>
                <w:sz w:val="20"/>
                <w:lang w:val="fr-FR"/>
              </w:rPr>
              <w:t>2 070,6</w:t>
            </w:r>
          </w:p>
        </w:tc>
      </w:tr>
      <w:tr w:rsidR="00AE2B9C" w:rsidRPr="00AC3D7B" w14:paraId="01530CE4" w14:textId="77777777" w:rsidTr="007656FC">
        <w:trPr>
          <w:cantSplit/>
          <w:trHeight w:val="54"/>
          <w:jc w:val="center"/>
        </w:trPr>
        <w:tc>
          <w:tcPr>
            <w:tcW w:w="1702" w:type="dxa"/>
            <w:vAlign w:val="center"/>
            <w:hideMark/>
          </w:tcPr>
          <w:p w14:paraId="3624B31F" w14:textId="77777777" w:rsidR="00AE2B9C" w:rsidRPr="00AC3D7B" w:rsidRDefault="00AE2B9C" w:rsidP="005F1FB1">
            <w:pPr>
              <w:pStyle w:val="Tabletext"/>
              <w:rPr>
                <w:rFonts w:cstheme="minorHAnsi"/>
                <w:sz w:val="20"/>
                <w:lang w:val="fr-FR"/>
              </w:rPr>
            </w:pPr>
            <w:r w:rsidRPr="00AC3D7B">
              <w:rPr>
                <w:sz w:val="20"/>
                <w:lang w:val="fr-FR"/>
              </w:rPr>
              <w:t>ASP</w:t>
            </w:r>
          </w:p>
        </w:tc>
        <w:tc>
          <w:tcPr>
            <w:tcW w:w="990" w:type="dxa"/>
            <w:noWrap/>
            <w:vAlign w:val="bottom"/>
            <w:hideMark/>
          </w:tcPr>
          <w:p w14:paraId="38F86CED"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9</w:t>
            </w:r>
          </w:p>
        </w:tc>
        <w:tc>
          <w:tcPr>
            <w:tcW w:w="1169" w:type="dxa"/>
            <w:vAlign w:val="bottom"/>
            <w:hideMark/>
          </w:tcPr>
          <w:p w14:paraId="2D779092"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5 898,0</w:t>
            </w:r>
          </w:p>
        </w:tc>
        <w:tc>
          <w:tcPr>
            <w:tcW w:w="1169" w:type="dxa"/>
            <w:gridSpan w:val="2"/>
            <w:vAlign w:val="bottom"/>
          </w:tcPr>
          <w:p w14:paraId="5EF20E06" w14:textId="77777777" w:rsidR="00AE2B9C" w:rsidRPr="00AC3D7B" w:rsidRDefault="00AE2B9C" w:rsidP="005F1FB1">
            <w:pPr>
              <w:pStyle w:val="Tabletext"/>
              <w:keepLines/>
              <w:jc w:val="center"/>
              <w:rPr>
                <w:rFonts w:eastAsiaTheme="minorEastAsia" w:cstheme="minorHAnsi"/>
                <w:sz w:val="20"/>
                <w:lang w:val="fr-FR" w:eastAsia="zh-CN"/>
              </w:rPr>
            </w:pPr>
          </w:p>
        </w:tc>
        <w:tc>
          <w:tcPr>
            <w:tcW w:w="1169" w:type="dxa"/>
            <w:vAlign w:val="bottom"/>
            <w:hideMark/>
          </w:tcPr>
          <w:p w14:paraId="0710E5FB" w14:textId="77777777" w:rsidR="00AE2B9C" w:rsidRPr="00AC3D7B" w:rsidRDefault="00AE2B9C" w:rsidP="005F1FB1">
            <w:pPr>
              <w:pStyle w:val="Tabletext"/>
              <w:keepLines/>
              <w:jc w:val="center"/>
              <w:rPr>
                <w:rFonts w:eastAsiaTheme="minorEastAsia" w:cstheme="minorHAnsi"/>
                <w:sz w:val="20"/>
                <w:lang w:val="fr-FR"/>
              </w:rPr>
            </w:pPr>
            <w:r w:rsidRPr="00AC3D7B">
              <w:rPr>
                <w:sz w:val="20"/>
                <w:lang w:val="fr-FR"/>
              </w:rPr>
              <w:t>448,5</w:t>
            </w:r>
          </w:p>
        </w:tc>
        <w:tc>
          <w:tcPr>
            <w:tcW w:w="1351" w:type="dxa"/>
            <w:shd w:val="clear" w:color="auto" w:fill="DBE5F1" w:themeFill="accent1" w:themeFillTint="33"/>
            <w:vAlign w:val="bottom"/>
            <w:hideMark/>
          </w:tcPr>
          <w:p w14:paraId="2E5393F1" w14:textId="77777777" w:rsidR="00AE2B9C" w:rsidRPr="00AC3D7B" w:rsidRDefault="00AE2B9C" w:rsidP="005F1FB1">
            <w:pPr>
              <w:pStyle w:val="Tabletext"/>
              <w:keepLines/>
              <w:jc w:val="center"/>
              <w:rPr>
                <w:rFonts w:eastAsiaTheme="minorEastAsia" w:cstheme="minorHAnsi"/>
                <w:sz w:val="20"/>
                <w:lang w:val="fr-FR"/>
              </w:rPr>
            </w:pPr>
            <w:r w:rsidRPr="00AC3D7B">
              <w:rPr>
                <w:sz w:val="20"/>
                <w:lang w:val="fr-FR"/>
              </w:rPr>
              <w:t>6 524,9</w:t>
            </w:r>
          </w:p>
        </w:tc>
        <w:tc>
          <w:tcPr>
            <w:tcW w:w="1270" w:type="dxa"/>
            <w:vAlign w:val="bottom"/>
            <w:hideMark/>
          </w:tcPr>
          <w:p w14:paraId="575F6282" w14:textId="77777777" w:rsidR="00AE2B9C" w:rsidRPr="00AC3D7B" w:rsidRDefault="00AE2B9C" w:rsidP="005F1FB1">
            <w:pPr>
              <w:pStyle w:val="Tabletext"/>
              <w:keepLines/>
              <w:jc w:val="center"/>
              <w:rPr>
                <w:rFonts w:eastAsiaTheme="minorEastAsia" w:cstheme="minorHAnsi"/>
                <w:sz w:val="20"/>
                <w:lang w:val="fr-FR"/>
              </w:rPr>
            </w:pPr>
            <w:r w:rsidRPr="00AC3D7B">
              <w:rPr>
                <w:sz w:val="20"/>
                <w:lang w:val="fr-FR"/>
              </w:rPr>
              <w:t>3 668,4</w:t>
            </w:r>
          </w:p>
        </w:tc>
      </w:tr>
      <w:tr w:rsidR="00AE2B9C" w:rsidRPr="00AC3D7B" w14:paraId="0E5DB657" w14:textId="77777777" w:rsidTr="007656FC">
        <w:trPr>
          <w:cantSplit/>
          <w:trHeight w:val="54"/>
          <w:jc w:val="center"/>
        </w:trPr>
        <w:tc>
          <w:tcPr>
            <w:tcW w:w="1702" w:type="dxa"/>
            <w:hideMark/>
          </w:tcPr>
          <w:p w14:paraId="6A223D60" w14:textId="77CC3FF6" w:rsidR="00AE2B9C" w:rsidRPr="00AC3D7B" w:rsidRDefault="00AE2B9C" w:rsidP="005F1FB1">
            <w:pPr>
              <w:pStyle w:val="Tabletext"/>
              <w:rPr>
                <w:rFonts w:cstheme="minorHAnsi"/>
                <w:sz w:val="20"/>
                <w:lang w:val="fr-FR"/>
              </w:rPr>
            </w:pPr>
            <w:r w:rsidRPr="00AC3D7B">
              <w:rPr>
                <w:sz w:val="20"/>
                <w:lang w:val="fr-FR"/>
              </w:rPr>
              <w:t>CEI</w:t>
            </w:r>
          </w:p>
        </w:tc>
        <w:tc>
          <w:tcPr>
            <w:tcW w:w="990" w:type="dxa"/>
            <w:vAlign w:val="bottom"/>
            <w:hideMark/>
          </w:tcPr>
          <w:p w14:paraId="3E996EB5"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2</w:t>
            </w:r>
          </w:p>
        </w:tc>
        <w:tc>
          <w:tcPr>
            <w:tcW w:w="1169" w:type="dxa"/>
            <w:vAlign w:val="bottom"/>
            <w:hideMark/>
          </w:tcPr>
          <w:p w14:paraId="1F38EB19"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253,7</w:t>
            </w:r>
          </w:p>
        </w:tc>
        <w:tc>
          <w:tcPr>
            <w:tcW w:w="1169" w:type="dxa"/>
            <w:gridSpan w:val="2"/>
            <w:vAlign w:val="bottom"/>
          </w:tcPr>
          <w:p w14:paraId="659FF3A6" w14:textId="77777777" w:rsidR="00AE2B9C" w:rsidRPr="00AC3D7B" w:rsidRDefault="00AE2B9C" w:rsidP="00E92120">
            <w:pPr>
              <w:pStyle w:val="Tabletext"/>
              <w:jc w:val="center"/>
              <w:rPr>
                <w:rFonts w:eastAsiaTheme="minorEastAsia" w:cstheme="minorHAnsi"/>
                <w:sz w:val="20"/>
                <w:lang w:val="fr-FR" w:eastAsia="zh-CN"/>
              </w:rPr>
            </w:pPr>
          </w:p>
        </w:tc>
        <w:tc>
          <w:tcPr>
            <w:tcW w:w="1169" w:type="dxa"/>
            <w:vAlign w:val="bottom"/>
            <w:hideMark/>
          </w:tcPr>
          <w:p w14:paraId="445311C7"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419,1</w:t>
            </w:r>
          </w:p>
        </w:tc>
        <w:tc>
          <w:tcPr>
            <w:tcW w:w="1351" w:type="dxa"/>
            <w:shd w:val="clear" w:color="auto" w:fill="DBE5F1" w:themeFill="accent1" w:themeFillTint="33"/>
            <w:vAlign w:val="bottom"/>
            <w:hideMark/>
          </w:tcPr>
          <w:p w14:paraId="41DDDD67"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672,8</w:t>
            </w:r>
          </w:p>
        </w:tc>
        <w:tc>
          <w:tcPr>
            <w:tcW w:w="1270" w:type="dxa"/>
            <w:vAlign w:val="bottom"/>
            <w:hideMark/>
          </w:tcPr>
          <w:p w14:paraId="778397A6"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63,7</w:t>
            </w:r>
          </w:p>
        </w:tc>
      </w:tr>
      <w:tr w:rsidR="00AE2B9C" w:rsidRPr="00AC3D7B" w14:paraId="00808AB9" w14:textId="77777777" w:rsidTr="007656FC">
        <w:trPr>
          <w:cantSplit/>
          <w:trHeight w:val="54"/>
          <w:jc w:val="center"/>
        </w:trPr>
        <w:tc>
          <w:tcPr>
            <w:tcW w:w="1702" w:type="dxa"/>
            <w:vAlign w:val="bottom"/>
            <w:hideMark/>
          </w:tcPr>
          <w:p w14:paraId="3C28E4F9" w14:textId="77777777" w:rsidR="00AE2B9C" w:rsidRPr="00AC3D7B" w:rsidRDefault="00AE2B9C" w:rsidP="005F1FB1">
            <w:pPr>
              <w:pStyle w:val="Tabletext"/>
              <w:rPr>
                <w:rFonts w:cstheme="minorHAnsi"/>
                <w:sz w:val="20"/>
                <w:lang w:val="fr-FR"/>
              </w:rPr>
            </w:pPr>
            <w:r w:rsidRPr="00AC3D7B">
              <w:rPr>
                <w:sz w:val="20"/>
                <w:lang w:val="fr-FR"/>
              </w:rPr>
              <w:t>EUR</w:t>
            </w:r>
          </w:p>
        </w:tc>
        <w:tc>
          <w:tcPr>
            <w:tcW w:w="990" w:type="dxa"/>
            <w:vAlign w:val="bottom"/>
            <w:hideMark/>
          </w:tcPr>
          <w:p w14:paraId="07E4F53C" w14:textId="77777777" w:rsidR="00AE2B9C" w:rsidRPr="00AC3D7B" w:rsidRDefault="00AE2B9C" w:rsidP="005F1FB1">
            <w:pPr>
              <w:pStyle w:val="Tabletext"/>
              <w:keepNext/>
              <w:jc w:val="center"/>
              <w:rPr>
                <w:rFonts w:eastAsiaTheme="minorEastAsia" w:cstheme="minorHAnsi"/>
                <w:sz w:val="20"/>
                <w:lang w:val="fr-FR"/>
              </w:rPr>
            </w:pPr>
            <w:r w:rsidRPr="00AC3D7B">
              <w:rPr>
                <w:sz w:val="20"/>
                <w:lang w:val="fr-FR"/>
              </w:rPr>
              <w:t>2</w:t>
            </w:r>
          </w:p>
        </w:tc>
        <w:tc>
          <w:tcPr>
            <w:tcW w:w="1169" w:type="dxa"/>
            <w:vAlign w:val="bottom"/>
            <w:hideMark/>
          </w:tcPr>
          <w:p w14:paraId="75A0AAED"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3 761,2</w:t>
            </w:r>
          </w:p>
        </w:tc>
        <w:tc>
          <w:tcPr>
            <w:tcW w:w="1169" w:type="dxa"/>
            <w:gridSpan w:val="2"/>
            <w:vAlign w:val="bottom"/>
          </w:tcPr>
          <w:p w14:paraId="2FCA45C7" w14:textId="77777777" w:rsidR="00AE2B9C" w:rsidRPr="00AC3D7B" w:rsidRDefault="00AE2B9C" w:rsidP="00E92120">
            <w:pPr>
              <w:pStyle w:val="Tabletext"/>
              <w:jc w:val="center"/>
              <w:rPr>
                <w:rFonts w:eastAsiaTheme="minorEastAsia" w:cstheme="minorHAnsi"/>
                <w:sz w:val="20"/>
                <w:lang w:val="fr-FR" w:eastAsia="zh-CN"/>
              </w:rPr>
            </w:pPr>
          </w:p>
        </w:tc>
        <w:tc>
          <w:tcPr>
            <w:tcW w:w="1169" w:type="dxa"/>
            <w:vAlign w:val="bottom"/>
            <w:hideMark/>
          </w:tcPr>
          <w:p w14:paraId="7DE3AA8C"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48,4</w:t>
            </w:r>
          </w:p>
        </w:tc>
        <w:tc>
          <w:tcPr>
            <w:tcW w:w="1351" w:type="dxa"/>
            <w:shd w:val="clear" w:color="auto" w:fill="DBE5F1" w:themeFill="accent1" w:themeFillTint="33"/>
            <w:vAlign w:val="bottom"/>
            <w:hideMark/>
          </w:tcPr>
          <w:p w14:paraId="2212B319"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3 809,6</w:t>
            </w:r>
          </w:p>
        </w:tc>
        <w:tc>
          <w:tcPr>
            <w:tcW w:w="1270" w:type="dxa"/>
            <w:vAlign w:val="bottom"/>
            <w:hideMark/>
          </w:tcPr>
          <w:p w14:paraId="426D91D6"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1 975,4</w:t>
            </w:r>
          </w:p>
        </w:tc>
      </w:tr>
      <w:tr w:rsidR="00AE2B9C" w:rsidRPr="00AC3D7B" w14:paraId="00715E39" w14:textId="77777777" w:rsidTr="007656FC">
        <w:trPr>
          <w:cantSplit/>
          <w:trHeight w:val="54"/>
          <w:jc w:val="center"/>
        </w:trPr>
        <w:tc>
          <w:tcPr>
            <w:tcW w:w="1702" w:type="dxa"/>
            <w:hideMark/>
          </w:tcPr>
          <w:p w14:paraId="5E5695B9" w14:textId="77777777" w:rsidR="00AE2B9C" w:rsidRPr="00AC3D7B" w:rsidRDefault="00AE2B9C" w:rsidP="002F0EE1">
            <w:pPr>
              <w:pStyle w:val="Tabletext"/>
              <w:rPr>
                <w:rFonts w:cstheme="minorHAnsi"/>
                <w:sz w:val="20"/>
                <w:lang w:val="fr-FR"/>
              </w:rPr>
            </w:pPr>
            <w:r w:rsidRPr="00AC3D7B">
              <w:rPr>
                <w:sz w:val="20"/>
                <w:lang w:val="fr-FR"/>
              </w:rPr>
              <w:t>Plusieurs régions</w:t>
            </w:r>
          </w:p>
        </w:tc>
        <w:tc>
          <w:tcPr>
            <w:tcW w:w="990" w:type="dxa"/>
            <w:noWrap/>
            <w:vAlign w:val="bottom"/>
            <w:hideMark/>
          </w:tcPr>
          <w:p w14:paraId="3ABAD517"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20</w:t>
            </w:r>
          </w:p>
        </w:tc>
        <w:tc>
          <w:tcPr>
            <w:tcW w:w="1169" w:type="dxa"/>
            <w:vAlign w:val="bottom"/>
            <w:hideMark/>
          </w:tcPr>
          <w:p w14:paraId="2C8DB477"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15 570,8</w:t>
            </w:r>
          </w:p>
        </w:tc>
        <w:tc>
          <w:tcPr>
            <w:tcW w:w="1169" w:type="dxa"/>
            <w:gridSpan w:val="2"/>
            <w:vAlign w:val="bottom"/>
            <w:hideMark/>
          </w:tcPr>
          <w:p w14:paraId="5350FC4A"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3 743,1</w:t>
            </w:r>
          </w:p>
        </w:tc>
        <w:tc>
          <w:tcPr>
            <w:tcW w:w="1169" w:type="dxa"/>
            <w:vAlign w:val="bottom"/>
            <w:hideMark/>
          </w:tcPr>
          <w:p w14:paraId="64EB9286"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1 355,7</w:t>
            </w:r>
          </w:p>
        </w:tc>
        <w:tc>
          <w:tcPr>
            <w:tcW w:w="1351" w:type="dxa"/>
            <w:shd w:val="clear" w:color="auto" w:fill="DBE5F1" w:themeFill="accent1" w:themeFillTint="33"/>
            <w:vAlign w:val="bottom"/>
            <w:hideMark/>
          </w:tcPr>
          <w:p w14:paraId="3C61113F"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20 940,4</w:t>
            </w:r>
          </w:p>
        </w:tc>
        <w:tc>
          <w:tcPr>
            <w:tcW w:w="1270" w:type="dxa"/>
            <w:vAlign w:val="bottom"/>
            <w:hideMark/>
          </w:tcPr>
          <w:p w14:paraId="72DF6D4F" w14:textId="77777777" w:rsidR="00AE2B9C" w:rsidRPr="00AC3D7B" w:rsidRDefault="00AE2B9C" w:rsidP="00E92120">
            <w:pPr>
              <w:pStyle w:val="Tabletext"/>
              <w:jc w:val="center"/>
              <w:rPr>
                <w:rFonts w:eastAsiaTheme="minorEastAsia" w:cstheme="minorHAnsi"/>
                <w:sz w:val="20"/>
                <w:lang w:val="fr-FR"/>
              </w:rPr>
            </w:pPr>
            <w:r w:rsidRPr="00AC3D7B">
              <w:rPr>
                <w:sz w:val="20"/>
                <w:lang w:val="fr-FR"/>
              </w:rPr>
              <w:t>5 716,8</w:t>
            </w:r>
          </w:p>
        </w:tc>
      </w:tr>
      <w:tr w:rsidR="00AE2B9C" w:rsidRPr="00AC3D7B" w14:paraId="0E296B2A" w14:textId="77777777" w:rsidTr="007656FC">
        <w:trPr>
          <w:cantSplit/>
          <w:trHeight w:val="54"/>
          <w:jc w:val="center"/>
        </w:trPr>
        <w:tc>
          <w:tcPr>
            <w:tcW w:w="1702" w:type="dxa"/>
            <w:shd w:val="clear" w:color="auto" w:fill="DBE5F1" w:themeFill="accent1" w:themeFillTint="33"/>
            <w:noWrap/>
            <w:vAlign w:val="center"/>
            <w:hideMark/>
          </w:tcPr>
          <w:p w14:paraId="18386130" w14:textId="77777777" w:rsidR="00AE2B9C" w:rsidRPr="00AC3D7B" w:rsidRDefault="00AE2B9C" w:rsidP="00E92120">
            <w:pPr>
              <w:pStyle w:val="Tabletext"/>
              <w:rPr>
                <w:rFonts w:cstheme="minorHAnsi"/>
                <w:b/>
                <w:bCs/>
                <w:sz w:val="20"/>
                <w:lang w:val="fr-FR"/>
              </w:rPr>
            </w:pPr>
            <w:r w:rsidRPr="00AC3D7B">
              <w:rPr>
                <w:b/>
                <w:bCs/>
                <w:sz w:val="20"/>
                <w:lang w:val="fr-FR"/>
              </w:rPr>
              <w:t>Total</w:t>
            </w:r>
          </w:p>
        </w:tc>
        <w:tc>
          <w:tcPr>
            <w:tcW w:w="990" w:type="dxa"/>
            <w:shd w:val="clear" w:color="auto" w:fill="DBE5F1" w:themeFill="accent1" w:themeFillTint="33"/>
            <w:noWrap/>
            <w:vAlign w:val="bottom"/>
            <w:hideMark/>
          </w:tcPr>
          <w:p w14:paraId="45F535EC" w14:textId="77777777" w:rsidR="00AE2B9C" w:rsidRPr="00AC3D7B" w:rsidRDefault="00AE2B9C" w:rsidP="00E92120">
            <w:pPr>
              <w:pStyle w:val="Tabletext"/>
              <w:jc w:val="center"/>
              <w:rPr>
                <w:rFonts w:eastAsiaTheme="minorEastAsia" w:cstheme="minorHAnsi"/>
                <w:b/>
                <w:bCs/>
                <w:sz w:val="20"/>
                <w:lang w:val="fr-FR"/>
              </w:rPr>
            </w:pPr>
            <w:r w:rsidRPr="00AC3D7B">
              <w:rPr>
                <w:b/>
                <w:bCs/>
                <w:sz w:val="20"/>
                <w:lang w:val="fr-FR"/>
              </w:rPr>
              <w:t>60</w:t>
            </w:r>
          </w:p>
        </w:tc>
        <w:tc>
          <w:tcPr>
            <w:tcW w:w="1169" w:type="dxa"/>
            <w:shd w:val="clear" w:color="auto" w:fill="DBE5F1" w:themeFill="accent1" w:themeFillTint="33"/>
            <w:noWrap/>
            <w:vAlign w:val="bottom"/>
            <w:hideMark/>
          </w:tcPr>
          <w:p w14:paraId="6B2268A6" w14:textId="77777777" w:rsidR="00AE2B9C" w:rsidRPr="00AC3D7B" w:rsidRDefault="00AE2B9C" w:rsidP="00E92120">
            <w:pPr>
              <w:pStyle w:val="Tabletext"/>
              <w:jc w:val="center"/>
              <w:rPr>
                <w:rFonts w:eastAsiaTheme="minorEastAsia" w:cstheme="minorHAnsi"/>
                <w:b/>
                <w:bCs/>
                <w:sz w:val="20"/>
                <w:lang w:val="fr-FR"/>
              </w:rPr>
            </w:pPr>
            <w:r w:rsidRPr="00AC3D7B">
              <w:rPr>
                <w:b/>
                <w:bCs/>
                <w:sz w:val="20"/>
                <w:lang w:val="fr-FR"/>
              </w:rPr>
              <w:t>79 648,0</w:t>
            </w:r>
          </w:p>
        </w:tc>
        <w:tc>
          <w:tcPr>
            <w:tcW w:w="1169" w:type="dxa"/>
            <w:gridSpan w:val="2"/>
            <w:shd w:val="clear" w:color="auto" w:fill="DBE5F1" w:themeFill="accent1" w:themeFillTint="33"/>
            <w:noWrap/>
            <w:vAlign w:val="bottom"/>
            <w:hideMark/>
          </w:tcPr>
          <w:p w14:paraId="22159C98" w14:textId="77777777" w:rsidR="00AE2B9C" w:rsidRPr="00AC3D7B" w:rsidRDefault="00AE2B9C" w:rsidP="00E92120">
            <w:pPr>
              <w:pStyle w:val="Tabletext"/>
              <w:jc w:val="center"/>
              <w:rPr>
                <w:rFonts w:eastAsiaTheme="minorEastAsia" w:cstheme="minorHAnsi"/>
                <w:b/>
                <w:bCs/>
                <w:sz w:val="20"/>
                <w:lang w:val="fr-FR"/>
              </w:rPr>
            </w:pPr>
            <w:r w:rsidRPr="00AC3D7B">
              <w:rPr>
                <w:b/>
                <w:bCs/>
                <w:sz w:val="20"/>
                <w:lang w:val="fr-FR"/>
              </w:rPr>
              <w:t>5 497,5</w:t>
            </w:r>
          </w:p>
        </w:tc>
        <w:tc>
          <w:tcPr>
            <w:tcW w:w="1169" w:type="dxa"/>
            <w:shd w:val="clear" w:color="auto" w:fill="DBE5F1" w:themeFill="accent1" w:themeFillTint="33"/>
            <w:noWrap/>
            <w:vAlign w:val="bottom"/>
            <w:hideMark/>
          </w:tcPr>
          <w:p w14:paraId="32254976" w14:textId="77777777" w:rsidR="00AE2B9C" w:rsidRPr="00AC3D7B" w:rsidRDefault="00AE2B9C" w:rsidP="00E92120">
            <w:pPr>
              <w:pStyle w:val="Tabletext"/>
              <w:jc w:val="center"/>
              <w:rPr>
                <w:rFonts w:eastAsiaTheme="minorEastAsia" w:cstheme="minorHAnsi"/>
                <w:b/>
                <w:bCs/>
                <w:sz w:val="20"/>
                <w:lang w:val="fr-FR"/>
              </w:rPr>
            </w:pPr>
            <w:r w:rsidRPr="00AC3D7B">
              <w:rPr>
                <w:b/>
                <w:bCs/>
                <w:sz w:val="20"/>
                <w:lang w:val="fr-FR"/>
              </w:rPr>
              <w:t>3 266,2</w:t>
            </w:r>
          </w:p>
        </w:tc>
        <w:tc>
          <w:tcPr>
            <w:tcW w:w="1351" w:type="dxa"/>
            <w:shd w:val="clear" w:color="auto" w:fill="DBE5F1" w:themeFill="accent1" w:themeFillTint="33"/>
            <w:noWrap/>
            <w:vAlign w:val="bottom"/>
            <w:hideMark/>
          </w:tcPr>
          <w:p w14:paraId="5B801054" w14:textId="77777777" w:rsidR="00AE2B9C" w:rsidRPr="00AC3D7B" w:rsidRDefault="00AE2B9C" w:rsidP="00E92120">
            <w:pPr>
              <w:pStyle w:val="Tabletext"/>
              <w:jc w:val="center"/>
              <w:rPr>
                <w:rFonts w:eastAsiaTheme="minorEastAsia" w:cstheme="minorHAnsi"/>
                <w:b/>
                <w:bCs/>
                <w:sz w:val="20"/>
                <w:lang w:val="fr-FR"/>
              </w:rPr>
            </w:pPr>
            <w:r w:rsidRPr="00AC3D7B">
              <w:rPr>
                <w:b/>
                <w:bCs/>
                <w:sz w:val="20"/>
                <w:lang w:val="fr-FR"/>
              </w:rPr>
              <w:t>88 995,5</w:t>
            </w:r>
          </w:p>
        </w:tc>
        <w:tc>
          <w:tcPr>
            <w:tcW w:w="1270" w:type="dxa"/>
            <w:shd w:val="clear" w:color="auto" w:fill="DBE5F1" w:themeFill="accent1" w:themeFillTint="33"/>
            <w:noWrap/>
            <w:vAlign w:val="bottom"/>
            <w:hideMark/>
          </w:tcPr>
          <w:p w14:paraId="5AFF45E6" w14:textId="77777777" w:rsidR="00AE2B9C" w:rsidRPr="00AC3D7B" w:rsidRDefault="00AE2B9C" w:rsidP="00E92120">
            <w:pPr>
              <w:pStyle w:val="Tabletext"/>
              <w:jc w:val="center"/>
              <w:rPr>
                <w:rFonts w:eastAsiaTheme="minorEastAsia" w:cstheme="minorHAnsi"/>
                <w:b/>
                <w:bCs/>
                <w:sz w:val="20"/>
                <w:lang w:val="fr-FR"/>
              </w:rPr>
            </w:pPr>
            <w:r w:rsidRPr="00AC3D7B">
              <w:rPr>
                <w:b/>
                <w:bCs/>
                <w:sz w:val="20"/>
                <w:lang w:val="fr-FR"/>
              </w:rPr>
              <w:t>22 960,1</w:t>
            </w:r>
          </w:p>
        </w:tc>
      </w:tr>
    </w:tbl>
    <w:p w14:paraId="6600DF3B" w14:textId="4AD09CED" w:rsidR="00AE2B9C" w:rsidRPr="00AC3D7B" w:rsidRDefault="00AE2B9C" w:rsidP="00AE2B9C">
      <w:pPr>
        <w:pStyle w:val="Heading2"/>
        <w:rPr>
          <w:rFonts w:cstheme="minorHAnsi"/>
          <w:szCs w:val="24"/>
          <w:lang w:val="fr-FR"/>
        </w:rPr>
      </w:pPr>
      <w:r w:rsidRPr="00AC3D7B">
        <w:rPr>
          <w:lang w:val="fr-FR"/>
        </w:rPr>
        <w:t>3.2</w:t>
      </w:r>
      <w:r w:rsidRPr="00AC3D7B">
        <w:rPr>
          <w:lang w:val="fr-FR"/>
        </w:rPr>
        <w:tab/>
        <w:t>Projets signés pendant la période considérée</w:t>
      </w:r>
    </w:p>
    <w:p w14:paraId="4A80C462" w14:textId="35D8EF76" w:rsidR="00AE2B9C" w:rsidRPr="00AC3D7B" w:rsidRDefault="00AE2B9C" w:rsidP="00AE2B9C">
      <w:pPr>
        <w:spacing w:after="120"/>
        <w:rPr>
          <w:rFonts w:cstheme="minorBidi"/>
          <w:lang w:val="fr-FR"/>
        </w:rPr>
      </w:pPr>
      <w:r w:rsidRPr="00AC3D7B">
        <w:rPr>
          <w:lang w:val="fr-FR"/>
        </w:rPr>
        <w:t>En 2022, le BDT a signé huit nouveaux projets, d</w:t>
      </w:r>
      <w:r w:rsidR="002F0EE1" w:rsidRPr="00AC3D7B">
        <w:rPr>
          <w:lang w:val="fr-FR"/>
        </w:rPr>
        <w:t>'</w:t>
      </w:r>
      <w:r w:rsidRPr="00AC3D7B">
        <w:rPr>
          <w:lang w:val="fr-FR"/>
        </w:rPr>
        <w:t>un montant de 5,3 millions CHF. Ces nouveaux projets sont de nature multirégionale, régionale ou nationale. En outre, des discussions sont en cours concernant 11 autres projets, d</w:t>
      </w:r>
      <w:r w:rsidR="002F0EE1" w:rsidRPr="00AC3D7B">
        <w:rPr>
          <w:lang w:val="fr-FR"/>
        </w:rPr>
        <w:t>'</w:t>
      </w:r>
      <w:r w:rsidRPr="00AC3D7B">
        <w:rPr>
          <w:lang w:val="fr-FR"/>
        </w:rPr>
        <w:t>un montant de 17,7 millions CHF,</w:t>
      </w:r>
      <w:r w:rsidR="00C879C2" w:rsidRPr="00AC3D7B">
        <w:rPr>
          <w:lang w:val="fr-FR"/>
        </w:rPr>
        <w:t xml:space="preserve"> </w:t>
      </w:r>
      <w:r w:rsidRPr="00AC3D7B">
        <w:rPr>
          <w:lang w:val="fr-FR"/>
        </w:rPr>
        <w:t>qui devraient être signés en 2023. Les projets signés en 2022 sont les suivants:</w:t>
      </w:r>
    </w:p>
    <w:p w14:paraId="48FAB74C" w14:textId="6D219831" w:rsidR="00AE2B9C" w:rsidRPr="00AC3D7B" w:rsidRDefault="00AE2B9C" w:rsidP="00AE2B9C">
      <w:pPr>
        <w:pStyle w:val="enumlev1"/>
        <w:rPr>
          <w:rFonts w:cstheme="minorHAnsi"/>
          <w:lang w:val="fr-FR"/>
        </w:rPr>
      </w:pPr>
      <w:r w:rsidRPr="00AC3D7B">
        <w:rPr>
          <w:lang w:val="fr-FR"/>
        </w:rPr>
        <w:t>–</w:t>
      </w:r>
      <w:r w:rsidRPr="00AC3D7B">
        <w:rPr>
          <w:lang w:val="fr-FR"/>
        </w:rPr>
        <w:tab/>
        <w:t>Projet "Îles intelligentes dans le Pacifique</w:t>
      </w:r>
      <w:r w:rsidR="005F1FB1" w:rsidRPr="00AC3D7B">
        <w:rPr>
          <w:lang w:val="fr-FR"/>
        </w:rPr>
        <w:t>"</w:t>
      </w:r>
      <w:r w:rsidRPr="00AC3D7B">
        <w:rPr>
          <w:lang w:val="fr-FR"/>
        </w:rPr>
        <w:t>: mis en œuvre en collaboration avec la Banque asiatique de développement.</w:t>
      </w:r>
    </w:p>
    <w:p w14:paraId="5556B454" w14:textId="513AE5EA" w:rsidR="00AE2B9C" w:rsidRPr="00AC3D7B" w:rsidRDefault="00AE2B9C" w:rsidP="00AE2B9C">
      <w:pPr>
        <w:pStyle w:val="enumlev1"/>
        <w:rPr>
          <w:rFonts w:cstheme="minorHAnsi"/>
          <w:lang w:val="fr-FR"/>
        </w:rPr>
      </w:pPr>
      <w:r w:rsidRPr="00AC3D7B">
        <w:rPr>
          <w:lang w:val="fr-FR"/>
        </w:rPr>
        <w:t>–</w:t>
      </w:r>
      <w:r w:rsidRPr="00AC3D7B">
        <w:rPr>
          <w:lang w:val="fr-FR"/>
        </w:rPr>
        <w:tab/>
        <w:t>Projet "Accélérer la réalisation des Objectifs de développement durable (ODD) grâce à la transformation numérique afin de renforcer la résilience des communautés en Micronésie": financé par le Fonds pour les ODD</w:t>
      </w:r>
      <w:r w:rsidR="00C879C2" w:rsidRPr="00AC3D7B">
        <w:rPr>
          <w:lang w:val="fr-FR"/>
        </w:rPr>
        <w:t xml:space="preserve"> </w:t>
      </w:r>
      <w:r w:rsidRPr="00AC3D7B">
        <w:rPr>
          <w:lang w:val="fr-FR"/>
        </w:rPr>
        <w:t>des Nations Unies</w:t>
      </w:r>
      <w:r w:rsidR="00C879C2" w:rsidRPr="00AC3D7B">
        <w:rPr>
          <w:lang w:val="fr-FR"/>
        </w:rPr>
        <w:t xml:space="preserve"> </w:t>
      </w:r>
      <w:r w:rsidRPr="00AC3D7B">
        <w:rPr>
          <w:lang w:val="fr-FR"/>
        </w:rPr>
        <w:t>et mis en œuvre en collaboration avec</w:t>
      </w:r>
      <w:r w:rsidR="00C879C2" w:rsidRPr="00AC3D7B">
        <w:rPr>
          <w:lang w:val="fr-FR"/>
        </w:rPr>
        <w:t xml:space="preserve"> </w:t>
      </w:r>
      <w:r w:rsidRPr="00AC3D7B">
        <w:rPr>
          <w:lang w:val="fr-FR"/>
        </w:rPr>
        <w:t>la FAO,</w:t>
      </w:r>
      <w:r w:rsidR="00C879C2" w:rsidRPr="00AC3D7B">
        <w:rPr>
          <w:lang w:val="fr-FR"/>
        </w:rPr>
        <w:t xml:space="preserve"> </w:t>
      </w:r>
      <w:r w:rsidRPr="00AC3D7B">
        <w:rPr>
          <w:lang w:val="fr-FR"/>
        </w:rPr>
        <w:t>l</w:t>
      </w:r>
      <w:r w:rsidR="002F0EE1" w:rsidRPr="00AC3D7B">
        <w:rPr>
          <w:lang w:val="fr-FR"/>
        </w:rPr>
        <w:t>'</w:t>
      </w:r>
      <w:r w:rsidRPr="00AC3D7B">
        <w:rPr>
          <w:lang w:val="fr-FR"/>
        </w:rPr>
        <w:t>OIT,</w:t>
      </w:r>
      <w:r w:rsidR="00C879C2" w:rsidRPr="00AC3D7B">
        <w:rPr>
          <w:lang w:val="fr-FR"/>
        </w:rPr>
        <w:t xml:space="preserve"> </w:t>
      </w:r>
      <w:r w:rsidRPr="00AC3D7B">
        <w:rPr>
          <w:lang w:val="fr-FR"/>
        </w:rPr>
        <w:t>l</w:t>
      </w:r>
      <w:r w:rsidR="002F0EE1" w:rsidRPr="00AC3D7B">
        <w:rPr>
          <w:lang w:val="fr-FR"/>
        </w:rPr>
        <w:t>'</w:t>
      </w:r>
      <w:r w:rsidRPr="00AC3D7B">
        <w:rPr>
          <w:lang w:val="fr-FR"/>
        </w:rPr>
        <w:t>UNOPS,</w:t>
      </w:r>
      <w:r w:rsidR="00C879C2" w:rsidRPr="00AC3D7B">
        <w:rPr>
          <w:lang w:val="fr-FR"/>
        </w:rPr>
        <w:t xml:space="preserve"> </w:t>
      </w:r>
      <w:r w:rsidRPr="00AC3D7B">
        <w:rPr>
          <w:lang w:val="fr-FR"/>
        </w:rPr>
        <w:t>l</w:t>
      </w:r>
      <w:r w:rsidR="002F0EE1" w:rsidRPr="00AC3D7B">
        <w:rPr>
          <w:lang w:val="fr-FR"/>
        </w:rPr>
        <w:t>'</w:t>
      </w:r>
      <w:r w:rsidRPr="00AC3D7B">
        <w:rPr>
          <w:lang w:val="fr-FR"/>
        </w:rPr>
        <w:t>UNESCO,</w:t>
      </w:r>
      <w:r w:rsidR="00C879C2" w:rsidRPr="00AC3D7B">
        <w:rPr>
          <w:lang w:val="fr-FR"/>
        </w:rPr>
        <w:t xml:space="preserve"> </w:t>
      </w:r>
      <w:r w:rsidRPr="00AC3D7B">
        <w:rPr>
          <w:lang w:val="fr-FR"/>
        </w:rPr>
        <w:t>l</w:t>
      </w:r>
      <w:r w:rsidR="002F0EE1" w:rsidRPr="00AC3D7B">
        <w:rPr>
          <w:lang w:val="fr-FR"/>
        </w:rPr>
        <w:t>'</w:t>
      </w:r>
      <w:r w:rsidRPr="00AC3D7B">
        <w:rPr>
          <w:lang w:val="fr-FR"/>
        </w:rPr>
        <w:t>UNICEF et</w:t>
      </w:r>
      <w:r w:rsidR="00C879C2" w:rsidRPr="00AC3D7B">
        <w:rPr>
          <w:lang w:val="fr-FR"/>
        </w:rPr>
        <w:t xml:space="preserve"> </w:t>
      </w:r>
      <w:r w:rsidRPr="00AC3D7B">
        <w:rPr>
          <w:lang w:val="fr-FR"/>
        </w:rPr>
        <w:t>l</w:t>
      </w:r>
      <w:r w:rsidR="002F0EE1" w:rsidRPr="00AC3D7B">
        <w:rPr>
          <w:lang w:val="fr-FR"/>
        </w:rPr>
        <w:t>'</w:t>
      </w:r>
      <w:r w:rsidRPr="00AC3D7B">
        <w:rPr>
          <w:lang w:val="fr-FR"/>
        </w:rPr>
        <w:t>ONUDC.</w:t>
      </w:r>
    </w:p>
    <w:p w14:paraId="7A50CC8F" w14:textId="2E64D7BD" w:rsidR="00AE2B9C" w:rsidRPr="00AC3D7B" w:rsidRDefault="00AE2B9C" w:rsidP="00AE2B9C">
      <w:pPr>
        <w:pStyle w:val="enumlev1"/>
        <w:rPr>
          <w:rFonts w:cstheme="minorHAnsi"/>
          <w:lang w:val="fr-FR"/>
        </w:rPr>
      </w:pPr>
      <w:r w:rsidRPr="00AC3D7B">
        <w:rPr>
          <w:lang w:val="fr-FR"/>
        </w:rPr>
        <w:t>–</w:t>
      </w:r>
      <w:r w:rsidRPr="00AC3D7B">
        <w:rPr>
          <w:lang w:val="fr-FR"/>
        </w:rPr>
        <w:tab/>
        <w:t>Projet "Promouvoir la réalisation des ODD en améliorant les moyens d</w:t>
      </w:r>
      <w:r w:rsidR="002F0EE1" w:rsidRPr="00AC3D7B">
        <w:rPr>
          <w:lang w:val="fr-FR"/>
        </w:rPr>
        <w:t>'</w:t>
      </w:r>
      <w:r w:rsidRPr="00AC3D7B">
        <w:rPr>
          <w:lang w:val="fr-FR"/>
        </w:rPr>
        <w:t>existence, la protection sociale, les droits de l</w:t>
      </w:r>
      <w:r w:rsidR="002F0EE1" w:rsidRPr="00AC3D7B">
        <w:rPr>
          <w:lang w:val="fr-FR"/>
        </w:rPr>
        <w:t>'</w:t>
      </w:r>
      <w:r w:rsidRPr="00AC3D7B">
        <w:rPr>
          <w:lang w:val="fr-FR"/>
        </w:rPr>
        <w:t>homme et la résilience des communautés vulnérables, grâce à un travail décent et à la transformation numérique": financé</w:t>
      </w:r>
      <w:r w:rsidR="00C879C2" w:rsidRPr="00AC3D7B">
        <w:rPr>
          <w:lang w:val="fr-FR"/>
        </w:rPr>
        <w:t xml:space="preserve"> </w:t>
      </w:r>
      <w:r w:rsidRPr="00AC3D7B">
        <w:rPr>
          <w:lang w:val="fr-FR"/>
        </w:rPr>
        <w:t>au titre du Fonds pour la réalisation des ODD de l</w:t>
      </w:r>
      <w:r w:rsidR="002F0EE1" w:rsidRPr="00AC3D7B">
        <w:rPr>
          <w:lang w:val="fr-FR"/>
        </w:rPr>
        <w:t>'</w:t>
      </w:r>
      <w:r w:rsidRPr="00AC3D7B">
        <w:rPr>
          <w:lang w:val="fr-FR"/>
        </w:rPr>
        <w:t>ONU et mis en œuvre en collaboration avec l</w:t>
      </w:r>
      <w:r w:rsidR="002F0EE1" w:rsidRPr="00AC3D7B">
        <w:rPr>
          <w:lang w:val="fr-FR"/>
        </w:rPr>
        <w:t>'</w:t>
      </w:r>
      <w:r w:rsidRPr="00AC3D7B">
        <w:rPr>
          <w:lang w:val="fr-FR"/>
        </w:rPr>
        <w:t>UNESCO, l</w:t>
      </w:r>
      <w:r w:rsidR="002F0EE1" w:rsidRPr="00AC3D7B">
        <w:rPr>
          <w:lang w:val="fr-FR"/>
        </w:rPr>
        <w:t>'</w:t>
      </w:r>
      <w:r w:rsidRPr="00AC3D7B">
        <w:rPr>
          <w:lang w:val="fr-FR"/>
        </w:rPr>
        <w:t>ONUDC, l</w:t>
      </w:r>
      <w:r w:rsidR="002F0EE1" w:rsidRPr="00AC3D7B">
        <w:rPr>
          <w:lang w:val="fr-FR"/>
        </w:rPr>
        <w:t>'</w:t>
      </w:r>
      <w:r w:rsidRPr="00AC3D7B">
        <w:rPr>
          <w:lang w:val="fr-FR"/>
        </w:rPr>
        <w:t>UNOPS, le</w:t>
      </w:r>
      <w:r w:rsidR="00C879C2" w:rsidRPr="00AC3D7B">
        <w:rPr>
          <w:lang w:val="fr-FR"/>
        </w:rPr>
        <w:t xml:space="preserve"> </w:t>
      </w:r>
      <w:r w:rsidRPr="00AC3D7B">
        <w:rPr>
          <w:lang w:val="fr-FR"/>
        </w:rPr>
        <w:t>HCDH</w:t>
      </w:r>
      <w:r w:rsidR="00C879C2" w:rsidRPr="00AC3D7B">
        <w:rPr>
          <w:lang w:val="fr-FR"/>
        </w:rPr>
        <w:t xml:space="preserve"> </w:t>
      </w:r>
      <w:r w:rsidRPr="00AC3D7B">
        <w:rPr>
          <w:lang w:val="fr-FR"/>
        </w:rPr>
        <w:t>et d</w:t>
      </w:r>
      <w:r w:rsidR="002F0EE1" w:rsidRPr="00AC3D7B">
        <w:rPr>
          <w:lang w:val="fr-FR"/>
        </w:rPr>
        <w:t>'</w:t>
      </w:r>
      <w:r w:rsidRPr="00AC3D7B">
        <w:rPr>
          <w:lang w:val="fr-FR"/>
        </w:rPr>
        <w:t>autres autorités nationales</w:t>
      </w:r>
      <w:r w:rsidR="00C879C2" w:rsidRPr="00AC3D7B">
        <w:rPr>
          <w:lang w:val="fr-FR"/>
        </w:rPr>
        <w:t xml:space="preserve"> </w:t>
      </w:r>
      <w:r w:rsidRPr="00AC3D7B">
        <w:rPr>
          <w:lang w:val="fr-FR"/>
        </w:rPr>
        <w:t>de</w:t>
      </w:r>
      <w:r w:rsidR="00C879C2" w:rsidRPr="00AC3D7B">
        <w:rPr>
          <w:lang w:val="fr-FR"/>
        </w:rPr>
        <w:t xml:space="preserve"> </w:t>
      </w:r>
      <w:r w:rsidRPr="00AC3D7B">
        <w:rPr>
          <w:lang w:val="fr-FR"/>
        </w:rPr>
        <w:t>coordination</w:t>
      </w:r>
      <w:r w:rsidR="00C879C2" w:rsidRPr="00AC3D7B">
        <w:rPr>
          <w:lang w:val="fr-FR"/>
        </w:rPr>
        <w:t xml:space="preserve"> </w:t>
      </w:r>
      <w:r w:rsidRPr="00AC3D7B">
        <w:rPr>
          <w:lang w:val="fr-FR"/>
        </w:rPr>
        <w:t>du</w:t>
      </w:r>
      <w:r w:rsidR="00C879C2" w:rsidRPr="00AC3D7B">
        <w:rPr>
          <w:lang w:val="fr-FR"/>
        </w:rPr>
        <w:t xml:space="preserve"> </w:t>
      </w:r>
      <w:r w:rsidRPr="00AC3D7B">
        <w:rPr>
          <w:lang w:val="fr-FR"/>
        </w:rPr>
        <w:t xml:space="preserve">Pacifique Sud (Fidji, </w:t>
      </w:r>
      <w:r w:rsidR="00F44C77" w:rsidRPr="00AC3D7B">
        <w:rPr>
          <w:lang w:val="fr-FR"/>
        </w:rPr>
        <w:t>Î</w:t>
      </w:r>
      <w:r w:rsidRPr="00AC3D7B">
        <w:rPr>
          <w:lang w:val="fr-FR"/>
        </w:rPr>
        <w:t>les Salomon, Tonga, Vanuatu et Tuvalu).</w:t>
      </w:r>
    </w:p>
    <w:p w14:paraId="08C4862F" w14:textId="34C5FBAD" w:rsidR="00AE2B9C" w:rsidRPr="00AC3D7B" w:rsidRDefault="00AE2B9C" w:rsidP="00AE2B9C">
      <w:pPr>
        <w:pStyle w:val="enumlev1"/>
        <w:rPr>
          <w:rFonts w:cstheme="minorHAnsi"/>
          <w:lang w:val="fr-FR"/>
        </w:rPr>
      </w:pPr>
      <w:r w:rsidRPr="00AC3D7B">
        <w:rPr>
          <w:lang w:val="fr-FR"/>
        </w:rPr>
        <w:t>–</w:t>
      </w:r>
      <w:r w:rsidRPr="00AC3D7B">
        <w:rPr>
          <w:lang w:val="fr-FR"/>
        </w:rPr>
        <w:tab/>
        <w:t>Projet "Villages intelligents au Pakistan": financé par Huawei, avec un financement supplémentaire provenant des fonds affectés aux initiatives régionales.</w:t>
      </w:r>
    </w:p>
    <w:p w14:paraId="765C72D7" w14:textId="55591F21" w:rsidR="00AE2B9C" w:rsidRPr="00AC3D7B" w:rsidRDefault="00AE2B9C" w:rsidP="00AE2B9C">
      <w:pPr>
        <w:pStyle w:val="enumlev1"/>
        <w:rPr>
          <w:rFonts w:cstheme="minorHAnsi"/>
          <w:lang w:val="fr-FR"/>
        </w:rPr>
      </w:pPr>
      <w:r w:rsidRPr="00AC3D7B">
        <w:rPr>
          <w:lang w:val="fr-FR"/>
        </w:rPr>
        <w:t>–</w:t>
      </w:r>
      <w:r w:rsidRPr="00AC3D7B">
        <w:rPr>
          <w:lang w:val="fr-FR"/>
        </w:rPr>
        <w:tab/>
        <w:t>Projet "Accélérateur du</w:t>
      </w:r>
      <w:r w:rsidR="00C879C2" w:rsidRPr="00AC3D7B">
        <w:rPr>
          <w:lang w:val="fr-FR"/>
        </w:rPr>
        <w:t xml:space="preserve"> </w:t>
      </w:r>
      <w:r w:rsidRPr="00AC3D7B">
        <w:rPr>
          <w:lang w:val="fr-FR"/>
        </w:rPr>
        <w:t>numérique pour les femmes entrepreneurs": financé par la Fondation Mary Kay, avec un financement supplémentaire provenant du Fonds FDTIC.</w:t>
      </w:r>
    </w:p>
    <w:p w14:paraId="53AEA408" w14:textId="34A673E1" w:rsidR="00AE2B9C" w:rsidRPr="00AC3D7B" w:rsidRDefault="00AE2B9C" w:rsidP="00AE2B9C">
      <w:pPr>
        <w:pStyle w:val="enumlev1"/>
        <w:rPr>
          <w:rFonts w:cstheme="minorHAnsi"/>
          <w:lang w:val="fr-FR"/>
        </w:rPr>
      </w:pPr>
      <w:r w:rsidRPr="00AC3D7B">
        <w:rPr>
          <w:lang w:val="fr-FR"/>
        </w:rPr>
        <w:t>–</w:t>
      </w:r>
      <w:r w:rsidRPr="00AC3D7B">
        <w:rPr>
          <w:lang w:val="fr-FR"/>
        </w:rPr>
        <w:tab/>
        <w:t xml:space="preserve">Projet "Asistencia Técnica Especializada para la valoración de bandas de frecuencias para Sistemas Móviles Avanzados en el </w:t>
      </w:r>
      <w:r w:rsidR="00F44C77" w:rsidRPr="00AC3D7B">
        <w:rPr>
          <w:lang w:val="fr-FR"/>
        </w:rPr>
        <w:t>Ecuador</w:t>
      </w:r>
      <w:r w:rsidRPr="00AC3D7B">
        <w:rPr>
          <w:lang w:val="fr-FR"/>
        </w:rPr>
        <w:t>" (Assistance technique spécialisée pour l</w:t>
      </w:r>
      <w:r w:rsidR="002F0EE1" w:rsidRPr="00AC3D7B">
        <w:rPr>
          <w:lang w:val="fr-FR"/>
        </w:rPr>
        <w:t>'</w:t>
      </w:r>
      <w:r w:rsidRPr="00AC3D7B">
        <w:rPr>
          <w:lang w:val="fr-FR"/>
        </w:rPr>
        <w:t>évaluation de la valeur économique des bandes de fréquences pour les systèmes mobiles évolués en Équateur): financé par Arcotel Ecuador.</w:t>
      </w:r>
    </w:p>
    <w:p w14:paraId="6DD79F8B" w14:textId="4D5D9C46" w:rsidR="00AE2B9C" w:rsidRPr="00AC3D7B" w:rsidRDefault="00AE2B9C" w:rsidP="007B4AEF">
      <w:pPr>
        <w:pStyle w:val="enumlev1"/>
        <w:keepLines/>
        <w:rPr>
          <w:rFonts w:cstheme="minorHAnsi"/>
          <w:lang w:val="fr-FR"/>
        </w:rPr>
      </w:pPr>
      <w:r w:rsidRPr="00AC3D7B">
        <w:rPr>
          <w:lang w:val="fr-FR"/>
        </w:rPr>
        <w:t>–</w:t>
      </w:r>
      <w:r w:rsidRPr="00AC3D7B">
        <w:rPr>
          <w:lang w:val="fr-FR"/>
        </w:rPr>
        <w:tab/>
        <w:t>Projet "Contribution de 2022 du Département de l</w:t>
      </w:r>
      <w:r w:rsidR="002F0EE1" w:rsidRPr="00AC3D7B">
        <w:rPr>
          <w:lang w:val="fr-FR"/>
        </w:rPr>
        <w:t>'</w:t>
      </w:r>
      <w:r w:rsidRPr="00AC3D7B">
        <w:rPr>
          <w:lang w:val="fr-FR"/>
        </w:rPr>
        <w:t>infrastructure, des transports, du développement régional et des communications (DITRDC) du Gouvernement australien à l</w:t>
      </w:r>
      <w:r w:rsidR="002F0EE1" w:rsidRPr="00AC3D7B">
        <w:rPr>
          <w:lang w:val="fr-FR"/>
        </w:rPr>
        <w:t>'</w:t>
      </w:r>
      <w:r w:rsidRPr="00AC3D7B">
        <w:rPr>
          <w:lang w:val="fr-FR"/>
        </w:rPr>
        <w:t>appui de la CMDT-22": financé par le Département DI</w:t>
      </w:r>
      <w:r w:rsidR="00AC3D7B" w:rsidRPr="00AC3D7B">
        <w:rPr>
          <w:lang w:val="fr-FR"/>
        </w:rPr>
        <w:t>T</w:t>
      </w:r>
      <w:r w:rsidRPr="00AC3D7B">
        <w:rPr>
          <w:lang w:val="fr-FR"/>
        </w:rPr>
        <w:t>RDCA du Gouvernement australien</w:t>
      </w:r>
      <w:r w:rsidR="00F44C77" w:rsidRPr="00AC3D7B">
        <w:rPr>
          <w:lang w:val="fr-FR"/>
        </w:rPr>
        <w:t>.</w:t>
      </w:r>
    </w:p>
    <w:p w14:paraId="04109322" w14:textId="7EC8B902" w:rsidR="00AE2B9C" w:rsidRPr="00AC3D7B" w:rsidRDefault="00AE2B9C" w:rsidP="00AE2B9C">
      <w:pPr>
        <w:pStyle w:val="enumlev1"/>
        <w:rPr>
          <w:rFonts w:cstheme="minorHAnsi"/>
          <w:lang w:val="fr-FR"/>
        </w:rPr>
      </w:pPr>
      <w:r w:rsidRPr="00AC3D7B">
        <w:rPr>
          <w:lang w:val="fr-FR"/>
        </w:rPr>
        <w:lastRenderedPageBreak/>
        <w:t>–</w:t>
      </w:r>
      <w:r w:rsidRPr="00AC3D7B">
        <w:rPr>
          <w:lang w:val="fr-FR"/>
        </w:rPr>
        <w:tab/>
        <w:t>Projet "Mise en œuvre de la Phase 2 du projet relatif à la Carte de connectivité en cas de catastrophe (DCM) de l</w:t>
      </w:r>
      <w:r w:rsidR="002F0EE1" w:rsidRPr="00AC3D7B">
        <w:rPr>
          <w:lang w:val="fr-FR"/>
        </w:rPr>
        <w:t>'</w:t>
      </w:r>
      <w:r w:rsidRPr="00AC3D7B">
        <w:rPr>
          <w:lang w:val="fr-FR"/>
        </w:rPr>
        <w:t>UIT": financé par le Ministère des sciences et des TIC (MSIT) de la République de Corée.</w:t>
      </w:r>
    </w:p>
    <w:p w14:paraId="657BA0E6" w14:textId="369DD3ED" w:rsidR="00AE2B9C" w:rsidRPr="00AC3D7B" w:rsidRDefault="00AE2B9C" w:rsidP="00AE2B9C">
      <w:pPr>
        <w:spacing w:after="120"/>
        <w:rPr>
          <w:lang w:val="fr-FR"/>
        </w:rPr>
      </w:pPr>
      <w:r w:rsidRPr="00AC3D7B">
        <w:rPr>
          <w:lang w:val="fr-FR"/>
        </w:rPr>
        <w:t>Il ressort de ces projets, ainsi que d</w:t>
      </w:r>
      <w:r w:rsidR="002F0EE1" w:rsidRPr="00AC3D7B">
        <w:rPr>
          <w:lang w:val="fr-FR"/>
        </w:rPr>
        <w:t>'</w:t>
      </w:r>
      <w:r w:rsidRPr="00AC3D7B">
        <w:rPr>
          <w:lang w:val="fr-FR"/>
        </w:rPr>
        <w:t>autres projets de l</w:t>
      </w:r>
      <w:r w:rsidR="002F0EE1" w:rsidRPr="00AC3D7B">
        <w:rPr>
          <w:lang w:val="fr-FR"/>
        </w:rPr>
        <w:t>'</w:t>
      </w:r>
      <w:r w:rsidRPr="00AC3D7B">
        <w:rPr>
          <w:lang w:val="fr-FR"/>
        </w:rPr>
        <w:t>UIT, que grâce aux partenariats, l</w:t>
      </w:r>
      <w:r w:rsidR="002F0EE1" w:rsidRPr="00AC3D7B">
        <w:rPr>
          <w:lang w:val="fr-FR"/>
        </w:rPr>
        <w:t>'</w:t>
      </w:r>
      <w:r w:rsidRPr="00AC3D7B">
        <w:rPr>
          <w:lang w:val="fr-FR"/>
        </w:rPr>
        <w:t>Union peut obtenir davantage de résultats et renforcer l</w:t>
      </w:r>
      <w:r w:rsidR="002F0EE1" w:rsidRPr="00AC3D7B">
        <w:rPr>
          <w:lang w:val="fr-FR"/>
        </w:rPr>
        <w:t>'</w:t>
      </w:r>
      <w:r w:rsidRPr="00AC3D7B">
        <w:rPr>
          <w:lang w:val="fr-FR"/>
        </w:rPr>
        <w:t>appui qu</w:t>
      </w:r>
      <w:r w:rsidR="002F0EE1" w:rsidRPr="00AC3D7B">
        <w:rPr>
          <w:lang w:val="fr-FR"/>
        </w:rPr>
        <w:t>'</w:t>
      </w:r>
      <w:r w:rsidRPr="00AC3D7B">
        <w:rPr>
          <w:lang w:val="fr-FR"/>
        </w:rPr>
        <w:t>elle fournit aux membres de l</w:t>
      </w:r>
      <w:r w:rsidR="002F0EE1" w:rsidRPr="00AC3D7B">
        <w:rPr>
          <w:lang w:val="fr-FR"/>
        </w:rPr>
        <w:t>'</w:t>
      </w:r>
      <w:r w:rsidRPr="00AC3D7B">
        <w:rPr>
          <w:lang w:val="fr-FR"/>
        </w:rPr>
        <w:t>UIT afin de promouvoir le développement du numérique. On trouvera la liste des accords correspondants dans le Document INF/2.</w:t>
      </w:r>
    </w:p>
    <w:p w14:paraId="2DA653D4" w14:textId="56C7A73D" w:rsidR="00AE2B9C" w:rsidRPr="00AC3D7B" w:rsidRDefault="00AE2B9C" w:rsidP="00AE2B9C">
      <w:pPr>
        <w:pStyle w:val="Heading1"/>
        <w:rPr>
          <w:rFonts w:cstheme="minorHAnsi"/>
          <w:sz w:val="24"/>
          <w:lang w:val="fr-FR"/>
        </w:rPr>
      </w:pPr>
      <w:r w:rsidRPr="00AC3D7B">
        <w:rPr>
          <w:lang w:val="fr-FR"/>
        </w:rPr>
        <w:t>4</w:t>
      </w:r>
      <w:r w:rsidRPr="00AC3D7B">
        <w:rPr>
          <w:lang w:val="fr-FR"/>
        </w:rPr>
        <w:tab/>
        <w:t>Renforcer les pratiques en matière de gestion des projets au BDT</w:t>
      </w:r>
    </w:p>
    <w:p w14:paraId="60EAC182" w14:textId="4D47ED7D" w:rsidR="00AE2B9C" w:rsidRPr="00AC3D7B" w:rsidRDefault="00AE2B9C" w:rsidP="00AE2B9C">
      <w:pPr>
        <w:pStyle w:val="ListParagraph"/>
        <w:widowControl w:val="0"/>
        <w:spacing w:after="120"/>
        <w:ind w:left="0"/>
        <w:contextualSpacing w:val="0"/>
        <w:rPr>
          <w:rFonts w:cstheme="minorHAnsi"/>
          <w:lang w:val="fr-FR"/>
        </w:rPr>
      </w:pPr>
      <w:r w:rsidRPr="00AC3D7B">
        <w:rPr>
          <w:lang w:val="fr-FR"/>
        </w:rPr>
        <w:t>Le BDT a continué de renforcer les pratiques de gestion des projets pour tous les projets de l</w:t>
      </w:r>
      <w:r w:rsidR="002F0EE1" w:rsidRPr="00AC3D7B">
        <w:rPr>
          <w:lang w:val="fr-FR"/>
        </w:rPr>
        <w:t>'</w:t>
      </w:r>
      <w:r w:rsidRPr="00AC3D7B">
        <w:rPr>
          <w:lang w:val="fr-FR"/>
        </w:rPr>
        <w:t>UIT, en organisant un large éventail d</w:t>
      </w:r>
      <w:r w:rsidR="002F0EE1" w:rsidRPr="00AC3D7B">
        <w:rPr>
          <w:lang w:val="fr-FR"/>
        </w:rPr>
        <w:t>'</w:t>
      </w:r>
      <w:r w:rsidRPr="00AC3D7B">
        <w:rPr>
          <w:lang w:val="fr-FR"/>
        </w:rPr>
        <w:t>activités destinées à consolider la gouvernance des projets du</w:t>
      </w:r>
      <w:r w:rsidR="00F44C77" w:rsidRPr="00AC3D7B">
        <w:rPr>
          <w:lang w:val="fr-FR"/>
        </w:rPr>
        <w:t> </w:t>
      </w:r>
      <w:r w:rsidRPr="00AC3D7B">
        <w:rPr>
          <w:lang w:val="fr-FR"/>
        </w:rPr>
        <w:t>BDT, en renforçant les capacités des responsables de projets du BDT, en normalisant les pratiques de gestion des projets à l</w:t>
      </w:r>
      <w:r w:rsidR="002F0EE1" w:rsidRPr="00AC3D7B">
        <w:rPr>
          <w:lang w:val="fr-FR"/>
        </w:rPr>
        <w:t>'</w:t>
      </w:r>
      <w:r w:rsidRPr="00AC3D7B">
        <w:rPr>
          <w:lang w:val="fr-FR"/>
        </w:rPr>
        <w:t>échelle du BDT et en consolidant les activités de suivi et d</w:t>
      </w:r>
      <w:r w:rsidR="002F0EE1" w:rsidRPr="00AC3D7B">
        <w:rPr>
          <w:lang w:val="fr-FR"/>
        </w:rPr>
        <w:t>'</w:t>
      </w:r>
      <w:r w:rsidRPr="00AC3D7B">
        <w:rPr>
          <w:lang w:val="fr-FR"/>
        </w:rPr>
        <w:t>évaluation des projets. On trouvera dans la liste ci-dessous un résumé des activités menées en</w:t>
      </w:r>
      <w:r w:rsidR="00F44C77" w:rsidRPr="00AC3D7B">
        <w:rPr>
          <w:lang w:val="fr-FR"/>
        </w:rPr>
        <w:t> </w:t>
      </w:r>
      <w:r w:rsidRPr="00AC3D7B">
        <w:rPr>
          <w:lang w:val="fr-FR"/>
        </w:rPr>
        <w:t>2022:</w:t>
      </w:r>
    </w:p>
    <w:p w14:paraId="290E7BBC" w14:textId="013A1A37" w:rsidR="00AE2B9C" w:rsidRPr="00AC3D7B" w:rsidRDefault="00AE2B9C" w:rsidP="00AE2B9C">
      <w:pPr>
        <w:pStyle w:val="enumlev1"/>
        <w:rPr>
          <w:rFonts w:cstheme="minorHAnsi"/>
          <w:b/>
          <w:bCs/>
          <w:lang w:val="fr-FR"/>
        </w:rPr>
      </w:pPr>
      <w:r w:rsidRPr="00AC3D7B">
        <w:rPr>
          <w:lang w:val="fr-FR"/>
        </w:rPr>
        <w:t>–</w:t>
      </w:r>
      <w:r w:rsidRPr="00AC3D7B">
        <w:rPr>
          <w:lang w:val="fr-FR"/>
        </w:rPr>
        <w:tab/>
      </w:r>
      <w:r w:rsidRPr="00AC3D7B">
        <w:rPr>
          <w:b/>
          <w:bCs/>
          <w:i/>
          <w:iCs/>
          <w:lang w:val="fr-FR"/>
        </w:rPr>
        <w:t>Comité directeur des projets du BDT</w:t>
      </w:r>
      <w:r w:rsidRPr="00AC3D7B">
        <w:rPr>
          <w:lang w:val="fr-FR"/>
        </w:rPr>
        <w:t xml:space="preserve">: </w:t>
      </w:r>
      <w:r w:rsidR="007656FC" w:rsidRPr="00AC3D7B">
        <w:rPr>
          <w:lang w:val="fr-FR"/>
        </w:rPr>
        <w:t>l</w:t>
      </w:r>
      <w:r w:rsidRPr="00AC3D7B">
        <w:rPr>
          <w:lang w:val="fr-FR"/>
        </w:rPr>
        <w:t>e Comité directeur des projets du BDT a continué de se réunir à intervalles réguliers pour évaluer la viabilité et la pertinence des propositions de projets avant qu</w:t>
      </w:r>
      <w:r w:rsidR="002F0EE1" w:rsidRPr="00AC3D7B">
        <w:rPr>
          <w:lang w:val="fr-FR"/>
        </w:rPr>
        <w:t>'</w:t>
      </w:r>
      <w:r w:rsidRPr="00AC3D7B">
        <w:rPr>
          <w:lang w:val="fr-FR"/>
        </w:rPr>
        <w:t>elles deviennent des projets, pour examiner et approuver les projets avant qu</w:t>
      </w:r>
      <w:r w:rsidR="002F0EE1" w:rsidRPr="00AC3D7B">
        <w:rPr>
          <w:lang w:val="fr-FR"/>
        </w:rPr>
        <w:t>'</w:t>
      </w:r>
      <w:r w:rsidRPr="00AC3D7B">
        <w:rPr>
          <w:lang w:val="fr-FR"/>
        </w:rPr>
        <w:t>ils soient approuvés par les partenaires et pour superviser la mise en œuvre et la clôture des projets en cas de problème. Les décisions prises par le Comité font l</w:t>
      </w:r>
      <w:r w:rsidR="002F0EE1" w:rsidRPr="00AC3D7B">
        <w:rPr>
          <w:lang w:val="fr-FR"/>
        </w:rPr>
        <w:t>'</w:t>
      </w:r>
      <w:r w:rsidRPr="00AC3D7B">
        <w:rPr>
          <w:lang w:val="fr-FR"/>
        </w:rPr>
        <w:t>objet d</w:t>
      </w:r>
      <w:r w:rsidR="002F0EE1" w:rsidRPr="00AC3D7B">
        <w:rPr>
          <w:lang w:val="fr-FR"/>
        </w:rPr>
        <w:t>'</w:t>
      </w:r>
      <w:r w:rsidRPr="00AC3D7B">
        <w:rPr>
          <w:lang w:val="fr-FR"/>
        </w:rPr>
        <w:t>un suivi régulier par la Division d</w:t>
      </w:r>
      <w:r w:rsidR="002F0EE1" w:rsidRPr="00AC3D7B">
        <w:rPr>
          <w:lang w:val="fr-FR"/>
        </w:rPr>
        <w:t>'</w:t>
      </w:r>
      <w:r w:rsidRPr="00AC3D7B">
        <w:rPr>
          <w:lang w:val="fr-FR"/>
        </w:rPr>
        <w:t>appui aux projets, qui rend compte de leur application au Comité.</w:t>
      </w:r>
    </w:p>
    <w:p w14:paraId="2BAD972B" w14:textId="4E16FF46" w:rsidR="00AE2B9C" w:rsidRPr="00AC3D7B" w:rsidRDefault="00AE2B9C" w:rsidP="00AE2B9C">
      <w:pPr>
        <w:pStyle w:val="enumlev1"/>
        <w:rPr>
          <w:lang w:val="fr-FR"/>
        </w:rPr>
      </w:pPr>
      <w:r w:rsidRPr="00AC3D7B">
        <w:rPr>
          <w:lang w:val="fr-FR"/>
        </w:rPr>
        <w:t>–</w:t>
      </w:r>
      <w:r w:rsidRPr="00AC3D7B">
        <w:rPr>
          <w:lang w:val="fr-FR"/>
        </w:rPr>
        <w:tab/>
      </w:r>
      <w:r w:rsidRPr="00AC3D7B">
        <w:rPr>
          <w:b/>
          <w:bCs/>
          <w:i/>
          <w:iCs/>
          <w:lang w:val="fr-FR"/>
        </w:rPr>
        <w:t>Création d</w:t>
      </w:r>
      <w:r w:rsidR="002F0EE1" w:rsidRPr="00AC3D7B">
        <w:rPr>
          <w:b/>
          <w:bCs/>
          <w:i/>
          <w:iCs/>
          <w:lang w:val="fr-FR"/>
        </w:rPr>
        <w:t>'</w:t>
      </w:r>
      <w:r w:rsidRPr="00AC3D7B">
        <w:rPr>
          <w:b/>
          <w:bCs/>
          <w:i/>
          <w:iCs/>
          <w:lang w:val="fr-FR"/>
        </w:rPr>
        <w:t>un nouveau groupe de "Projets soumis à un contrôle spécial"</w:t>
      </w:r>
      <w:r w:rsidRPr="00AC3D7B">
        <w:rPr>
          <w:lang w:val="fr-FR"/>
        </w:rPr>
        <w:t xml:space="preserve">: </w:t>
      </w:r>
      <w:r w:rsidR="007656FC" w:rsidRPr="00AC3D7B">
        <w:rPr>
          <w:lang w:val="fr-FR"/>
        </w:rPr>
        <w:t>c</w:t>
      </w:r>
      <w:r w:rsidRPr="00AC3D7B">
        <w:rPr>
          <w:lang w:val="fr-FR"/>
        </w:rPr>
        <w:t>ompte tenu des enseignements tirés</w:t>
      </w:r>
      <w:r w:rsidR="00C879C2" w:rsidRPr="00AC3D7B">
        <w:rPr>
          <w:lang w:val="fr-FR"/>
        </w:rPr>
        <w:t xml:space="preserve"> </w:t>
      </w:r>
      <w:r w:rsidRPr="00AC3D7B">
        <w:rPr>
          <w:lang w:val="fr-FR"/>
        </w:rPr>
        <w:t>en 2021 et</w:t>
      </w:r>
      <w:r w:rsidR="00C879C2" w:rsidRPr="00AC3D7B">
        <w:rPr>
          <w:lang w:val="fr-FR"/>
        </w:rPr>
        <w:t xml:space="preserve"> </w:t>
      </w:r>
      <w:r w:rsidRPr="00AC3D7B">
        <w:rPr>
          <w:lang w:val="fr-FR"/>
        </w:rPr>
        <w:t>2022, le Comité directeur des projets du BDT a décidé, à sa première réunion de 2023, de mettre en place un nouveau mécanisme en vue de prévoir un niveau supplémentaire de contrôle</w:t>
      </w:r>
      <w:r w:rsidR="00C879C2" w:rsidRPr="00AC3D7B">
        <w:rPr>
          <w:lang w:val="fr-FR"/>
        </w:rPr>
        <w:t xml:space="preserve"> </w:t>
      </w:r>
      <w:r w:rsidRPr="00AC3D7B">
        <w:rPr>
          <w:lang w:val="fr-FR"/>
        </w:rPr>
        <w:t>pour les projets dont la mise en œuvre pose des problèmes de longue date. Les projets inclus dans ce groupe font l</w:t>
      </w:r>
      <w:r w:rsidR="002F0EE1" w:rsidRPr="00AC3D7B">
        <w:rPr>
          <w:lang w:val="fr-FR"/>
        </w:rPr>
        <w:t>'</w:t>
      </w:r>
      <w:r w:rsidRPr="00AC3D7B">
        <w:rPr>
          <w:lang w:val="fr-FR"/>
        </w:rPr>
        <w:t>objet d</w:t>
      </w:r>
      <w:r w:rsidR="002F0EE1" w:rsidRPr="00AC3D7B">
        <w:rPr>
          <w:lang w:val="fr-FR"/>
        </w:rPr>
        <w:t>'</w:t>
      </w:r>
      <w:r w:rsidRPr="00AC3D7B">
        <w:rPr>
          <w:lang w:val="fr-FR"/>
        </w:rPr>
        <w:t>un suivi hebdomadaire et un rapport hebdomadaire est présenté au Directeur du BDT, pour qu</w:t>
      </w:r>
      <w:r w:rsidR="002F0EE1" w:rsidRPr="00AC3D7B">
        <w:rPr>
          <w:lang w:val="fr-FR"/>
        </w:rPr>
        <w:t>'</w:t>
      </w:r>
      <w:r w:rsidRPr="00AC3D7B">
        <w:rPr>
          <w:lang w:val="fr-FR"/>
        </w:rPr>
        <w:t>il l</w:t>
      </w:r>
      <w:r w:rsidR="002F0EE1" w:rsidRPr="00AC3D7B">
        <w:rPr>
          <w:lang w:val="fr-FR"/>
        </w:rPr>
        <w:t>'</w:t>
      </w:r>
      <w:r w:rsidRPr="00AC3D7B">
        <w:rPr>
          <w:lang w:val="fr-FR"/>
        </w:rPr>
        <w:t>examine et fournisse des indications supplémentaires. Les projets restent soumis à un contrôle spécial jusqu</w:t>
      </w:r>
      <w:r w:rsidR="002F0EE1" w:rsidRPr="00AC3D7B">
        <w:rPr>
          <w:lang w:val="fr-FR"/>
        </w:rPr>
        <w:t>'</w:t>
      </w:r>
      <w:r w:rsidRPr="00AC3D7B">
        <w:rPr>
          <w:lang w:val="fr-FR"/>
        </w:rPr>
        <w:t xml:space="preserve">à ce que leur niveau de mise en </w:t>
      </w:r>
      <w:r w:rsidR="00F44C77" w:rsidRPr="00AC3D7B">
        <w:rPr>
          <w:lang w:val="fr-FR"/>
        </w:rPr>
        <w:t>œuvre</w:t>
      </w:r>
      <w:r w:rsidRPr="00AC3D7B">
        <w:rPr>
          <w:lang w:val="fr-FR"/>
        </w:rPr>
        <w:t xml:space="preserve"> redevienne satisfaisant.</w:t>
      </w:r>
    </w:p>
    <w:p w14:paraId="3D8D051E" w14:textId="16CAE725" w:rsidR="00AE2B9C" w:rsidRPr="00AC3D7B" w:rsidRDefault="00AE2B9C" w:rsidP="00AE2B9C">
      <w:pPr>
        <w:pStyle w:val="enumlev1"/>
        <w:rPr>
          <w:lang w:val="fr-FR"/>
        </w:rPr>
      </w:pPr>
      <w:r w:rsidRPr="00AC3D7B">
        <w:rPr>
          <w:lang w:val="fr-FR"/>
        </w:rPr>
        <w:t>–</w:t>
      </w:r>
      <w:r w:rsidRPr="00AC3D7B">
        <w:rPr>
          <w:lang w:val="fr-FR"/>
        </w:rPr>
        <w:tab/>
      </w:r>
      <w:r w:rsidRPr="00AC3D7B">
        <w:rPr>
          <w:b/>
          <w:bCs/>
          <w:i/>
          <w:iCs/>
          <w:lang w:val="fr-FR"/>
        </w:rPr>
        <w:t>Certification en matière de gestion des projets</w:t>
      </w:r>
      <w:r w:rsidRPr="00AC3D7B">
        <w:rPr>
          <w:lang w:val="fr-FR"/>
        </w:rPr>
        <w:t xml:space="preserve">: </w:t>
      </w:r>
      <w:r w:rsidR="007656FC" w:rsidRPr="00AC3D7B">
        <w:rPr>
          <w:lang w:val="fr-FR"/>
        </w:rPr>
        <w:t>e</w:t>
      </w:r>
      <w:r w:rsidRPr="00AC3D7B">
        <w:rPr>
          <w:lang w:val="fr-FR"/>
        </w:rPr>
        <w:t>n 2022, le BDT a poursuivi son programme de certification en matière de gestion des projets et en a étendu</w:t>
      </w:r>
      <w:r w:rsidR="00C879C2" w:rsidRPr="00AC3D7B">
        <w:rPr>
          <w:lang w:val="fr-FR"/>
        </w:rPr>
        <w:t xml:space="preserve"> </w:t>
      </w:r>
      <w:r w:rsidRPr="00AC3D7B">
        <w:rPr>
          <w:lang w:val="fr-FR"/>
        </w:rPr>
        <w:t>la portée aux fonctionnaires des autres Bureaux ainsi qu</w:t>
      </w:r>
      <w:r w:rsidR="002F0EE1" w:rsidRPr="00AC3D7B">
        <w:rPr>
          <w:lang w:val="fr-FR"/>
        </w:rPr>
        <w:t>'</w:t>
      </w:r>
      <w:r w:rsidRPr="00AC3D7B">
        <w:rPr>
          <w:lang w:val="fr-FR"/>
        </w:rPr>
        <w:t>à ceux du Secrétariat général. À l</w:t>
      </w:r>
      <w:r w:rsidR="002F0EE1" w:rsidRPr="00AC3D7B">
        <w:rPr>
          <w:lang w:val="fr-FR"/>
        </w:rPr>
        <w:t>'</w:t>
      </w:r>
      <w:r w:rsidRPr="00AC3D7B">
        <w:rPr>
          <w:lang w:val="fr-FR"/>
        </w:rPr>
        <w:t>issue de la dernière session du programme, qui s</w:t>
      </w:r>
      <w:r w:rsidR="002F0EE1" w:rsidRPr="00AC3D7B">
        <w:rPr>
          <w:lang w:val="fr-FR"/>
        </w:rPr>
        <w:t>'</w:t>
      </w:r>
      <w:r w:rsidRPr="00AC3D7B">
        <w:rPr>
          <w:lang w:val="fr-FR"/>
        </w:rPr>
        <w:t>est déroulée entre octobre et novembre 202</w:t>
      </w:r>
      <w:r w:rsidR="007656FC" w:rsidRPr="00AC3D7B">
        <w:rPr>
          <w:lang w:val="fr-FR"/>
        </w:rPr>
        <w:t>2</w:t>
      </w:r>
      <w:r w:rsidRPr="00AC3D7B">
        <w:rPr>
          <w:lang w:val="fr-FR"/>
        </w:rPr>
        <w:t>,</w:t>
      </w:r>
      <w:r w:rsidR="00C879C2" w:rsidRPr="00AC3D7B">
        <w:rPr>
          <w:lang w:val="fr-FR"/>
        </w:rPr>
        <w:t xml:space="preserve"> </w:t>
      </w:r>
      <w:r w:rsidRPr="00AC3D7B">
        <w:rPr>
          <w:lang w:val="fr-FR"/>
        </w:rPr>
        <w:t>un groupe de plus de 100 fonctionnaires du BDT</w:t>
      </w:r>
      <w:r w:rsidR="00C879C2" w:rsidRPr="00AC3D7B">
        <w:rPr>
          <w:lang w:val="fr-FR"/>
        </w:rPr>
        <w:t xml:space="preserve"> </w:t>
      </w:r>
      <w:r w:rsidRPr="00AC3D7B">
        <w:rPr>
          <w:lang w:val="fr-FR"/>
        </w:rPr>
        <w:t>a</w:t>
      </w:r>
      <w:r w:rsidR="00C879C2" w:rsidRPr="00AC3D7B">
        <w:rPr>
          <w:lang w:val="fr-FR"/>
        </w:rPr>
        <w:t xml:space="preserve"> </w:t>
      </w:r>
      <w:r w:rsidRPr="00AC3D7B">
        <w:rPr>
          <w:lang w:val="fr-FR"/>
        </w:rPr>
        <w:t>obtenu avec succès une certification en matière de gestion des projets.</w:t>
      </w:r>
    </w:p>
    <w:p w14:paraId="660A2816" w14:textId="3075D4C7" w:rsidR="00AE2B9C" w:rsidRPr="00AC3D7B" w:rsidRDefault="00AE2B9C" w:rsidP="007B4AEF">
      <w:pPr>
        <w:pStyle w:val="enumlev1"/>
        <w:keepLines/>
        <w:rPr>
          <w:rFonts w:cstheme="minorHAnsi"/>
          <w:lang w:val="fr-FR"/>
        </w:rPr>
      </w:pPr>
      <w:r w:rsidRPr="00AC3D7B">
        <w:rPr>
          <w:lang w:val="fr-FR"/>
        </w:rPr>
        <w:t>–</w:t>
      </w:r>
      <w:r w:rsidRPr="00AC3D7B">
        <w:rPr>
          <w:lang w:val="fr-FR"/>
        </w:rPr>
        <w:tab/>
      </w:r>
      <w:r w:rsidRPr="00AC3D7B">
        <w:rPr>
          <w:b/>
          <w:bCs/>
          <w:i/>
          <w:iCs/>
          <w:lang w:val="fr-FR"/>
        </w:rPr>
        <w:t>Suivi des projets de l</w:t>
      </w:r>
      <w:r w:rsidR="002F0EE1" w:rsidRPr="00AC3D7B">
        <w:rPr>
          <w:b/>
          <w:bCs/>
          <w:i/>
          <w:iCs/>
          <w:lang w:val="fr-FR"/>
        </w:rPr>
        <w:t>'</w:t>
      </w:r>
      <w:r w:rsidRPr="00AC3D7B">
        <w:rPr>
          <w:b/>
          <w:bCs/>
          <w:i/>
          <w:iCs/>
          <w:lang w:val="fr-FR"/>
        </w:rPr>
        <w:t>UIT</w:t>
      </w:r>
      <w:r w:rsidRPr="00AC3D7B">
        <w:rPr>
          <w:lang w:val="fr-FR"/>
        </w:rPr>
        <w:t xml:space="preserve">: </w:t>
      </w:r>
      <w:r w:rsidR="007656FC" w:rsidRPr="00AC3D7B">
        <w:rPr>
          <w:lang w:val="fr-FR"/>
        </w:rPr>
        <w:t>t</w:t>
      </w:r>
      <w:r w:rsidRPr="00AC3D7B">
        <w:rPr>
          <w:lang w:val="fr-FR"/>
        </w:rPr>
        <w:t>ous les projets de l</w:t>
      </w:r>
      <w:r w:rsidR="002F0EE1" w:rsidRPr="00AC3D7B">
        <w:rPr>
          <w:lang w:val="fr-FR"/>
        </w:rPr>
        <w:t>'</w:t>
      </w:r>
      <w:r w:rsidRPr="00AC3D7B">
        <w:rPr>
          <w:lang w:val="fr-FR"/>
        </w:rPr>
        <w:t>UIT continuent de faire l</w:t>
      </w:r>
      <w:r w:rsidR="002F0EE1" w:rsidRPr="00AC3D7B">
        <w:rPr>
          <w:lang w:val="fr-FR"/>
        </w:rPr>
        <w:t>'</w:t>
      </w:r>
      <w:r w:rsidRPr="00AC3D7B">
        <w:rPr>
          <w:lang w:val="fr-FR"/>
        </w:rPr>
        <w:t>objet d</w:t>
      </w:r>
      <w:r w:rsidR="002F0EE1" w:rsidRPr="00AC3D7B">
        <w:rPr>
          <w:lang w:val="fr-FR"/>
        </w:rPr>
        <w:t>'</w:t>
      </w:r>
      <w:r w:rsidRPr="00AC3D7B">
        <w:rPr>
          <w:lang w:val="fr-FR"/>
        </w:rPr>
        <w:t>un suivi quotidien et de rapports à la fin de chaque trimestre. Les résultats de ces travaux sont mis à la disposition de la direction du BDT et des responsables de projets au moyen de rapports d</w:t>
      </w:r>
      <w:r w:rsidR="002F0EE1" w:rsidRPr="00AC3D7B">
        <w:rPr>
          <w:lang w:val="fr-FR"/>
        </w:rPr>
        <w:t>'</w:t>
      </w:r>
      <w:r w:rsidRPr="00AC3D7B">
        <w:rPr>
          <w:lang w:val="fr-FR"/>
        </w:rPr>
        <w:t>évaluation trimestriels, ainsi que par l</w:t>
      </w:r>
      <w:r w:rsidR="002F0EE1" w:rsidRPr="00AC3D7B">
        <w:rPr>
          <w:lang w:val="fr-FR"/>
        </w:rPr>
        <w:t>'</w:t>
      </w:r>
      <w:r w:rsidRPr="00AC3D7B">
        <w:rPr>
          <w:lang w:val="fr-FR"/>
        </w:rPr>
        <w:t>intermédiaire de tableaux de bord des contrôles internes, qui permettent</w:t>
      </w:r>
      <w:r w:rsidR="00C879C2" w:rsidRPr="00AC3D7B">
        <w:rPr>
          <w:lang w:val="fr-FR"/>
        </w:rPr>
        <w:t xml:space="preserve"> </w:t>
      </w:r>
      <w:r w:rsidRPr="00AC3D7B">
        <w:rPr>
          <w:lang w:val="fr-FR"/>
        </w:rPr>
        <w:t>de prendre des décisions fondées sur des données en ce qui concerne les projets.</w:t>
      </w:r>
    </w:p>
    <w:p w14:paraId="2EB0CC2E" w14:textId="0346E2E2" w:rsidR="00AE2B9C" w:rsidRPr="00AC3D7B" w:rsidRDefault="00AE2B9C" w:rsidP="007656FC">
      <w:pPr>
        <w:pStyle w:val="enumlev1"/>
        <w:keepNext/>
        <w:keepLines/>
        <w:rPr>
          <w:rFonts w:cstheme="minorHAnsi"/>
          <w:lang w:val="fr-FR"/>
        </w:rPr>
      </w:pPr>
      <w:r w:rsidRPr="00AC3D7B">
        <w:rPr>
          <w:lang w:val="fr-FR"/>
        </w:rPr>
        <w:lastRenderedPageBreak/>
        <w:t>–</w:t>
      </w:r>
      <w:r w:rsidRPr="00AC3D7B">
        <w:rPr>
          <w:lang w:val="fr-FR"/>
        </w:rPr>
        <w:tab/>
      </w:r>
      <w:r w:rsidRPr="00AC3D7B">
        <w:rPr>
          <w:b/>
          <w:bCs/>
          <w:i/>
          <w:iCs/>
          <w:lang w:val="fr-FR"/>
        </w:rPr>
        <w:t>Renforcement de l</w:t>
      </w:r>
      <w:r w:rsidR="002F0EE1" w:rsidRPr="00AC3D7B">
        <w:rPr>
          <w:b/>
          <w:bCs/>
          <w:i/>
          <w:iCs/>
          <w:lang w:val="fr-FR"/>
        </w:rPr>
        <w:t>'</w:t>
      </w:r>
      <w:r w:rsidRPr="00AC3D7B">
        <w:rPr>
          <w:b/>
          <w:bCs/>
          <w:i/>
          <w:iCs/>
          <w:lang w:val="fr-FR"/>
        </w:rPr>
        <w:t>exécution des projets</w:t>
      </w:r>
      <w:r w:rsidRPr="00AC3D7B">
        <w:rPr>
          <w:lang w:val="fr-FR"/>
        </w:rPr>
        <w:t xml:space="preserve">: </w:t>
      </w:r>
      <w:r w:rsidR="007656FC" w:rsidRPr="00AC3D7B">
        <w:rPr>
          <w:lang w:val="fr-FR"/>
        </w:rPr>
        <w:t>à</w:t>
      </w:r>
      <w:r w:rsidRPr="00AC3D7B">
        <w:rPr>
          <w:lang w:val="fr-FR"/>
        </w:rPr>
        <w:t xml:space="preserve"> partir de 2023, tous les descriptifs de projets élaborés par l</w:t>
      </w:r>
      <w:r w:rsidR="002F0EE1" w:rsidRPr="00AC3D7B">
        <w:rPr>
          <w:lang w:val="fr-FR"/>
        </w:rPr>
        <w:t>'</w:t>
      </w:r>
      <w:r w:rsidRPr="00AC3D7B">
        <w:rPr>
          <w:lang w:val="fr-FR"/>
        </w:rPr>
        <w:t>UIT contiennent les coordonnées d</w:t>
      </w:r>
      <w:r w:rsidR="002F0EE1" w:rsidRPr="00AC3D7B">
        <w:rPr>
          <w:lang w:val="fr-FR"/>
        </w:rPr>
        <w:t>'</w:t>
      </w:r>
      <w:r w:rsidRPr="00AC3D7B">
        <w:rPr>
          <w:lang w:val="fr-FR"/>
        </w:rPr>
        <w:t>un coordonnateur désigné dans le(s) pays bénéficiaire(s), afin de renforcer l</w:t>
      </w:r>
      <w:r w:rsidR="002F0EE1" w:rsidRPr="00AC3D7B">
        <w:rPr>
          <w:lang w:val="fr-FR"/>
        </w:rPr>
        <w:t>'</w:t>
      </w:r>
      <w:r w:rsidRPr="00AC3D7B">
        <w:rPr>
          <w:lang w:val="fr-FR"/>
        </w:rPr>
        <w:t>exécution des projets et d</w:t>
      </w:r>
      <w:r w:rsidR="002F0EE1" w:rsidRPr="00AC3D7B">
        <w:rPr>
          <w:lang w:val="fr-FR"/>
        </w:rPr>
        <w:t>'</w:t>
      </w:r>
      <w:r w:rsidRPr="00AC3D7B">
        <w:rPr>
          <w:lang w:val="fr-FR"/>
        </w:rPr>
        <w:t>assurer la maîtrise et la viabilité à long terme des projets.</w:t>
      </w:r>
    </w:p>
    <w:p w14:paraId="4F95C1AC" w14:textId="37113028" w:rsidR="00AE2B9C" w:rsidRPr="00AC3D7B" w:rsidRDefault="00AE2B9C" w:rsidP="00AE2B9C">
      <w:pPr>
        <w:pStyle w:val="Heading1"/>
        <w:rPr>
          <w:rFonts w:cstheme="minorHAnsi"/>
          <w:sz w:val="24"/>
          <w:szCs w:val="24"/>
          <w:lang w:val="fr-FR"/>
        </w:rPr>
      </w:pPr>
      <w:r w:rsidRPr="00AC3D7B">
        <w:rPr>
          <w:lang w:val="fr-FR"/>
        </w:rPr>
        <w:t>5</w:t>
      </w:r>
      <w:r w:rsidRPr="00AC3D7B">
        <w:rPr>
          <w:lang w:val="fr-FR"/>
        </w:rPr>
        <w:tab/>
        <w:t>Conclusions</w:t>
      </w:r>
    </w:p>
    <w:p w14:paraId="3F33CFD5" w14:textId="5A2064CE" w:rsidR="00AE2B9C" w:rsidRPr="00AC3D7B" w:rsidRDefault="00AE2B9C" w:rsidP="00AE2B9C">
      <w:pPr>
        <w:spacing w:after="120"/>
        <w:rPr>
          <w:rFonts w:cstheme="minorHAnsi"/>
          <w:lang w:val="fr-FR"/>
        </w:rPr>
      </w:pPr>
      <w:r w:rsidRPr="00AC3D7B">
        <w:rPr>
          <w:lang w:val="fr-FR"/>
        </w:rPr>
        <w:t>Le portefeuille de projets du BDT continue de produire des résultats concrets sur le terrain et constitue ainsi un mécanisme essentiel permettant au Bureau de fournir une assistance technique aux États Membres de l</w:t>
      </w:r>
      <w:r w:rsidR="002F0EE1" w:rsidRPr="00AC3D7B">
        <w:rPr>
          <w:lang w:val="fr-FR"/>
        </w:rPr>
        <w:t>'</w:t>
      </w:r>
      <w:r w:rsidRPr="00AC3D7B">
        <w:rPr>
          <w:lang w:val="fr-FR"/>
        </w:rPr>
        <w:t>UIT, de mobiliser les Membres du Secteur de l</w:t>
      </w:r>
      <w:r w:rsidR="002F0EE1" w:rsidRPr="00AC3D7B">
        <w:rPr>
          <w:lang w:val="fr-FR"/>
        </w:rPr>
        <w:t>'</w:t>
      </w:r>
      <w:r w:rsidRPr="00AC3D7B">
        <w:rPr>
          <w:lang w:val="fr-FR"/>
        </w:rPr>
        <w:t>UIT-D et de fournir de nouveaux produits et services dans le domaine du développement du numérique.</w:t>
      </w:r>
    </w:p>
    <w:p w14:paraId="41B8EAE2" w14:textId="27C816DE" w:rsidR="00AE2B9C" w:rsidRPr="00AC3D7B" w:rsidRDefault="00AE2B9C" w:rsidP="00AE2B9C">
      <w:pPr>
        <w:spacing w:after="120"/>
        <w:rPr>
          <w:rFonts w:cstheme="minorHAnsi"/>
          <w:lang w:val="fr-FR"/>
        </w:rPr>
      </w:pPr>
      <w:r w:rsidRPr="00AC3D7B">
        <w:rPr>
          <w:lang w:val="fr-FR"/>
        </w:rPr>
        <w:t>En 2022, le BDT a continué de signer de nouveaux projets, d</w:t>
      </w:r>
      <w:r w:rsidR="002F0EE1" w:rsidRPr="00AC3D7B">
        <w:rPr>
          <w:lang w:val="fr-FR"/>
        </w:rPr>
        <w:t>'</w:t>
      </w:r>
      <w:r w:rsidRPr="00AC3D7B">
        <w:rPr>
          <w:lang w:val="fr-FR"/>
        </w:rPr>
        <w:t>un montant de</w:t>
      </w:r>
      <w:r w:rsidR="00C879C2" w:rsidRPr="00AC3D7B">
        <w:rPr>
          <w:lang w:val="fr-FR"/>
        </w:rPr>
        <w:t xml:space="preserve"> </w:t>
      </w:r>
      <w:r w:rsidRPr="00AC3D7B">
        <w:rPr>
          <w:lang w:val="fr-FR"/>
        </w:rPr>
        <w:t>5,3 millions CHF (voir la Figure 4). Il est important</w:t>
      </w:r>
      <w:r w:rsidR="00C879C2" w:rsidRPr="00AC3D7B">
        <w:rPr>
          <w:lang w:val="fr-FR"/>
        </w:rPr>
        <w:t xml:space="preserve"> </w:t>
      </w:r>
      <w:r w:rsidRPr="00AC3D7B">
        <w:rPr>
          <w:lang w:val="fr-FR"/>
        </w:rPr>
        <w:t>de noter que ces projets ont été financés et sont mis en œuvre en partenariat avec d</w:t>
      </w:r>
      <w:r w:rsidR="002F0EE1" w:rsidRPr="00AC3D7B">
        <w:rPr>
          <w:lang w:val="fr-FR"/>
        </w:rPr>
        <w:t>'</w:t>
      </w:r>
      <w:r w:rsidRPr="00AC3D7B">
        <w:rPr>
          <w:lang w:val="fr-FR"/>
        </w:rPr>
        <w:t>autres organisations, telles que des organismes publics nationaux, des entités de coopération bilatérale, des organismes à but non lucratif, des entités du secteur privé et des institutions du système des Nations Unies.</w:t>
      </w:r>
    </w:p>
    <w:p w14:paraId="6E17A508" w14:textId="67235A92" w:rsidR="00AE2B9C" w:rsidRPr="00AC3D7B" w:rsidRDefault="00AE2B9C" w:rsidP="00F44C77">
      <w:pPr>
        <w:pStyle w:val="Figuretitle"/>
        <w:spacing w:after="240"/>
        <w:rPr>
          <w:rFonts w:cstheme="minorHAnsi"/>
          <w:szCs w:val="24"/>
          <w:lang w:val="fr-FR"/>
        </w:rPr>
      </w:pPr>
      <w:r w:rsidRPr="00AC3D7B">
        <w:rPr>
          <w:lang w:val="fr-FR"/>
        </w:rPr>
        <w:t>Figure 4 – Nouveaux projets signés par l</w:t>
      </w:r>
      <w:r w:rsidR="002F0EE1" w:rsidRPr="00AC3D7B">
        <w:rPr>
          <w:lang w:val="fr-FR"/>
        </w:rPr>
        <w:t>'</w:t>
      </w:r>
      <w:r w:rsidRPr="00AC3D7B">
        <w:rPr>
          <w:lang w:val="fr-FR"/>
        </w:rPr>
        <w:t>UIT (2012-2022)</w:t>
      </w:r>
    </w:p>
    <w:p w14:paraId="1C23284F" w14:textId="77777777" w:rsidR="00AE2B9C" w:rsidRPr="00AC3D7B" w:rsidRDefault="00AE2B9C" w:rsidP="00AE2B9C">
      <w:pPr>
        <w:spacing w:after="120"/>
        <w:jc w:val="center"/>
        <w:rPr>
          <w:rFonts w:cstheme="minorBidi"/>
          <w:lang w:val="fr-FR"/>
        </w:rPr>
      </w:pPr>
      <w:r w:rsidRPr="00AC3D7B">
        <w:rPr>
          <w:noProof/>
          <w:lang w:val="fr-FR"/>
        </w:rPr>
        <w:drawing>
          <wp:inline distT="0" distB="0" distL="0" distR="0" wp14:anchorId="74C5ABC0" wp14:editId="5E5AE301">
            <wp:extent cx="6155055" cy="2172614"/>
            <wp:effectExtent l="0" t="0" r="0" b="0"/>
            <wp:docPr id="3" name="Chart 3">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CE10AE" w14:textId="422208EE" w:rsidR="00AE2B9C" w:rsidRPr="00AC3D7B" w:rsidRDefault="00AE2B9C" w:rsidP="00AE2B9C">
      <w:pPr>
        <w:spacing w:after="120"/>
        <w:rPr>
          <w:rFonts w:cstheme="minorHAnsi"/>
          <w:lang w:val="fr-FR"/>
        </w:rPr>
      </w:pPr>
      <w:r w:rsidRPr="00AC3D7B">
        <w:rPr>
          <w:lang w:val="fr-FR"/>
        </w:rPr>
        <w:t>Ces résultats sont le fruit de la coordination entre l</w:t>
      </w:r>
      <w:r w:rsidR="002F0EE1" w:rsidRPr="00AC3D7B">
        <w:rPr>
          <w:lang w:val="fr-FR"/>
        </w:rPr>
        <w:t>'</w:t>
      </w:r>
      <w:r w:rsidRPr="00AC3D7B">
        <w:rPr>
          <w:lang w:val="fr-FR"/>
        </w:rPr>
        <w:t>équipe d</w:t>
      </w:r>
      <w:r w:rsidR="002F0EE1" w:rsidRPr="00AC3D7B">
        <w:rPr>
          <w:lang w:val="fr-FR"/>
        </w:rPr>
        <w:t>'</w:t>
      </w:r>
      <w:r w:rsidRPr="00AC3D7B">
        <w:rPr>
          <w:lang w:val="fr-FR"/>
        </w:rPr>
        <w:t>appui aux projets, la Division de mobilisation des ressources et des partenariats, et le service des relations avec les membres et le secteur privé du Département des partenariats pour le développement numérique du BDT</w:t>
      </w:r>
      <w:r w:rsidRPr="00AC3D7B">
        <w:rPr>
          <w:rStyle w:val="FootnoteReference"/>
          <w:rFonts w:cstheme="minorHAnsi"/>
          <w:lang w:val="fr-FR"/>
        </w:rPr>
        <w:footnoteReference w:id="6"/>
      </w:r>
      <w:r w:rsidRPr="00AC3D7B">
        <w:rPr>
          <w:lang w:val="fr-FR"/>
        </w:rPr>
        <w:t>.</w:t>
      </w:r>
    </w:p>
    <w:p w14:paraId="7B629C9A" w14:textId="04C064D8" w:rsidR="00AE2B9C" w:rsidRPr="00AC3D7B" w:rsidRDefault="00AE2B9C" w:rsidP="007B4AEF">
      <w:pPr>
        <w:keepLines/>
        <w:widowControl w:val="0"/>
        <w:spacing w:after="120"/>
        <w:rPr>
          <w:rFonts w:cstheme="minorHAnsi"/>
          <w:lang w:val="fr-FR"/>
        </w:rPr>
      </w:pPr>
      <w:r w:rsidRPr="00AC3D7B">
        <w:rPr>
          <w:lang w:val="fr-FR"/>
        </w:rPr>
        <w:t>En conclusion,</w:t>
      </w:r>
      <w:r w:rsidR="00C879C2" w:rsidRPr="00AC3D7B">
        <w:rPr>
          <w:lang w:val="fr-FR"/>
        </w:rPr>
        <w:t xml:space="preserve"> </w:t>
      </w:r>
      <w:r w:rsidRPr="00AC3D7B">
        <w:rPr>
          <w:lang w:val="fr-FR"/>
        </w:rPr>
        <w:t>grâce aux</w:t>
      </w:r>
      <w:r w:rsidR="00C879C2" w:rsidRPr="00AC3D7B">
        <w:rPr>
          <w:lang w:val="fr-FR"/>
        </w:rPr>
        <w:t xml:space="preserve"> </w:t>
      </w:r>
      <w:r w:rsidRPr="00AC3D7B">
        <w:rPr>
          <w:lang w:val="fr-FR"/>
        </w:rPr>
        <w:t>capitaux de départ alloués par le Conseil à sa session de 2018</w:t>
      </w:r>
      <w:r w:rsidR="00C879C2" w:rsidRPr="00AC3D7B">
        <w:rPr>
          <w:lang w:val="fr-FR"/>
        </w:rPr>
        <w:t xml:space="preserve"> </w:t>
      </w:r>
      <w:r w:rsidRPr="00AC3D7B">
        <w:rPr>
          <w:lang w:val="fr-FR"/>
        </w:rPr>
        <w:t>à</w:t>
      </w:r>
      <w:r w:rsidR="00C879C2" w:rsidRPr="00AC3D7B">
        <w:rPr>
          <w:lang w:val="fr-FR"/>
        </w:rPr>
        <w:t xml:space="preserve"> </w:t>
      </w:r>
      <w:r w:rsidRPr="00AC3D7B">
        <w:rPr>
          <w:lang w:val="fr-FR"/>
        </w:rPr>
        <w:t>la mise en œuvre des initiatives régionales adoptées par la CMR-17, il a été possible</w:t>
      </w:r>
      <w:r w:rsidR="00C879C2" w:rsidRPr="00AC3D7B">
        <w:rPr>
          <w:lang w:val="fr-FR"/>
        </w:rPr>
        <w:t xml:space="preserve"> </w:t>
      </w:r>
      <w:r w:rsidRPr="00AC3D7B">
        <w:rPr>
          <w:lang w:val="fr-FR"/>
        </w:rPr>
        <w:t>de mobiliser</w:t>
      </w:r>
      <w:r w:rsidR="00F44C77" w:rsidRPr="00AC3D7B">
        <w:rPr>
          <w:lang w:val="fr-FR"/>
        </w:rPr>
        <w:t> </w:t>
      </w:r>
      <w:r w:rsidRPr="00AC3D7B">
        <w:rPr>
          <w:lang w:val="fr-FR"/>
        </w:rPr>
        <w:t>8,7 millions</w:t>
      </w:r>
      <w:r w:rsidR="00F44C77" w:rsidRPr="00AC3D7B">
        <w:rPr>
          <w:lang w:val="fr-FR"/>
        </w:rPr>
        <w:t> </w:t>
      </w:r>
      <w:r w:rsidRPr="00AC3D7B">
        <w:rPr>
          <w:lang w:val="fr-FR"/>
        </w:rPr>
        <w:t>CHF provenant de financements extérieurs, ce qui a permis au BDT de cofinancer 37 projets à fort impact, d</w:t>
      </w:r>
      <w:r w:rsidR="002F0EE1" w:rsidRPr="00AC3D7B">
        <w:rPr>
          <w:lang w:val="fr-FR"/>
        </w:rPr>
        <w:t>'</w:t>
      </w:r>
      <w:r w:rsidRPr="00AC3D7B">
        <w:rPr>
          <w:lang w:val="fr-FR"/>
        </w:rPr>
        <w:t>un montant total de 13,5 millions CHF.</w:t>
      </w:r>
    </w:p>
    <w:p w14:paraId="111EC565" w14:textId="63E977DA" w:rsidR="00AE2B9C" w:rsidRPr="00AC3D7B" w:rsidRDefault="00AE2B9C" w:rsidP="00AE2B9C">
      <w:pPr>
        <w:widowControl w:val="0"/>
        <w:spacing w:after="120"/>
        <w:rPr>
          <w:rFonts w:cstheme="minorHAnsi"/>
          <w:lang w:val="fr-FR"/>
        </w:rPr>
      </w:pPr>
      <w:r w:rsidRPr="00AC3D7B">
        <w:rPr>
          <w:lang w:val="fr-FR"/>
        </w:rPr>
        <w:t>L</w:t>
      </w:r>
      <w:r w:rsidR="002F0EE1" w:rsidRPr="00AC3D7B">
        <w:rPr>
          <w:lang w:val="fr-FR"/>
        </w:rPr>
        <w:t>'</w:t>
      </w:r>
      <w:r w:rsidRPr="00AC3D7B">
        <w:rPr>
          <w:lang w:val="fr-FR"/>
        </w:rPr>
        <w:t>utilisation réussie des fonds alloués par le Conseil</w:t>
      </w:r>
      <w:r w:rsidR="00C879C2" w:rsidRPr="00AC3D7B">
        <w:rPr>
          <w:lang w:val="fr-FR"/>
        </w:rPr>
        <w:t xml:space="preserve"> </w:t>
      </w:r>
      <w:r w:rsidRPr="00AC3D7B">
        <w:rPr>
          <w:lang w:val="fr-FR"/>
        </w:rPr>
        <w:t>montre combien il est important pour l</w:t>
      </w:r>
      <w:r w:rsidR="002F0EE1" w:rsidRPr="00AC3D7B">
        <w:rPr>
          <w:lang w:val="fr-FR"/>
        </w:rPr>
        <w:t>'</w:t>
      </w:r>
      <w:r w:rsidRPr="00AC3D7B">
        <w:rPr>
          <w:lang w:val="fr-FR"/>
        </w:rPr>
        <w:t>UIT d</w:t>
      </w:r>
      <w:r w:rsidR="002F0EE1" w:rsidRPr="00AC3D7B">
        <w:rPr>
          <w:lang w:val="fr-FR"/>
        </w:rPr>
        <w:t>'</w:t>
      </w:r>
      <w:r w:rsidRPr="00AC3D7B">
        <w:rPr>
          <w:lang w:val="fr-FR"/>
        </w:rPr>
        <w:t>accéder à des sources de financement additionnelles</w:t>
      </w:r>
      <w:r w:rsidR="00C879C2" w:rsidRPr="00AC3D7B">
        <w:rPr>
          <w:lang w:val="fr-FR"/>
        </w:rPr>
        <w:t xml:space="preserve"> </w:t>
      </w:r>
      <w:r w:rsidRPr="00AC3D7B">
        <w:rPr>
          <w:lang w:val="fr-FR"/>
        </w:rPr>
        <w:t>pouvant</w:t>
      </w:r>
      <w:r w:rsidR="00C879C2" w:rsidRPr="00AC3D7B">
        <w:rPr>
          <w:lang w:val="fr-FR"/>
        </w:rPr>
        <w:t xml:space="preserve"> </w:t>
      </w:r>
      <w:r w:rsidRPr="00AC3D7B">
        <w:rPr>
          <w:lang w:val="fr-FR"/>
        </w:rPr>
        <w:t>être utilisées pour mobiliser des fonds auprès de partenaires et de donateurs, afin de fournir un appui aux États Membres de l</w:t>
      </w:r>
      <w:r w:rsidR="002F0EE1" w:rsidRPr="00AC3D7B">
        <w:rPr>
          <w:lang w:val="fr-FR"/>
        </w:rPr>
        <w:t>'</w:t>
      </w:r>
      <w:r w:rsidRPr="00AC3D7B">
        <w:rPr>
          <w:lang w:val="fr-FR"/>
        </w:rPr>
        <w:t>UIT.</w:t>
      </w:r>
    </w:p>
    <w:p w14:paraId="69B70EE0" w14:textId="19DA095A" w:rsidR="00EC6FED" w:rsidRPr="00AC3D7B" w:rsidRDefault="00AE2B9C" w:rsidP="00AE2B9C">
      <w:pPr>
        <w:rPr>
          <w:lang w:val="fr-FR"/>
        </w:rPr>
      </w:pPr>
      <w:r w:rsidRPr="00AC3D7B">
        <w:rPr>
          <w:lang w:val="fr-FR"/>
        </w:rPr>
        <w:lastRenderedPageBreak/>
        <w:t>Le GCDT est invité à appuyer l</w:t>
      </w:r>
      <w:r w:rsidR="002F0EE1" w:rsidRPr="00AC3D7B">
        <w:rPr>
          <w:lang w:val="fr-FR"/>
        </w:rPr>
        <w:t>'</w:t>
      </w:r>
      <w:r w:rsidRPr="00AC3D7B">
        <w:rPr>
          <w:lang w:val="fr-FR"/>
        </w:rPr>
        <w:t>affectation de nouveaux fonds d</w:t>
      </w:r>
      <w:r w:rsidR="002F0EE1" w:rsidRPr="00AC3D7B">
        <w:rPr>
          <w:lang w:val="fr-FR"/>
        </w:rPr>
        <w:t>'</w:t>
      </w:r>
      <w:r w:rsidRPr="00AC3D7B">
        <w:rPr>
          <w:lang w:val="fr-FR"/>
        </w:rPr>
        <w:t>amorçage pour la mise en œuvre des initiatives régionales adoptées par la CMDT-22,</w:t>
      </w:r>
      <w:r w:rsidR="00C879C2" w:rsidRPr="00AC3D7B">
        <w:rPr>
          <w:lang w:val="fr-FR"/>
        </w:rPr>
        <w:t xml:space="preserve"> </w:t>
      </w:r>
      <w:r w:rsidRPr="00AC3D7B">
        <w:rPr>
          <w:lang w:val="fr-FR"/>
        </w:rPr>
        <w:t>comme pour les</w:t>
      </w:r>
      <w:r w:rsidR="00C879C2" w:rsidRPr="00AC3D7B">
        <w:rPr>
          <w:lang w:val="fr-FR"/>
        </w:rPr>
        <w:t xml:space="preserve"> </w:t>
      </w:r>
      <w:r w:rsidRPr="00AC3D7B">
        <w:rPr>
          <w:lang w:val="fr-FR"/>
        </w:rPr>
        <w:t>fonds</w:t>
      </w:r>
      <w:r w:rsidR="00C879C2" w:rsidRPr="00AC3D7B">
        <w:rPr>
          <w:lang w:val="fr-FR"/>
        </w:rPr>
        <w:t xml:space="preserve"> </w:t>
      </w:r>
      <w:r w:rsidRPr="00AC3D7B">
        <w:rPr>
          <w:lang w:val="fr-FR"/>
        </w:rPr>
        <w:t>alloués par le Conseil à sa session de 2018, afin de financer les initiatives régionales adoptées par la CMDT-22 pour la période 2023-2027 et, partant,</w:t>
      </w:r>
      <w:r w:rsidR="00C879C2" w:rsidRPr="00AC3D7B">
        <w:rPr>
          <w:lang w:val="fr-FR"/>
        </w:rPr>
        <w:t xml:space="preserve"> </w:t>
      </w:r>
      <w:r w:rsidRPr="00AC3D7B">
        <w:rPr>
          <w:lang w:val="fr-FR"/>
        </w:rPr>
        <w:t>de faciliter la mise en œuvre des projets connexes,</w:t>
      </w:r>
      <w:r w:rsidR="00C879C2" w:rsidRPr="00AC3D7B">
        <w:rPr>
          <w:lang w:val="fr-FR"/>
        </w:rPr>
        <w:t xml:space="preserve"> </w:t>
      </w:r>
      <w:r w:rsidRPr="00AC3D7B">
        <w:rPr>
          <w:lang w:val="fr-FR"/>
        </w:rPr>
        <w:t>dans le cadre de chacune des initiatives régionales dans toutes les régions.</w:t>
      </w:r>
    </w:p>
    <w:p w14:paraId="2EC2844A" w14:textId="77777777" w:rsidR="00821996" w:rsidRPr="00AC3D7B" w:rsidRDefault="003C58BF" w:rsidP="00A50CA0">
      <w:pPr>
        <w:tabs>
          <w:tab w:val="clear" w:pos="794"/>
          <w:tab w:val="clear" w:pos="1191"/>
          <w:tab w:val="clear" w:pos="1588"/>
          <w:tab w:val="clear" w:pos="1985"/>
        </w:tabs>
        <w:spacing w:after="120"/>
        <w:jc w:val="center"/>
        <w:rPr>
          <w:lang w:val="fr-FR"/>
        </w:rPr>
      </w:pPr>
      <w:bookmarkStart w:id="6" w:name="Proposal"/>
      <w:bookmarkEnd w:id="6"/>
      <w:r w:rsidRPr="00AC3D7B">
        <w:rPr>
          <w:lang w:val="fr-FR"/>
        </w:rPr>
        <w:t>_____________</w:t>
      </w:r>
      <w:r w:rsidR="004122C5" w:rsidRPr="00AC3D7B">
        <w:rPr>
          <w:lang w:val="fr-FR"/>
        </w:rPr>
        <w:t>_</w:t>
      </w:r>
      <w:r w:rsidR="00922EC1" w:rsidRPr="00AC3D7B">
        <w:rPr>
          <w:lang w:val="fr-FR"/>
        </w:rPr>
        <w:t>_</w:t>
      </w:r>
    </w:p>
    <w:sectPr w:rsidR="00821996" w:rsidRPr="00AC3D7B" w:rsidSect="0047379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D21C9" w14:textId="77777777" w:rsidR="00427689" w:rsidRDefault="0042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6C35" w14:textId="6701A71B" w:rsidR="00AE2B9C" w:rsidRDefault="00A64EDE" w:rsidP="00AE2B9C">
    <w:pPr>
      <w:pStyle w:val="Footer"/>
    </w:pPr>
    <w:fldSimple w:instr=" FILENAME \p  \* MERGEFORMAT ">
      <w:r w:rsidR="00AE2B9C">
        <w:t>P:\FRA\ITU-D\CONF-D\TDAG23\TDAG23-30\000\007F.docx</w:t>
      </w:r>
    </w:fldSimple>
    <w:r w:rsidR="00AE2B9C">
      <w:t xml:space="preserve"> (</w:t>
    </w:r>
    <w:r w:rsidR="00AE2B9C" w:rsidRPr="00AE2B9C">
      <w:t>520119</w:t>
    </w:r>
    <w:r w:rsidR="00AE2B9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427689" w:rsidRPr="00427689" w14:paraId="695D1810" w14:textId="77777777" w:rsidTr="00427689">
      <w:tc>
        <w:tcPr>
          <w:tcW w:w="1526" w:type="dxa"/>
          <w:tcBorders>
            <w:top w:val="single" w:sz="4" w:space="0" w:color="000000"/>
          </w:tcBorders>
          <w:shd w:val="clear" w:color="auto" w:fill="auto"/>
        </w:tcPr>
        <w:p w14:paraId="746E5A61" w14:textId="77777777" w:rsidR="00427689" w:rsidRPr="001011EB" w:rsidRDefault="00427689" w:rsidP="00427689">
          <w:pPr>
            <w:pStyle w:val="FirstFooter"/>
            <w:tabs>
              <w:tab w:val="left" w:pos="1559"/>
              <w:tab w:val="left" w:pos="3828"/>
            </w:tabs>
            <w:rPr>
              <w:sz w:val="18"/>
              <w:szCs w:val="18"/>
              <w:lang w:val="fr-CH"/>
            </w:rPr>
          </w:pPr>
          <w:proofErr w:type="gramStart"/>
          <w:r w:rsidRPr="001011EB">
            <w:rPr>
              <w:sz w:val="18"/>
              <w:szCs w:val="18"/>
              <w:lang w:val="fr-CH"/>
            </w:rPr>
            <w:t>Contact:</w:t>
          </w:r>
          <w:proofErr w:type="gramEnd"/>
        </w:p>
      </w:tc>
      <w:tc>
        <w:tcPr>
          <w:tcW w:w="2410" w:type="dxa"/>
          <w:tcBorders>
            <w:top w:val="single" w:sz="4" w:space="0" w:color="000000"/>
          </w:tcBorders>
          <w:shd w:val="clear" w:color="auto" w:fill="auto"/>
        </w:tcPr>
        <w:p w14:paraId="488E41E2" w14:textId="7F38F7F7" w:rsidR="00427689" w:rsidRPr="001011EB" w:rsidRDefault="00427689" w:rsidP="00427689">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4CDB43BB" w14:textId="22A97D78" w:rsidR="00427689" w:rsidRPr="00A07FDF" w:rsidRDefault="00427689" w:rsidP="00427689">
          <w:pPr>
            <w:pStyle w:val="FirstFooter"/>
            <w:tabs>
              <w:tab w:val="left" w:pos="2302"/>
            </w:tabs>
            <w:rPr>
              <w:sz w:val="18"/>
              <w:szCs w:val="18"/>
            </w:rPr>
          </w:pPr>
          <w:bookmarkStart w:id="7" w:name="_GoBack"/>
          <w:bookmarkEnd w:id="7"/>
          <w:r w:rsidRPr="0049448A">
            <w:rPr>
              <w:sz w:val="18"/>
              <w:szCs w:val="18"/>
            </w:rPr>
            <w:t>M</w:t>
          </w:r>
          <w:r>
            <w:rPr>
              <w:sz w:val="18"/>
              <w:szCs w:val="18"/>
            </w:rPr>
            <w:t>.</w:t>
          </w:r>
          <w:r w:rsidRPr="0049448A">
            <w:rPr>
              <w:sz w:val="18"/>
              <w:szCs w:val="18"/>
            </w:rPr>
            <w:t xml:space="preserve"> Jose Maria Diaz </w:t>
          </w:r>
          <w:proofErr w:type="spellStart"/>
          <w:r w:rsidRPr="0049448A">
            <w:rPr>
              <w:sz w:val="18"/>
              <w:szCs w:val="18"/>
            </w:rPr>
            <w:t>Batanero</w:t>
          </w:r>
          <w:proofErr w:type="spellEnd"/>
          <w:r w:rsidRPr="0049448A">
            <w:rPr>
              <w:sz w:val="18"/>
              <w:szCs w:val="18"/>
            </w:rPr>
            <w:t xml:space="preserve">, Chef, </w:t>
          </w:r>
          <w:r>
            <w:rPr>
              <w:sz w:val="18"/>
              <w:szCs w:val="18"/>
            </w:rPr>
            <w:t>Division de l’appui aux projets</w:t>
          </w:r>
          <w:r w:rsidRPr="0049448A">
            <w:rPr>
              <w:sz w:val="18"/>
              <w:szCs w:val="18"/>
            </w:rPr>
            <w:t xml:space="preserve">, </w:t>
          </w:r>
          <w:r>
            <w:rPr>
              <w:sz w:val="18"/>
              <w:szCs w:val="18"/>
            </w:rPr>
            <w:t>Bureau de développement des télécommunications</w:t>
          </w:r>
        </w:p>
      </w:tc>
      <w:bookmarkStart w:id="8" w:name="OrgName"/>
      <w:bookmarkEnd w:id="8"/>
    </w:tr>
    <w:tr w:rsidR="00427689" w:rsidRPr="001011EB" w14:paraId="61167678" w14:textId="77777777" w:rsidTr="00427689">
      <w:trPr>
        <w:trHeight w:val="80"/>
      </w:trPr>
      <w:tc>
        <w:tcPr>
          <w:tcW w:w="1526" w:type="dxa"/>
          <w:shd w:val="clear" w:color="auto" w:fill="auto"/>
        </w:tcPr>
        <w:p w14:paraId="33710823" w14:textId="77777777" w:rsidR="00427689" w:rsidRPr="001011EB" w:rsidRDefault="00427689" w:rsidP="00427689">
          <w:pPr>
            <w:pStyle w:val="FirstFooter"/>
            <w:tabs>
              <w:tab w:val="left" w:pos="1559"/>
              <w:tab w:val="left" w:pos="3828"/>
            </w:tabs>
            <w:rPr>
              <w:sz w:val="20"/>
              <w:lang w:val="fr-CH"/>
            </w:rPr>
          </w:pPr>
        </w:p>
      </w:tc>
      <w:tc>
        <w:tcPr>
          <w:tcW w:w="2410" w:type="dxa"/>
          <w:shd w:val="clear" w:color="auto" w:fill="auto"/>
        </w:tcPr>
        <w:p w14:paraId="1251F6E4" w14:textId="7949FD7A" w:rsidR="00427689" w:rsidRPr="001011EB" w:rsidRDefault="00427689" w:rsidP="00427689">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402676D1" w14:textId="5B3F30F2" w:rsidR="00427689" w:rsidRPr="003B52F8" w:rsidRDefault="00427689" w:rsidP="00427689">
          <w:pPr>
            <w:pStyle w:val="FirstFooter"/>
            <w:tabs>
              <w:tab w:val="left" w:pos="2302"/>
            </w:tabs>
            <w:rPr>
              <w:sz w:val="18"/>
              <w:szCs w:val="18"/>
            </w:rPr>
          </w:pPr>
          <w:r w:rsidRPr="003B52F8">
            <w:rPr>
              <w:sz w:val="18"/>
              <w:szCs w:val="18"/>
            </w:rPr>
            <w:t>+41</w:t>
          </w:r>
          <w:r>
            <w:rPr>
              <w:sz w:val="18"/>
              <w:szCs w:val="18"/>
            </w:rPr>
            <w:t xml:space="preserve"> </w:t>
          </w:r>
          <w:r w:rsidRPr="003B52F8">
            <w:rPr>
              <w:sz w:val="18"/>
              <w:szCs w:val="18"/>
            </w:rPr>
            <w:t>22</w:t>
          </w:r>
          <w:r>
            <w:rPr>
              <w:sz w:val="18"/>
              <w:szCs w:val="18"/>
            </w:rPr>
            <w:t xml:space="preserve"> </w:t>
          </w:r>
          <w:r w:rsidRPr="003B52F8">
            <w:rPr>
              <w:sz w:val="18"/>
              <w:szCs w:val="18"/>
            </w:rPr>
            <w:t>730</w:t>
          </w:r>
          <w:r>
            <w:rPr>
              <w:sz w:val="18"/>
              <w:szCs w:val="18"/>
            </w:rPr>
            <w:t xml:space="preserve"> </w:t>
          </w:r>
          <w:r w:rsidRPr="003B52F8">
            <w:rPr>
              <w:sz w:val="18"/>
              <w:szCs w:val="18"/>
            </w:rPr>
            <w:t>5495</w:t>
          </w:r>
        </w:p>
      </w:tc>
      <w:bookmarkStart w:id="9" w:name="PhoneNo"/>
      <w:bookmarkEnd w:id="9"/>
    </w:tr>
    <w:tr w:rsidR="00427689" w:rsidRPr="001011EB" w14:paraId="0299A231" w14:textId="77777777" w:rsidTr="00427689">
      <w:tc>
        <w:tcPr>
          <w:tcW w:w="1526" w:type="dxa"/>
          <w:shd w:val="clear" w:color="auto" w:fill="auto"/>
        </w:tcPr>
        <w:p w14:paraId="35CBC438" w14:textId="77777777" w:rsidR="00427689" w:rsidRPr="001011EB" w:rsidRDefault="00427689" w:rsidP="00427689">
          <w:pPr>
            <w:pStyle w:val="FirstFooter"/>
            <w:tabs>
              <w:tab w:val="left" w:pos="1559"/>
              <w:tab w:val="left" w:pos="3828"/>
            </w:tabs>
            <w:rPr>
              <w:sz w:val="20"/>
              <w:lang w:val="fr-CH"/>
            </w:rPr>
          </w:pPr>
        </w:p>
      </w:tc>
      <w:tc>
        <w:tcPr>
          <w:tcW w:w="2410" w:type="dxa"/>
          <w:shd w:val="clear" w:color="auto" w:fill="auto"/>
        </w:tcPr>
        <w:p w14:paraId="65335E06" w14:textId="490F0FC2" w:rsidR="00427689" w:rsidRPr="001011EB" w:rsidRDefault="00427689" w:rsidP="00427689">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55FC94F8" w14:textId="22459147" w:rsidR="00427689" w:rsidRDefault="00427689" w:rsidP="00427689">
          <w:pPr>
            <w:pStyle w:val="FirstFooter"/>
            <w:tabs>
              <w:tab w:val="left" w:pos="2302"/>
            </w:tabs>
          </w:pPr>
          <w:hyperlink r:id="rId1" w:history="1">
            <w:r w:rsidRPr="001C3A8B">
              <w:rPr>
                <w:rStyle w:val="Hyperlink"/>
                <w:sz w:val="18"/>
                <w:szCs w:val="22"/>
              </w:rPr>
              <w:t>jose.batanero@itu.int</w:t>
            </w:r>
          </w:hyperlink>
          <w:r w:rsidRPr="001C3A8B">
            <w:rPr>
              <w:sz w:val="18"/>
              <w:szCs w:val="22"/>
            </w:rPr>
            <w:t xml:space="preserve"> </w:t>
          </w:r>
        </w:p>
      </w:tc>
      <w:bookmarkStart w:id="10" w:name="Email"/>
      <w:bookmarkEnd w:id="10"/>
    </w:tr>
  </w:tbl>
  <w:p w14:paraId="5AEFE7F9" w14:textId="77777777" w:rsidR="0059420B" w:rsidRPr="001011EB" w:rsidRDefault="0059420B" w:rsidP="00B80157">
    <w:pPr>
      <w:pStyle w:val="Footer"/>
      <w:jc w:val="center"/>
      <w:rPr>
        <w:lang w:val="fr-CH"/>
      </w:rPr>
    </w:pPr>
  </w:p>
  <w:p w14:paraId="40A321D0" w14:textId="50FEB05F" w:rsidR="00721657" w:rsidRPr="001011EB" w:rsidRDefault="00427689"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6E7498FB" w14:textId="23C720DC" w:rsidR="00AE2B9C" w:rsidRPr="00303BE8" w:rsidRDefault="00AE2B9C" w:rsidP="0056766B">
      <w:pPr>
        <w:pStyle w:val="FootnoteTextItalic"/>
        <w:rPr>
          <w:sz w:val="20"/>
          <w:lang w:val="fr-CH"/>
        </w:rPr>
      </w:pPr>
      <w:r w:rsidRPr="006C3AE6">
        <w:rPr>
          <w:rStyle w:val="FootnoteReference"/>
          <w:sz w:val="20"/>
        </w:rPr>
        <w:footnoteRef/>
      </w:r>
      <w:r>
        <w:tab/>
        <w:t xml:space="preserve">Un aperçu du portefeuille de projets de l'UIT est disponible à l'adresse </w:t>
      </w:r>
      <w:hyperlink r:id="rId1" w:history="1">
        <w:r w:rsidRPr="002F0EE1">
          <w:rPr>
            <w:rStyle w:val="Hyperlink"/>
          </w:rPr>
          <w:t>www.itu.int/en/ITU</w:t>
        </w:r>
        <w:r w:rsidR="002F0EE1" w:rsidRPr="002F0EE1">
          <w:rPr>
            <w:rStyle w:val="Hyperlink"/>
          </w:rPr>
          <w:noBreakHyphen/>
        </w:r>
        <w:r w:rsidRPr="002F0EE1">
          <w:rPr>
            <w:rStyle w:val="Hyperlink"/>
          </w:rPr>
          <w:t>D/Projects/</w:t>
        </w:r>
      </w:hyperlink>
      <w:r>
        <w:t>.</w:t>
      </w:r>
    </w:p>
  </w:footnote>
  <w:footnote w:id="2">
    <w:p w14:paraId="0A1DD683" w14:textId="324628C5" w:rsidR="00AE2B9C" w:rsidRPr="00303BE8" w:rsidRDefault="00AE2B9C" w:rsidP="00AE2B9C">
      <w:pPr>
        <w:pStyle w:val="FootnoteText"/>
        <w:spacing w:before="0"/>
        <w:ind w:left="0" w:firstLine="0"/>
        <w:rPr>
          <w:i/>
          <w:iCs/>
          <w:sz w:val="20"/>
          <w:lang w:val="fr-CH"/>
        </w:rPr>
      </w:pPr>
      <w:r w:rsidRPr="006C3AE6">
        <w:rPr>
          <w:rStyle w:val="FootnoteReference"/>
          <w:i/>
          <w:iCs/>
          <w:sz w:val="20"/>
          <w:lang w:val="fr-FR"/>
        </w:rPr>
        <w:footnoteRef/>
      </w:r>
      <w:r>
        <w:rPr>
          <w:i/>
          <w:iCs/>
          <w:lang w:val="fr-FR"/>
        </w:rPr>
        <w:tab/>
        <w:t>Les chiffres figurant dans le rapport correspondent au solde financier à la clôture des comptes de</w:t>
      </w:r>
      <w:r w:rsidR="002F0EE1">
        <w:rPr>
          <w:i/>
          <w:iCs/>
          <w:lang w:val="fr-FR"/>
        </w:rPr>
        <w:t> </w:t>
      </w:r>
      <w:r>
        <w:rPr>
          <w:i/>
          <w:iCs/>
          <w:lang w:val="fr-FR"/>
        </w:rPr>
        <w:t>2022 (solde au 31 décembre 2022).</w:t>
      </w:r>
    </w:p>
  </w:footnote>
  <w:footnote w:id="3">
    <w:p w14:paraId="35BB26D9" w14:textId="08788CBB" w:rsidR="00AE2B9C" w:rsidRPr="00303BE8" w:rsidRDefault="00AE2B9C" w:rsidP="00AE2B9C">
      <w:pPr>
        <w:pStyle w:val="FootnoteText"/>
        <w:spacing w:before="0"/>
        <w:ind w:left="0" w:firstLine="0"/>
        <w:rPr>
          <w:i/>
          <w:iCs/>
          <w:sz w:val="20"/>
          <w:lang w:val="fr-CH"/>
        </w:rPr>
      </w:pPr>
      <w:r w:rsidRPr="006C3AE6">
        <w:rPr>
          <w:rStyle w:val="FootnoteReference"/>
          <w:i/>
          <w:iCs/>
          <w:sz w:val="20"/>
          <w:lang w:val="fr-FR"/>
        </w:rPr>
        <w:footnoteRef/>
      </w:r>
      <w:r>
        <w:rPr>
          <w:lang w:val="fr-FR"/>
        </w:rPr>
        <w:tab/>
      </w:r>
      <w:r>
        <w:rPr>
          <w:i/>
          <w:iCs/>
          <w:lang w:val="fr-FR"/>
        </w:rPr>
        <w:t xml:space="preserve">On trouvera des informations supplémentaires sur le Fonds FDTIC dans le Document C22/034, disponible à l'adresse </w:t>
      </w:r>
      <w:hyperlink r:id="rId2" w:history="1">
        <w:r w:rsidR="002F0EE1" w:rsidRPr="008671C9">
          <w:rPr>
            <w:rStyle w:val="Hyperlink"/>
            <w:i/>
            <w:iCs/>
            <w:lang w:val="fr-FR"/>
          </w:rPr>
          <w:t>https://www.itu.int/md/S21-CL-C-0034/en</w:t>
        </w:r>
      </w:hyperlink>
      <w:r>
        <w:rPr>
          <w:i/>
          <w:iCs/>
          <w:lang w:val="fr-FR"/>
        </w:rPr>
        <w:t>.</w:t>
      </w:r>
    </w:p>
  </w:footnote>
  <w:footnote w:id="4">
    <w:p w14:paraId="028C951F" w14:textId="77777777" w:rsidR="002F0EE1" w:rsidRPr="005F1FB1" w:rsidRDefault="002F0EE1" w:rsidP="002F0EE1">
      <w:pPr>
        <w:pStyle w:val="FootnoteText"/>
        <w:tabs>
          <w:tab w:val="clear" w:pos="255"/>
          <w:tab w:val="left" w:pos="270"/>
        </w:tabs>
        <w:spacing w:before="0"/>
        <w:ind w:left="0" w:firstLine="0"/>
        <w:rPr>
          <w:i/>
          <w:iCs/>
          <w:lang w:val="fr-FR"/>
        </w:rPr>
      </w:pPr>
      <w:r w:rsidRPr="005F1FB1">
        <w:rPr>
          <w:rStyle w:val="FootnoteReference"/>
          <w:rFonts w:cstheme="minorHAnsi"/>
          <w:i/>
          <w:iCs/>
          <w:sz w:val="20"/>
          <w:lang w:val="fr-FR"/>
        </w:rPr>
        <w:footnoteRef/>
      </w:r>
      <w:r w:rsidRPr="005F1FB1">
        <w:rPr>
          <w:lang w:val="fr-FR"/>
        </w:rPr>
        <w:tab/>
      </w:r>
      <w:r w:rsidRPr="005F1FB1">
        <w:rPr>
          <w:i/>
          <w:iCs/>
          <w:lang w:val="fr-FR"/>
        </w:rPr>
        <w:t>À sa session de 2018, le Conseil de l'UIT a alloué un montant de 5 millions CHF pour l'élaboration de projets liés à la mise en œuvre des initiatives régionales définies par la CMDT-17.</w:t>
      </w:r>
    </w:p>
  </w:footnote>
  <w:footnote w:id="5">
    <w:p w14:paraId="2F814019" w14:textId="77777777" w:rsidR="002F0EE1" w:rsidRPr="005F1FB1" w:rsidRDefault="002F0EE1" w:rsidP="002F0EE1">
      <w:pPr>
        <w:pStyle w:val="FootnoteText"/>
        <w:tabs>
          <w:tab w:val="clear" w:pos="255"/>
          <w:tab w:val="left" w:pos="284"/>
        </w:tabs>
        <w:ind w:left="0" w:firstLine="0"/>
        <w:rPr>
          <w:sz w:val="20"/>
          <w:lang w:val="fr-FR"/>
        </w:rPr>
      </w:pPr>
      <w:r w:rsidRPr="005F1FB1">
        <w:rPr>
          <w:rStyle w:val="FootnoteReference"/>
          <w:sz w:val="20"/>
          <w:lang w:val="fr-FR"/>
        </w:rPr>
        <w:footnoteRef/>
      </w:r>
      <w:r w:rsidRPr="005F1FB1">
        <w:rPr>
          <w:lang w:val="fr-FR"/>
        </w:rPr>
        <w:tab/>
      </w:r>
      <w:r w:rsidRPr="005F1FB1">
        <w:rPr>
          <w:i/>
          <w:iCs/>
          <w:lang w:val="fr-FR"/>
        </w:rPr>
        <w:t>Pour de plus amples renseignements sur l'utilisation des fonds approuvés par le Conseil pour appuyer la mise en œuvre des initiatives régionales de la CMDT-17, veuillez vous reporter au Document TDAG-23/INF-3-E, disp</w:t>
      </w:r>
      <w:r w:rsidRPr="00A64EDE">
        <w:rPr>
          <w:i/>
          <w:iCs/>
          <w:lang w:val="fr-FR"/>
        </w:rPr>
        <w:t>onible ici.</w:t>
      </w:r>
    </w:p>
  </w:footnote>
  <w:footnote w:id="6">
    <w:p w14:paraId="736F9876" w14:textId="55A41DC0" w:rsidR="00AE2B9C" w:rsidRPr="00303BE8" w:rsidRDefault="00AE2B9C" w:rsidP="00AE2B9C">
      <w:pPr>
        <w:pStyle w:val="FootnoteText"/>
        <w:tabs>
          <w:tab w:val="clear" w:pos="255"/>
          <w:tab w:val="left" w:pos="90"/>
        </w:tabs>
        <w:spacing w:before="0"/>
        <w:ind w:left="0" w:firstLine="0"/>
        <w:rPr>
          <w:rFonts w:cstheme="minorHAnsi"/>
          <w:i/>
          <w:iCs/>
          <w:sz w:val="20"/>
          <w:lang w:val="fr-CH"/>
        </w:rPr>
      </w:pPr>
      <w:r w:rsidRPr="006C3AE6">
        <w:rPr>
          <w:rStyle w:val="FootnoteReference"/>
          <w:i/>
          <w:iCs/>
          <w:sz w:val="20"/>
          <w:lang w:val="fr-FR"/>
        </w:rPr>
        <w:footnoteRef/>
      </w:r>
      <w:r>
        <w:rPr>
          <w:lang w:val="fr-FR"/>
        </w:rPr>
        <w:tab/>
      </w:r>
      <w:r>
        <w:rPr>
          <w:i/>
          <w:iCs/>
          <w:lang w:val="fr-FR"/>
        </w:rPr>
        <w:t>De plus amples renseignements sur les partenariats et la mobilisation des ressources à l'UIT-D sont disponibles dans les Documents TDAG-23/4-E et INF/1, ainsi que dans le Document</w:t>
      </w:r>
      <w:r w:rsidR="00F44C77">
        <w:rPr>
          <w:i/>
          <w:iCs/>
          <w:lang w:val="fr-FR"/>
        </w:rPr>
        <w:t> </w:t>
      </w:r>
      <w:r>
        <w:rPr>
          <w:i/>
          <w:iCs/>
          <w:lang w:val="fr-FR"/>
        </w:rPr>
        <w:t>TDAG-23/8-E (Membres du Secteur UIT-D, Associés et établissements universitaires participant aux travaux de l'UIT-D).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DAB9" w14:textId="77777777" w:rsidR="00427689" w:rsidRDefault="00427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C03AC2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AE2B9C">
      <w:rPr>
        <w:sz w:val="22"/>
        <w:szCs w:val="22"/>
        <w:lang w:val="de-CH"/>
      </w:rPr>
      <w:t>7</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3FC9" w14:textId="77777777" w:rsidR="00427689" w:rsidRDefault="00427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2E0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C224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94EF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E692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9E80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4E05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E479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7238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06FA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0830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69DE"/>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0EE1"/>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7689"/>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0800"/>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766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1FB1"/>
    <w:rsid w:val="005F43DD"/>
    <w:rsid w:val="005F51A9"/>
    <w:rsid w:val="005F6BE1"/>
    <w:rsid w:val="005F7416"/>
    <w:rsid w:val="00600C11"/>
    <w:rsid w:val="00606B89"/>
    <w:rsid w:val="00611EAF"/>
    <w:rsid w:val="00623F30"/>
    <w:rsid w:val="00625FB8"/>
    <w:rsid w:val="006261BD"/>
    <w:rsid w:val="00627948"/>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656FC"/>
    <w:rsid w:val="00772290"/>
    <w:rsid w:val="00777265"/>
    <w:rsid w:val="007805E7"/>
    <w:rsid w:val="0078222A"/>
    <w:rsid w:val="00787D48"/>
    <w:rsid w:val="00795294"/>
    <w:rsid w:val="007A4E50"/>
    <w:rsid w:val="007B18A7"/>
    <w:rsid w:val="007B250E"/>
    <w:rsid w:val="007B4AEF"/>
    <w:rsid w:val="007C27FC"/>
    <w:rsid w:val="007C51FF"/>
    <w:rsid w:val="007D50E4"/>
    <w:rsid w:val="007E2DC5"/>
    <w:rsid w:val="007F0809"/>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7FDF"/>
    <w:rsid w:val="00A11D05"/>
    <w:rsid w:val="00A13162"/>
    <w:rsid w:val="00A20267"/>
    <w:rsid w:val="00A3158C"/>
    <w:rsid w:val="00A32DF3"/>
    <w:rsid w:val="00A33E32"/>
    <w:rsid w:val="00A35E20"/>
    <w:rsid w:val="00A36F6D"/>
    <w:rsid w:val="00A50CA0"/>
    <w:rsid w:val="00A525CC"/>
    <w:rsid w:val="00A53E7C"/>
    <w:rsid w:val="00A60087"/>
    <w:rsid w:val="00A64EDE"/>
    <w:rsid w:val="00A66C4C"/>
    <w:rsid w:val="00A705E8"/>
    <w:rsid w:val="00A721F4"/>
    <w:rsid w:val="00A9392C"/>
    <w:rsid w:val="00A9462B"/>
    <w:rsid w:val="00A97D59"/>
    <w:rsid w:val="00AA3E09"/>
    <w:rsid w:val="00AA4BEF"/>
    <w:rsid w:val="00AB1659"/>
    <w:rsid w:val="00AB4962"/>
    <w:rsid w:val="00AB734E"/>
    <w:rsid w:val="00AB740F"/>
    <w:rsid w:val="00AC3D7B"/>
    <w:rsid w:val="00AC6F14"/>
    <w:rsid w:val="00AC7221"/>
    <w:rsid w:val="00AD4677"/>
    <w:rsid w:val="00AE2B9C"/>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9C2"/>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2120"/>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C77"/>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D7638"/>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AE2B9C"/>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AE2B9C"/>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AE2B9C"/>
    <w:rPr>
      <w:rFonts w:asciiTheme="minorHAnsi" w:hAnsiTheme="minorHAnsi"/>
      <w:sz w:val="24"/>
      <w:lang w:val="en-GB" w:eastAsia="en-US"/>
    </w:rPr>
  </w:style>
  <w:style w:type="character" w:customStyle="1" w:styleId="Heading2Char">
    <w:name w:val="Heading 2 Char"/>
    <w:basedOn w:val="DefaultParagraphFont"/>
    <w:link w:val="Heading2"/>
    <w:rsid w:val="00AE2B9C"/>
    <w:rPr>
      <w:rFonts w:asciiTheme="minorHAnsi" w:hAnsiTheme="minorHAnsi"/>
      <w:b/>
      <w:sz w:val="24"/>
      <w:lang w:val="en-GB" w:eastAsia="en-US"/>
    </w:rPr>
  </w:style>
  <w:style w:type="character" w:styleId="CommentReference">
    <w:name w:val="annotation reference"/>
    <w:basedOn w:val="DefaultParagraphFont"/>
    <w:semiHidden/>
    <w:unhideWhenUsed/>
    <w:rsid w:val="00AE2B9C"/>
    <w:rPr>
      <w:sz w:val="16"/>
      <w:szCs w:val="16"/>
    </w:rPr>
  </w:style>
  <w:style w:type="paragraph" w:styleId="CommentText">
    <w:name w:val="annotation text"/>
    <w:basedOn w:val="Normal"/>
    <w:link w:val="CommentTextChar"/>
    <w:unhideWhenUsed/>
    <w:rsid w:val="00AE2B9C"/>
    <w:rPr>
      <w:sz w:val="20"/>
    </w:rPr>
  </w:style>
  <w:style w:type="character" w:customStyle="1" w:styleId="CommentTextChar">
    <w:name w:val="Comment Text Char"/>
    <w:basedOn w:val="DefaultParagraphFont"/>
    <w:link w:val="CommentText"/>
    <w:rsid w:val="00AE2B9C"/>
    <w:rPr>
      <w:rFonts w:asciiTheme="minorHAnsi" w:hAnsiTheme="minorHAnsi"/>
      <w:lang w:val="en-GB" w:eastAsia="en-US"/>
    </w:rPr>
  </w:style>
  <w:style w:type="paragraph" w:customStyle="1" w:styleId="FootnoteTextItalic">
    <w:name w:val="Footnote Text + Italic"/>
    <w:basedOn w:val="FootnoteText"/>
    <w:rsid w:val="0056766B"/>
    <w:pPr>
      <w:spacing w:before="0"/>
      <w:ind w:left="0" w:firstLine="0"/>
    </w:pPr>
    <w:rPr>
      <w:i/>
      <w:iCs/>
      <w:lang w:val="fr-FR"/>
    </w:rPr>
  </w:style>
  <w:style w:type="paragraph" w:styleId="Revision">
    <w:name w:val="Revision"/>
    <w:hidden/>
    <w:uiPriority w:val="99"/>
    <w:semiHidden/>
    <w:rsid w:val="005F1FB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1-CL-C-0034/en" TargetMode="External"/><Relationship Id="rId1" Type="http://schemas.openxmlformats.org/officeDocument/2006/relationships/hyperlink" Target="https://www.itu.int/fr/ITU-D/Projects/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3%20TDAG%202023/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3%20TDAG%202023/PRJ%20database%20for%20TDAG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1C-493A-8B68-D7AE2C8657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1C-493A-8B68-D7AE2C8657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1C-493A-8B68-D7AE2C8657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Regional Initiatives</c:v>
                </c:pt>
              </c:strCache>
            </c:strRef>
          </c:cat>
          <c:val>
            <c:numRef>
              <c:f>Summary!$M$5:$M$7</c:f>
              <c:numCache>
                <c:formatCode>General</c:formatCode>
                <c:ptCount val="3"/>
                <c:pt idx="0">
                  <c:v>79647979</c:v>
                </c:pt>
                <c:pt idx="1">
                  <c:v>5497533</c:v>
                </c:pt>
                <c:pt idx="2">
                  <c:v>3266160</c:v>
                </c:pt>
              </c:numCache>
            </c:numRef>
          </c:val>
          <c:extLst>
            <c:ext xmlns:c16="http://schemas.microsoft.com/office/drawing/2014/chart" uri="{C3380CC4-5D6E-409C-BE32-E72D297353CC}">
              <c16:uniqueId val="{00000006-071C-493A-8B68-D7AE2C865775}"/>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'Projects per year'!$A$5:$A$15</c:f>
              <c:numCache>
                <c:formatCode>0_);\(0\)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'Projects per year'!$B$5:$B$15</c:f>
              <c:numCache>
                <c:formatCode>_(* #,##0.00_);_(* \(#,##0.00\);_(* "-"??_);_(@_)</c:formatCode>
                <c:ptCount val="11"/>
                <c:pt idx="0">
                  <c:v>10905274</c:v>
                </c:pt>
                <c:pt idx="1">
                  <c:v>9927803</c:v>
                </c:pt>
                <c:pt idx="2">
                  <c:v>7674402</c:v>
                </c:pt>
                <c:pt idx="3">
                  <c:v>5289174</c:v>
                </c:pt>
                <c:pt idx="4">
                  <c:v>2767939</c:v>
                </c:pt>
                <c:pt idx="5">
                  <c:v>9730134</c:v>
                </c:pt>
                <c:pt idx="6">
                  <c:v>10721579</c:v>
                </c:pt>
                <c:pt idx="7">
                  <c:v>13612980</c:v>
                </c:pt>
                <c:pt idx="8">
                  <c:v>14901477</c:v>
                </c:pt>
                <c:pt idx="9">
                  <c:v>19315000</c:v>
                </c:pt>
                <c:pt idx="10">
                  <c:v>5342000</c:v>
                </c:pt>
              </c:numCache>
            </c:numRef>
          </c:val>
          <c:extLst>
            <c:ext xmlns:c16="http://schemas.microsoft.com/office/drawing/2014/chart" uri="{C3380CC4-5D6E-409C-BE32-E72D297353CC}">
              <c16:uniqueId val="{00000000-CAD2-4B9E-BC35-24705D36C227}"/>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A74E-DB1F-4110-AFFF-34C369C7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2233</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15</cp:revision>
  <cp:lastPrinted>2014-11-04T09:22:00Z</cp:lastPrinted>
  <dcterms:created xsi:type="dcterms:W3CDTF">2023-05-15T06:55:00Z</dcterms:created>
  <dcterms:modified xsi:type="dcterms:W3CDTF">2023-05-16T06:38:00Z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