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001EB9" w:rsidRDefault="00683C32" w:rsidP="00400CCF">
            <w:pPr>
              <w:pStyle w:val="Committee"/>
              <w:spacing w:before="0"/>
              <w:rPr>
                <w:b w:val="0"/>
                <w:szCs w:val="24"/>
              </w:rPr>
            </w:pPr>
          </w:p>
        </w:tc>
        <w:tc>
          <w:tcPr>
            <w:tcW w:w="3509" w:type="dxa"/>
          </w:tcPr>
          <w:p w14:paraId="02E44EE9" w14:textId="54A5CFCC" w:rsidR="00683C32" w:rsidRPr="00001EB9" w:rsidRDefault="0096201B" w:rsidP="00B648C7">
            <w:pPr>
              <w:spacing w:before="0"/>
              <w:jc w:val="both"/>
              <w:rPr>
                <w:bCs/>
                <w:szCs w:val="24"/>
                <w:lang w:val="en-US"/>
              </w:rPr>
            </w:pPr>
            <w:r w:rsidRPr="00001EB9">
              <w:rPr>
                <w:b/>
                <w:bCs/>
                <w:lang w:val="en-US"/>
              </w:rPr>
              <w:t xml:space="preserve">Document </w:t>
            </w:r>
            <w:bookmarkStart w:id="0" w:name="DocRef1"/>
            <w:bookmarkEnd w:id="0"/>
            <w:r w:rsidRPr="00001EB9">
              <w:rPr>
                <w:b/>
                <w:bCs/>
                <w:lang w:val="en-US"/>
              </w:rPr>
              <w:t>TDAG</w:t>
            </w:r>
            <w:r w:rsidR="003242AB" w:rsidRPr="00001EB9">
              <w:rPr>
                <w:b/>
                <w:bCs/>
                <w:lang w:val="en-US"/>
              </w:rPr>
              <w:t>-</w:t>
            </w:r>
            <w:r w:rsidR="00B648C7" w:rsidRPr="00001EB9">
              <w:rPr>
                <w:b/>
                <w:bCs/>
                <w:lang w:val="en-US"/>
              </w:rPr>
              <w:t>2</w:t>
            </w:r>
            <w:bookmarkStart w:id="1" w:name="DocNo1"/>
            <w:bookmarkEnd w:id="1"/>
            <w:r w:rsidR="005C5A93" w:rsidRPr="00001EB9">
              <w:rPr>
                <w:b/>
                <w:bCs/>
                <w:lang w:val="en-US"/>
              </w:rPr>
              <w:t>3</w:t>
            </w:r>
            <w:r w:rsidR="0009076F" w:rsidRPr="00001EB9">
              <w:rPr>
                <w:b/>
                <w:bCs/>
                <w:lang w:val="en-US"/>
              </w:rPr>
              <w:t>/</w:t>
            </w:r>
            <w:r w:rsidR="00001EB9" w:rsidRPr="00001EB9">
              <w:rPr>
                <w:b/>
                <w:bCs/>
                <w:lang w:val="en-US"/>
              </w:rPr>
              <w:t>7</w:t>
            </w:r>
            <w:r w:rsidRPr="00001EB9">
              <w:rPr>
                <w:b/>
                <w:bCs/>
                <w:lang w:val="en-US"/>
              </w:rPr>
              <w:t>-E</w:t>
            </w:r>
          </w:p>
        </w:tc>
      </w:tr>
      <w:tr w:rsidR="00683C32" w14:paraId="24D04936" w14:textId="77777777" w:rsidTr="0009076F">
        <w:trPr>
          <w:cantSplit/>
        </w:trPr>
        <w:tc>
          <w:tcPr>
            <w:tcW w:w="6379" w:type="dxa"/>
          </w:tcPr>
          <w:p w14:paraId="12CE4DBF" w14:textId="77777777" w:rsidR="00683C32" w:rsidRPr="00001EB9" w:rsidRDefault="00683C32" w:rsidP="00400CCF">
            <w:pPr>
              <w:spacing w:before="0"/>
              <w:rPr>
                <w:b/>
                <w:bCs/>
                <w:smallCaps/>
                <w:szCs w:val="24"/>
                <w:lang w:val="en-US"/>
              </w:rPr>
            </w:pPr>
          </w:p>
        </w:tc>
        <w:tc>
          <w:tcPr>
            <w:tcW w:w="3509" w:type="dxa"/>
          </w:tcPr>
          <w:p w14:paraId="0F89640F" w14:textId="7340C3C7" w:rsidR="00683C32" w:rsidRPr="00001EB9" w:rsidRDefault="009B7B36" w:rsidP="00B648C7">
            <w:pPr>
              <w:spacing w:before="0"/>
              <w:rPr>
                <w:b/>
                <w:szCs w:val="24"/>
              </w:rPr>
            </w:pPr>
            <w:bookmarkStart w:id="2" w:name="CreationDate"/>
            <w:bookmarkEnd w:id="2"/>
            <w:r>
              <w:rPr>
                <w:b/>
                <w:bCs/>
                <w:szCs w:val="28"/>
              </w:rPr>
              <w:t>9</w:t>
            </w:r>
            <w:r w:rsidR="00001EB9" w:rsidRPr="00001EB9">
              <w:rPr>
                <w:b/>
                <w:bCs/>
                <w:szCs w:val="28"/>
              </w:rPr>
              <w:t xml:space="preserve"> </w:t>
            </w:r>
            <w:r w:rsidR="002E58BA">
              <w:rPr>
                <w:b/>
                <w:bCs/>
                <w:szCs w:val="28"/>
              </w:rPr>
              <w:t xml:space="preserve">May </w:t>
            </w:r>
            <w:r w:rsidR="00CE0422" w:rsidRPr="00001EB9">
              <w:rPr>
                <w:b/>
                <w:bCs/>
                <w:szCs w:val="28"/>
              </w:rPr>
              <w:t>20</w:t>
            </w:r>
            <w:r w:rsidR="00B648C7" w:rsidRPr="00001EB9">
              <w:rPr>
                <w:b/>
                <w:bCs/>
                <w:szCs w:val="28"/>
              </w:rPr>
              <w:t>2</w:t>
            </w:r>
            <w:r w:rsidR="005C5A93" w:rsidRPr="00001EB9">
              <w:rPr>
                <w:b/>
                <w:bCs/>
                <w:szCs w:val="28"/>
              </w:rPr>
              <w:t>3</w:t>
            </w:r>
          </w:p>
        </w:tc>
      </w:tr>
      <w:tr w:rsidR="00683C32" w14:paraId="7B96545F" w14:textId="77777777" w:rsidTr="0009076F">
        <w:trPr>
          <w:cantSplit/>
        </w:trPr>
        <w:tc>
          <w:tcPr>
            <w:tcW w:w="6379" w:type="dxa"/>
          </w:tcPr>
          <w:p w14:paraId="65956FD3" w14:textId="77777777" w:rsidR="00683C32" w:rsidRPr="00001EB9" w:rsidRDefault="00683C32" w:rsidP="00400CCF">
            <w:pPr>
              <w:spacing w:before="0"/>
              <w:rPr>
                <w:b/>
                <w:bCs/>
                <w:smallCaps/>
                <w:szCs w:val="24"/>
              </w:rPr>
            </w:pPr>
          </w:p>
        </w:tc>
        <w:tc>
          <w:tcPr>
            <w:tcW w:w="3509" w:type="dxa"/>
          </w:tcPr>
          <w:p w14:paraId="30EFD39F" w14:textId="0BF1F51F" w:rsidR="00514D2F" w:rsidRPr="00001EB9" w:rsidRDefault="0096201B" w:rsidP="00400CCF">
            <w:pPr>
              <w:spacing w:before="0"/>
              <w:rPr>
                <w:szCs w:val="24"/>
              </w:rPr>
            </w:pPr>
            <w:r w:rsidRPr="00001EB9">
              <w:rPr>
                <w:b/>
              </w:rPr>
              <w:t>Original:</w:t>
            </w:r>
            <w:bookmarkStart w:id="3" w:name="Original"/>
            <w:bookmarkEnd w:id="3"/>
            <w:r w:rsidR="00CE0422" w:rsidRPr="00001EB9">
              <w:rPr>
                <w:b/>
              </w:rPr>
              <w:t xml:space="preserve"> </w:t>
            </w:r>
            <w:r w:rsidR="00AD4677" w:rsidRPr="00001EB9">
              <w:rPr>
                <w:b/>
              </w:rPr>
              <w:t>English</w:t>
            </w:r>
          </w:p>
        </w:tc>
      </w:tr>
      <w:tr w:rsidR="006E0385" w14:paraId="31656E31" w14:textId="77777777" w:rsidTr="00107E85">
        <w:trPr>
          <w:cantSplit/>
          <w:trHeight w:val="852"/>
        </w:trPr>
        <w:tc>
          <w:tcPr>
            <w:tcW w:w="9888" w:type="dxa"/>
            <w:gridSpan w:val="2"/>
          </w:tcPr>
          <w:p w14:paraId="512FCA01" w14:textId="1C4EF67E" w:rsidR="006E0385" w:rsidRPr="0030353C" w:rsidRDefault="006E0385" w:rsidP="006E0385">
            <w:pPr>
              <w:pStyle w:val="Source"/>
            </w:pPr>
            <w:bookmarkStart w:id="4" w:name="Source"/>
            <w:bookmarkEnd w:id="4"/>
            <w:r w:rsidRPr="00277E7F">
              <w:rPr>
                <w:rFonts w:cstheme="minorHAnsi"/>
              </w:rPr>
              <w:t>Director, Telecommunication Development Bureau</w:t>
            </w:r>
          </w:p>
        </w:tc>
      </w:tr>
      <w:tr w:rsidR="00001EB9" w:rsidRPr="002E6963" w14:paraId="2CBD3A36" w14:textId="77777777" w:rsidTr="00107E85">
        <w:trPr>
          <w:cantSplit/>
        </w:trPr>
        <w:tc>
          <w:tcPr>
            <w:tcW w:w="9888" w:type="dxa"/>
            <w:gridSpan w:val="2"/>
          </w:tcPr>
          <w:p w14:paraId="1B4121DF" w14:textId="4F521907" w:rsidR="00001EB9" w:rsidRPr="0030353C" w:rsidRDefault="00001EB9" w:rsidP="00001EB9">
            <w:pPr>
              <w:pStyle w:val="Title1"/>
            </w:pPr>
            <w:bookmarkStart w:id="5" w:name="Title"/>
            <w:bookmarkEnd w:id="5"/>
            <w:r w:rsidRPr="00277E7F">
              <w:rPr>
                <w:rFonts w:cstheme="minorHAnsi"/>
              </w:rPr>
              <w:t>ITU-D Projects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9B7B36">
            <w:pPr>
              <w:spacing w:after="120"/>
              <w:rPr>
                <w:b/>
                <w:bCs/>
                <w:szCs w:val="24"/>
              </w:rPr>
            </w:pPr>
            <w:r w:rsidRPr="00D9621A">
              <w:rPr>
                <w:b/>
                <w:bCs/>
                <w:szCs w:val="24"/>
              </w:rPr>
              <w:t>Summary:</w:t>
            </w:r>
          </w:p>
          <w:p w14:paraId="1D61AF82" w14:textId="4D05088D" w:rsidR="00E50697" w:rsidRPr="00277E7F" w:rsidRDefault="00E50697" w:rsidP="009B7B36">
            <w:pPr>
              <w:spacing w:after="120"/>
              <w:rPr>
                <w:rFonts w:cstheme="minorHAnsi"/>
                <w:lang w:eastAsia="zh-CN"/>
              </w:rPr>
            </w:pPr>
            <w:r w:rsidRPr="00277E7F">
              <w:rPr>
                <w:rFonts w:cstheme="minorHAnsi"/>
                <w:lang w:eastAsia="zh-CN"/>
              </w:rPr>
              <w:t xml:space="preserve">The International Telecommunication Union has a dual responsibility as a United Nations specialized agency and as an executing agency. The Telecommunication Development Sector (ITU-D) in fulfilling the Union's dual responsibility, has the key function of implementing projects under the United Nations development system or other funding arrangements so as to facilitate and enhance telecommunication development by offering, </w:t>
            </w:r>
            <w:r w:rsidR="008F31F2" w:rsidRPr="00277E7F">
              <w:rPr>
                <w:rFonts w:cstheme="minorHAnsi"/>
                <w:lang w:eastAsia="zh-CN"/>
              </w:rPr>
              <w:t>organizing,</w:t>
            </w:r>
            <w:r w:rsidRPr="00277E7F">
              <w:rPr>
                <w:rFonts w:cstheme="minorHAnsi"/>
                <w:lang w:eastAsia="zh-CN"/>
              </w:rPr>
              <w:t xml:space="preserve"> and coordinating technical cooperation and assistance activities.</w:t>
            </w:r>
          </w:p>
          <w:p w14:paraId="4796D94E" w14:textId="77777777" w:rsidR="00E50697" w:rsidRPr="00277E7F" w:rsidRDefault="00E50697" w:rsidP="009B7B36">
            <w:pPr>
              <w:spacing w:after="120"/>
              <w:rPr>
                <w:rFonts w:cstheme="minorHAnsi"/>
                <w:lang w:eastAsia="zh-CN"/>
              </w:rPr>
            </w:pPr>
            <w:r w:rsidRPr="00277E7F">
              <w:rPr>
                <w:rFonts w:cstheme="minorHAnsi"/>
                <w:lang w:eastAsia="zh-CN"/>
              </w:rPr>
              <w:t>This document presents an overview of the work undertaken by the Telecommunication Development Bureau in project development and implementation in the six ITU-D regions: Africa, Americas, Arab States, Asia-Pacific, Commonwealth of Independent States (CIS) and Europe, as well as multi-regionally.</w:t>
            </w:r>
          </w:p>
          <w:p w14:paraId="76A1C541" w14:textId="77777777" w:rsidR="00A721F4" w:rsidRPr="00D9621A" w:rsidRDefault="00A721F4" w:rsidP="009B7B36">
            <w:pPr>
              <w:spacing w:after="120"/>
              <w:rPr>
                <w:b/>
                <w:bCs/>
                <w:szCs w:val="24"/>
              </w:rPr>
            </w:pPr>
            <w:r w:rsidRPr="005E090D">
              <w:rPr>
                <w:b/>
                <w:bCs/>
              </w:rPr>
              <w:t>Action required:</w:t>
            </w:r>
          </w:p>
          <w:p w14:paraId="371956FC" w14:textId="60FA9425" w:rsidR="00A721F4" w:rsidRPr="008818DF" w:rsidRDefault="008818DF" w:rsidP="009B7B36">
            <w:pPr>
              <w:spacing w:after="120"/>
              <w:rPr>
                <w:rFonts w:cstheme="minorHAnsi"/>
                <w:b/>
                <w:bCs/>
                <w:lang w:eastAsia="zh-CN"/>
              </w:rPr>
            </w:pPr>
            <w:r w:rsidRPr="00277E7F">
              <w:rPr>
                <w:rFonts w:cstheme="minorHAnsi"/>
                <w:lang w:eastAsia="zh-CN"/>
              </w:rPr>
              <w:t>TDAG is invited to note this document and provide guidance as deemed appropriate.</w:t>
            </w:r>
          </w:p>
          <w:p w14:paraId="622ACB80" w14:textId="77777777" w:rsidR="00A721F4" w:rsidRPr="00D9621A" w:rsidRDefault="00A721F4" w:rsidP="009B7B36">
            <w:pPr>
              <w:spacing w:after="120"/>
              <w:rPr>
                <w:b/>
                <w:bCs/>
                <w:szCs w:val="24"/>
              </w:rPr>
            </w:pPr>
            <w:r w:rsidRPr="00D9621A">
              <w:rPr>
                <w:b/>
                <w:bCs/>
                <w:szCs w:val="24"/>
              </w:rPr>
              <w:t>References:</w:t>
            </w:r>
          </w:p>
          <w:p w14:paraId="1ECDD20E" w14:textId="74CD3326" w:rsidR="00A721F4" w:rsidRPr="00D9621A" w:rsidRDefault="00C17774" w:rsidP="009B7B36">
            <w:pPr>
              <w:spacing w:after="120"/>
            </w:pPr>
            <w:r w:rsidRPr="00277E7F">
              <w:rPr>
                <w:rFonts w:cstheme="minorHAnsi"/>
                <w:lang w:eastAsia="zh-CN"/>
              </w:rPr>
              <w:t xml:space="preserve">Resolutions 17 (Rev. </w:t>
            </w:r>
            <w:r>
              <w:rPr>
                <w:rFonts w:cstheme="minorHAnsi"/>
                <w:lang w:eastAsia="zh-CN"/>
              </w:rPr>
              <w:t>Kigali</w:t>
            </w:r>
            <w:r w:rsidRPr="00277E7F">
              <w:rPr>
                <w:rFonts w:cstheme="minorHAnsi"/>
                <w:lang w:eastAsia="zh-CN"/>
              </w:rPr>
              <w:t>, 20</w:t>
            </w:r>
            <w:r>
              <w:rPr>
                <w:rFonts w:cstheme="minorHAnsi"/>
                <w:lang w:eastAsia="zh-CN"/>
              </w:rPr>
              <w:t>22</w:t>
            </w:r>
            <w:r w:rsidRPr="00277E7F">
              <w:rPr>
                <w:rFonts w:cstheme="minorHAnsi"/>
                <w:lang w:eastAsia="zh-CN"/>
              </w:rPr>
              <w:t xml:space="preserve">) </w:t>
            </w:r>
            <w:r w:rsidR="006F7A14" w:rsidRPr="00277E7F">
              <w:rPr>
                <w:rFonts w:cstheme="minorHAnsi"/>
                <w:lang w:eastAsia="zh-CN"/>
              </w:rPr>
              <w:t xml:space="preserve">and 52 </w:t>
            </w:r>
            <w:r w:rsidR="006F7A14">
              <w:rPr>
                <w:rFonts w:cstheme="minorHAnsi"/>
                <w:lang w:eastAsia="zh-CN"/>
              </w:rPr>
              <w:t xml:space="preserve">(Rev. Dubai, 2014) </w:t>
            </w:r>
            <w:r w:rsidRPr="00277E7F">
              <w:rPr>
                <w:rFonts w:cstheme="minorHAnsi"/>
                <w:lang w:eastAsia="zh-CN"/>
              </w:rPr>
              <w:t xml:space="preserve">of the World Telecommunication Development Conference (WTDC) and Resolution 157 (Rev. </w:t>
            </w:r>
            <w:r w:rsidR="00B92038">
              <w:rPr>
                <w:rFonts w:cstheme="minorHAnsi"/>
                <w:lang w:eastAsia="zh-CN"/>
              </w:rPr>
              <w:t>Bucharest</w:t>
            </w:r>
            <w:r w:rsidRPr="00277E7F">
              <w:rPr>
                <w:rFonts w:cstheme="minorHAnsi"/>
                <w:lang w:eastAsia="zh-CN"/>
              </w:rPr>
              <w:t>, 20</w:t>
            </w:r>
            <w:r w:rsidR="00B92038">
              <w:rPr>
                <w:rFonts w:cstheme="minorHAnsi"/>
                <w:lang w:eastAsia="zh-CN"/>
              </w:rPr>
              <w:t>22</w:t>
            </w:r>
            <w:r w:rsidRPr="00277E7F">
              <w:rPr>
                <w:rFonts w:cstheme="minorHAnsi"/>
                <w:lang w:eastAsia="zh-CN"/>
              </w:rPr>
              <w:t>) of the Plenipotentiary Conference.</w:t>
            </w:r>
          </w:p>
        </w:tc>
      </w:tr>
    </w:tbl>
    <w:p w14:paraId="647C154F" w14:textId="69A7C481" w:rsidR="00915BF5" w:rsidRPr="009B7B36" w:rsidRDefault="00915BF5" w:rsidP="009B7B36">
      <w:pPr>
        <w:pStyle w:val="Heading1"/>
        <w:numPr>
          <w:ilvl w:val="0"/>
          <w:numId w:val="2"/>
        </w:numPr>
        <w:spacing w:before="120" w:after="120"/>
        <w:textAlignment w:val="auto"/>
        <w:rPr>
          <w:rFonts w:cstheme="minorHAnsi"/>
          <w:sz w:val="24"/>
          <w:szCs w:val="24"/>
        </w:rPr>
      </w:pPr>
      <w:r w:rsidRPr="009B7B36">
        <w:rPr>
          <w:rFonts w:cstheme="minorHAnsi"/>
          <w:sz w:val="24"/>
          <w:szCs w:val="24"/>
        </w:rPr>
        <w:t>Introduction</w:t>
      </w:r>
    </w:p>
    <w:p w14:paraId="4E70CFE4" w14:textId="6E94921A" w:rsidR="00915BF5" w:rsidRPr="009B7B36" w:rsidRDefault="00915BF5" w:rsidP="009B7B36">
      <w:pPr>
        <w:pStyle w:val="ListParagraph"/>
        <w:spacing w:after="120"/>
        <w:ind w:left="0"/>
        <w:contextualSpacing w:val="0"/>
        <w:rPr>
          <w:rFonts w:cstheme="minorHAnsi"/>
          <w:szCs w:val="24"/>
        </w:rPr>
      </w:pPr>
      <w:r w:rsidRPr="009B7B36">
        <w:rPr>
          <w:rFonts w:cstheme="minorHAnsi"/>
          <w:szCs w:val="24"/>
        </w:rPr>
        <w:t xml:space="preserve">In accordance with </w:t>
      </w:r>
      <w:r w:rsidR="00406E7E" w:rsidRPr="009B7B36">
        <w:rPr>
          <w:rFonts w:cstheme="minorHAnsi"/>
          <w:szCs w:val="24"/>
          <w:lang w:eastAsia="zh-CN"/>
        </w:rPr>
        <w:t>Resolutions 17 (Rev. Kigali, 2022) and 52 (Rev. Dubai, 2014) of the World Telecommunication Development Conference (WTDC) and Resolution 157 (Rev. Bucharest, 2022) of the Plenipotentiary Conference</w:t>
      </w:r>
      <w:r w:rsidRPr="009B7B36">
        <w:rPr>
          <w:rFonts w:cstheme="minorHAnsi"/>
          <w:szCs w:val="24"/>
        </w:rPr>
        <w:t xml:space="preserve">, the ITU Telecommunication Development Bureau (BDT) holds the responsibility of fulfilling ITU´s mandate of implementing projects under the United Nations development system or other funding arrangements so as to facilitate and enhance telecommunication/information and communication technology development by offering, organizing and coordinating technical cooperation and assistance activities. This report presents </w:t>
      </w:r>
      <w:r w:rsidRPr="009B7B36">
        <w:rPr>
          <w:rFonts w:cstheme="minorHAnsi"/>
          <w:szCs w:val="24"/>
        </w:rPr>
        <w:lastRenderedPageBreak/>
        <w:t>an overview of the status of the ITU project portfolio</w:t>
      </w:r>
      <w:r w:rsidR="0033084A" w:rsidRPr="009B7B36">
        <w:rPr>
          <w:rStyle w:val="FootnoteReference"/>
          <w:rFonts w:cstheme="minorHAnsi"/>
          <w:szCs w:val="18"/>
        </w:rPr>
        <w:footnoteReference w:id="1"/>
      </w:r>
      <w:r w:rsidRPr="009B7B36">
        <w:rPr>
          <w:rFonts w:cstheme="minorHAnsi"/>
          <w:szCs w:val="24"/>
        </w:rPr>
        <w:t xml:space="preserve"> for the period from </w:t>
      </w:r>
      <w:r w:rsidR="00420829" w:rsidRPr="009B7B36">
        <w:rPr>
          <w:rFonts w:cstheme="minorHAnsi"/>
          <w:szCs w:val="24"/>
        </w:rPr>
        <w:t xml:space="preserve">January </w:t>
      </w:r>
      <w:r w:rsidR="00CE0B06" w:rsidRPr="009B7B36">
        <w:rPr>
          <w:rFonts w:cstheme="minorHAnsi"/>
          <w:szCs w:val="24"/>
        </w:rPr>
        <w:t xml:space="preserve">to December </w:t>
      </w:r>
      <w:r w:rsidR="00B64C08" w:rsidRPr="009B7B36">
        <w:rPr>
          <w:rFonts w:cstheme="minorHAnsi"/>
          <w:szCs w:val="24"/>
        </w:rPr>
        <w:t>2022</w:t>
      </w:r>
      <w:r w:rsidRPr="009B7B36">
        <w:rPr>
          <w:rFonts w:cstheme="minorHAnsi"/>
          <w:szCs w:val="24"/>
        </w:rPr>
        <w:t>.</w:t>
      </w:r>
      <w:r w:rsidRPr="009B7B36">
        <w:rPr>
          <w:rStyle w:val="FootnoteReference"/>
          <w:rFonts w:cstheme="minorHAnsi"/>
          <w:szCs w:val="18"/>
          <w:lang w:val="en-US"/>
        </w:rPr>
        <w:footnoteReference w:id="2"/>
      </w:r>
    </w:p>
    <w:p w14:paraId="4F4E11F8" w14:textId="77777777" w:rsidR="0061493A" w:rsidRPr="009B7B36" w:rsidRDefault="0061493A" w:rsidP="009B7B36">
      <w:pPr>
        <w:pStyle w:val="Heading1"/>
        <w:numPr>
          <w:ilvl w:val="0"/>
          <w:numId w:val="2"/>
        </w:numPr>
        <w:spacing w:before="120" w:after="120"/>
        <w:ind w:left="357" w:hanging="357"/>
        <w:textAlignment w:val="auto"/>
        <w:rPr>
          <w:rFonts w:cstheme="minorHAnsi"/>
          <w:sz w:val="24"/>
          <w:szCs w:val="24"/>
        </w:rPr>
      </w:pPr>
      <w:r w:rsidRPr="009B7B36">
        <w:rPr>
          <w:rFonts w:cstheme="minorHAnsi"/>
          <w:sz w:val="24"/>
          <w:szCs w:val="24"/>
        </w:rPr>
        <w:t>Funding sources for ongoing ITU projects</w:t>
      </w:r>
    </w:p>
    <w:p w14:paraId="011439A1" w14:textId="77BC1718" w:rsidR="0061493A" w:rsidRPr="009B7B36" w:rsidRDefault="008B3128" w:rsidP="009B7B36">
      <w:pPr>
        <w:spacing w:after="120"/>
        <w:rPr>
          <w:rFonts w:cstheme="minorHAnsi"/>
          <w:szCs w:val="24"/>
        </w:rPr>
      </w:pPr>
      <w:r w:rsidRPr="009B7B36">
        <w:rPr>
          <w:rFonts w:cstheme="minorHAnsi"/>
          <w:szCs w:val="24"/>
        </w:rPr>
        <w:t xml:space="preserve">ITU is not a funding institution. This means that </w:t>
      </w:r>
      <w:r w:rsidR="0061493A" w:rsidRPr="009B7B36">
        <w:rPr>
          <w:rFonts w:cstheme="minorHAnsi"/>
          <w:szCs w:val="24"/>
        </w:rPr>
        <w:t>ITU projects are funded mostly through extrabudgetary resources mobilized by ITU in support of ITU Member States</w:t>
      </w:r>
      <w:r w:rsidR="00EB7F4B" w:rsidRPr="009B7B36">
        <w:rPr>
          <w:rFonts w:cstheme="minorHAnsi"/>
          <w:szCs w:val="24"/>
        </w:rPr>
        <w:t xml:space="preserve"> (Funds in Trust and voluntary contributions). </w:t>
      </w:r>
      <w:r w:rsidR="00573063" w:rsidRPr="009B7B36">
        <w:rPr>
          <w:rFonts w:cstheme="minorHAnsi"/>
          <w:szCs w:val="24"/>
        </w:rPr>
        <w:t>On some circumstances,</w:t>
      </w:r>
      <w:r w:rsidR="006E0CC0" w:rsidRPr="009B7B36">
        <w:rPr>
          <w:rFonts w:cstheme="minorHAnsi"/>
          <w:szCs w:val="24"/>
        </w:rPr>
        <w:t xml:space="preserve"> and as defined by internal </w:t>
      </w:r>
      <w:r w:rsidR="00573063" w:rsidRPr="009B7B36">
        <w:rPr>
          <w:rFonts w:cstheme="minorHAnsi"/>
          <w:szCs w:val="24"/>
        </w:rPr>
        <w:t xml:space="preserve">ITU </w:t>
      </w:r>
      <w:r w:rsidR="006E0CC0" w:rsidRPr="009B7B36">
        <w:rPr>
          <w:rFonts w:cstheme="minorHAnsi"/>
          <w:szCs w:val="24"/>
        </w:rPr>
        <w:t xml:space="preserve">rules and regulations, ITU </w:t>
      </w:r>
      <w:r w:rsidR="00EB7F4B" w:rsidRPr="009B7B36">
        <w:rPr>
          <w:rFonts w:cstheme="minorHAnsi"/>
          <w:szCs w:val="24"/>
        </w:rPr>
        <w:t xml:space="preserve">can also </w:t>
      </w:r>
      <w:r w:rsidR="00445528" w:rsidRPr="009B7B36">
        <w:rPr>
          <w:rFonts w:cstheme="minorHAnsi"/>
          <w:szCs w:val="24"/>
        </w:rPr>
        <w:t xml:space="preserve">use funds from the </w:t>
      </w:r>
      <w:r w:rsidR="0061493A" w:rsidRPr="009B7B36">
        <w:rPr>
          <w:rFonts w:cstheme="minorHAnsi"/>
          <w:szCs w:val="24"/>
        </w:rPr>
        <w:t>ICT Development Fund (ICT-DF)</w:t>
      </w:r>
      <w:r w:rsidR="0061493A" w:rsidRPr="009B7B36">
        <w:rPr>
          <w:rStyle w:val="FootnoteReference"/>
          <w:rFonts w:cstheme="minorHAnsi"/>
          <w:szCs w:val="18"/>
        </w:rPr>
        <w:footnoteReference w:id="3"/>
      </w:r>
      <w:r w:rsidR="0061493A" w:rsidRPr="009B7B36">
        <w:rPr>
          <w:rFonts w:cstheme="minorHAnsi"/>
          <w:szCs w:val="24"/>
        </w:rPr>
        <w:t xml:space="preserve">, managed by ITU, </w:t>
      </w:r>
      <w:r w:rsidR="00445528" w:rsidRPr="009B7B36">
        <w:rPr>
          <w:rFonts w:cstheme="minorHAnsi"/>
          <w:szCs w:val="24"/>
        </w:rPr>
        <w:t xml:space="preserve">as well as funds allocated by ITU </w:t>
      </w:r>
      <w:r w:rsidR="00BD0F1A" w:rsidRPr="009B7B36">
        <w:rPr>
          <w:rFonts w:cstheme="minorHAnsi"/>
          <w:szCs w:val="24"/>
        </w:rPr>
        <w:t>C</w:t>
      </w:r>
      <w:r w:rsidR="00445528" w:rsidRPr="009B7B36">
        <w:rPr>
          <w:rFonts w:cstheme="minorHAnsi"/>
          <w:szCs w:val="24"/>
        </w:rPr>
        <w:t xml:space="preserve">ouncil in support of </w:t>
      </w:r>
      <w:r w:rsidR="00BD0F1A" w:rsidRPr="009B7B36">
        <w:rPr>
          <w:rFonts w:cstheme="minorHAnsi"/>
          <w:szCs w:val="24"/>
        </w:rPr>
        <w:t>projects</w:t>
      </w:r>
      <w:r w:rsidR="0061493A" w:rsidRPr="009B7B36">
        <w:rPr>
          <w:rFonts w:cstheme="minorHAnsi"/>
          <w:szCs w:val="24"/>
        </w:rPr>
        <w:t xml:space="preserve">. </w:t>
      </w:r>
    </w:p>
    <w:p w14:paraId="7FF3837E" w14:textId="0D33EA5D" w:rsidR="0061493A" w:rsidRPr="009B7B36" w:rsidRDefault="0061493A" w:rsidP="009B7B36">
      <w:pPr>
        <w:spacing w:after="120"/>
        <w:rPr>
          <w:rFonts w:cstheme="minorHAnsi"/>
          <w:szCs w:val="24"/>
        </w:rPr>
      </w:pPr>
      <w:r w:rsidRPr="009B7B36">
        <w:rPr>
          <w:rFonts w:cstheme="minorHAnsi"/>
          <w:szCs w:val="24"/>
        </w:rPr>
        <w:t>Based on the ongoing budget for the implementation of projects as of 31 December 2022, the funding for on-going ITU projects corresponds to approximately 90 per cent</w:t>
      </w:r>
      <w:r w:rsidR="00BD0F1A" w:rsidRPr="009B7B36">
        <w:rPr>
          <w:rFonts w:cstheme="minorHAnsi"/>
          <w:szCs w:val="24"/>
        </w:rPr>
        <w:t xml:space="preserve"> to </w:t>
      </w:r>
      <w:r w:rsidRPr="009B7B36">
        <w:rPr>
          <w:rFonts w:cstheme="minorHAnsi"/>
          <w:szCs w:val="24"/>
        </w:rPr>
        <w:t>Funds in Trust</w:t>
      </w:r>
      <w:r w:rsidR="00BD0F1A" w:rsidRPr="009B7B36">
        <w:rPr>
          <w:rFonts w:cstheme="minorHAnsi"/>
          <w:szCs w:val="24"/>
        </w:rPr>
        <w:t xml:space="preserve">, while </w:t>
      </w:r>
      <w:r w:rsidR="00156428" w:rsidRPr="009B7B36">
        <w:rPr>
          <w:rFonts w:cstheme="minorHAnsi"/>
          <w:szCs w:val="24"/>
        </w:rPr>
        <w:t xml:space="preserve">six </w:t>
      </w:r>
      <w:r w:rsidRPr="009B7B36">
        <w:rPr>
          <w:rFonts w:cstheme="minorHAnsi"/>
          <w:szCs w:val="24"/>
        </w:rPr>
        <w:t xml:space="preserve">per cent </w:t>
      </w:r>
      <w:r w:rsidR="00BD0F1A" w:rsidRPr="009B7B36">
        <w:rPr>
          <w:rFonts w:cstheme="minorHAnsi"/>
          <w:szCs w:val="24"/>
        </w:rPr>
        <w:t xml:space="preserve">correspond to funds from </w:t>
      </w:r>
      <w:r w:rsidRPr="009B7B36">
        <w:rPr>
          <w:rFonts w:cstheme="minorHAnsi"/>
          <w:szCs w:val="24"/>
        </w:rPr>
        <w:t>ICT-DF and 4 per cent from the funds allocated by Council 2018 for the implementation of Regional Initiatives (see figure </w:t>
      </w:r>
      <w:r w:rsidR="008B3128" w:rsidRPr="009B7B36">
        <w:rPr>
          <w:rFonts w:cstheme="minorHAnsi"/>
          <w:szCs w:val="24"/>
        </w:rPr>
        <w:t>1</w:t>
      </w:r>
      <w:r w:rsidRPr="009B7B36">
        <w:rPr>
          <w:rFonts w:cstheme="minorHAnsi"/>
          <w:szCs w:val="24"/>
        </w:rPr>
        <w:t>).</w:t>
      </w:r>
    </w:p>
    <w:p w14:paraId="295E4B68" w14:textId="683B60BF" w:rsidR="0061493A" w:rsidRPr="009B7B36" w:rsidRDefault="0061493A" w:rsidP="0061493A">
      <w:pPr>
        <w:spacing w:before="240" w:after="120"/>
        <w:jc w:val="center"/>
        <w:rPr>
          <w:rFonts w:cstheme="minorHAnsi"/>
          <w:b/>
          <w:szCs w:val="24"/>
        </w:rPr>
      </w:pPr>
      <w:r w:rsidRPr="009B7B36">
        <w:rPr>
          <w:rFonts w:cstheme="minorHAnsi"/>
          <w:b/>
          <w:szCs w:val="24"/>
        </w:rPr>
        <w:t xml:space="preserve">Figure </w:t>
      </w:r>
      <w:r w:rsidR="00BD0F1A" w:rsidRPr="009B7B36">
        <w:rPr>
          <w:rFonts w:cstheme="minorHAnsi"/>
          <w:b/>
          <w:szCs w:val="24"/>
        </w:rPr>
        <w:t>1</w:t>
      </w:r>
      <w:r w:rsidRPr="009B7B36">
        <w:rPr>
          <w:rFonts w:cstheme="minorHAnsi"/>
          <w:b/>
          <w:szCs w:val="24"/>
        </w:rPr>
        <w:t xml:space="preserve"> – Funding sources for ITU Projects (on-going projects)</w:t>
      </w:r>
    </w:p>
    <w:p w14:paraId="217F8D94" w14:textId="77777777" w:rsidR="0061493A" w:rsidRPr="00277E7F" w:rsidRDefault="0061493A" w:rsidP="0061493A">
      <w:pPr>
        <w:keepNext/>
        <w:keepLines/>
        <w:widowControl w:val="0"/>
        <w:spacing w:after="120"/>
        <w:jc w:val="center"/>
        <w:rPr>
          <w:rFonts w:cstheme="minorBidi"/>
        </w:rPr>
      </w:pPr>
      <w:r>
        <w:rPr>
          <w:noProof/>
        </w:rPr>
        <w:drawing>
          <wp:inline distT="0" distB="0" distL="0" distR="0" wp14:anchorId="1F60D5B7" wp14:editId="528E6AD4">
            <wp:extent cx="3483610" cy="2053193"/>
            <wp:effectExtent l="0" t="0" r="2540" b="4445"/>
            <wp:docPr id="1" name="Chart 1">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673478" w14:textId="77777777" w:rsidR="0061493A" w:rsidRPr="00277E7F" w:rsidRDefault="0061493A" w:rsidP="006C3AE6">
      <w:pPr>
        <w:pStyle w:val="Heading2"/>
        <w:keepLines w:val="0"/>
        <w:widowControl w:val="0"/>
        <w:numPr>
          <w:ilvl w:val="1"/>
          <w:numId w:val="2"/>
        </w:numPr>
        <w:spacing w:before="120" w:after="120"/>
        <w:ind w:left="539" w:hanging="539"/>
        <w:textAlignment w:val="auto"/>
        <w:rPr>
          <w:rFonts w:cstheme="minorHAnsi"/>
          <w:b w:val="0"/>
          <w:bCs/>
          <w:szCs w:val="24"/>
          <w:u w:val="single"/>
        </w:rPr>
      </w:pPr>
      <w:r w:rsidRPr="00277E7F">
        <w:rPr>
          <w:rFonts w:cstheme="minorHAnsi"/>
          <w:b w:val="0"/>
          <w:bCs/>
          <w:szCs w:val="24"/>
          <w:u w:val="single"/>
        </w:rPr>
        <w:t xml:space="preserve">Council allocated funds for the implementation of WTDC-17 Regional Initiatives </w:t>
      </w:r>
    </w:p>
    <w:p w14:paraId="5354A0EE" w14:textId="5E65FCCA" w:rsidR="00A049C2" w:rsidRDefault="0061493A" w:rsidP="006C3AE6">
      <w:pPr>
        <w:widowControl w:val="0"/>
        <w:spacing w:after="120"/>
        <w:rPr>
          <w:rFonts w:cstheme="minorHAnsi"/>
        </w:rPr>
      </w:pPr>
      <w:r>
        <w:rPr>
          <w:rFonts w:cstheme="minorHAnsi"/>
        </w:rPr>
        <w:t xml:space="preserve">During 2022 ITU completed the utilization of the CHF 5.0 million </w:t>
      </w:r>
      <w:r w:rsidRPr="00277E7F">
        <w:rPr>
          <w:rFonts w:cstheme="minorHAnsi"/>
        </w:rPr>
        <w:t>allocated by Council for the implementation of the WTDC-17 Regional Initiatives</w:t>
      </w:r>
      <w:r w:rsidRPr="00277E7F">
        <w:rPr>
          <w:rStyle w:val="FootnoteReference"/>
          <w:rFonts w:cstheme="minorHAnsi"/>
        </w:rPr>
        <w:footnoteReference w:id="4"/>
      </w:r>
      <w:r w:rsidRPr="00277E7F">
        <w:rPr>
          <w:rFonts w:cstheme="minorHAnsi"/>
        </w:rPr>
        <w:t xml:space="preserve">. </w:t>
      </w:r>
      <w:r>
        <w:rPr>
          <w:rFonts w:cstheme="minorHAnsi"/>
        </w:rPr>
        <w:t>These funds have enabled the signature of a total of 37</w:t>
      </w:r>
      <w:r w:rsidRPr="00277E7F">
        <w:rPr>
          <w:rFonts w:cstheme="minorHAnsi"/>
        </w:rPr>
        <w:t xml:space="preserve"> projects </w:t>
      </w:r>
      <w:r>
        <w:rPr>
          <w:rFonts w:cstheme="minorHAnsi"/>
        </w:rPr>
        <w:t xml:space="preserve">valued at </w:t>
      </w:r>
      <w:r w:rsidRPr="00277E7F">
        <w:rPr>
          <w:rFonts w:cstheme="minorHAnsi"/>
        </w:rPr>
        <w:t>CHF 1</w:t>
      </w:r>
      <w:r>
        <w:rPr>
          <w:rFonts w:cstheme="minorHAnsi"/>
        </w:rPr>
        <w:t>3</w:t>
      </w:r>
      <w:r w:rsidRPr="00277E7F">
        <w:rPr>
          <w:rFonts w:cstheme="minorHAnsi"/>
        </w:rPr>
        <w:t>.</w:t>
      </w:r>
      <w:r>
        <w:rPr>
          <w:rFonts w:cstheme="minorHAnsi"/>
        </w:rPr>
        <w:t>5</w:t>
      </w:r>
      <w:r w:rsidRPr="00277E7F">
        <w:rPr>
          <w:rFonts w:cstheme="minorHAnsi"/>
        </w:rPr>
        <w:t xml:space="preserve"> million (</w:t>
      </w:r>
      <w:r>
        <w:rPr>
          <w:rFonts w:cstheme="minorHAnsi"/>
        </w:rPr>
        <w:t>considering only the cash contributions made by partners</w:t>
      </w:r>
      <w:r w:rsidRPr="00277E7F">
        <w:rPr>
          <w:rFonts w:cstheme="minorHAnsi"/>
        </w:rPr>
        <w:t xml:space="preserve">). </w:t>
      </w:r>
      <w:r>
        <w:rPr>
          <w:rFonts w:cstheme="minorHAnsi"/>
        </w:rPr>
        <w:t xml:space="preserve">18 of these projects (48%) have already completed their activities, while the remaining 19 projects (52%) </w:t>
      </w:r>
      <w:r w:rsidR="00542074">
        <w:rPr>
          <w:rFonts w:cstheme="minorHAnsi"/>
        </w:rPr>
        <w:t xml:space="preserve">will </w:t>
      </w:r>
      <w:r>
        <w:rPr>
          <w:rFonts w:cstheme="minorHAnsi"/>
        </w:rPr>
        <w:t xml:space="preserve">be completed within 2023 (see Figure </w:t>
      </w:r>
      <w:r w:rsidR="00585D92">
        <w:rPr>
          <w:rFonts w:cstheme="minorHAnsi"/>
        </w:rPr>
        <w:t>2</w:t>
      </w:r>
      <w:r>
        <w:rPr>
          <w:rFonts w:cstheme="minorHAnsi"/>
        </w:rPr>
        <w:t>)</w:t>
      </w:r>
      <w:r>
        <w:rPr>
          <w:rStyle w:val="FootnoteReference"/>
          <w:rFonts w:cstheme="minorHAnsi"/>
        </w:rPr>
        <w:footnoteReference w:id="5"/>
      </w:r>
      <w:r>
        <w:rPr>
          <w:rFonts w:cstheme="minorHAnsi"/>
        </w:rPr>
        <w:t xml:space="preserve">. </w:t>
      </w:r>
    </w:p>
    <w:p w14:paraId="70AEB348" w14:textId="28DD4027" w:rsidR="0061493A" w:rsidRPr="006C3AE6" w:rsidRDefault="0061493A" w:rsidP="004D1819">
      <w:pPr>
        <w:keepNext/>
        <w:spacing w:before="240" w:after="120"/>
        <w:jc w:val="center"/>
        <w:rPr>
          <w:rFonts w:cstheme="minorHAnsi"/>
          <w:b/>
          <w:szCs w:val="24"/>
        </w:rPr>
      </w:pPr>
      <w:r w:rsidRPr="006C3AE6">
        <w:rPr>
          <w:rFonts w:cstheme="minorHAnsi"/>
          <w:b/>
          <w:szCs w:val="24"/>
        </w:rPr>
        <w:lastRenderedPageBreak/>
        <w:t xml:space="preserve">Figure </w:t>
      </w:r>
      <w:r w:rsidR="00585D92" w:rsidRPr="006C3AE6">
        <w:rPr>
          <w:rFonts w:cstheme="minorHAnsi"/>
          <w:b/>
          <w:szCs w:val="24"/>
        </w:rPr>
        <w:t>2</w:t>
      </w:r>
      <w:r w:rsidRPr="006C3AE6">
        <w:rPr>
          <w:rFonts w:cstheme="minorHAnsi"/>
          <w:b/>
          <w:szCs w:val="24"/>
        </w:rPr>
        <w:t xml:space="preserve"> – Current status of the projects that received funding from the funds approved by Council for the implementation of WTDC-17 Regional Initiatives (figures in k CHF)</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900"/>
        <w:gridCol w:w="1709"/>
        <w:gridCol w:w="1538"/>
        <w:gridCol w:w="1538"/>
      </w:tblGrid>
      <w:tr w:rsidR="000B2917" w:rsidRPr="004E1FA5" w14:paraId="12C493E6" w14:textId="77777777" w:rsidTr="0088056B">
        <w:trPr>
          <w:trHeight w:val="497"/>
          <w:jc w:val="center"/>
        </w:trPr>
        <w:tc>
          <w:tcPr>
            <w:tcW w:w="2520" w:type="dxa"/>
            <w:shd w:val="clear" w:color="auto" w:fill="D9D9D9" w:themeFill="background1" w:themeFillShade="D9"/>
            <w:vAlign w:val="center"/>
            <w:hideMark/>
          </w:tcPr>
          <w:p w14:paraId="4C5A674E" w14:textId="77777777" w:rsidR="000B2917" w:rsidRPr="00444C11" w:rsidRDefault="000B2917" w:rsidP="004D1819">
            <w:pPr>
              <w:keepNext/>
              <w:spacing w:before="60" w:after="60"/>
              <w:jc w:val="center"/>
              <w:rPr>
                <w:rFonts w:cstheme="minorHAnsi"/>
                <w:sz w:val="20"/>
                <w:lang w:val="en-US"/>
              </w:rPr>
            </w:pPr>
            <w:r w:rsidRPr="00444C11">
              <w:rPr>
                <w:rFonts w:cstheme="minorHAnsi"/>
                <w:b/>
                <w:bCs/>
                <w:sz w:val="20"/>
                <w:lang w:val="en-US"/>
              </w:rPr>
              <w:t>Status</w:t>
            </w:r>
          </w:p>
        </w:tc>
        <w:tc>
          <w:tcPr>
            <w:tcW w:w="900" w:type="dxa"/>
            <w:shd w:val="clear" w:color="auto" w:fill="D9D9D9" w:themeFill="background1" w:themeFillShade="D9"/>
            <w:vAlign w:val="center"/>
          </w:tcPr>
          <w:p w14:paraId="433A0BCE" w14:textId="77777777" w:rsidR="000B2917" w:rsidRPr="00444C11" w:rsidRDefault="000B2917" w:rsidP="004D1819">
            <w:pPr>
              <w:keepNext/>
              <w:spacing w:before="60" w:after="60"/>
              <w:jc w:val="center"/>
              <w:rPr>
                <w:rFonts w:cstheme="minorHAnsi"/>
                <w:b/>
                <w:bCs/>
                <w:sz w:val="20"/>
                <w:lang w:val="en-US"/>
              </w:rPr>
            </w:pPr>
            <w:r w:rsidRPr="00444C11">
              <w:rPr>
                <w:rFonts w:cstheme="minorHAnsi"/>
                <w:b/>
                <w:bCs/>
                <w:sz w:val="20"/>
                <w:lang w:val="en-US"/>
              </w:rPr>
              <w:t>Projects</w:t>
            </w:r>
          </w:p>
        </w:tc>
        <w:tc>
          <w:tcPr>
            <w:tcW w:w="1709" w:type="dxa"/>
            <w:shd w:val="clear" w:color="auto" w:fill="D9D9D9" w:themeFill="background1" w:themeFillShade="D9"/>
            <w:vAlign w:val="center"/>
            <w:hideMark/>
          </w:tcPr>
          <w:p w14:paraId="24E3B56E" w14:textId="77777777" w:rsidR="000B2917" w:rsidRPr="00444C11" w:rsidRDefault="000B2917" w:rsidP="004D1819">
            <w:pPr>
              <w:keepNext/>
              <w:spacing w:before="60" w:after="60"/>
              <w:jc w:val="center"/>
              <w:rPr>
                <w:rFonts w:cstheme="minorHAnsi"/>
                <w:b/>
                <w:bCs/>
                <w:sz w:val="20"/>
                <w:lang w:val="en-US"/>
              </w:rPr>
            </w:pPr>
            <w:r w:rsidRPr="00444C11">
              <w:rPr>
                <w:rFonts w:cstheme="minorHAnsi"/>
                <w:b/>
                <w:bCs/>
                <w:sz w:val="20"/>
                <w:lang w:val="en-US"/>
              </w:rPr>
              <w:t>ITU Council Funds</w:t>
            </w:r>
          </w:p>
        </w:tc>
        <w:tc>
          <w:tcPr>
            <w:tcW w:w="1538" w:type="dxa"/>
            <w:shd w:val="clear" w:color="auto" w:fill="D9D9D9" w:themeFill="background1" w:themeFillShade="D9"/>
            <w:vAlign w:val="center"/>
            <w:hideMark/>
          </w:tcPr>
          <w:p w14:paraId="4EB3FD66" w14:textId="77777777" w:rsidR="000B2917" w:rsidRPr="00444C11" w:rsidRDefault="000B2917" w:rsidP="004D1819">
            <w:pPr>
              <w:keepNext/>
              <w:spacing w:before="60" w:after="60"/>
              <w:jc w:val="center"/>
              <w:rPr>
                <w:rFonts w:cstheme="minorHAnsi"/>
                <w:b/>
                <w:bCs/>
                <w:sz w:val="20"/>
                <w:lang w:val="en-US"/>
              </w:rPr>
            </w:pPr>
            <w:r w:rsidRPr="00444C11">
              <w:rPr>
                <w:rFonts w:cstheme="minorHAnsi"/>
                <w:b/>
                <w:bCs/>
                <w:sz w:val="20"/>
                <w:lang w:val="en-US"/>
              </w:rPr>
              <w:t>External Funds</w:t>
            </w:r>
          </w:p>
        </w:tc>
        <w:tc>
          <w:tcPr>
            <w:tcW w:w="1538" w:type="dxa"/>
            <w:shd w:val="clear" w:color="auto" w:fill="D9D9D9" w:themeFill="background1" w:themeFillShade="D9"/>
            <w:vAlign w:val="center"/>
            <w:hideMark/>
          </w:tcPr>
          <w:p w14:paraId="6A0D13FC" w14:textId="77777777" w:rsidR="000B2917" w:rsidRPr="00444C11" w:rsidRDefault="000B2917" w:rsidP="004D1819">
            <w:pPr>
              <w:keepNext/>
              <w:spacing w:before="60" w:after="60"/>
              <w:jc w:val="center"/>
              <w:rPr>
                <w:rFonts w:cstheme="minorHAnsi"/>
                <w:sz w:val="20"/>
                <w:lang w:val="en-US"/>
              </w:rPr>
            </w:pPr>
            <w:r w:rsidRPr="00444C11">
              <w:rPr>
                <w:rFonts w:cstheme="minorHAnsi"/>
                <w:b/>
                <w:bCs/>
                <w:sz w:val="20"/>
                <w:lang w:val="en-US"/>
              </w:rPr>
              <w:t>Total funds</w:t>
            </w:r>
          </w:p>
        </w:tc>
      </w:tr>
      <w:tr w:rsidR="000B2917" w:rsidRPr="009E61F8" w14:paraId="5DCAC5E2" w14:textId="77777777" w:rsidTr="0088056B">
        <w:trPr>
          <w:trHeight w:val="61"/>
          <w:jc w:val="center"/>
        </w:trPr>
        <w:tc>
          <w:tcPr>
            <w:tcW w:w="2520" w:type="dxa"/>
            <w:vAlign w:val="center"/>
          </w:tcPr>
          <w:p w14:paraId="1A6AA0DE" w14:textId="77777777" w:rsidR="000B2917" w:rsidRPr="00444C11" w:rsidRDefault="000B2917" w:rsidP="0088056B">
            <w:pPr>
              <w:spacing w:before="60" w:after="60"/>
              <w:jc w:val="center"/>
              <w:rPr>
                <w:rFonts w:cstheme="minorHAnsi"/>
                <w:sz w:val="20"/>
              </w:rPr>
            </w:pPr>
            <w:r w:rsidRPr="00444C11">
              <w:rPr>
                <w:rFonts w:cstheme="minorHAnsi"/>
                <w:sz w:val="20"/>
              </w:rPr>
              <w:t>1. On-going projects</w:t>
            </w:r>
          </w:p>
        </w:tc>
        <w:tc>
          <w:tcPr>
            <w:tcW w:w="900" w:type="dxa"/>
            <w:vAlign w:val="bottom"/>
          </w:tcPr>
          <w:p w14:paraId="07AA34FA"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19</w:t>
            </w:r>
          </w:p>
        </w:tc>
        <w:tc>
          <w:tcPr>
            <w:tcW w:w="1709" w:type="dxa"/>
            <w:vAlign w:val="bottom"/>
          </w:tcPr>
          <w:p w14:paraId="27BF0382"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2,485.2</w:t>
            </w:r>
          </w:p>
        </w:tc>
        <w:tc>
          <w:tcPr>
            <w:tcW w:w="1538" w:type="dxa"/>
            <w:vAlign w:val="bottom"/>
          </w:tcPr>
          <w:p w14:paraId="65F65DE7"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6,395.2</w:t>
            </w:r>
          </w:p>
        </w:tc>
        <w:tc>
          <w:tcPr>
            <w:tcW w:w="1538" w:type="dxa"/>
            <w:shd w:val="clear" w:color="auto" w:fill="D9D9D9" w:themeFill="background1" w:themeFillShade="D9"/>
            <w:vAlign w:val="bottom"/>
          </w:tcPr>
          <w:p w14:paraId="377D524B"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8,898.3</w:t>
            </w:r>
          </w:p>
        </w:tc>
      </w:tr>
      <w:tr w:rsidR="000B2917" w:rsidRPr="009E61F8" w14:paraId="1D866B54" w14:textId="77777777" w:rsidTr="0088056B">
        <w:trPr>
          <w:trHeight w:val="61"/>
          <w:jc w:val="center"/>
        </w:trPr>
        <w:tc>
          <w:tcPr>
            <w:tcW w:w="2520" w:type="dxa"/>
            <w:vAlign w:val="center"/>
          </w:tcPr>
          <w:p w14:paraId="4716699C" w14:textId="77777777" w:rsidR="000B2917" w:rsidRPr="00444C11" w:rsidRDefault="000B2917" w:rsidP="0088056B">
            <w:pPr>
              <w:spacing w:before="60" w:after="60"/>
              <w:jc w:val="center"/>
              <w:rPr>
                <w:rFonts w:cstheme="minorHAnsi"/>
                <w:sz w:val="20"/>
              </w:rPr>
            </w:pPr>
            <w:r w:rsidRPr="00444C11">
              <w:rPr>
                <w:rFonts w:cstheme="minorHAnsi"/>
                <w:sz w:val="20"/>
              </w:rPr>
              <w:t>2. Projects implemented</w:t>
            </w:r>
          </w:p>
        </w:tc>
        <w:tc>
          <w:tcPr>
            <w:tcW w:w="900" w:type="dxa"/>
          </w:tcPr>
          <w:p w14:paraId="41DE5ED6" w14:textId="77777777" w:rsidR="000B2917" w:rsidRPr="00444C11" w:rsidRDefault="000B2917" w:rsidP="0088056B">
            <w:pPr>
              <w:spacing w:before="60" w:after="60"/>
              <w:jc w:val="center"/>
              <w:rPr>
                <w:rFonts w:cstheme="minorHAnsi"/>
                <w:sz w:val="20"/>
                <w:lang w:val="en-US"/>
              </w:rPr>
            </w:pPr>
            <w:r w:rsidRPr="00444C11">
              <w:rPr>
                <w:sz w:val="20"/>
              </w:rPr>
              <w:t>18</w:t>
            </w:r>
          </w:p>
        </w:tc>
        <w:tc>
          <w:tcPr>
            <w:tcW w:w="1709" w:type="dxa"/>
          </w:tcPr>
          <w:p w14:paraId="0AE9176E"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2,489.9</w:t>
            </w:r>
          </w:p>
        </w:tc>
        <w:tc>
          <w:tcPr>
            <w:tcW w:w="1538" w:type="dxa"/>
          </w:tcPr>
          <w:p w14:paraId="2B3488B7"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2,184.0</w:t>
            </w:r>
          </w:p>
        </w:tc>
        <w:tc>
          <w:tcPr>
            <w:tcW w:w="1538" w:type="dxa"/>
            <w:shd w:val="clear" w:color="auto" w:fill="D9D9D9" w:themeFill="background1" w:themeFillShade="D9"/>
          </w:tcPr>
          <w:p w14:paraId="196D9F56"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4,673.9</w:t>
            </w:r>
          </w:p>
        </w:tc>
      </w:tr>
      <w:tr w:rsidR="000B2917" w:rsidRPr="009E61F8" w14:paraId="5DC4F946" w14:textId="77777777" w:rsidTr="0088056B">
        <w:trPr>
          <w:trHeight w:val="61"/>
          <w:jc w:val="center"/>
        </w:trPr>
        <w:tc>
          <w:tcPr>
            <w:tcW w:w="2520" w:type="dxa"/>
            <w:shd w:val="clear" w:color="auto" w:fill="D9D9D9" w:themeFill="background1" w:themeFillShade="D9"/>
            <w:vAlign w:val="center"/>
            <w:hideMark/>
          </w:tcPr>
          <w:p w14:paraId="48D03B20"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rPr>
              <w:t>Total</w:t>
            </w:r>
          </w:p>
        </w:tc>
        <w:tc>
          <w:tcPr>
            <w:tcW w:w="900" w:type="dxa"/>
            <w:shd w:val="clear" w:color="auto" w:fill="D9D9D9" w:themeFill="background1" w:themeFillShade="D9"/>
            <w:vAlign w:val="bottom"/>
          </w:tcPr>
          <w:p w14:paraId="77790AA5"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37</w:t>
            </w:r>
          </w:p>
        </w:tc>
        <w:tc>
          <w:tcPr>
            <w:tcW w:w="1709" w:type="dxa"/>
            <w:shd w:val="clear" w:color="auto" w:fill="D9D9D9" w:themeFill="background1" w:themeFillShade="D9"/>
            <w:vAlign w:val="bottom"/>
          </w:tcPr>
          <w:p w14:paraId="799A5BD7"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4,975.1</w:t>
            </w:r>
          </w:p>
        </w:tc>
        <w:tc>
          <w:tcPr>
            <w:tcW w:w="1538" w:type="dxa"/>
            <w:shd w:val="clear" w:color="auto" w:fill="D9D9D9" w:themeFill="background1" w:themeFillShade="D9"/>
            <w:vAlign w:val="bottom"/>
          </w:tcPr>
          <w:p w14:paraId="31C249B5"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8,579.2</w:t>
            </w:r>
          </w:p>
        </w:tc>
        <w:tc>
          <w:tcPr>
            <w:tcW w:w="1538" w:type="dxa"/>
            <w:shd w:val="clear" w:color="auto" w:fill="D9D9D9" w:themeFill="background1" w:themeFillShade="D9"/>
            <w:vAlign w:val="bottom"/>
          </w:tcPr>
          <w:p w14:paraId="05926F50"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13,572.1</w:t>
            </w:r>
          </w:p>
        </w:tc>
      </w:tr>
    </w:tbl>
    <w:p w14:paraId="58E446BA" w14:textId="77777777" w:rsidR="00915BF5" w:rsidRPr="00277E7F" w:rsidRDefault="00915BF5" w:rsidP="006C3AE6">
      <w:pPr>
        <w:pStyle w:val="Heading1"/>
        <w:numPr>
          <w:ilvl w:val="0"/>
          <w:numId w:val="2"/>
        </w:numPr>
        <w:spacing w:before="120" w:after="120"/>
        <w:ind w:left="357" w:hanging="357"/>
        <w:textAlignment w:val="auto"/>
        <w:rPr>
          <w:rFonts w:cstheme="minorHAnsi"/>
          <w:sz w:val="24"/>
          <w:szCs w:val="24"/>
        </w:rPr>
      </w:pPr>
      <w:r w:rsidRPr="00277E7F">
        <w:rPr>
          <w:rFonts w:cstheme="minorHAnsi"/>
          <w:sz w:val="24"/>
          <w:szCs w:val="24"/>
        </w:rPr>
        <w:t>ITU project portfolio: On-going projects</w:t>
      </w:r>
    </w:p>
    <w:p w14:paraId="487A32CC" w14:textId="77777777" w:rsidR="00915BF5" w:rsidRPr="00277E7F" w:rsidRDefault="00915BF5" w:rsidP="006C3AE6">
      <w:pPr>
        <w:pStyle w:val="Heading2"/>
        <w:numPr>
          <w:ilvl w:val="1"/>
          <w:numId w:val="2"/>
        </w:numPr>
        <w:spacing w:before="120" w:after="120"/>
        <w:ind w:left="540" w:hanging="540"/>
        <w:textAlignment w:val="auto"/>
        <w:rPr>
          <w:rFonts w:cstheme="minorHAnsi"/>
          <w:b w:val="0"/>
          <w:bCs/>
          <w:szCs w:val="24"/>
          <w:u w:val="single"/>
        </w:rPr>
      </w:pPr>
      <w:r w:rsidRPr="00277E7F">
        <w:rPr>
          <w:rFonts w:cstheme="minorHAnsi"/>
          <w:b w:val="0"/>
          <w:bCs/>
          <w:szCs w:val="24"/>
          <w:u w:val="single"/>
        </w:rPr>
        <w:t>Overview and regional distribution</w:t>
      </w:r>
    </w:p>
    <w:p w14:paraId="12FBA529" w14:textId="1BB2A4E4" w:rsidR="00915BF5" w:rsidRPr="00277E7F" w:rsidRDefault="00915BF5" w:rsidP="006C3AE6">
      <w:pPr>
        <w:spacing w:after="120"/>
        <w:rPr>
          <w:rFonts w:cstheme="minorHAnsi"/>
        </w:rPr>
      </w:pPr>
      <w:r w:rsidRPr="00277E7F">
        <w:rPr>
          <w:rFonts w:cstheme="minorHAnsi"/>
        </w:rPr>
        <w:t xml:space="preserve">As of </w:t>
      </w:r>
      <w:r w:rsidR="00B64C08">
        <w:rPr>
          <w:rFonts w:cstheme="minorHAnsi"/>
        </w:rPr>
        <w:t xml:space="preserve">31 </w:t>
      </w:r>
      <w:r w:rsidR="00CF2543">
        <w:rPr>
          <w:rFonts w:cstheme="minorHAnsi"/>
        </w:rPr>
        <w:t>December</w:t>
      </w:r>
      <w:r w:rsidR="00B64C08">
        <w:rPr>
          <w:rFonts w:cstheme="minorHAnsi"/>
        </w:rPr>
        <w:t xml:space="preserve"> </w:t>
      </w:r>
      <w:r w:rsidRPr="00277E7F">
        <w:rPr>
          <w:rFonts w:cstheme="minorHAnsi"/>
        </w:rPr>
        <w:t>202</w:t>
      </w:r>
      <w:r w:rsidR="00CF2543">
        <w:rPr>
          <w:rFonts w:cstheme="minorHAnsi"/>
        </w:rPr>
        <w:t>2</w:t>
      </w:r>
      <w:r w:rsidRPr="00277E7F">
        <w:rPr>
          <w:rFonts w:cstheme="minorHAnsi"/>
        </w:rPr>
        <w:t xml:space="preserve">, the ITU project portfolio stood at </w:t>
      </w:r>
      <w:r w:rsidR="00FD50CA">
        <w:rPr>
          <w:rFonts w:cstheme="minorHAnsi"/>
        </w:rPr>
        <w:t>60</w:t>
      </w:r>
      <w:r w:rsidRPr="00277E7F">
        <w:rPr>
          <w:rFonts w:cstheme="minorHAnsi"/>
        </w:rPr>
        <w:t xml:space="preserve"> ongoing projects, valued at CHF </w:t>
      </w:r>
      <w:r w:rsidR="00D3312F">
        <w:rPr>
          <w:rFonts w:cstheme="minorHAnsi"/>
        </w:rPr>
        <w:t>88</w:t>
      </w:r>
      <w:r w:rsidRPr="00277E7F">
        <w:rPr>
          <w:rFonts w:cstheme="minorHAnsi"/>
        </w:rPr>
        <w:t xml:space="preserve">.9 million, with </w:t>
      </w:r>
      <w:r>
        <w:rPr>
          <w:rFonts w:cstheme="minorHAnsi"/>
        </w:rPr>
        <w:t xml:space="preserve">a </w:t>
      </w:r>
      <w:r w:rsidRPr="00277E7F">
        <w:rPr>
          <w:rFonts w:cstheme="minorHAnsi"/>
        </w:rPr>
        <w:t>balance of CHF 2</w:t>
      </w:r>
      <w:r w:rsidR="00D3312F">
        <w:rPr>
          <w:rFonts w:cstheme="minorHAnsi"/>
        </w:rPr>
        <w:t>2</w:t>
      </w:r>
      <w:r w:rsidRPr="00277E7F">
        <w:rPr>
          <w:rFonts w:cstheme="minorHAnsi"/>
        </w:rPr>
        <w:t>.</w:t>
      </w:r>
      <w:r w:rsidR="00D3312F">
        <w:rPr>
          <w:rFonts w:cstheme="minorHAnsi"/>
        </w:rPr>
        <w:t>6</w:t>
      </w:r>
      <w:r w:rsidRPr="00277E7F">
        <w:rPr>
          <w:rFonts w:cstheme="minorHAnsi"/>
        </w:rPr>
        <w:t xml:space="preserve"> million </w:t>
      </w:r>
      <w:r>
        <w:rPr>
          <w:rFonts w:cstheme="minorHAnsi"/>
        </w:rPr>
        <w:t xml:space="preserve">yet </w:t>
      </w:r>
      <w:r w:rsidRPr="00277E7F">
        <w:rPr>
          <w:rFonts w:cstheme="minorHAnsi"/>
        </w:rPr>
        <w:t xml:space="preserve">to be committed. Figure </w:t>
      </w:r>
      <w:r w:rsidR="00AF086F">
        <w:rPr>
          <w:rFonts w:cstheme="minorHAnsi"/>
        </w:rPr>
        <w:t>3</w:t>
      </w:r>
      <w:r w:rsidRPr="00277E7F">
        <w:rPr>
          <w:rFonts w:cstheme="minorHAnsi"/>
        </w:rPr>
        <w:t xml:space="preserve"> presents the overall distribution of this portfolio by region and the overview of </w:t>
      </w:r>
      <w:r w:rsidR="00036836">
        <w:rPr>
          <w:rFonts w:cstheme="minorHAnsi"/>
        </w:rPr>
        <w:t xml:space="preserve">(1) the </w:t>
      </w:r>
      <w:r w:rsidRPr="00277E7F">
        <w:rPr>
          <w:rFonts w:cstheme="minorHAnsi"/>
        </w:rPr>
        <w:t xml:space="preserve">funds </w:t>
      </w:r>
      <w:r w:rsidR="004B2A1E">
        <w:rPr>
          <w:rFonts w:cstheme="minorHAnsi"/>
        </w:rPr>
        <w:t xml:space="preserve">mobilized by ITU to support the implementation of </w:t>
      </w:r>
      <w:r w:rsidRPr="00277E7F">
        <w:rPr>
          <w:rFonts w:cstheme="minorHAnsi"/>
        </w:rPr>
        <w:t>these projects</w:t>
      </w:r>
      <w:r w:rsidR="00036836">
        <w:rPr>
          <w:rFonts w:cstheme="minorHAnsi"/>
        </w:rPr>
        <w:t xml:space="preserve">, (2) </w:t>
      </w:r>
      <w:r w:rsidR="002B78EE">
        <w:rPr>
          <w:rFonts w:cstheme="minorHAnsi"/>
        </w:rPr>
        <w:t xml:space="preserve">the </w:t>
      </w:r>
      <w:r w:rsidR="00036836">
        <w:rPr>
          <w:rFonts w:cstheme="minorHAnsi"/>
        </w:rPr>
        <w:t xml:space="preserve">funds </w:t>
      </w:r>
      <w:r w:rsidR="002B78EE">
        <w:rPr>
          <w:rFonts w:cstheme="minorHAnsi"/>
        </w:rPr>
        <w:t xml:space="preserve">allocated to these projects </w:t>
      </w:r>
      <w:r w:rsidR="00036836">
        <w:rPr>
          <w:rFonts w:cstheme="minorHAnsi"/>
        </w:rPr>
        <w:t xml:space="preserve">from the ICT Development Fund (ICT-DF), managed by ITU, and (3) </w:t>
      </w:r>
      <w:r w:rsidR="002B78EE">
        <w:rPr>
          <w:rFonts w:cstheme="minorHAnsi"/>
        </w:rPr>
        <w:t xml:space="preserve">the </w:t>
      </w:r>
      <w:r w:rsidR="000E1A78">
        <w:rPr>
          <w:rFonts w:cstheme="minorHAnsi"/>
        </w:rPr>
        <w:t xml:space="preserve">funds </w:t>
      </w:r>
      <w:r w:rsidR="002B78EE">
        <w:rPr>
          <w:rFonts w:cstheme="minorHAnsi"/>
        </w:rPr>
        <w:t xml:space="preserve">allocated by ITU from the funding </w:t>
      </w:r>
      <w:r w:rsidR="000E1A78">
        <w:rPr>
          <w:rFonts w:cstheme="minorHAnsi"/>
        </w:rPr>
        <w:t>approved by Council to support the implementation of WTDC-17 Regional Initiatives</w:t>
      </w:r>
      <w:r w:rsidRPr="00277E7F">
        <w:rPr>
          <w:rFonts w:cstheme="minorHAnsi"/>
        </w:rPr>
        <w:t>.</w:t>
      </w:r>
    </w:p>
    <w:p w14:paraId="5AFBE2B2" w14:textId="351A7B2A" w:rsidR="00915BF5" w:rsidRPr="006C3AE6" w:rsidRDefault="00915BF5" w:rsidP="004D1819">
      <w:pPr>
        <w:keepNext/>
        <w:spacing w:before="240" w:after="120"/>
        <w:jc w:val="center"/>
        <w:rPr>
          <w:rFonts w:cstheme="minorHAnsi"/>
          <w:b/>
          <w:sz w:val="40"/>
          <w:szCs w:val="32"/>
        </w:rPr>
      </w:pPr>
      <w:r w:rsidRPr="006C3AE6">
        <w:rPr>
          <w:rFonts w:cstheme="minorHAnsi"/>
          <w:b/>
          <w:szCs w:val="24"/>
        </w:rPr>
        <w:t xml:space="preserve">Figure </w:t>
      </w:r>
      <w:r w:rsidR="00AF086F" w:rsidRPr="006C3AE6">
        <w:rPr>
          <w:rFonts w:cstheme="minorHAnsi"/>
          <w:b/>
          <w:szCs w:val="24"/>
        </w:rPr>
        <w:t>3</w:t>
      </w:r>
      <w:r w:rsidRPr="006C3AE6">
        <w:rPr>
          <w:rFonts w:cstheme="minorHAnsi"/>
          <w:b/>
          <w:szCs w:val="24"/>
        </w:rPr>
        <w:t xml:space="preserve"> – Overview of on-going ITU projects by region (figures in k CHF)</w:t>
      </w:r>
    </w:p>
    <w:tbl>
      <w:tblPr>
        <w:tblW w:w="764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10"/>
        <w:gridCol w:w="990"/>
        <w:gridCol w:w="1169"/>
        <w:gridCol w:w="1169"/>
        <w:gridCol w:w="1169"/>
        <w:gridCol w:w="1169"/>
        <w:gridCol w:w="1169"/>
      </w:tblGrid>
      <w:tr w:rsidR="001463DF" w:rsidRPr="00277E7F" w14:paraId="482EC87E" w14:textId="77777777" w:rsidTr="001463DF">
        <w:trPr>
          <w:trHeight w:val="852"/>
          <w:jc w:val="center"/>
        </w:trPr>
        <w:tc>
          <w:tcPr>
            <w:tcW w:w="810" w:type="dxa"/>
            <w:shd w:val="clear" w:color="auto" w:fill="4F81BD" w:themeFill="accent1"/>
            <w:noWrap/>
            <w:vAlign w:val="center"/>
            <w:hideMark/>
          </w:tcPr>
          <w:p w14:paraId="0C34A77A" w14:textId="77777777" w:rsidR="001463DF" w:rsidRPr="00277E7F" w:rsidRDefault="001463DF" w:rsidP="004D1819">
            <w:pPr>
              <w:keepNext/>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Region</w:t>
            </w:r>
          </w:p>
        </w:tc>
        <w:tc>
          <w:tcPr>
            <w:tcW w:w="990" w:type="dxa"/>
            <w:shd w:val="clear" w:color="auto" w:fill="4F81BD" w:themeFill="accent1"/>
            <w:noWrap/>
            <w:vAlign w:val="center"/>
            <w:hideMark/>
          </w:tcPr>
          <w:p w14:paraId="5B099A82" w14:textId="77777777" w:rsidR="001463DF" w:rsidRPr="00277E7F" w:rsidRDefault="001463DF" w:rsidP="004D1819">
            <w:pPr>
              <w:keepNext/>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Number of Projects</w:t>
            </w:r>
          </w:p>
        </w:tc>
        <w:tc>
          <w:tcPr>
            <w:tcW w:w="1169" w:type="dxa"/>
            <w:shd w:val="clear" w:color="auto" w:fill="4F81BD" w:themeFill="accent1"/>
            <w:noWrap/>
            <w:vAlign w:val="center"/>
            <w:hideMark/>
          </w:tcPr>
          <w:p w14:paraId="1A7946FE" w14:textId="5C25ABD3" w:rsidR="001463DF" w:rsidRPr="00277E7F" w:rsidRDefault="001463DF"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 xml:space="preserve">Funding from partners </w:t>
            </w:r>
          </w:p>
        </w:tc>
        <w:tc>
          <w:tcPr>
            <w:tcW w:w="1169" w:type="dxa"/>
            <w:shd w:val="clear" w:color="auto" w:fill="4F81BD" w:themeFill="accent1"/>
            <w:noWrap/>
            <w:vAlign w:val="center"/>
          </w:tcPr>
          <w:p w14:paraId="39A548FA" w14:textId="259C8572" w:rsidR="001463DF" w:rsidRPr="00277E7F" w:rsidRDefault="001463DF"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ITU funds (</w:t>
            </w:r>
            <w:r w:rsidRPr="00277E7F">
              <w:rPr>
                <w:rFonts w:eastAsiaTheme="minorEastAsia" w:cstheme="minorHAnsi"/>
                <w:b/>
                <w:bCs/>
                <w:color w:val="FFFFFF" w:themeColor="background1"/>
                <w:sz w:val="20"/>
                <w:lang w:eastAsia="zh-CN"/>
              </w:rPr>
              <w:t>ICT-DF</w:t>
            </w:r>
            <w:r>
              <w:rPr>
                <w:rFonts w:eastAsiaTheme="minorEastAsia" w:cstheme="minorHAnsi"/>
                <w:b/>
                <w:bCs/>
                <w:color w:val="FFFFFF" w:themeColor="background1"/>
                <w:sz w:val="20"/>
                <w:lang w:eastAsia="zh-CN"/>
              </w:rPr>
              <w:t>)</w:t>
            </w:r>
          </w:p>
        </w:tc>
        <w:tc>
          <w:tcPr>
            <w:tcW w:w="1169" w:type="dxa"/>
            <w:shd w:val="clear" w:color="auto" w:fill="4F81BD" w:themeFill="accent1"/>
            <w:noWrap/>
            <w:vAlign w:val="center"/>
          </w:tcPr>
          <w:p w14:paraId="14ED7C55" w14:textId="776F2BCE" w:rsidR="001463DF" w:rsidRPr="00277E7F" w:rsidRDefault="001463DF"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ITU funds (</w:t>
            </w:r>
            <w:r w:rsidRPr="00277E7F">
              <w:rPr>
                <w:rFonts w:eastAsiaTheme="minorEastAsia" w:cstheme="minorHAnsi"/>
                <w:b/>
                <w:bCs/>
                <w:color w:val="FFFFFF" w:themeColor="background1"/>
                <w:sz w:val="20"/>
                <w:lang w:eastAsia="zh-CN"/>
              </w:rPr>
              <w:t>OP</w:t>
            </w:r>
            <w:r>
              <w:rPr>
                <w:rFonts w:eastAsiaTheme="minorEastAsia" w:cstheme="minorHAnsi"/>
                <w:b/>
                <w:bCs/>
                <w:color w:val="FFFFFF" w:themeColor="background1"/>
                <w:sz w:val="20"/>
                <w:lang w:eastAsia="zh-CN"/>
              </w:rPr>
              <w:t>)</w:t>
            </w:r>
          </w:p>
        </w:tc>
        <w:tc>
          <w:tcPr>
            <w:tcW w:w="1169" w:type="dxa"/>
            <w:shd w:val="clear" w:color="auto" w:fill="4F81BD" w:themeFill="accent1"/>
            <w:noWrap/>
            <w:vAlign w:val="center"/>
            <w:hideMark/>
          </w:tcPr>
          <w:p w14:paraId="75C796BA" w14:textId="54FDD840" w:rsidR="001463DF" w:rsidRPr="00277E7F" w:rsidRDefault="001463DF"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Total project funding</w:t>
            </w:r>
          </w:p>
        </w:tc>
        <w:tc>
          <w:tcPr>
            <w:tcW w:w="1169" w:type="dxa"/>
            <w:shd w:val="clear" w:color="auto" w:fill="4F81BD" w:themeFill="accent1"/>
            <w:noWrap/>
            <w:vAlign w:val="center"/>
            <w:hideMark/>
          </w:tcPr>
          <w:p w14:paraId="04EE5336" w14:textId="6A93AA10" w:rsidR="001463DF" w:rsidRPr="00277E7F" w:rsidRDefault="001463DF" w:rsidP="004D1819">
            <w:pPr>
              <w:keepNext/>
              <w:spacing w:before="60" w:after="60"/>
              <w:ind w:left="-104"/>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 xml:space="preserve">Balance of funds as of </w:t>
            </w:r>
            <w:r>
              <w:rPr>
                <w:rFonts w:eastAsiaTheme="minorEastAsia" w:cstheme="minorHAnsi"/>
                <w:b/>
                <w:bCs/>
                <w:color w:val="FFFFFF" w:themeColor="background1"/>
                <w:sz w:val="20"/>
                <w:lang w:eastAsia="zh-CN"/>
              </w:rPr>
              <w:t>31</w:t>
            </w:r>
            <w:r w:rsidRPr="00277E7F">
              <w:rPr>
                <w:rFonts w:eastAsiaTheme="minorEastAsia" w:cstheme="minorHAnsi"/>
                <w:b/>
                <w:bCs/>
                <w:color w:val="FFFFFF" w:themeColor="background1"/>
                <w:sz w:val="20"/>
                <w:lang w:eastAsia="zh-CN"/>
              </w:rPr>
              <w:t>/</w:t>
            </w:r>
            <w:r>
              <w:rPr>
                <w:rFonts w:eastAsiaTheme="minorEastAsia" w:cstheme="minorHAnsi"/>
                <w:b/>
                <w:bCs/>
                <w:color w:val="FFFFFF" w:themeColor="background1"/>
                <w:sz w:val="20"/>
                <w:lang w:eastAsia="zh-CN"/>
              </w:rPr>
              <w:t>12</w:t>
            </w:r>
            <w:r w:rsidRPr="00277E7F">
              <w:rPr>
                <w:rFonts w:eastAsiaTheme="minorEastAsia" w:cstheme="minorHAnsi"/>
                <w:b/>
                <w:bCs/>
                <w:color w:val="FFFFFF" w:themeColor="background1"/>
                <w:sz w:val="20"/>
                <w:lang w:eastAsia="zh-CN"/>
              </w:rPr>
              <w:t>/</w:t>
            </w:r>
            <w:r>
              <w:rPr>
                <w:rFonts w:eastAsiaTheme="minorEastAsia" w:cstheme="minorHAnsi"/>
                <w:b/>
                <w:bCs/>
                <w:color w:val="FFFFFF" w:themeColor="background1"/>
                <w:sz w:val="20"/>
                <w:lang w:eastAsia="zh-CN"/>
              </w:rPr>
              <w:t>22</w:t>
            </w:r>
          </w:p>
        </w:tc>
      </w:tr>
      <w:tr w:rsidR="001463DF" w:rsidRPr="00277E7F" w14:paraId="6C13A0BA" w14:textId="77777777" w:rsidTr="001463DF">
        <w:trPr>
          <w:trHeight w:val="54"/>
          <w:jc w:val="center"/>
        </w:trPr>
        <w:tc>
          <w:tcPr>
            <w:tcW w:w="810" w:type="dxa"/>
            <w:hideMark/>
          </w:tcPr>
          <w:p w14:paraId="51E65D82" w14:textId="77777777" w:rsidR="001463DF" w:rsidRPr="00277E7F" w:rsidRDefault="001463DF" w:rsidP="00C76517">
            <w:pPr>
              <w:spacing w:before="60" w:after="60"/>
              <w:rPr>
                <w:rFonts w:cstheme="minorHAnsi"/>
                <w:sz w:val="20"/>
                <w:lang w:eastAsia="zh-CN"/>
              </w:rPr>
            </w:pPr>
            <w:r w:rsidRPr="00277E7F">
              <w:rPr>
                <w:rFonts w:cstheme="minorHAnsi"/>
                <w:sz w:val="20"/>
                <w:lang w:eastAsia="zh-CN"/>
              </w:rPr>
              <w:t xml:space="preserve">AFR </w:t>
            </w:r>
          </w:p>
        </w:tc>
        <w:tc>
          <w:tcPr>
            <w:tcW w:w="990" w:type="dxa"/>
            <w:noWrap/>
            <w:vAlign w:val="bottom"/>
            <w:hideMark/>
          </w:tcPr>
          <w:p w14:paraId="0D9E2FAD" w14:textId="752FDE79" w:rsidR="001463DF" w:rsidRPr="00277E7F" w:rsidRDefault="001463DF" w:rsidP="00C76517">
            <w:pPr>
              <w:spacing w:before="60" w:after="60"/>
              <w:jc w:val="center"/>
              <w:rPr>
                <w:rFonts w:eastAsiaTheme="minorEastAsia" w:cstheme="minorHAnsi"/>
                <w:sz w:val="20"/>
                <w:lang w:eastAsia="zh-CN"/>
              </w:rPr>
            </w:pPr>
            <w:r w:rsidRPr="00C76517">
              <w:rPr>
                <w:rFonts w:eastAsiaTheme="minorEastAsia" w:cstheme="minorHAnsi"/>
                <w:sz w:val="20"/>
                <w:lang w:eastAsia="zh-CN"/>
              </w:rPr>
              <w:t>9</w:t>
            </w:r>
          </w:p>
        </w:tc>
        <w:tc>
          <w:tcPr>
            <w:tcW w:w="1169" w:type="dxa"/>
            <w:vAlign w:val="bottom"/>
            <w:hideMark/>
          </w:tcPr>
          <w:p w14:paraId="0897C576" w14:textId="0F992244"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9,587.7</w:t>
            </w:r>
          </w:p>
        </w:tc>
        <w:tc>
          <w:tcPr>
            <w:tcW w:w="1169" w:type="dxa"/>
            <w:vAlign w:val="bottom"/>
            <w:hideMark/>
          </w:tcPr>
          <w:p w14:paraId="417EE987" w14:textId="0497D09E"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967.1</w:t>
            </w:r>
          </w:p>
        </w:tc>
        <w:tc>
          <w:tcPr>
            <w:tcW w:w="1169" w:type="dxa"/>
            <w:vAlign w:val="bottom"/>
            <w:hideMark/>
          </w:tcPr>
          <w:p w14:paraId="3CD1B995" w14:textId="3EA0F073"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224.3</w:t>
            </w:r>
          </w:p>
        </w:tc>
        <w:tc>
          <w:tcPr>
            <w:tcW w:w="1169" w:type="dxa"/>
            <w:shd w:val="clear" w:color="auto" w:fill="DBE5F1" w:themeFill="accent1" w:themeFillTint="33"/>
            <w:vAlign w:val="bottom"/>
            <w:hideMark/>
          </w:tcPr>
          <w:p w14:paraId="54C9654A" w14:textId="76A613A2"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10,913.7</w:t>
            </w:r>
          </w:p>
        </w:tc>
        <w:tc>
          <w:tcPr>
            <w:tcW w:w="1169" w:type="dxa"/>
            <w:vAlign w:val="bottom"/>
            <w:hideMark/>
          </w:tcPr>
          <w:p w14:paraId="4D3FB1C2" w14:textId="6EDAE013" w:rsidR="001463DF" w:rsidRPr="00CE0B06" w:rsidRDefault="001463DF" w:rsidP="00C76517">
            <w:pPr>
              <w:spacing w:before="60" w:after="60"/>
              <w:jc w:val="center"/>
              <w:rPr>
                <w:rFonts w:eastAsiaTheme="minorEastAsia" w:cstheme="minorHAnsi"/>
                <w:sz w:val="20"/>
                <w:lang w:eastAsia="zh-CN"/>
              </w:rPr>
            </w:pPr>
            <w:r w:rsidRPr="00CE0B06">
              <w:rPr>
                <w:rFonts w:eastAsiaTheme="minorEastAsia" w:cstheme="minorHAnsi"/>
                <w:sz w:val="20"/>
                <w:lang w:eastAsia="zh-CN"/>
              </w:rPr>
              <w:t>6,630.0</w:t>
            </w:r>
          </w:p>
        </w:tc>
      </w:tr>
      <w:tr w:rsidR="001463DF" w:rsidRPr="00277E7F" w14:paraId="488B31D5" w14:textId="77777777" w:rsidTr="001463DF">
        <w:trPr>
          <w:trHeight w:val="54"/>
          <w:jc w:val="center"/>
        </w:trPr>
        <w:tc>
          <w:tcPr>
            <w:tcW w:w="810" w:type="dxa"/>
            <w:hideMark/>
          </w:tcPr>
          <w:p w14:paraId="4809F79B" w14:textId="77777777" w:rsidR="001463DF" w:rsidRPr="00277E7F" w:rsidRDefault="001463DF" w:rsidP="00C76517">
            <w:pPr>
              <w:spacing w:before="60" w:after="60"/>
              <w:rPr>
                <w:rFonts w:cstheme="minorHAnsi"/>
                <w:sz w:val="20"/>
                <w:lang w:eastAsia="zh-CN"/>
              </w:rPr>
            </w:pPr>
            <w:r w:rsidRPr="00277E7F">
              <w:rPr>
                <w:rFonts w:cstheme="minorHAnsi"/>
                <w:sz w:val="20"/>
                <w:lang w:eastAsia="zh-CN"/>
              </w:rPr>
              <w:t xml:space="preserve">AMS </w:t>
            </w:r>
          </w:p>
        </w:tc>
        <w:tc>
          <w:tcPr>
            <w:tcW w:w="990" w:type="dxa"/>
            <w:noWrap/>
            <w:vAlign w:val="bottom"/>
            <w:hideMark/>
          </w:tcPr>
          <w:p w14:paraId="416CCED9" w14:textId="5EC26608" w:rsidR="001463DF" w:rsidRPr="00277E7F" w:rsidRDefault="001463DF" w:rsidP="00C76517">
            <w:pPr>
              <w:spacing w:before="60" w:after="60"/>
              <w:jc w:val="center"/>
              <w:rPr>
                <w:rFonts w:eastAsiaTheme="minorEastAsia" w:cstheme="minorHAnsi"/>
                <w:sz w:val="20"/>
                <w:lang w:eastAsia="zh-CN"/>
              </w:rPr>
            </w:pPr>
            <w:r w:rsidRPr="00C76517">
              <w:rPr>
                <w:rFonts w:eastAsiaTheme="minorEastAsia" w:cstheme="minorHAnsi"/>
                <w:sz w:val="20"/>
                <w:lang w:eastAsia="zh-CN"/>
              </w:rPr>
              <w:t>11</w:t>
            </w:r>
          </w:p>
        </w:tc>
        <w:tc>
          <w:tcPr>
            <w:tcW w:w="1169" w:type="dxa"/>
            <w:vAlign w:val="bottom"/>
            <w:hideMark/>
          </w:tcPr>
          <w:p w14:paraId="064836FF" w14:textId="0D0FC224"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40,271.6</w:t>
            </w:r>
          </w:p>
        </w:tc>
        <w:tc>
          <w:tcPr>
            <w:tcW w:w="1169" w:type="dxa"/>
            <w:vAlign w:val="bottom"/>
            <w:hideMark/>
          </w:tcPr>
          <w:p w14:paraId="1B729826" w14:textId="412BEB47"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112.3</w:t>
            </w:r>
          </w:p>
        </w:tc>
        <w:tc>
          <w:tcPr>
            <w:tcW w:w="1169" w:type="dxa"/>
            <w:vAlign w:val="bottom"/>
            <w:hideMark/>
          </w:tcPr>
          <w:p w14:paraId="1643B689" w14:textId="5A309BCD"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680.4</w:t>
            </w:r>
          </w:p>
        </w:tc>
        <w:tc>
          <w:tcPr>
            <w:tcW w:w="1169" w:type="dxa"/>
            <w:shd w:val="clear" w:color="auto" w:fill="DBE5F1" w:themeFill="accent1" w:themeFillTint="33"/>
            <w:vAlign w:val="bottom"/>
            <w:hideMark/>
          </w:tcPr>
          <w:p w14:paraId="3EBE593F" w14:textId="4B0EB644"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41,064.4</w:t>
            </w:r>
          </w:p>
        </w:tc>
        <w:tc>
          <w:tcPr>
            <w:tcW w:w="1169" w:type="dxa"/>
            <w:vAlign w:val="bottom"/>
            <w:hideMark/>
          </w:tcPr>
          <w:p w14:paraId="2772978F" w14:textId="73CD23D2" w:rsidR="001463DF" w:rsidRPr="00CE0B06" w:rsidRDefault="001463DF" w:rsidP="00C76517">
            <w:pPr>
              <w:spacing w:before="60" w:after="60"/>
              <w:jc w:val="center"/>
              <w:rPr>
                <w:rFonts w:eastAsiaTheme="minorEastAsia" w:cstheme="minorHAnsi"/>
                <w:sz w:val="20"/>
                <w:lang w:eastAsia="zh-CN"/>
              </w:rPr>
            </w:pPr>
            <w:r w:rsidRPr="00CE0B06">
              <w:rPr>
                <w:rFonts w:eastAsiaTheme="minorEastAsia" w:cstheme="minorHAnsi"/>
                <w:sz w:val="20"/>
                <w:lang w:eastAsia="zh-CN"/>
              </w:rPr>
              <w:t>2,835.1</w:t>
            </w:r>
          </w:p>
        </w:tc>
      </w:tr>
      <w:tr w:rsidR="001463DF" w:rsidRPr="00277E7F" w14:paraId="2F3487DB" w14:textId="77777777" w:rsidTr="001463DF">
        <w:trPr>
          <w:trHeight w:val="300"/>
          <w:jc w:val="center"/>
        </w:trPr>
        <w:tc>
          <w:tcPr>
            <w:tcW w:w="810" w:type="dxa"/>
            <w:hideMark/>
          </w:tcPr>
          <w:p w14:paraId="1F038422" w14:textId="77777777" w:rsidR="001463DF" w:rsidRPr="00277E7F" w:rsidRDefault="001463DF" w:rsidP="00C76517">
            <w:pPr>
              <w:spacing w:before="60" w:after="60"/>
              <w:rPr>
                <w:rFonts w:cstheme="minorHAnsi"/>
                <w:sz w:val="20"/>
                <w:lang w:eastAsia="zh-CN"/>
              </w:rPr>
            </w:pPr>
            <w:r w:rsidRPr="00277E7F">
              <w:rPr>
                <w:rFonts w:cstheme="minorHAnsi"/>
                <w:sz w:val="20"/>
                <w:lang w:eastAsia="zh-CN"/>
              </w:rPr>
              <w:t xml:space="preserve">ARB </w:t>
            </w:r>
          </w:p>
        </w:tc>
        <w:tc>
          <w:tcPr>
            <w:tcW w:w="990" w:type="dxa"/>
            <w:vAlign w:val="bottom"/>
            <w:hideMark/>
          </w:tcPr>
          <w:p w14:paraId="64F0D854" w14:textId="3773E418" w:rsidR="001463DF" w:rsidRPr="00277E7F" w:rsidRDefault="001463DF" w:rsidP="00C76517">
            <w:pPr>
              <w:spacing w:before="60" w:after="60"/>
              <w:jc w:val="center"/>
              <w:rPr>
                <w:rFonts w:eastAsiaTheme="minorEastAsia" w:cstheme="minorHAnsi"/>
                <w:sz w:val="20"/>
                <w:lang w:eastAsia="zh-CN"/>
              </w:rPr>
            </w:pPr>
            <w:r w:rsidRPr="00C76517">
              <w:rPr>
                <w:rFonts w:eastAsiaTheme="minorEastAsia" w:cstheme="minorHAnsi"/>
                <w:sz w:val="20"/>
                <w:lang w:eastAsia="zh-CN"/>
              </w:rPr>
              <w:t>7</w:t>
            </w:r>
          </w:p>
        </w:tc>
        <w:tc>
          <w:tcPr>
            <w:tcW w:w="1169" w:type="dxa"/>
            <w:vAlign w:val="bottom"/>
            <w:hideMark/>
          </w:tcPr>
          <w:p w14:paraId="06A7EF67" w14:textId="16EC4707"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4,305.0</w:t>
            </w:r>
          </w:p>
        </w:tc>
        <w:tc>
          <w:tcPr>
            <w:tcW w:w="1169" w:type="dxa"/>
            <w:vAlign w:val="bottom"/>
            <w:hideMark/>
          </w:tcPr>
          <w:p w14:paraId="7397F092" w14:textId="656C2E9A"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675.0</w:t>
            </w:r>
          </w:p>
        </w:tc>
        <w:tc>
          <w:tcPr>
            <w:tcW w:w="1169" w:type="dxa"/>
            <w:vAlign w:val="bottom"/>
            <w:hideMark/>
          </w:tcPr>
          <w:p w14:paraId="26F50D0C" w14:textId="2325FB4A"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89.7</w:t>
            </w:r>
          </w:p>
        </w:tc>
        <w:tc>
          <w:tcPr>
            <w:tcW w:w="1169" w:type="dxa"/>
            <w:shd w:val="clear" w:color="auto" w:fill="DBE5F1" w:themeFill="accent1" w:themeFillTint="33"/>
            <w:vAlign w:val="bottom"/>
            <w:hideMark/>
          </w:tcPr>
          <w:p w14:paraId="22025084" w14:textId="65012E65"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5,069.7</w:t>
            </w:r>
          </w:p>
        </w:tc>
        <w:tc>
          <w:tcPr>
            <w:tcW w:w="1169" w:type="dxa"/>
            <w:vAlign w:val="bottom"/>
            <w:hideMark/>
          </w:tcPr>
          <w:p w14:paraId="4DD7928C" w14:textId="1BEFE491" w:rsidR="001463DF" w:rsidRPr="00CE0B06" w:rsidRDefault="001463DF" w:rsidP="00C76517">
            <w:pPr>
              <w:spacing w:before="60" w:after="60"/>
              <w:jc w:val="center"/>
              <w:rPr>
                <w:rFonts w:eastAsiaTheme="minorEastAsia" w:cstheme="minorHAnsi"/>
                <w:sz w:val="20"/>
                <w:lang w:eastAsia="zh-CN"/>
              </w:rPr>
            </w:pPr>
            <w:r w:rsidRPr="00CE0B06">
              <w:rPr>
                <w:rFonts w:eastAsiaTheme="minorEastAsia" w:cstheme="minorHAnsi"/>
                <w:sz w:val="20"/>
                <w:lang w:eastAsia="zh-CN"/>
              </w:rPr>
              <w:t>2,070.6</w:t>
            </w:r>
          </w:p>
        </w:tc>
      </w:tr>
      <w:tr w:rsidR="001463DF" w:rsidRPr="00277E7F" w14:paraId="5F86052B" w14:textId="77777777" w:rsidTr="001463DF">
        <w:trPr>
          <w:trHeight w:val="54"/>
          <w:jc w:val="center"/>
        </w:trPr>
        <w:tc>
          <w:tcPr>
            <w:tcW w:w="810" w:type="dxa"/>
            <w:vAlign w:val="center"/>
            <w:hideMark/>
          </w:tcPr>
          <w:p w14:paraId="0D4CA804" w14:textId="77777777" w:rsidR="001463DF" w:rsidRPr="00277E7F" w:rsidRDefault="001463DF" w:rsidP="00C76517">
            <w:pPr>
              <w:spacing w:before="60" w:after="60"/>
              <w:rPr>
                <w:rFonts w:cstheme="minorHAnsi"/>
                <w:sz w:val="20"/>
                <w:lang w:eastAsia="zh-CN"/>
              </w:rPr>
            </w:pPr>
            <w:r w:rsidRPr="00277E7F">
              <w:rPr>
                <w:rFonts w:cstheme="minorHAnsi"/>
                <w:sz w:val="20"/>
                <w:lang w:eastAsia="zh-CN"/>
              </w:rPr>
              <w:t>ASP</w:t>
            </w:r>
          </w:p>
        </w:tc>
        <w:tc>
          <w:tcPr>
            <w:tcW w:w="990" w:type="dxa"/>
            <w:noWrap/>
            <w:vAlign w:val="bottom"/>
            <w:hideMark/>
          </w:tcPr>
          <w:p w14:paraId="50D6518E" w14:textId="4EC4102B" w:rsidR="001463DF" w:rsidRPr="00277E7F" w:rsidRDefault="001463DF" w:rsidP="00C76517">
            <w:pPr>
              <w:spacing w:before="60" w:after="60"/>
              <w:jc w:val="center"/>
              <w:rPr>
                <w:rFonts w:eastAsiaTheme="minorEastAsia" w:cstheme="minorHAnsi"/>
                <w:sz w:val="20"/>
                <w:lang w:eastAsia="zh-CN"/>
              </w:rPr>
            </w:pPr>
            <w:r w:rsidRPr="00C76517">
              <w:rPr>
                <w:rFonts w:eastAsiaTheme="minorEastAsia" w:cstheme="minorHAnsi"/>
                <w:sz w:val="20"/>
                <w:lang w:eastAsia="zh-CN"/>
              </w:rPr>
              <w:t>9</w:t>
            </w:r>
          </w:p>
        </w:tc>
        <w:tc>
          <w:tcPr>
            <w:tcW w:w="1169" w:type="dxa"/>
            <w:vAlign w:val="bottom"/>
            <w:hideMark/>
          </w:tcPr>
          <w:p w14:paraId="4903A5F4" w14:textId="56598BA9"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5,898.0</w:t>
            </w:r>
          </w:p>
        </w:tc>
        <w:tc>
          <w:tcPr>
            <w:tcW w:w="1169" w:type="dxa"/>
            <w:vAlign w:val="bottom"/>
          </w:tcPr>
          <w:p w14:paraId="2C0254AA" w14:textId="77777777" w:rsidR="001463DF" w:rsidRPr="00277E7F" w:rsidRDefault="001463DF" w:rsidP="00C76517">
            <w:pPr>
              <w:spacing w:before="60" w:after="60"/>
              <w:jc w:val="right"/>
              <w:rPr>
                <w:rFonts w:eastAsiaTheme="minorEastAsia" w:cstheme="minorHAnsi"/>
                <w:sz w:val="20"/>
                <w:lang w:eastAsia="zh-CN"/>
              </w:rPr>
            </w:pPr>
          </w:p>
        </w:tc>
        <w:tc>
          <w:tcPr>
            <w:tcW w:w="1169" w:type="dxa"/>
            <w:vAlign w:val="bottom"/>
            <w:hideMark/>
          </w:tcPr>
          <w:p w14:paraId="7076BB1F" w14:textId="3E365AFD"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448.5</w:t>
            </w:r>
          </w:p>
        </w:tc>
        <w:tc>
          <w:tcPr>
            <w:tcW w:w="1169" w:type="dxa"/>
            <w:shd w:val="clear" w:color="auto" w:fill="DBE5F1" w:themeFill="accent1" w:themeFillTint="33"/>
            <w:vAlign w:val="bottom"/>
            <w:hideMark/>
          </w:tcPr>
          <w:p w14:paraId="15F58B67" w14:textId="23F8E071"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6,524.9</w:t>
            </w:r>
          </w:p>
        </w:tc>
        <w:tc>
          <w:tcPr>
            <w:tcW w:w="1169" w:type="dxa"/>
            <w:vAlign w:val="bottom"/>
            <w:hideMark/>
          </w:tcPr>
          <w:p w14:paraId="07F19AB4" w14:textId="7A731BC6" w:rsidR="001463DF" w:rsidRPr="00CE0B06" w:rsidRDefault="001463DF" w:rsidP="00C76517">
            <w:pPr>
              <w:spacing w:before="60" w:after="60"/>
              <w:jc w:val="center"/>
              <w:rPr>
                <w:rFonts w:eastAsiaTheme="minorEastAsia" w:cstheme="minorHAnsi"/>
                <w:sz w:val="20"/>
                <w:lang w:eastAsia="zh-CN"/>
              </w:rPr>
            </w:pPr>
            <w:r w:rsidRPr="00CE0B06">
              <w:rPr>
                <w:rFonts w:eastAsiaTheme="minorEastAsia" w:cstheme="minorHAnsi"/>
                <w:sz w:val="20"/>
                <w:lang w:eastAsia="zh-CN"/>
              </w:rPr>
              <w:t>3,668.4</w:t>
            </w:r>
          </w:p>
        </w:tc>
      </w:tr>
      <w:tr w:rsidR="001463DF" w:rsidRPr="00277E7F" w14:paraId="073CEFE2" w14:textId="77777777" w:rsidTr="001463DF">
        <w:trPr>
          <w:trHeight w:val="54"/>
          <w:jc w:val="center"/>
        </w:trPr>
        <w:tc>
          <w:tcPr>
            <w:tcW w:w="810" w:type="dxa"/>
            <w:hideMark/>
          </w:tcPr>
          <w:p w14:paraId="3381399C" w14:textId="77777777" w:rsidR="001463DF" w:rsidRPr="00277E7F" w:rsidRDefault="001463DF" w:rsidP="00C76517">
            <w:pPr>
              <w:spacing w:before="60" w:after="60"/>
              <w:rPr>
                <w:rFonts w:cstheme="minorHAnsi"/>
                <w:sz w:val="20"/>
                <w:lang w:eastAsia="zh-CN"/>
              </w:rPr>
            </w:pPr>
            <w:r w:rsidRPr="00277E7F">
              <w:rPr>
                <w:rFonts w:cstheme="minorHAnsi"/>
                <w:sz w:val="20"/>
                <w:lang w:eastAsia="zh-CN"/>
              </w:rPr>
              <w:t xml:space="preserve">CIS </w:t>
            </w:r>
          </w:p>
        </w:tc>
        <w:tc>
          <w:tcPr>
            <w:tcW w:w="990" w:type="dxa"/>
            <w:vAlign w:val="bottom"/>
            <w:hideMark/>
          </w:tcPr>
          <w:p w14:paraId="7F8BDA3A" w14:textId="661B9ED0" w:rsidR="001463DF" w:rsidRPr="00277E7F" w:rsidRDefault="001463DF" w:rsidP="00C76517">
            <w:pPr>
              <w:spacing w:before="60" w:after="60"/>
              <w:jc w:val="center"/>
              <w:rPr>
                <w:rFonts w:eastAsiaTheme="minorEastAsia" w:cstheme="minorHAnsi"/>
                <w:sz w:val="20"/>
                <w:lang w:eastAsia="zh-CN"/>
              </w:rPr>
            </w:pPr>
            <w:r w:rsidRPr="00C76517">
              <w:rPr>
                <w:rFonts w:eastAsiaTheme="minorEastAsia" w:cstheme="minorHAnsi"/>
                <w:sz w:val="20"/>
                <w:lang w:eastAsia="zh-CN"/>
              </w:rPr>
              <w:t>2</w:t>
            </w:r>
          </w:p>
        </w:tc>
        <w:tc>
          <w:tcPr>
            <w:tcW w:w="1169" w:type="dxa"/>
            <w:vAlign w:val="bottom"/>
            <w:hideMark/>
          </w:tcPr>
          <w:p w14:paraId="333FEAFE" w14:textId="76802551"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253.7</w:t>
            </w:r>
          </w:p>
        </w:tc>
        <w:tc>
          <w:tcPr>
            <w:tcW w:w="1169" w:type="dxa"/>
            <w:vAlign w:val="bottom"/>
          </w:tcPr>
          <w:p w14:paraId="3626D8EF" w14:textId="77777777" w:rsidR="001463DF" w:rsidRPr="00277E7F" w:rsidRDefault="001463DF" w:rsidP="00C76517">
            <w:pPr>
              <w:spacing w:before="60" w:after="60"/>
              <w:jc w:val="right"/>
              <w:rPr>
                <w:rFonts w:eastAsiaTheme="minorEastAsia" w:cstheme="minorHAnsi"/>
                <w:sz w:val="20"/>
                <w:lang w:eastAsia="zh-CN"/>
              </w:rPr>
            </w:pPr>
          </w:p>
        </w:tc>
        <w:tc>
          <w:tcPr>
            <w:tcW w:w="1169" w:type="dxa"/>
            <w:vAlign w:val="bottom"/>
            <w:hideMark/>
          </w:tcPr>
          <w:p w14:paraId="0B5D0751" w14:textId="6DF9A695"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419.1</w:t>
            </w:r>
          </w:p>
        </w:tc>
        <w:tc>
          <w:tcPr>
            <w:tcW w:w="1169" w:type="dxa"/>
            <w:shd w:val="clear" w:color="auto" w:fill="DBE5F1" w:themeFill="accent1" w:themeFillTint="33"/>
            <w:vAlign w:val="bottom"/>
            <w:hideMark/>
          </w:tcPr>
          <w:p w14:paraId="0AEE74A3" w14:textId="35D92125"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672.8</w:t>
            </w:r>
          </w:p>
        </w:tc>
        <w:tc>
          <w:tcPr>
            <w:tcW w:w="1169" w:type="dxa"/>
            <w:vAlign w:val="bottom"/>
            <w:hideMark/>
          </w:tcPr>
          <w:p w14:paraId="78FD4C41" w14:textId="5D9F6CB8" w:rsidR="001463DF" w:rsidRPr="00CE0B06" w:rsidRDefault="001463DF" w:rsidP="00C76517">
            <w:pPr>
              <w:spacing w:before="60" w:after="60"/>
              <w:jc w:val="center"/>
              <w:rPr>
                <w:rFonts w:eastAsiaTheme="minorEastAsia" w:cstheme="minorHAnsi"/>
                <w:sz w:val="20"/>
                <w:lang w:eastAsia="zh-CN"/>
              </w:rPr>
            </w:pPr>
            <w:r w:rsidRPr="00CE0B06">
              <w:rPr>
                <w:rFonts w:eastAsiaTheme="minorEastAsia" w:cstheme="minorHAnsi"/>
                <w:sz w:val="20"/>
                <w:lang w:eastAsia="zh-CN"/>
              </w:rPr>
              <w:t>63.7</w:t>
            </w:r>
          </w:p>
        </w:tc>
      </w:tr>
      <w:tr w:rsidR="001463DF" w:rsidRPr="00277E7F" w14:paraId="043BF588" w14:textId="77777777" w:rsidTr="001463DF">
        <w:trPr>
          <w:trHeight w:val="54"/>
          <w:jc w:val="center"/>
        </w:trPr>
        <w:tc>
          <w:tcPr>
            <w:tcW w:w="810" w:type="dxa"/>
            <w:vAlign w:val="bottom"/>
            <w:hideMark/>
          </w:tcPr>
          <w:p w14:paraId="47CB5F68" w14:textId="77777777" w:rsidR="001463DF" w:rsidRPr="00277E7F" w:rsidRDefault="001463DF" w:rsidP="00C76517">
            <w:pPr>
              <w:spacing w:before="60" w:after="60"/>
              <w:rPr>
                <w:rFonts w:cstheme="minorHAnsi"/>
                <w:sz w:val="20"/>
                <w:lang w:eastAsia="zh-CN"/>
              </w:rPr>
            </w:pPr>
            <w:r w:rsidRPr="00277E7F">
              <w:rPr>
                <w:rFonts w:cstheme="minorHAnsi"/>
                <w:sz w:val="20"/>
                <w:lang w:eastAsia="zh-CN"/>
              </w:rPr>
              <w:t>EUR</w:t>
            </w:r>
          </w:p>
        </w:tc>
        <w:tc>
          <w:tcPr>
            <w:tcW w:w="990" w:type="dxa"/>
            <w:vAlign w:val="bottom"/>
            <w:hideMark/>
          </w:tcPr>
          <w:p w14:paraId="6017FC5C" w14:textId="52048F38" w:rsidR="001463DF" w:rsidRPr="00277E7F" w:rsidRDefault="001463DF" w:rsidP="00C76517">
            <w:pPr>
              <w:spacing w:before="60" w:after="60"/>
              <w:jc w:val="center"/>
              <w:rPr>
                <w:rFonts w:eastAsiaTheme="minorEastAsia" w:cstheme="minorHAnsi"/>
                <w:sz w:val="20"/>
                <w:lang w:eastAsia="zh-CN"/>
              </w:rPr>
            </w:pPr>
            <w:r w:rsidRPr="00C76517">
              <w:rPr>
                <w:rFonts w:eastAsiaTheme="minorEastAsia" w:cstheme="minorHAnsi"/>
                <w:sz w:val="20"/>
                <w:lang w:eastAsia="zh-CN"/>
              </w:rPr>
              <w:t>2</w:t>
            </w:r>
          </w:p>
        </w:tc>
        <w:tc>
          <w:tcPr>
            <w:tcW w:w="1169" w:type="dxa"/>
            <w:vAlign w:val="bottom"/>
            <w:hideMark/>
          </w:tcPr>
          <w:p w14:paraId="13393EA0" w14:textId="1042E5ED"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3,761.2</w:t>
            </w:r>
          </w:p>
        </w:tc>
        <w:tc>
          <w:tcPr>
            <w:tcW w:w="1169" w:type="dxa"/>
            <w:vAlign w:val="bottom"/>
          </w:tcPr>
          <w:p w14:paraId="16243481" w14:textId="77777777" w:rsidR="001463DF" w:rsidRPr="00277E7F" w:rsidRDefault="001463DF" w:rsidP="00C76517">
            <w:pPr>
              <w:spacing w:before="60" w:after="60"/>
              <w:jc w:val="right"/>
              <w:rPr>
                <w:rFonts w:eastAsiaTheme="minorEastAsia" w:cstheme="minorHAnsi"/>
                <w:sz w:val="20"/>
                <w:lang w:eastAsia="zh-CN"/>
              </w:rPr>
            </w:pPr>
          </w:p>
        </w:tc>
        <w:tc>
          <w:tcPr>
            <w:tcW w:w="1169" w:type="dxa"/>
            <w:vAlign w:val="bottom"/>
            <w:hideMark/>
          </w:tcPr>
          <w:p w14:paraId="05FEEB12" w14:textId="27BDB1B0"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48.4</w:t>
            </w:r>
          </w:p>
        </w:tc>
        <w:tc>
          <w:tcPr>
            <w:tcW w:w="1169" w:type="dxa"/>
            <w:shd w:val="clear" w:color="auto" w:fill="DBE5F1" w:themeFill="accent1" w:themeFillTint="33"/>
            <w:vAlign w:val="bottom"/>
            <w:hideMark/>
          </w:tcPr>
          <w:p w14:paraId="1F8CB97A" w14:textId="14EE4679"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3,809.6</w:t>
            </w:r>
          </w:p>
        </w:tc>
        <w:tc>
          <w:tcPr>
            <w:tcW w:w="1169" w:type="dxa"/>
            <w:vAlign w:val="bottom"/>
            <w:hideMark/>
          </w:tcPr>
          <w:p w14:paraId="74B4500A" w14:textId="1F27232B" w:rsidR="001463DF" w:rsidRPr="00CE0B06" w:rsidRDefault="001463DF" w:rsidP="00C76517">
            <w:pPr>
              <w:spacing w:before="60" w:after="60"/>
              <w:jc w:val="center"/>
              <w:rPr>
                <w:rFonts w:eastAsiaTheme="minorEastAsia" w:cstheme="minorHAnsi"/>
                <w:sz w:val="20"/>
                <w:lang w:eastAsia="zh-CN"/>
              </w:rPr>
            </w:pPr>
            <w:r w:rsidRPr="00CE0B06">
              <w:rPr>
                <w:rFonts w:eastAsiaTheme="minorEastAsia" w:cstheme="minorHAnsi"/>
                <w:sz w:val="20"/>
                <w:lang w:eastAsia="zh-CN"/>
              </w:rPr>
              <w:t>1,975.4</w:t>
            </w:r>
          </w:p>
        </w:tc>
      </w:tr>
      <w:tr w:rsidR="001463DF" w:rsidRPr="00277E7F" w14:paraId="18B5C6B0" w14:textId="77777777" w:rsidTr="001463DF">
        <w:trPr>
          <w:trHeight w:val="54"/>
          <w:jc w:val="center"/>
        </w:trPr>
        <w:tc>
          <w:tcPr>
            <w:tcW w:w="810" w:type="dxa"/>
            <w:hideMark/>
          </w:tcPr>
          <w:p w14:paraId="0B471403" w14:textId="77777777" w:rsidR="001463DF" w:rsidRPr="00277E7F" w:rsidRDefault="001463DF" w:rsidP="00C76517">
            <w:pPr>
              <w:spacing w:before="60" w:after="60"/>
              <w:rPr>
                <w:rFonts w:cstheme="minorHAnsi"/>
                <w:sz w:val="20"/>
                <w:lang w:eastAsia="zh-CN"/>
              </w:rPr>
            </w:pPr>
            <w:r w:rsidRPr="00277E7F">
              <w:rPr>
                <w:rFonts w:cstheme="minorHAnsi"/>
                <w:sz w:val="20"/>
                <w:lang w:eastAsia="zh-CN"/>
              </w:rPr>
              <w:t>MUL</w:t>
            </w:r>
          </w:p>
        </w:tc>
        <w:tc>
          <w:tcPr>
            <w:tcW w:w="990" w:type="dxa"/>
            <w:noWrap/>
            <w:vAlign w:val="bottom"/>
            <w:hideMark/>
          </w:tcPr>
          <w:p w14:paraId="40D77402" w14:textId="7B4465F2" w:rsidR="001463DF" w:rsidRPr="00277E7F" w:rsidRDefault="001463DF" w:rsidP="00C76517">
            <w:pPr>
              <w:spacing w:before="60" w:after="60"/>
              <w:jc w:val="center"/>
              <w:rPr>
                <w:rFonts w:eastAsiaTheme="minorEastAsia" w:cstheme="minorHAnsi"/>
                <w:sz w:val="20"/>
                <w:lang w:eastAsia="zh-CN"/>
              </w:rPr>
            </w:pPr>
            <w:r w:rsidRPr="00C76517">
              <w:rPr>
                <w:rFonts w:eastAsiaTheme="minorEastAsia" w:cstheme="minorHAnsi"/>
                <w:sz w:val="20"/>
                <w:lang w:eastAsia="zh-CN"/>
              </w:rPr>
              <w:t>20</w:t>
            </w:r>
          </w:p>
        </w:tc>
        <w:tc>
          <w:tcPr>
            <w:tcW w:w="1169" w:type="dxa"/>
            <w:vAlign w:val="bottom"/>
            <w:hideMark/>
          </w:tcPr>
          <w:p w14:paraId="248A3E0E" w14:textId="6F9B02E6"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15,570.8</w:t>
            </w:r>
          </w:p>
        </w:tc>
        <w:tc>
          <w:tcPr>
            <w:tcW w:w="1169" w:type="dxa"/>
            <w:vAlign w:val="bottom"/>
            <w:hideMark/>
          </w:tcPr>
          <w:p w14:paraId="667B63F1" w14:textId="15D09632"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3,743.1</w:t>
            </w:r>
          </w:p>
        </w:tc>
        <w:tc>
          <w:tcPr>
            <w:tcW w:w="1169" w:type="dxa"/>
            <w:vAlign w:val="bottom"/>
            <w:hideMark/>
          </w:tcPr>
          <w:p w14:paraId="26B611FC" w14:textId="7B4A8C7A"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1,355.7</w:t>
            </w:r>
          </w:p>
        </w:tc>
        <w:tc>
          <w:tcPr>
            <w:tcW w:w="1169" w:type="dxa"/>
            <w:shd w:val="clear" w:color="auto" w:fill="DBE5F1" w:themeFill="accent1" w:themeFillTint="33"/>
            <w:vAlign w:val="bottom"/>
            <w:hideMark/>
          </w:tcPr>
          <w:p w14:paraId="31DCA692" w14:textId="664E2C33" w:rsidR="001463DF" w:rsidRPr="00277E7F" w:rsidRDefault="001463DF" w:rsidP="00C76517">
            <w:pPr>
              <w:spacing w:before="60" w:after="60"/>
              <w:jc w:val="right"/>
              <w:rPr>
                <w:rFonts w:eastAsiaTheme="minorEastAsia" w:cstheme="minorHAnsi"/>
                <w:sz w:val="20"/>
                <w:lang w:eastAsia="zh-CN"/>
              </w:rPr>
            </w:pPr>
            <w:r w:rsidRPr="00C76517">
              <w:rPr>
                <w:rFonts w:eastAsiaTheme="minorEastAsia" w:cstheme="minorHAnsi"/>
                <w:sz w:val="20"/>
                <w:lang w:eastAsia="zh-CN"/>
              </w:rPr>
              <w:t>20,940.4</w:t>
            </w:r>
          </w:p>
        </w:tc>
        <w:tc>
          <w:tcPr>
            <w:tcW w:w="1169" w:type="dxa"/>
            <w:vAlign w:val="bottom"/>
            <w:hideMark/>
          </w:tcPr>
          <w:p w14:paraId="78EF0774" w14:textId="5C286248" w:rsidR="001463DF" w:rsidRPr="00CE0B06" w:rsidRDefault="001463DF" w:rsidP="00C76517">
            <w:pPr>
              <w:spacing w:before="60" w:after="60"/>
              <w:jc w:val="center"/>
              <w:rPr>
                <w:rFonts w:eastAsiaTheme="minorEastAsia" w:cstheme="minorHAnsi"/>
                <w:sz w:val="20"/>
                <w:lang w:eastAsia="zh-CN"/>
              </w:rPr>
            </w:pPr>
            <w:r w:rsidRPr="00CE0B06">
              <w:rPr>
                <w:rFonts w:eastAsiaTheme="minorEastAsia" w:cstheme="minorHAnsi"/>
                <w:sz w:val="20"/>
                <w:lang w:eastAsia="zh-CN"/>
              </w:rPr>
              <w:t>5,716.8</w:t>
            </w:r>
          </w:p>
        </w:tc>
      </w:tr>
      <w:tr w:rsidR="001463DF" w:rsidRPr="00277E7F" w14:paraId="5F9662CC" w14:textId="77777777" w:rsidTr="001463DF">
        <w:trPr>
          <w:trHeight w:val="54"/>
          <w:jc w:val="center"/>
        </w:trPr>
        <w:tc>
          <w:tcPr>
            <w:tcW w:w="810" w:type="dxa"/>
            <w:shd w:val="clear" w:color="auto" w:fill="DBE5F1" w:themeFill="accent1" w:themeFillTint="33"/>
            <w:noWrap/>
            <w:vAlign w:val="center"/>
            <w:hideMark/>
          </w:tcPr>
          <w:p w14:paraId="10941C04" w14:textId="77777777" w:rsidR="001463DF" w:rsidRPr="00277E7F" w:rsidRDefault="001463DF" w:rsidP="00C76517">
            <w:pPr>
              <w:spacing w:before="60" w:after="60"/>
              <w:rPr>
                <w:rFonts w:cstheme="minorHAnsi"/>
                <w:b/>
                <w:bCs/>
                <w:sz w:val="20"/>
                <w:lang w:eastAsia="zh-CN"/>
              </w:rPr>
            </w:pPr>
            <w:r w:rsidRPr="00277E7F">
              <w:rPr>
                <w:rFonts w:cstheme="minorHAnsi"/>
                <w:b/>
                <w:bCs/>
                <w:sz w:val="20"/>
                <w:lang w:eastAsia="zh-CN"/>
              </w:rPr>
              <w:t>Total</w:t>
            </w:r>
          </w:p>
        </w:tc>
        <w:tc>
          <w:tcPr>
            <w:tcW w:w="990" w:type="dxa"/>
            <w:shd w:val="clear" w:color="auto" w:fill="DBE5F1" w:themeFill="accent1" w:themeFillTint="33"/>
            <w:noWrap/>
            <w:vAlign w:val="bottom"/>
            <w:hideMark/>
          </w:tcPr>
          <w:p w14:paraId="1D038345" w14:textId="141BD701" w:rsidR="001463DF" w:rsidRPr="00C76517" w:rsidRDefault="001463DF" w:rsidP="00C76517">
            <w:pPr>
              <w:spacing w:before="60" w:after="60"/>
              <w:jc w:val="center"/>
              <w:rPr>
                <w:rFonts w:eastAsiaTheme="minorEastAsia" w:cstheme="minorHAnsi"/>
                <w:b/>
                <w:bCs/>
                <w:sz w:val="20"/>
                <w:lang w:eastAsia="zh-CN"/>
              </w:rPr>
            </w:pPr>
            <w:r w:rsidRPr="00C76517">
              <w:rPr>
                <w:rFonts w:eastAsiaTheme="minorEastAsia" w:cstheme="minorHAnsi"/>
                <w:b/>
                <w:bCs/>
                <w:sz w:val="20"/>
                <w:lang w:eastAsia="zh-CN"/>
              </w:rPr>
              <w:t>60</w:t>
            </w:r>
          </w:p>
        </w:tc>
        <w:tc>
          <w:tcPr>
            <w:tcW w:w="1169" w:type="dxa"/>
            <w:shd w:val="clear" w:color="auto" w:fill="DBE5F1" w:themeFill="accent1" w:themeFillTint="33"/>
            <w:noWrap/>
            <w:vAlign w:val="bottom"/>
            <w:hideMark/>
          </w:tcPr>
          <w:p w14:paraId="2ACFC24A" w14:textId="180C4021" w:rsidR="001463DF" w:rsidRPr="00C76517" w:rsidRDefault="001463DF" w:rsidP="00C76517">
            <w:pPr>
              <w:spacing w:before="60" w:after="60"/>
              <w:jc w:val="right"/>
              <w:rPr>
                <w:rFonts w:eastAsiaTheme="minorEastAsia" w:cstheme="minorHAnsi"/>
                <w:b/>
                <w:bCs/>
                <w:sz w:val="20"/>
                <w:lang w:eastAsia="zh-CN"/>
              </w:rPr>
            </w:pPr>
            <w:r w:rsidRPr="00C76517">
              <w:rPr>
                <w:rFonts w:eastAsiaTheme="minorEastAsia" w:cstheme="minorHAnsi"/>
                <w:b/>
                <w:bCs/>
                <w:sz w:val="20"/>
                <w:lang w:eastAsia="zh-CN"/>
              </w:rPr>
              <w:t>79,648.0</w:t>
            </w:r>
          </w:p>
        </w:tc>
        <w:tc>
          <w:tcPr>
            <w:tcW w:w="1169" w:type="dxa"/>
            <w:shd w:val="clear" w:color="auto" w:fill="DBE5F1" w:themeFill="accent1" w:themeFillTint="33"/>
            <w:noWrap/>
            <w:vAlign w:val="bottom"/>
            <w:hideMark/>
          </w:tcPr>
          <w:p w14:paraId="7F5D4AA6" w14:textId="3B3A3F88" w:rsidR="001463DF" w:rsidRPr="00C76517" w:rsidRDefault="001463DF" w:rsidP="00C76517">
            <w:pPr>
              <w:spacing w:before="60" w:after="60"/>
              <w:jc w:val="right"/>
              <w:rPr>
                <w:rFonts w:eastAsiaTheme="minorEastAsia" w:cstheme="minorHAnsi"/>
                <w:b/>
                <w:bCs/>
                <w:sz w:val="20"/>
                <w:lang w:eastAsia="zh-CN"/>
              </w:rPr>
            </w:pPr>
            <w:r w:rsidRPr="00C76517">
              <w:rPr>
                <w:rFonts w:eastAsiaTheme="minorEastAsia" w:cstheme="minorHAnsi"/>
                <w:b/>
                <w:bCs/>
                <w:sz w:val="20"/>
                <w:lang w:eastAsia="zh-CN"/>
              </w:rPr>
              <w:t>5,497.5</w:t>
            </w:r>
          </w:p>
        </w:tc>
        <w:tc>
          <w:tcPr>
            <w:tcW w:w="1169" w:type="dxa"/>
            <w:shd w:val="clear" w:color="auto" w:fill="DBE5F1" w:themeFill="accent1" w:themeFillTint="33"/>
            <w:noWrap/>
            <w:vAlign w:val="bottom"/>
            <w:hideMark/>
          </w:tcPr>
          <w:p w14:paraId="3905C43B" w14:textId="690932F5" w:rsidR="001463DF" w:rsidRPr="00C76517" w:rsidRDefault="001463DF" w:rsidP="00C76517">
            <w:pPr>
              <w:spacing w:before="60" w:after="60"/>
              <w:jc w:val="right"/>
              <w:rPr>
                <w:rFonts w:eastAsiaTheme="minorEastAsia" w:cstheme="minorHAnsi"/>
                <w:b/>
                <w:bCs/>
                <w:sz w:val="20"/>
                <w:lang w:eastAsia="zh-CN"/>
              </w:rPr>
            </w:pPr>
            <w:r w:rsidRPr="00C76517">
              <w:rPr>
                <w:rFonts w:eastAsiaTheme="minorEastAsia" w:cstheme="minorHAnsi"/>
                <w:b/>
                <w:bCs/>
                <w:sz w:val="20"/>
                <w:lang w:eastAsia="zh-CN"/>
              </w:rPr>
              <w:t>3,266.2</w:t>
            </w:r>
          </w:p>
        </w:tc>
        <w:tc>
          <w:tcPr>
            <w:tcW w:w="1169" w:type="dxa"/>
            <w:shd w:val="clear" w:color="auto" w:fill="DBE5F1" w:themeFill="accent1" w:themeFillTint="33"/>
            <w:noWrap/>
            <w:vAlign w:val="bottom"/>
            <w:hideMark/>
          </w:tcPr>
          <w:p w14:paraId="2D45E413" w14:textId="6DB85CB1" w:rsidR="001463DF" w:rsidRPr="00C76517" w:rsidRDefault="001463DF" w:rsidP="00C76517">
            <w:pPr>
              <w:spacing w:before="60" w:after="60"/>
              <w:jc w:val="right"/>
              <w:rPr>
                <w:rFonts w:eastAsiaTheme="minorEastAsia" w:cstheme="minorHAnsi"/>
                <w:b/>
                <w:bCs/>
                <w:sz w:val="20"/>
                <w:lang w:eastAsia="zh-CN"/>
              </w:rPr>
            </w:pPr>
            <w:r w:rsidRPr="00C76517">
              <w:rPr>
                <w:rFonts w:eastAsiaTheme="minorEastAsia" w:cstheme="minorHAnsi"/>
                <w:b/>
                <w:bCs/>
                <w:sz w:val="20"/>
                <w:lang w:eastAsia="zh-CN"/>
              </w:rPr>
              <w:t>88,995.5</w:t>
            </w:r>
          </w:p>
        </w:tc>
        <w:tc>
          <w:tcPr>
            <w:tcW w:w="1169" w:type="dxa"/>
            <w:shd w:val="clear" w:color="auto" w:fill="DBE5F1" w:themeFill="accent1" w:themeFillTint="33"/>
            <w:noWrap/>
            <w:vAlign w:val="bottom"/>
            <w:hideMark/>
          </w:tcPr>
          <w:p w14:paraId="6D4B822B" w14:textId="3809DEDB" w:rsidR="001463DF" w:rsidRPr="00CE0B06" w:rsidRDefault="001463DF" w:rsidP="00C76517">
            <w:pPr>
              <w:spacing w:before="60" w:after="60"/>
              <w:jc w:val="center"/>
              <w:rPr>
                <w:rFonts w:eastAsiaTheme="minorEastAsia" w:cstheme="minorHAnsi"/>
                <w:b/>
                <w:bCs/>
                <w:sz w:val="20"/>
                <w:lang w:eastAsia="zh-CN"/>
              </w:rPr>
            </w:pPr>
            <w:r w:rsidRPr="00CE0B06">
              <w:rPr>
                <w:rFonts w:eastAsiaTheme="minorEastAsia" w:cstheme="minorHAnsi"/>
                <w:b/>
                <w:bCs/>
                <w:sz w:val="20"/>
                <w:lang w:eastAsia="zh-CN"/>
              </w:rPr>
              <w:t>22,960.1</w:t>
            </w:r>
          </w:p>
        </w:tc>
      </w:tr>
    </w:tbl>
    <w:p w14:paraId="1EE6DA33" w14:textId="1AFEA70D" w:rsidR="00915BF5" w:rsidRPr="00277E7F" w:rsidRDefault="00915BF5" w:rsidP="006C3AE6">
      <w:pPr>
        <w:pStyle w:val="Heading2"/>
        <w:numPr>
          <w:ilvl w:val="1"/>
          <w:numId w:val="2"/>
        </w:numPr>
        <w:spacing w:before="120" w:after="120"/>
        <w:ind w:left="540" w:hanging="540"/>
        <w:textAlignment w:val="auto"/>
        <w:rPr>
          <w:rFonts w:cstheme="minorHAnsi"/>
          <w:b w:val="0"/>
          <w:bCs/>
          <w:szCs w:val="24"/>
          <w:u w:val="single"/>
        </w:rPr>
      </w:pPr>
      <w:r w:rsidRPr="00277E7F">
        <w:rPr>
          <w:rFonts w:cstheme="minorHAnsi"/>
          <w:b w:val="0"/>
          <w:bCs/>
          <w:szCs w:val="24"/>
          <w:u w:val="single"/>
        </w:rPr>
        <w:t xml:space="preserve">Projects signed during the </w:t>
      </w:r>
      <w:r w:rsidR="00120C21">
        <w:rPr>
          <w:rFonts w:cstheme="minorHAnsi"/>
          <w:b w:val="0"/>
          <w:bCs/>
          <w:szCs w:val="24"/>
          <w:u w:val="single"/>
        </w:rPr>
        <w:t xml:space="preserve">reporting period </w:t>
      </w:r>
    </w:p>
    <w:p w14:paraId="51129EBF" w14:textId="3B823CE5" w:rsidR="00915BF5" w:rsidRPr="00277E7F" w:rsidRDefault="00CF2543" w:rsidP="006C3AE6">
      <w:pPr>
        <w:spacing w:after="120"/>
        <w:rPr>
          <w:rFonts w:cstheme="minorBidi"/>
        </w:rPr>
      </w:pPr>
      <w:r w:rsidRPr="7EC02781">
        <w:rPr>
          <w:rFonts w:cstheme="minorBidi"/>
        </w:rPr>
        <w:t xml:space="preserve">In 2022 </w:t>
      </w:r>
      <w:r w:rsidR="00915BF5" w:rsidRPr="7EC02781">
        <w:rPr>
          <w:rFonts w:cstheme="minorBidi"/>
        </w:rPr>
        <w:t xml:space="preserve">BDT signed </w:t>
      </w:r>
      <w:r w:rsidR="003702DE">
        <w:rPr>
          <w:rFonts w:cstheme="minorBidi"/>
        </w:rPr>
        <w:t>eight</w:t>
      </w:r>
      <w:r w:rsidR="003702DE" w:rsidRPr="7EC02781">
        <w:rPr>
          <w:rFonts w:cstheme="minorBidi"/>
        </w:rPr>
        <w:t xml:space="preserve"> </w:t>
      </w:r>
      <w:r w:rsidR="00915BF5" w:rsidRPr="7EC02781">
        <w:rPr>
          <w:rFonts w:cstheme="minorBidi"/>
        </w:rPr>
        <w:t xml:space="preserve">new projects valued at CHF </w:t>
      </w:r>
      <w:r w:rsidR="00355857" w:rsidRPr="7EC02781">
        <w:rPr>
          <w:rFonts w:cstheme="minorBidi"/>
        </w:rPr>
        <w:t>5.3</w:t>
      </w:r>
      <w:r w:rsidR="00915BF5" w:rsidRPr="7EC02781">
        <w:rPr>
          <w:rFonts w:cstheme="minorBidi"/>
        </w:rPr>
        <w:t xml:space="preserve"> million. These new projects are multi-regional, regional, and national in nature.</w:t>
      </w:r>
      <w:r w:rsidR="00F33385" w:rsidRPr="7EC02781">
        <w:rPr>
          <w:rFonts w:cstheme="minorBidi"/>
        </w:rPr>
        <w:t xml:space="preserve"> </w:t>
      </w:r>
      <w:r w:rsidR="00915BF5" w:rsidRPr="7EC02781">
        <w:rPr>
          <w:rFonts w:cstheme="minorBidi"/>
        </w:rPr>
        <w:t>In addition, conversations are on-going for 1</w:t>
      </w:r>
      <w:r w:rsidR="00CC730B" w:rsidRPr="7EC02781">
        <w:rPr>
          <w:rFonts w:cstheme="minorBidi"/>
        </w:rPr>
        <w:t>1</w:t>
      </w:r>
      <w:r w:rsidR="00915BF5" w:rsidRPr="7EC02781">
        <w:rPr>
          <w:rFonts w:cstheme="minorBidi"/>
        </w:rPr>
        <w:t xml:space="preserve"> more projects that are expected to be signed during </w:t>
      </w:r>
      <w:r w:rsidR="003F6184" w:rsidRPr="7EC02781">
        <w:rPr>
          <w:rFonts w:cstheme="minorBidi"/>
        </w:rPr>
        <w:t xml:space="preserve">2023 </w:t>
      </w:r>
      <w:r w:rsidR="00915BF5" w:rsidRPr="7EC02781">
        <w:rPr>
          <w:rFonts w:cstheme="minorBidi"/>
        </w:rPr>
        <w:t xml:space="preserve">for a value of CHF </w:t>
      </w:r>
      <w:r w:rsidR="00CC730B" w:rsidRPr="7EC02781">
        <w:rPr>
          <w:rFonts w:cstheme="minorBidi"/>
        </w:rPr>
        <w:t xml:space="preserve">17.7 </w:t>
      </w:r>
      <w:r w:rsidR="00915BF5" w:rsidRPr="7EC02781">
        <w:rPr>
          <w:rFonts w:cstheme="minorBidi"/>
        </w:rPr>
        <w:t xml:space="preserve">million. The projects signed </w:t>
      </w:r>
      <w:r w:rsidR="00CC730B" w:rsidRPr="7EC02781">
        <w:rPr>
          <w:rFonts w:cstheme="minorBidi"/>
        </w:rPr>
        <w:t xml:space="preserve">during 2022 </w:t>
      </w:r>
      <w:r w:rsidR="00915BF5" w:rsidRPr="7EC02781">
        <w:rPr>
          <w:rFonts w:cstheme="minorBidi"/>
        </w:rPr>
        <w:t>include the following</w:t>
      </w:r>
      <w:r w:rsidR="000A5840" w:rsidRPr="7EC02781">
        <w:rPr>
          <w:rFonts w:cstheme="minorBidi"/>
        </w:rPr>
        <w:t xml:space="preserve"> projects</w:t>
      </w:r>
      <w:r w:rsidR="00915BF5" w:rsidRPr="7EC02781">
        <w:rPr>
          <w:rFonts w:cstheme="minorBidi"/>
        </w:rPr>
        <w:t>:</w:t>
      </w:r>
    </w:p>
    <w:p w14:paraId="3DAF29B8" w14:textId="3FBDB5DB" w:rsidR="0000305D" w:rsidRPr="0000305D" w:rsidRDefault="002D6723" w:rsidP="006C3AE6">
      <w:pPr>
        <w:pStyle w:val="ListParagraph"/>
        <w:numPr>
          <w:ilvl w:val="0"/>
          <w:numId w:val="3"/>
        </w:numPr>
        <w:spacing w:before="60" w:after="60"/>
        <w:ind w:left="357" w:hanging="357"/>
        <w:contextualSpacing w:val="0"/>
        <w:textAlignment w:val="auto"/>
        <w:rPr>
          <w:rFonts w:cstheme="minorHAnsi"/>
        </w:rPr>
      </w:pPr>
      <w:r w:rsidRPr="0000305D">
        <w:rPr>
          <w:rFonts w:cstheme="minorHAnsi"/>
        </w:rPr>
        <w:t>The project “</w:t>
      </w:r>
      <w:r w:rsidR="00684067" w:rsidRPr="0000305D">
        <w:rPr>
          <w:rFonts w:cstheme="minorHAnsi"/>
        </w:rPr>
        <w:t>Smart Islands in the Pacific</w:t>
      </w:r>
      <w:r w:rsidRPr="0000305D">
        <w:rPr>
          <w:rFonts w:cstheme="minorHAnsi"/>
        </w:rPr>
        <w:t xml:space="preserve">”, implemented in collaboration </w:t>
      </w:r>
      <w:r w:rsidR="00481860" w:rsidRPr="0000305D">
        <w:rPr>
          <w:rFonts w:cstheme="minorHAnsi"/>
        </w:rPr>
        <w:t>with the Asian Development Bank</w:t>
      </w:r>
      <w:r w:rsidR="0000305D" w:rsidRPr="0000305D">
        <w:rPr>
          <w:rFonts w:cstheme="minorHAnsi"/>
        </w:rPr>
        <w:t>.</w:t>
      </w:r>
    </w:p>
    <w:p w14:paraId="07264732" w14:textId="2A55B926" w:rsidR="008A76BF" w:rsidRDefault="002D6723" w:rsidP="006C3AE6">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684067" w:rsidRPr="00684067">
        <w:rPr>
          <w:rFonts w:cstheme="minorHAnsi"/>
        </w:rPr>
        <w:t>Accelerating SDG achievement through digital transformation to strengthen community resilience in Micronesia</w:t>
      </w:r>
      <w:r>
        <w:rPr>
          <w:rFonts w:cstheme="minorHAnsi"/>
        </w:rPr>
        <w:t>”</w:t>
      </w:r>
      <w:r w:rsidR="008A76BF">
        <w:rPr>
          <w:rFonts w:cstheme="minorHAnsi"/>
        </w:rPr>
        <w:t>, funded by the UN SDG fund, and implemented in collaboration with FAO, ILO, UNOPS, UNESCO, UNICEF and UNODC.</w:t>
      </w:r>
    </w:p>
    <w:p w14:paraId="6661A578" w14:textId="1B7F539A" w:rsidR="00A12F6B" w:rsidRPr="00A12F6B" w:rsidRDefault="008A76BF" w:rsidP="006C3AE6">
      <w:pPr>
        <w:pStyle w:val="ListParagraph"/>
        <w:numPr>
          <w:ilvl w:val="0"/>
          <w:numId w:val="3"/>
        </w:numPr>
        <w:spacing w:before="60" w:after="60"/>
        <w:ind w:left="357" w:hanging="357"/>
        <w:contextualSpacing w:val="0"/>
        <w:textAlignment w:val="auto"/>
        <w:rPr>
          <w:rFonts w:cstheme="minorHAnsi"/>
        </w:rPr>
      </w:pPr>
      <w:r w:rsidRPr="00A12F6B">
        <w:rPr>
          <w:rFonts w:cstheme="minorHAnsi"/>
        </w:rPr>
        <w:t xml:space="preserve">The project </w:t>
      </w:r>
      <w:r w:rsidR="002D6723" w:rsidRPr="00A12F6B">
        <w:rPr>
          <w:rFonts w:cstheme="minorHAnsi"/>
        </w:rPr>
        <w:t>“</w:t>
      </w:r>
      <w:r w:rsidR="00684067" w:rsidRPr="00A12F6B">
        <w:rPr>
          <w:rFonts w:cstheme="minorHAnsi"/>
        </w:rPr>
        <w:t>Advancing the SDGs by Improving livelihoods, social protection, human rights and resilience of vulnerable communities via decent work and digital transformation</w:t>
      </w:r>
      <w:r w:rsidR="002D6723" w:rsidRPr="00A12F6B">
        <w:rPr>
          <w:rFonts w:cstheme="minorHAnsi"/>
        </w:rPr>
        <w:t xml:space="preserve">”, </w:t>
      </w:r>
      <w:r w:rsidR="00A12F6B" w:rsidRPr="00A12F6B">
        <w:rPr>
          <w:rFonts w:cstheme="minorHAnsi"/>
        </w:rPr>
        <w:t>funded by the UN SDG fund, and implemented in collaboration with</w:t>
      </w:r>
      <w:r w:rsidR="00A12F6B" w:rsidRPr="0000305D">
        <w:t xml:space="preserve"> </w:t>
      </w:r>
      <w:r w:rsidR="00A12F6B" w:rsidRPr="00A12F6B">
        <w:rPr>
          <w:rFonts w:cstheme="minorHAnsi"/>
        </w:rPr>
        <w:t>UNESCO, UNODC, UNOPS, OHCHR and other National Coordinating Authorities in South Pacific (Fiji, Solomon Islands, Tonga, Vanuatu, and Tuvalu)</w:t>
      </w:r>
      <w:r w:rsidR="006B33A9">
        <w:rPr>
          <w:rFonts w:cstheme="minorHAnsi"/>
        </w:rPr>
        <w:t>.</w:t>
      </w:r>
    </w:p>
    <w:p w14:paraId="0495E824" w14:textId="020A29B5" w:rsidR="00684067" w:rsidRPr="00684067" w:rsidRDefault="00481860" w:rsidP="006C3AE6">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684067" w:rsidRPr="00684067">
        <w:rPr>
          <w:rFonts w:cstheme="minorHAnsi"/>
        </w:rPr>
        <w:t>Smart Villages Pakistan</w:t>
      </w:r>
      <w:r>
        <w:rPr>
          <w:rFonts w:cstheme="minorHAnsi"/>
        </w:rPr>
        <w:t xml:space="preserve">”, funded </w:t>
      </w:r>
      <w:r w:rsidR="003A7032">
        <w:rPr>
          <w:rFonts w:cstheme="minorHAnsi"/>
        </w:rPr>
        <w:t xml:space="preserve">by </w:t>
      </w:r>
      <w:r>
        <w:rPr>
          <w:rFonts w:cstheme="minorHAnsi"/>
        </w:rPr>
        <w:t>Huawei</w:t>
      </w:r>
      <w:r w:rsidR="003A7032">
        <w:rPr>
          <w:rFonts w:cstheme="minorHAnsi"/>
        </w:rPr>
        <w:t>, with additional funding from the Regional Initiatives funds</w:t>
      </w:r>
      <w:r>
        <w:rPr>
          <w:rFonts w:cstheme="minorHAnsi"/>
        </w:rPr>
        <w:t>.</w:t>
      </w:r>
    </w:p>
    <w:p w14:paraId="05F76D38" w14:textId="1DAC23C9" w:rsidR="00684067" w:rsidRPr="00684067" w:rsidRDefault="00481860" w:rsidP="006C3AE6">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684067" w:rsidRPr="00684067">
        <w:rPr>
          <w:rFonts w:cstheme="minorHAnsi"/>
        </w:rPr>
        <w:t>Digital Accelerator for Women Entrepreneurs</w:t>
      </w:r>
      <w:r>
        <w:rPr>
          <w:rFonts w:cstheme="minorHAnsi"/>
        </w:rPr>
        <w:t>”, funded by the Mary Kay Foundation, with additional funding from the ICT-DF</w:t>
      </w:r>
      <w:r w:rsidR="00B652AE">
        <w:rPr>
          <w:rFonts w:cstheme="minorHAnsi"/>
        </w:rPr>
        <w:t>.</w:t>
      </w:r>
    </w:p>
    <w:p w14:paraId="2B7D905C" w14:textId="65805B57" w:rsidR="00B652AE" w:rsidRDefault="00481860" w:rsidP="006C3AE6">
      <w:pPr>
        <w:pStyle w:val="ListParagraph"/>
        <w:numPr>
          <w:ilvl w:val="0"/>
          <w:numId w:val="3"/>
        </w:numPr>
        <w:spacing w:before="60" w:after="60"/>
        <w:ind w:left="357" w:hanging="357"/>
        <w:contextualSpacing w:val="0"/>
        <w:textAlignment w:val="auto"/>
        <w:rPr>
          <w:rFonts w:cstheme="minorHAnsi"/>
          <w:lang w:val="es-ES"/>
        </w:rPr>
      </w:pPr>
      <w:proofErr w:type="spellStart"/>
      <w:r w:rsidRPr="00B652AE">
        <w:rPr>
          <w:rFonts w:cstheme="minorHAnsi"/>
          <w:lang w:val="es-ES"/>
        </w:rPr>
        <w:t>The</w:t>
      </w:r>
      <w:proofErr w:type="spellEnd"/>
      <w:r w:rsidRPr="00B652AE">
        <w:rPr>
          <w:rFonts w:cstheme="minorHAnsi"/>
          <w:lang w:val="es-ES"/>
        </w:rPr>
        <w:t xml:space="preserve"> </w:t>
      </w:r>
      <w:proofErr w:type="spellStart"/>
      <w:r w:rsidRPr="00B652AE">
        <w:rPr>
          <w:rFonts w:cstheme="minorHAnsi"/>
          <w:lang w:val="es-ES"/>
        </w:rPr>
        <w:t>project</w:t>
      </w:r>
      <w:proofErr w:type="spellEnd"/>
      <w:r w:rsidRPr="00B652AE">
        <w:rPr>
          <w:rFonts w:cstheme="minorHAnsi"/>
          <w:lang w:val="es-ES"/>
        </w:rPr>
        <w:t xml:space="preserve"> “</w:t>
      </w:r>
      <w:r w:rsidR="00B652AE" w:rsidRPr="00B652AE">
        <w:rPr>
          <w:rFonts w:cstheme="minorHAnsi"/>
          <w:lang w:val="es-ES"/>
        </w:rPr>
        <w:t>Asistencia Técnica Especializada para la valoración de bandas de frecuencias para Sistemas Móviles Avanzados en el Ecuador</w:t>
      </w:r>
      <w:r w:rsidR="00B652AE">
        <w:rPr>
          <w:rFonts w:cstheme="minorHAnsi"/>
          <w:lang w:val="es-ES"/>
        </w:rPr>
        <w:t xml:space="preserve">”, </w:t>
      </w:r>
      <w:proofErr w:type="spellStart"/>
      <w:r w:rsidR="00B652AE">
        <w:rPr>
          <w:rFonts w:cstheme="minorHAnsi"/>
          <w:lang w:val="es-ES"/>
        </w:rPr>
        <w:t>funded</w:t>
      </w:r>
      <w:proofErr w:type="spellEnd"/>
      <w:r w:rsidR="00B652AE">
        <w:rPr>
          <w:rFonts w:cstheme="minorHAnsi"/>
          <w:lang w:val="es-ES"/>
        </w:rPr>
        <w:t xml:space="preserve"> </w:t>
      </w:r>
      <w:proofErr w:type="spellStart"/>
      <w:r w:rsidR="00B652AE">
        <w:rPr>
          <w:rFonts w:cstheme="minorHAnsi"/>
          <w:lang w:val="es-ES"/>
        </w:rPr>
        <w:t>by</w:t>
      </w:r>
      <w:proofErr w:type="spellEnd"/>
      <w:r w:rsidR="00B652AE">
        <w:rPr>
          <w:rFonts w:cstheme="minorHAnsi"/>
          <w:lang w:val="es-ES"/>
        </w:rPr>
        <w:t xml:space="preserve"> </w:t>
      </w:r>
      <w:proofErr w:type="spellStart"/>
      <w:r w:rsidR="00B652AE">
        <w:rPr>
          <w:rFonts w:cstheme="minorHAnsi"/>
          <w:lang w:val="es-ES"/>
        </w:rPr>
        <w:t>Arcotel</w:t>
      </w:r>
      <w:proofErr w:type="spellEnd"/>
      <w:r w:rsidR="00B652AE">
        <w:rPr>
          <w:rFonts w:cstheme="minorHAnsi"/>
          <w:lang w:val="es-ES"/>
        </w:rPr>
        <w:t xml:space="preserve"> Ecuador.</w:t>
      </w:r>
    </w:p>
    <w:p w14:paraId="083CF72B" w14:textId="177F293E" w:rsidR="00666903" w:rsidRPr="00666903" w:rsidRDefault="00666903" w:rsidP="006C3AE6">
      <w:pPr>
        <w:pStyle w:val="ListParagraph"/>
        <w:numPr>
          <w:ilvl w:val="0"/>
          <w:numId w:val="3"/>
        </w:numPr>
        <w:spacing w:before="60" w:after="60"/>
        <w:ind w:left="357" w:hanging="357"/>
        <w:contextualSpacing w:val="0"/>
        <w:textAlignment w:val="auto"/>
        <w:rPr>
          <w:rFonts w:cstheme="minorHAnsi"/>
        </w:rPr>
      </w:pPr>
      <w:r w:rsidRPr="00666903">
        <w:rPr>
          <w:rFonts w:cstheme="minorHAnsi"/>
        </w:rPr>
        <w:t>The Project “2022 Contribution from the Government of Australia (DITRDC) for supporting the WTDC-22</w:t>
      </w:r>
      <w:r>
        <w:rPr>
          <w:rFonts w:cstheme="minorHAnsi"/>
        </w:rPr>
        <w:t>”, funded by DIRTDCA Australia.</w:t>
      </w:r>
    </w:p>
    <w:p w14:paraId="0025C368" w14:textId="4977B7E0" w:rsidR="00684067" w:rsidRPr="0089620F" w:rsidRDefault="0089620F" w:rsidP="006C3AE6">
      <w:pPr>
        <w:pStyle w:val="ListParagraph"/>
        <w:numPr>
          <w:ilvl w:val="0"/>
          <w:numId w:val="3"/>
        </w:numPr>
        <w:spacing w:before="60" w:after="60"/>
        <w:ind w:left="357" w:hanging="357"/>
        <w:contextualSpacing w:val="0"/>
        <w:textAlignment w:val="auto"/>
        <w:rPr>
          <w:rFonts w:cstheme="minorHAnsi"/>
        </w:rPr>
      </w:pPr>
      <w:r w:rsidRPr="0089620F">
        <w:rPr>
          <w:rFonts w:cstheme="minorHAnsi"/>
        </w:rPr>
        <w:t>The project “Implementation of Phase 2 of ITU Disaster Connectivity Maps (DCM)</w:t>
      </w:r>
      <w:r>
        <w:rPr>
          <w:rFonts w:cstheme="minorHAnsi"/>
        </w:rPr>
        <w:t>”, funded by t</w:t>
      </w:r>
      <w:r w:rsidR="001E6D53">
        <w:rPr>
          <w:rFonts w:cstheme="minorHAnsi"/>
        </w:rPr>
        <w:t xml:space="preserve">he </w:t>
      </w:r>
      <w:r w:rsidR="001E6D53" w:rsidRPr="001E6D53">
        <w:rPr>
          <w:rFonts w:cstheme="minorHAnsi"/>
        </w:rPr>
        <w:t>Ministry of Science and ICT (MSIT)</w:t>
      </w:r>
      <w:r w:rsidR="001E6D53">
        <w:rPr>
          <w:rFonts w:cstheme="minorHAnsi"/>
        </w:rPr>
        <w:t xml:space="preserve"> of the </w:t>
      </w:r>
      <w:r w:rsidR="001E6D53" w:rsidRPr="001E6D53">
        <w:rPr>
          <w:rFonts w:cstheme="minorHAnsi"/>
        </w:rPr>
        <w:t>Republic of Korea</w:t>
      </w:r>
      <w:r w:rsidR="001E6D53">
        <w:rPr>
          <w:rFonts w:cstheme="minorHAnsi"/>
        </w:rPr>
        <w:t>.</w:t>
      </w:r>
    </w:p>
    <w:p w14:paraId="65BF5AD5" w14:textId="0E66FAA1" w:rsidR="00915BF5" w:rsidRDefault="00915BF5" w:rsidP="006C3AE6">
      <w:pPr>
        <w:spacing w:after="120"/>
        <w:rPr>
          <w:rFonts w:cstheme="minorHAnsi"/>
        </w:rPr>
      </w:pPr>
      <w:r w:rsidRPr="00AF086F">
        <w:rPr>
          <w:rFonts w:cstheme="minorHAnsi"/>
        </w:rPr>
        <w:t xml:space="preserve">These and other ITU projects show that by working through partnerships, ITU can have a greater impact and support ITU Membership in advancing digital development. The list of related agreements </w:t>
      </w:r>
      <w:r w:rsidR="009B2DB9" w:rsidRPr="00AF086F">
        <w:rPr>
          <w:rFonts w:cstheme="minorHAnsi"/>
        </w:rPr>
        <w:t xml:space="preserve">is available in </w:t>
      </w:r>
      <w:r w:rsidR="00756C26" w:rsidRPr="005866E9">
        <w:t>Document INF/2</w:t>
      </w:r>
      <w:r w:rsidRPr="00AF086F">
        <w:rPr>
          <w:rFonts w:cstheme="minorHAnsi"/>
        </w:rPr>
        <w:t>.</w:t>
      </w:r>
      <w:r w:rsidRPr="00277E7F">
        <w:rPr>
          <w:rFonts w:cstheme="minorHAnsi"/>
        </w:rPr>
        <w:t xml:space="preserve"> </w:t>
      </w:r>
    </w:p>
    <w:p w14:paraId="0220E8E1" w14:textId="49483044" w:rsidR="00915BF5" w:rsidRPr="00277E7F" w:rsidRDefault="009B2DB9" w:rsidP="006C3AE6">
      <w:pPr>
        <w:pStyle w:val="Heading1"/>
        <w:keepNext w:val="0"/>
        <w:keepLines w:val="0"/>
        <w:widowControl w:val="0"/>
        <w:numPr>
          <w:ilvl w:val="0"/>
          <w:numId w:val="2"/>
        </w:numPr>
        <w:spacing w:before="120" w:after="120"/>
        <w:textAlignment w:val="auto"/>
        <w:rPr>
          <w:rFonts w:cstheme="minorHAnsi"/>
          <w:sz w:val="24"/>
          <w:szCs w:val="24"/>
        </w:rPr>
      </w:pPr>
      <w:r>
        <w:rPr>
          <w:rFonts w:cstheme="minorHAnsi"/>
          <w:sz w:val="24"/>
          <w:szCs w:val="24"/>
        </w:rPr>
        <w:t xml:space="preserve">Reinforcing </w:t>
      </w:r>
      <w:r w:rsidR="00915BF5" w:rsidRPr="00277E7F">
        <w:rPr>
          <w:rFonts w:cstheme="minorHAnsi"/>
          <w:sz w:val="24"/>
          <w:szCs w:val="24"/>
        </w:rPr>
        <w:t xml:space="preserve">project management practices in </w:t>
      </w:r>
      <w:r w:rsidR="00915BF5">
        <w:rPr>
          <w:rFonts w:cstheme="minorHAnsi"/>
          <w:sz w:val="24"/>
          <w:szCs w:val="24"/>
        </w:rPr>
        <w:t>the BDT</w:t>
      </w:r>
    </w:p>
    <w:p w14:paraId="4392A5F4" w14:textId="7E0DFBCD" w:rsidR="00915BF5" w:rsidRPr="00277E7F" w:rsidRDefault="00915BF5" w:rsidP="006C3AE6">
      <w:pPr>
        <w:pStyle w:val="ListParagraph"/>
        <w:widowControl w:val="0"/>
        <w:spacing w:after="120"/>
        <w:ind w:left="0"/>
        <w:contextualSpacing w:val="0"/>
        <w:rPr>
          <w:rFonts w:cstheme="minorHAnsi"/>
          <w:lang w:val="en-US"/>
        </w:rPr>
      </w:pPr>
      <w:r w:rsidRPr="00277E7F">
        <w:rPr>
          <w:rFonts w:cstheme="minorHAnsi"/>
          <w:lang w:val="en-US"/>
        </w:rPr>
        <w:t xml:space="preserve">BDT has continued to strengthen project management practices across all ITU projects through the organization of a broad range of activities aimed at reinforcing the governance of </w:t>
      </w:r>
      <w:r>
        <w:rPr>
          <w:rFonts w:cstheme="minorHAnsi"/>
          <w:lang w:val="en-US"/>
        </w:rPr>
        <w:t>BDT</w:t>
      </w:r>
      <w:r w:rsidRPr="00277E7F">
        <w:rPr>
          <w:rFonts w:cstheme="minorHAnsi"/>
          <w:lang w:val="en-US"/>
        </w:rPr>
        <w:t xml:space="preserve"> projects, building capacity of </w:t>
      </w:r>
      <w:r>
        <w:rPr>
          <w:rFonts w:cstheme="minorHAnsi"/>
          <w:lang w:val="en-US"/>
        </w:rPr>
        <w:t>BDT</w:t>
      </w:r>
      <w:r w:rsidRPr="00277E7F">
        <w:rPr>
          <w:rFonts w:cstheme="minorHAnsi"/>
          <w:lang w:val="en-US"/>
        </w:rPr>
        <w:t xml:space="preserve"> project managers, standardizing project management practices across </w:t>
      </w:r>
      <w:r>
        <w:rPr>
          <w:rFonts w:cstheme="minorHAnsi"/>
          <w:lang w:val="en-US"/>
        </w:rPr>
        <w:t>BDT</w:t>
      </w:r>
      <w:r w:rsidRPr="00277E7F">
        <w:rPr>
          <w:rFonts w:cstheme="minorHAnsi"/>
          <w:lang w:val="en-US"/>
        </w:rPr>
        <w:t xml:space="preserve"> and reinforcing the monitoring and evaluation of projects. The following list summarizes the activities conducted during </w:t>
      </w:r>
      <w:r w:rsidR="00070A1D">
        <w:rPr>
          <w:rFonts w:cstheme="minorHAnsi"/>
          <w:lang w:val="en-US"/>
        </w:rPr>
        <w:t>2022</w:t>
      </w:r>
      <w:r w:rsidRPr="00277E7F">
        <w:rPr>
          <w:rFonts w:cstheme="minorHAnsi"/>
          <w:lang w:val="en-US"/>
        </w:rPr>
        <w:t>:</w:t>
      </w:r>
    </w:p>
    <w:p w14:paraId="6BF54D8B" w14:textId="2D13879D" w:rsidR="00915BF5" w:rsidRPr="00A8023D" w:rsidRDefault="00915BF5" w:rsidP="006C3AE6">
      <w:pPr>
        <w:pStyle w:val="ListParagraph"/>
        <w:numPr>
          <w:ilvl w:val="0"/>
          <w:numId w:val="4"/>
        </w:numPr>
        <w:spacing w:before="60" w:after="60"/>
        <w:ind w:left="357" w:hanging="357"/>
        <w:contextualSpacing w:val="0"/>
        <w:textAlignment w:val="auto"/>
        <w:rPr>
          <w:rFonts w:cstheme="minorHAnsi"/>
          <w:b/>
          <w:bCs/>
        </w:rPr>
      </w:pPr>
      <w:r w:rsidRPr="00277E7F">
        <w:rPr>
          <w:rFonts w:cstheme="minorHAnsi"/>
          <w:b/>
          <w:bCs/>
          <w:i/>
          <w:iCs/>
          <w:lang w:val="en-US"/>
        </w:rPr>
        <w:t xml:space="preserve">Operation </w:t>
      </w:r>
      <w:r w:rsidRPr="00277E7F">
        <w:rPr>
          <w:rFonts w:cstheme="minorHAnsi"/>
          <w:b/>
          <w:bCs/>
          <w:i/>
          <w:iCs/>
        </w:rPr>
        <w:t>of the BDT Projects Board</w:t>
      </w:r>
      <w:r w:rsidRPr="00277E7F">
        <w:rPr>
          <w:rFonts w:cstheme="minorHAnsi"/>
          <w:i/>
          <w:iCs/>
        </w:rPr>
        <w:t>:</w:t>
      </w:r>
      <w:r w:rsidRPr="00277E7F">
        <w:rPr>
          <w:rFonts w:cstheme="minorHAnsi"/>
        </w:rPr>
        <w:t xml:space="preserve"> </w:t>
      </w:r>
      <w:r>
        <w:rPr>
          <w:rFonts w:cstheme="minorHAnsi"/>
        </w:rPr>
        <w:t>T</w:t>
      </w:r>
      <w:r w:rsidRPr="00277E7F">
        <w:rPr>
          <w:rFonts w:cstheme="minorHAnsi"/>
        </w:rPr>
        <w:t>he BDT Projects Board</w:t>
      </w:r>
      <w:r>
        <w:rPr>
          <w:rFonts w:cstheme="minorHAnsi"/>
        </w:rPr>
        <w:t xml:space="preserve"> </w:t>
      </w:r>
      <w:r w:rsidR="00FA5EF6">
        <w:rPr>
          <w:rFonts w:cstheme="minorHAnsi"/>
        </w:rPr>
        <w:t xml:space="preserve">has continued </w:t>
      </w:r>
      <w:r w:rsidRPr="00277E7F">
        <w:rPr>
          <w:rFonts w:cstheme="minorHAnsi"/>
        </w:rPr>
        <w:t xml:space="preserve">to meet </w:t>
      </w:r>
      <w:r w:rsidR="004B73D1">
        <w:rPr>
          <w:rFonts w:cstheme="minorHAnsi"/>
        </w:rPr>
        <w:t xml:space="preserve">regularly </w:t>
      </w:r>
      <w:r>
        <w:rPr>
          <w:rFonts w:cstheme="minorHAnsi"/>
        </w:rPr>
        <w:t xml:space="preserve">to </w:t>
      </w:r>
      <w:r w:rsidRPr="00277E7F">
        <w:rPr>
          <w:rFonts w:cstheme="minorHAnsi"/>
        </w:rPr>
        <w:t xml:space="preserve">assess and evaluate project proposals’ viability and relevance before they evolve into projects, </w:t>
      </w:r>
      <w:r w:rsidR="009B2DB9" w:rsidRPr="00277E7F">
        <w:rPr>
          <w:rFonts w:cstheme="minorHAnsi"/>
        </w:rPr>
        <w:t>review,</w:t>
      </w:r>
      <w:r w:rsidRPr="00277E7F">
        <w:rPr>
          <w:rFonts w:cstheme="minorHAnsi"/>
        </w:rPr>
        <w:t xml:space="preserve"> and approve projects before they </w:t>
      </w:r>
      <w:r w:rsidR="004A0B2F">
        <w:rPr>
          <w:rFonts w:cstheme="minorHAnsi"/>
        </w:rPr>
        <w:t xml:space="preserve">are </w:t>
      </w:r>
      <w:r w:rsidRPr="00277E7F">
        <w:rPr>
          <w:rFonts w:cstheme="minorHAnsi"/>
        </w:rPr>
        <w:t>agreed on with partners and provid</w:t>
      </w:r>
      <w:r w:rsidR="004A0B2F">
        <w:rPr>
          <w:rFonts w:cstheme="minorHAnsi"/>
        </w:rPr>
        <w:t>e</w:t>
      </w:r>
      <w:r w:rsidRPr="00277E7F">
        <w:rPr>
          <w:rFonts w:cstheme="minorHAnsi"/>
        </w:rPr>
        <w:t xml:space="preserve"> oversight on project implementation and closure where issues </w:t>
      </w:r>
      <w:r w:rsidR="004A0B2F">
        <w:rPr>
          <w:rFonts w:cstheme="minorHAnsi"/>
        </w:rPr>
        <w:t>arise</w:t>
      </w:r>
      <w:r w:rsidRPr="00277E7F">
        <w:rPr>
          <w:rFonts w:cstheme="minorHAnsi"/>
        </w:rPr>
        <w:t xml:space="preserve">. The decisions from the Board </w:t>
      </w:r>
      <w:r w:rsidR="004A0B2F">
        <w:rPr>
          <w:rFonts w:cstheme="minorHAnsi"/>
        </w:rPr>
        <w:t xml:space="preserve">are regularly </w:t>
      </w:r>
      <w:r w:rsidRPr="00277E7F">
        <w:rPr>
          <w:rFonts w:cstheme="minorHAnsi"/>
        </w:rPr>
        <w:t xml:space="preserve">followed up by the Project Support </w:t>
      </w:r>
      <w:r w:rsidR="00A76372">
        <w:rPr>
          <w:rFonts w:cstheme="minorHAnsi"/>
        </w:rPr>
        <w:t>Division</w:t>
      </w:r>
      <w:r w:rsidRPr="00277E7F">
        <w:rPr>
          <w:rFonts w:cstheme="minorHAnsi"/>
        </w:rPr>
        <w:t xml:space="preserve"> and reported </w:t>
      </w:r>
      <w:r>
        <w:rPr>
          <w:rFonts w:cstheme="minorHAnsi"/>
        </w:rPr>
        <w:t xml:space="preserve">back to </w:t>
      </w:r>
      <w:r w:rsidRPr="00277E7F">
        <w:rPr>
          <w:rFonts w:cstheme="minorHAnsi"/>
        </w:rPr>
        <w:t xml:space="preserve">the </w:t>
      </w:r>
      <w:r>
        <w:rPr>
          <w:rFonts w:cstheme="minorHAnsi"/>
        </w:rPr>
        <w:t xml:space="preserve">Projects </w:t>
      </w:r>
      <w:r w:rsidRPr="00277E7F">
        <w:rPr>
          <w:rFonts w:cstheme="minorHAnsi"/>
        </w:rPr>
        <w:t>Board</w:t>
      </w:r>
      <w:r>
        <w:rPr>
          <w:rFonts w:cstheme="minorHAnsi"/>
        </w:rPr>
        <w:t>.</w:t>
      </w:r>
    </w:p>
    <w:p w14:paraId="42AEDF68" w14:textId="4462555B" w:rsidR="00E63326" w:rsidRPr="00E63326" w:rsidRDefault="00A8023D" w:rsidP="006C3AE6">
      <w:pPr>
        <w:pStyle w:val="ListParagraph"/>
        <w:numPr>
          <w:ilvl w:val="0"/>
          <w:numId w:val="4"/>
        </w:numPr>
        <w:spacing w:before="60" w:after="60"/>
        <w:ind w:left="357" w:hanging="357"/>
        <w:contextualSpacing w:val="0"/>
        <w:textAlignment w:val="auto"/>
        <w:rPr>
          <w:rFonts w:cstheme="minorHAnsi"/>
          <w:b/>
          <w:bCs/>
        </w:rPr>
      </w:pPr>
      <w:r>
        <w:rPr>
          <w:rFonts w:cstheme="minorHAnsi"/>
          <w:b/>
          <w:bCs/>
          <w:i/>
          <w:iCs/>
          <w:lang w:val="en-US"/>
        </w:rPr>
        <w:t>Establishment of a new group of “Projects under special oversight”.</w:t>
      </w:r>
      <w:r>
        <w:rPr>
          <w:rFonts w:cstheme="minorHAnsi"/>
          <w:b/>
          <w:bCs/>
          <w:lang w:val="en-US"/>
        </w:rPr>
        <w:t xml:space="preserve"> </w:t>
      </w:r>
      <w:r w:rsidRPr="00A8023D">
        <w:rPr>
          <w:rFonts w:cstheme="minorHAnsi"/>
          <w:lang w:val="en-US"/>
        </w:rPr>
        <w:t xml:space="preserve">Building on the lessons learned from 2021 and 2022, the BDT Projects Board decided at its first meeting of 2023 to </w:t>
      </w:r>
      <w:r w:rsidR="00E418C8">
        <w:rPr>
          <w:rFonts w:cstheme="minorHAnsi"/>
          <w:lang w:val="en-US"/>
        </w:rPr>
        <w:t xml:space="preserve">introduce a new mechanism to provide an additional level of oversight to the projects facing </w:t>
      </w:r>
      <w:r w:rsidR="00E63326">
        <w:rPr>
          <w:rFonts w:cstheme="minorHAnsi"/>
          <w:lang w:val="en-US"/>
        </w:rPr>
        <w:t>long-standing challenges in implementation. The projects included in this group are monitored on a weekly bas</w:t>
      </w:r>
      <w:r w:rsidR="00F22CA0">
        <w:rPr>
          <w:rFonts w:cstheme="minorHAnsi"/>
          <w:lang w:val="en-US"/>
        </w:rPr>
        <w:t>i</w:t>
      </w:r>
      <w:r w:rsidR="00E63326">
        <w:rPr>
          <w:rFonts w:cstheme="minorHAnsi"/>
          <w:lang w:val="en-US"/>
        </w:rPr>
        <w:t>s</w:t>
      </w:r>
      <w:r w:rsidR="00EF71A2">
        <w:rPr>
          <w:rFonts w:cstheme="minorHAnsi"/>
          <w:lang w:val="en-US"/>
        </w:rPr>
        <w:t xml:space="preserve">, with a weekly report presented to BDT Director for consideration and additional guidance. </w:t>
      </w:r>
      <w:r w:rsidR="008216D6">
        <w:rPr>
          <w:rFonts w:cstheme="minorHAnsi"/>
          <w:lang w:val="en-US"/>
        </w:rPr>
        <w:t xml:space="preserve">Projects are kept under special oversight until </w:t>
      </w:r>
      <w:r w:rsidR="0087467A">
        <w:rPr>
          <w:rFonts w:cstheme="minorHAnsi"/>
          <w:lang w:val="en-US"/>
        </w:rPr>
        <w:t xml:space="preserve">their level of implementation gets </w:t>
      </w:r>
      <w:r w:rsidR="00F22CA0">
        <w:rPr>
          <w:rFonts w:cstheme="minorHAnsi"/>
          <w:lang w:val="en-US"/>
        </w:rPr>
        <w:t xml:space="preserve">back </w:t>
      </w:r>
      <w:r w:rsidR="00E63326">
        <w:rPr>
          <w:rFonts w:cstheme="minorHAnsi"/>
          <w:lang w:val="en-US"/>
        </w:rPr>
        <w:t xml:space="preserve">on track. </w:t>
      </w:r>
    </w:p>
    <w:p w14:paraId="6A813FA9" w14:textId="1AA18C2B" w:rsidR="00056BE8" w:rsidRPr="00A049C2" w:rsidRDefault="00C97990" w:rsidP="006C3AE6">
      <w:pPr>
        <w:pStyle w:val="ListParagraph"/>
        <w:numPr>
          <w:ilvl w:val="0"/>
          <w:numId w:val="4"/>
        </w:numPr>
        <w:spacing w:before="60" w:after="60"/>
        <w:ind w:left="357" w:hanging="357"/>
        <w:contextualSpacing w:val="0"/>
        <w:textAlignment w:val="auto"/>
        <w:rPr>
          <w:rFonts w:cstheme="minorHAnsi"/>
          <w:b/>
          <w:bCs/>
        </w:rPr>
      </w:pPr>
      <w:r>
        <w:rPr>
          <w:rFonts w:cstheme="minorHAnsi"/>
          <w:b/>
          <w:bCs/>
          <w:i/>
          <w:iCs/>
          <w:lang w:val="en-US"/>
        </w:rPr>
        <w:t>Project management certification</w:t>
      </w:r>
      <w:r w:rsidR="00BA24E7">
        <w:rPr>
          <w:rFonts w:cstheme="minorHAnsi"/>
          <w:b/>
          <w:bCs/>
          <w:i/>
          <w:iCs/>
          <w:lang w:val="en-US"/>
        </w:rPr>
        <w:t>.</w:t>
      </w:r>
      <w:r w:rsidR="00915BF5" w:rsidRPr="00ED4D9F">
        <w:rPr>
          <w:rFonts w:cstheme="minorHAnsi"/>
          <w:b/>
          <w:bCs/>
          <w:i/>
          <w:iCs/>
          <w:lang w:val="en-US"/>
        </w:rPr>
        <w:t xml:space="preserve"> </w:t>
      </w:r>
      <w:r w:rsidR="00ED4D9F" w:rsidRPr="00ED4D9F">
        <w:rPr>
          <w:rFonts w:cstheme="minorHAnsi"/>
          <w:lang w:val="en-US"/>
        </w:rPr>
        <w:t>During 2022</w:t>
      </w:r>
      <w:r w:rsidR="00ED4D9F" w:rsidRPr="00ED4D9F">
        <w:rPr>
          <w:rFonts w:cstheme="minorHAnsi"/>
          <w:b/>
          <w:bCs/>
          <w:lang w:val="en-US"/>
        </w:rPr>
        <w:t xml:space="preserve"> </w:t>
      </w:r>
      <w:r w:rsidR="00915BF5" w:rsidRPr="00ED4D9F">
        <w:rPr>
          <w:rFonts w:cstheme="minorHAnsi"/>
          <w:lang w:val="en-US"/>
        </w:rPr>
        <w:t xml:space="preserve">BDT </w:t>
      </w:r>
      <w:r w:rsidR="00ED4D9F" w:rsidRPr="00ED4D9F">
        <w:rPr>
          <w:rFonts w:cstheme="minorHAnsi"/>
          <w:lang w:val="en-US"/>
        </w:rPr>
        <w:t xml:space="preserve">continued the project management certification </w:t>
      </w:r>
      <w:proofErr w:type="spellStart"/>
      <w:r w:rsidR="00ED4D9F" w:rsidRPr="00ED4D9F">
        <w:rPr>
          <w:rFonts w:cstheme="minorHAnsi"/>
          <w:lang w:val="en-US"/>
        </w:rPr>
        <w:t>programme</w:t>
      </w:r>
      <w:proofErr w:type="spellEnd"/>
      <w:r w:rsidR="00FA7527">
        <w:rPr>
          <w:rFonts w:cstheme="minorHAnsi"/>
          <w:lang w:val="en-US"/>
        </w:rPr>
        <w:t xml:space="preserve">, </w:t>
      </w:r>
      <w:r w:rsidR="005926CA">
        <w:rPr>
          <w:rFonts w:cstheme="minorHAnsi"/>
          <w:lang w:val="en-US"/>
        </w:rPr>
        <w:t xml:space="preserve">expanding its reach to include </w:t>
      </w:r>
      <w:r w:rsidR="00FA7527">
        <w:rPr>
          <w:rFonts w:cstheme="minorHAnsi"/>
          <w:lang w:val="en-US"/>
        </w:rPr>
        <w:t xml:space="preserve">also staff from other </w:t>
      </w:r>
      <w:proofErr w:type="spellStart"/>
      <w:r w:rsidR="00FA7527" w:rsidRPr="00A049C2">
        <w:rPr>
          <w:rFonts w:cstheme="minorHAnsi"/>
          <w:lang w:val="en-US"/>
        </w:rPr>
        <w:t>Bureaux</w:t>
      </w:r>
      <w:proofErr w:type="spellEnd"/>
      <w:r w:rsidR="00FA7527" w:rsidRPr="00A049C2">
        <w:rPr>
          <w:rFonts w:cstheme="minorHAnsi"/>
          <w:lang w:val="en-US"/>
        </w:rPr>
        <w:t>, as well as from the General Secretariat</w:t>
      </w:r>
      <w:r w:rsidR="0087467A" w:rsidRPr="00A049C2">
        <w:rPr>
          <w:rFonts w:cstheme="minorHAnsi"/>
          <w:lang w:val="en-US"/>
        </w:rPr>
        <w:t xml:space="preserve">. </w:t>
      </w:r>
      <w:r w:rsidR="005926CA" w:rsidRPr="00A049C2">
        <w:rPr>
          <w:rFonts w:cstheme="minorHAnsi"/>
          <w:lang w:val="en-US"/>
        </w:rPr>
        <w:t>After the last round, organized between October and November 2023</w:t>
      </w:r>
      <w:r w:rsidR="00DF18F2" w:rsidRPr="00A049C2">
        <w:rPr>
          <w:rFonts w:cstheme="minorHAnsi"/>
          <w:lang w:val="en-US"/>
        </w:rPr>
        <w:t>,</w:t>
      </w:r>
      <w:r w:rsidR="005926CA" w:rsidRPr="00A049C2">
        <w:rPr>
          <w:rFonts w:cstheme="minorHAnsi"/>
          <w:lang w:val="en-US"/>
        </w:rPr>
        <w:t xml:space="preserve"> the </w:t>
      </w:r>
      <w:proofErr w:type="spellStart"/>
      <w:r w:rsidR="0087467A" w:rsidRPr="00A049C2">
        <w:rPr>
          <w:rFonts w:cstheme="minorHAnsi"/>
          <w:lang w:val="en-US"/>
        </w:rPr>
        <w:t>programme</w:t>
      </w:r>
      <w:proofErr w:type="spellEnd"/>
      <w:r w:rsidR="0087467A" w:rsidRPr="00A049C2">
        <w:rPr>
          <w:rFonts w:cstheme="minorHAnsi"/>
          <w:lang w:val="en-US"/>
        </w:rPr>
        <w:t xml:space="preserve"> </w:t>
      </w:r>
      <w:r w:rsidR="001365DC" w:rsidRPr="00A049C2">
        <w:rPr>
          <w:rFonts w:cstheme="minorHAnsi"/>
          <w:lang w:val="en-US"/>
        </w:rPr>
        <w:t>has</w:t>
      </w:r>
      <w:r w:rsidR="00DF18F2" w:rsidRPr="00A049C2">
        <w:rPr>
          <w:rFonts w:cstheme="minorHAnsi"/>
          <w:lang w:val="en-US"/>
        </w:rPr>
        <w:t xml:space="preserve"> </w:t>
      </w:r>
      <w:r w:rsidR="0060674C" w:rsidRPr="00A049C2">
        <w:rPr>
          <w:rFonts w:cstheme="minorHAnsi"/>
          <w:lang w:val="en-US"/>
        </w:rPr>
        <w:t xml:space="preserve">succeeded in certifying </w:t>
      </w:r>
      <w:r w:rsidR="00BA24E7" w:rsidRPr="00A049C2">
        <w:rPr>
          <w:rFonts w:cstheme="minorHAnsi"/>
          <w:lang w:val="en-US"/>
        </w:rPr>
        <w:t xml:space="preserve">a group of </w:t>
      </w:r>
      <w:r w:rsidR="001365DC" w:rsidRPr="00A049C2">
        <w:rPr>
          <w:rFonts w:cstheme="minorHAnsi"/>
          <w:lang w:val="en-US"/>
        </w:rPr>
        <w:t xml:space="preserve">over 100 </w:t>
      </w:r>
      <w:r w:rsidR="005926CA" w:rsidRPr="00A049C2">
        <w:rPr>
          <w:rFonts w:cstheme="minorHAnsi"/>
          <w:lang w:val="en-US"/>
        </w:rPr>
        <w:t xml:space="preserve">BDT </w:t>
      </w:r>
      <w:r w:rsidR="001365DC" w:rsidRPr="00A049C2">
        <w:rPr>
          <w:rFonts w:cstheme="minorHAnsi"/>
          <w:lang w:val="en-US"/>
        </w:rPr>
        <w:t>staff</w:t>
      </w:r>
      <w:r w:rsidR="00BA24E7" w:rsidRPr="00A049C2">
        <w:rPr>
          <w:rFonts w:cstheme="minorHAnsi"/>
          <w:lang w:val="en-US"/>
        </w:rPr>
        <w:t xml:space="preserve"> in project management</w:t>
      </w:r>
      <w:r w:rsidR="001365DC" w:rsidRPr="00A049C2">
        <w:rPr>
          <w:rFonts w:cstheme="minorHAnsi"/>
          <w:lang w:val="en-US"/>
        </w:rPr>
        <w:t xml:space="preserve">. </w:t>
      </w:r>
    </w:p>
    <w:p w14:paraId="24D2B398" w14:textId="71708C39" w:rsidR="00915BF5" w:rsidRDefault="00915BF5" w:rsidP="006C3AE6">
      <w:pPr>
        <w:pStyle w:val="ListParagraph"/>
        <w:numPr>
          <w:ilvl w:val="0"/>
          <w:numId w:val="4"/>
        </w:numPr>
        <w:spacing w:before="60" w:after="60"/>
        <w:ind w:left="357" w:hanging="357"/>
        <w:contextualSpacing w:val="0"/>
        <w:textAlignment w:val="auto"/>
        <w:rPr>
          <w:rFonts w:cstheme="minorHAnsi"/>
        </w:rPr>
      </w:pPr>
      <w:r w:rsidRPr="00A049C2">
        <w:rPr>
          <w:rFonts w:cstheme="minorHAnsi"/>
          <w:b/>
          <w:bCs/>
          <w:i/>
          <w:iCs/>
        </w:rPr>
        <w:t>Monitoring of ITU Projects</w:t>
      </w:r>
      <w:r w:rsidRPr="00A049C2">
        <w:rPr>
          <w:rFonts w:cstheme="minorHAnsi"/>
          <w:i/>
          <w:iCs/>
        </w:rPr>
        <w:t>:</w:t>
      </w:r>
      <w:r w:rsidRPr="00A049C2">
        <w:rPr>
          <w:rFonts w:cstheme="minorHAnsi"/>
          <w:b/>
          <w:bCs/>
        </w:rPr>
        <w:t xml:space="preserve"> </w:t>
      </w:r>
      <w:r w:rsidRPr="00A049C2">
        <w:rPr>
          <w:rFonts w:cstheme="minorHAnsi"/>
        </w:rPr>
        <w:t>All</w:t>
      </w:r>
      <w:r w:rsidRPr="00A049C2">
        <w:rPr>
          <w:rFonts w:cstheme="minorHAnsi"/>
          <w:b/>
          <w:bCs/>
        </w:rPr>
        <w:t xml:space="preserve"> </w:t>
      </w:r>
      <w:r w:rsidRPr="00A049C2">
        <w:rPr>
          <w:rFonts w:cstheme="minorHAnsi"/>
        </w:rPr>
        <w:t xml:space="preserve">ITU projects continue to be monitored on a </w:t>
      </w:r>
      <w:r w:rsidR="00725770" w:rsidRPr="00A049C2">
        <w:rPr>
          <w:rFonts w:cstheme="minorHAnsi"/>
        </w:rPr>
        <w:t>day-by-day</w:t>
      </w:r>
      <w:r w:rsidRPr="00A049C2">
        <w:rPr>
          <w:rFonts w:cstheme="minorHAnsi"/>
        </w:rPr>
        <w:t xml:space="preserve"> basis and report</w:t>
      </w:r>
      <w:r w:rsidR="00725770" w:rsidRPr="00A049C2">
        <w:rPr>
          <w:rFonts w:cstheme="minorHAnsi"/>
        </w:rPr>
        <w:t>ed</w:t>
      </w:r>
      <w:r w:rsidRPr="00A049C2">
        <w:rPr>
          <w:rFonts w:cstheme="minorHAnsi"/>
        </w:rPr>
        <w:t xml:space="preserve"> at the end of each quarter. The result of this work is made available to BDT Management and Project Managers via Quarterly Assessment reports</w:t>
      </w:r>
      <w:r w:rsidR="00243C31" w:rsidRPr="00A049C2">
        <w:rPr>
          <w:rFonts w:cstheme="minorHAnsi"/>
        </w:rPr>
        <w:t xml:space="preserve">, as well as through the use of internal management dashboards which enable </w:t>
      </w:r>
      <w:r w:rsidR="00725770" w:rsidRPr="00A049C2">
        <w:rPr>
          <w:rFonts w:cstheme="minorHAnsi"/>
        </w:rPr>
        <w:t xml:space="preserve">data-driven decision making </w:t>
      </w:r>
      <w:r w:rsidR="00D11BE2" w:rsidRPr="00A049C2">
        <w:rPr>
          <w:rFonts w:cstheme="minorHAnsi"/>
        </w:rPr>
        <w:t>in relation to projects</w:t>
      </w:r>
      <w:r w:rsidR="00725770" w:rsidRPr="00A049C2">
        <w:rPr>
          <w:rFonts w:cstheme="minorHAnsi"/>
        </w:rPr>
        <w:t xml:space="preserve">. </w:t>
      </w:r>
    </w:p>
    <w:p w14:paraId="2EC04177" w14:textId="1FA9B95F" w:rsidR="00D82270" w:rsidRDefault="00AD50C8" w:rsidP="006C3AE6">
      <w:pPr>
        <w:pStyle w:val="ListParagraph"/>
        <w:numPr>
          <w:ilvl w:val="0"/>
          <w:numId w:val="4"/>
        </w:numPr>
        <w:spacing w:before="60" w:after="60"/>
        <w:ind w:left="357" w:hanging="357"/>
        <w:contextualSpacing w:val="0"/>
        <w:textAlignment w:val="auto"/>
        <w:rPr>
          <w:rFonts w:cstheme="minorHAnsi"/>
        </w:rPr>
      </w:pPr>
      <w:r>
        <w:rPr>
          <w:rFonts w:cstheme="minorHAnsi"/>
          <w:b/>
          <w:bCs/>
          <w:i/>
          <w:iCs/>
        </w:rPr>
        <w:t>Strengthening project execution.</w:t>
      </w:r>
      <w:r>
        <w:rPr>
          <w:rFonts w:cstheme="minorHAnsi"/>
        </w:rPr>
        <w:t xml:space="preserve"> </w:t>
      </w:r>
      <w:r w:rsidR="00D82270">
        <w:rPr>
          <w:rFonts w:cstheme="minorHAnsi"/>
        </w:rPr>
        <w:t xml:space="preserve">Starting from 2023 all project documents </w:t>
      </w:r>
      <w:r w:rsidR="00053CAE">
        <w:rPr>
          <w:rFonts w:cstheme="minorHAnsi"/>
        </w:rPr>
        <w:t xml:space="preserve">developed by ITU </w:t>
      </w:r>
      <w:r w:rsidR="00D82270">
        <w:rPr>
          <w:rFonts w:cstheme="minorHAnsi"/>
        </w:rPr>
        <w:t xml:space="preserve">include the identification of a </w:t>
      </w:r>
      <w:r w:rsidR="00053CAE">
        <w:rPr>
          <w:rFonts w:cstheme="minorHAnsi"/>
        </w:rPr>
        <w:t xml:space="preserve">focal point from the </w:t>
      </w:r>
      <w:r w:rsidR="00D82270" w:rsidRPr="00D82270">
        <w:rPr>
          <w:rFonts w:cstheme="minorHAnsi"/>
        </w:rPr>
        <w:t>beneficiary country</w:t>
      </w:r>
      <w:r w:rsidR="00D93034">
        <w:rPr>
          <w:rFonts w:cstheme="minorHAnsi"/>
        </w:rPr>
        <w:t>(</w:t>
      </w:r>
      <w:proofErr w:type="spellStart"/>
      <w:r w:rsidR="00D93034">
        <w:rPr>
          <w:rFonts w:cstheme="minorHAnsi"/>
        </w:rPr>
        <w:t>ies</w:t>
      </w:r>
      <w:proofErr w:type="spellEnd"/>
      <w:r w:rsidR="00D93034">
        <w:rPr>
          <w:rFonts w:cstheme="minorHAnsi"/>
        </w:rPr>
        <w:t>)</w:t>
      </w:r>
      <w:r w:rsidR="00D82270" w:rsidRPr="00D82270">
        <w:rPr>
          <w:rFonts w:cstheme="minorHAnsi"/>
        </w:rPr>
        <w:t xml:space="preserve"> </w:t>
      </w:r>
      <w:r w:rsidR="00053CAE">
        <w:rPr>
          <w:rFonts w:cstheme="minorHAnsi"/>
        </w:rPr>
        <w:t xml:space="preserve">to strengthen project execution and ensure the ownership and </w:t>
      </w:r>
      <w:r w:rsidR="004D4C9D">
        <w:rPr>
          <w:rFonts w:cstheme="minorHAnsi"/>
        </w:rPr>
        <w:t>long-</w:t>
      </w:r>
      <w:r w:rsidR="00053CAE">
        <w:rPr>
          <w:rFonts w:cstheme="minorHAnsi"/>
        </w:rPr>
        <w:t>term sustainability of project</w:t>
      </w:r>
      <w:r w:rsidR="001B528D">
        <w:rPr>
          <w:rFonts w:cstheme="minorHAnsi"/>
        </w:rPr>
        <w:t>s</w:t>
      </w:r>
      <w:r w:rsidR="00D82270" w:rsidRPr="00D82270">
        <w:rPr>
          <w:rFonts w:cstheme="minorHAnsi"/>
        </w:rPr>
        <w:t>.</w:t>
      </w:r>
    </w:p>
    <w:p w14:paraId="4240989F" w14:textId="77B06DE0" w:rsidR="00915BF5" w:rsidRPr="00A049C2" w:rsidRDefault="005B728C" w:rsidP="006C3AE6">
      <w:pPr>
        <w:pStyle w:val="Heading1"/>
        <w:numPr>
          <w:ilvl w:val="0"/>
          <w:numId w:val="2"/>
        </w:numPr>
        <w:spacing w:before="120" w:after="120"/>
        <w:textAlignment w:val="auto"/>
        <w:rPr>
          <w:rFonts w:cstheme="minorHAnsi"/>
          <w:sz w:val="24"/>
          <w:szCs w:val="24"/>
        </w:rPr>
      </w:pPr>
      <w:r w:rsidRPr="00A049C2">
        <w:rPr>
          <w:rFonts w:cstheme="minorHAnsi"/>
          <w:sz w:val="24"/>
          <w:szCs w:val="24"/>
        </w:rPr>
        <w:t>Conclusions</w:t>
      </w:r>
    </w:p>
    <w:p w14:paraId="474C7B3D" w14:textId="2915587E" w:rsidR="00BB6298" w:rsidRDefault="005B728C" w:rsidP="006C3AE6">
      <w:pPr>
        <w:spacing w:after="120"/>
        <w:rPr>
          <w:rFonts w:cstheme="minorHAnsi"/>
        </w:rPr>
      </w:pPr>
      <w:r w:rsidRPr="00A049C2">
        <w:rPr>
          <w:rFonts w:cstheme="minorHAnsi"/>
        </w:rPr>
        <w:t xml:space="preserve">The BDT projects portfolio continues to deliver impact on the ground, providing a key mechanism for </w:t>
      </w:r>
      <w:r w:rsidR="00B765BB" w:rsidRPr="00A049C2">
        <w:rPr>
          <w:rFonts w:cstheme="minorHAnsi"/>
        </w:rPr>
        <w:t xml:space="preserve">the Bureau </w:t>
      </w:r>
      <w:r w:rsidR="00B44299" w:rsidRPr="00A049C2">
        <w:rPr>
          <w:rFonts w:cstheme="minorHAnsi"/>
        </w:rPr>
        <w:t xml:space="preserve">to provide technical assistant </w:t>
      </w:r>
      <w:r w:rsidR="00B44299">
        <w:rPr>
          <w:rFonts w:cstheme="minorHAnsi"/>
        </w:rPr>
        <w:t xml:space="preserve">to </w:t>
      </w:r>
      <w:r w:rsidR="00B765BB">
        <w:rPr>
          <w:rFonts w:cstheme="minorHAnsi"/>
        </w:rPr>
        <w:t xml:space="preserve">ITU </w:t>
      </w:r>
      <w:r w:rsidR="00B44299">
        <w:rPr>
          <w:rFonts w:cstheme="minorHAnsi"/>
        </w:rPr>
        <w:t xml:space="preserve">Member States, </w:t>
      </w:r>
      <w:r w:rsidR="00B765BB">
        <w:rPr>
          <w:rFonts w:cstheme="minorHAnsi"/>
        </w:rPr>
        <w:t xml:space="preserve">engage ITU-D </w:t>
      </w:r>
      <w:r w:rsidR="005F191A">
        <w:rPr>
          <w:rFonts w:cstheme="minorHAnsi"/>
        </w:rPr>
        <w:t>Sector Members</w:t>
      </w:r>
      <w:r w:rsidR="00B765BB">
        <w:rPr>
          <w:rFonts w:cstheme="minorHAnsi"/>
        </w:rPr>
        <w:t xml:space="preserve">, </w:t>
      </w:r>
      <w:r w:rsidR="00B44299">
        <w:rPr>
          <w:rFonts w:cstheme="minorHAnsi"/>
        </w:rPr>
        <w:t xml:space="preserve">as well as deliver new </w:t>
      </w:r>
      <w:r w:rsidR="00B54C21">
        <w:rPr>
          <w:rFonts w:cstheme="minorHAnsi"/>
        </w:rPr>
        <w:t xml:space="preserve">products and </w:t>
      </w:r>
      <w:r w:rsidR="00B44299">
        <w:rPr>
          <w:rFonts w:cstheme="minorHAnsi"/>
        </w:rPr>
        <w:t>services</w:t>
      </w:r>
      <w:r w:rsidR="00B54C21">
        <w:rPr>
          <w:rFonts w:cstheme="minorHAnsi"/>
        </w:rPr>
        <w:t xml:space="preserve"> in the area of digital development. </w:t>
      </w:r>
    </w:p>
    <w:p w14:paraId="3A93A0B4" w14:textId="7AE368E3" w:rsidR="00470DBC" w:rsidRDefault="00BB6298" w:rsidP="006C3AE6">
      <w:pPr>
        <w:spacing w:after="120"/>
        <w:rPr>
          <w:rFonts w:cstheme="minorHAnsi"/>
        </w:rPr>
      </w:pPr>
      <w:r>
        <w:rPr>
          <w:rFonts w:cstheme="minorHAnsi"/>
        </w:rPr>
        <w:t xml:space="preserve">During </w:t>
      </w:r>
      <w:r w:rsidR="005F41D4">
        <w:rPr>
          <w:rFonts w:cstheme="minorHAnsi"/>
        </w:rPr>
        <w:t xml:space="preserve">2022 BDT </w:t>
      </w:r>
      <w:r>
        <w:rPr>
          <w:rFonts w:cstheme="minorHAnsi"/>
        </w:rPr>
        <w:t xml:space="preserve">has continued to sign new projects </w:t>
      </w:r>
      <w:r w:rsidR="005F41D4">
        <w:rPr>
          <w:rFonts w:cstheme="minorHAnsi"/>
        </w:rPr>
        <w:t>for a value of 5.3 million</w:t>
      </w:r>
      <w:r w:rsidR="006A3368">
        <w:rPr>
          <w:rFonts w:cstheme="minorHAnsi"/>
        </w:rPr>
        <w:t xml:space="preserve"> </w:t>
      </w:r>
      <w:r w:rsidR="005F41D4">
        <w:rPr>
          <w:rFonts w:cstheme="minorHAnsi"/>
        </w:rPr>
        <w:t xml:space="preserve">(see figure </w:t>
      </w:r>
      <w:r w:rsidR="0004310C">
        <w:rPr>
          <w:rFonts w:cstheme="minorHAnsi"/>
        </w:rPr>
        <w:t>4</w:t>
      </w:r>
      <w:r w:rsidR="005F41D4">
        <w:rPr>
          <w:rFonts w:cstheme="minorHAnsi"/>
        </w:rPr>
        <w:t>)</w:t>
      </w:r>
      <w:r w:rsidR="00835F22">
        <w:rPr>
          <w:rFonts w:cstheme="minorHAnsi"/>
        </w:rPr>
        <w:t xml:space="preserve">. It is </w:t>
      </w:r>
      <w:r w:rsidR="00BC3EC8">
        <w:rPr>
          <w:rFonts w:cstheme="minorHAnsi"/>
        </w:rPr>
        <w:t xml:space="preserve">important to note that </w:t>
      </w:r>
      <w:r w:rsidR="00915BF5" w:rsidRPr="00277E7F">
        <w:rPr>
          <w:rFonts w:cstheme="minorHAnsi"/>
        </w:rPr>
        <w:t xml:space="preserve">these projects </w:t>
      </w:r>
      <w:r w:rsidR="00506542">
        <w:rPr>
          <w:rFonts w:cstheme="minorHAnsi"/>
        </w:rPr>
        <w:t xml:space="preserve">have been </w:t>
      </w:r>
      <w:r w:rsidR="00FC2EAA">
        <w:rPr>
          <w:rFonts w:cstheme="minorHAnsi"/>
        </w:rPr>
        <w:t>funded and are being implemented</w:t>
      </w:r>
      <w:r w:rsidR="00915BF5">
        <w:rPr>
          <w:rFonts w:cstheme="minorHAnsi"/>
        </w:rPr>
        <w:t xml:space="preserve"> </w:t>
      </w:r>
      <w:r w:rsidR="00915BF5" w:rsidRPr="00277E7F">
        <w:rPr>
          <w:rFonts w:cstheme="minorHAnsi"/>
        </w:rPr>
        <w:t xml:space="preserve">in partnership with other organizations, such as national government agencies, bilateral cooperation entities, not-for-profit institutions, private sector, and agencies from the UN-wide system. </w:t>
      </w:r>
    </w:p>
    <w:p w14:paraId="35B0B220" w14:textId="00C75ADA" w:rsidR="00915BF5" w:rsidRPr="006C3AE6" w:rsidRDefault="00915BF5" w:rsidP="00851751">
      <w:pPr>
        <w:spacing w:before="240" w:after="120"/>
        <w:jc w:val="center"/>
        <w:rPr>
          <w:rFonts w:cstheme="minorHAnsi"/>
          <w:b/>
          <w:szCs w:val="24"/>
        </w:rPr>
      </w:pPr>
      <w:r w:rsidRPr="006C3AE6">
        <w:rPr>
          <w:rFonts w:cstheme="minorHAnsi"/>
          <w:b/>
          <w:szCs w:val="24"/>
        </w:rPr>
        <w:t xml:space="preserve">Figure </w:t>
      </w:r>
      <w:r w:rsidR="00FC2EAA" w:rsidRPr="006C3AE6">
        <w:rPr>
          <w:rFonts w:cstheme="minorHAnsi"/>
          <w:b/>
          <w:szCs w:val="24"/>
        </w:rPr>
        <w:t>4</w:t>
      </w:r>
      <w:r w:rsidRPr="006C3AE6">
        <w:rPr>
          <w:rFonts w:cstheme="minorHAnsi"/>
          <w:b/>
          <w:szCs w:val="24"/>
        </w:rPr>
        <w:t xml:space="preserve"> – New projects signed </w:t>
      </w:r>
      <w:r w:rsidR="00851751" w:rsidRPr="006C3AE6">
        <w:rPr>
          <w:rFonts w:cstheme="minorHAnsi"/>
          <w:b/>
          <w:szCs w:val="24"/>
        </w:rPr>
        <w:t>by ITU (</w:t>
      </w:r>
      <w:r w:rsidRPr="006C3AE6">
        <w:rPr>
          <w:rFonts w:cstheme="minorHAnsi"/>
          <w:b/>
          <w:szCs w:val="24"/>
        </w:rPr>
        <w:t>201</w:t>
      </w:r>
      <w:r w:rsidR="009B0491" w:rsidRPr="006C3AE6">
        <w:rPr>
          <w:rFonts w:cstheme="minorHAnsi"/>
          <w:b/>
          <w:szCs w:val="24"/>
        </w:rPr>
        <w:t>2</w:t>
      </w:r>
      <w:r w:rsidRPr="006C3AE6">
        <w:rPr>
          <w:rFonts w:cstheme="minorHAnsi"/>
          <w:b/>
          <w:szCs w:val="24"/>
        </w:rPr>
        <w:t>-202</w:t>
      </w:r>
      <w:r w:rsidR="009B0491" w:rsidRPr="006C3AE6">
        <w:rPr>
          <w:rFonts w:cstheme="minorHAnsi"/>
          <w:b/>
          <w:szCs w:val="24"/>
        </w:rPr>
        <w:t>2</w:t>
      </w:r>
      <w:r w:rsidR="00851751" w:rsidRPr="006C3AE6">
        <w:rPr>
          <w:rFonts w:cstheme="minorHAnsi"/>
          <w:b/>
          <w:szCs w:val="24"/>
        </w:rPr>
        <w:t>)</w:t>
      </w:r>
    </w:p>
    <w:p w14:paraId="56AE3DEE" w14:textId="5AB40B8A" w:rsidR="00915BF5" w:rsidRPr="00277E7F" w:rsidRDefault="009B0491" w:rsidP="4B489D71">
      <w:pPr>
        <w:spacing w:after="120"/>
        <w:jc w:val="center"/>
        <w:rPr>
          <w:rFonts w:cstheme="minorBidi"/>
          <w:color w:val="FF0000"/>
        </w:rPr>
      </w:pPr>
      <w:r>
        <w:rPr>
          <w:noProof/>
        </w:rPr>
        <w:drawing>
          <wp:inline distT="0" distB="0" distL="0" distR="0" wp14:anchorId="482B8FE3" wp14:editId="26FA05A6">
            <wp:extent cx="6155055" cy="2172614"/>
            <wp:effectExtent l="0" t="0" r="0" b="0"/>
            <wp:docPr id="3" name="Chart 3">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027E1A" w14:textId="77777777" w:rsidR="00070A7C" w:rsidRDefault="00070A7C" w:rsidP="006C3AE6">
      <w:pPr>
        <w:spacing w:after="120"/>
        <w:rPr>
          <w:rFonts w:cstheme="minorHAnsi"/>
        </w:rPr>
      </w:pPr>
      <w:r w:rsidRPr="00277E7F">
        <w:rPr>
          <w:rFonts w:cstheme="minorHAnsi"/>
        </w:rPr>
        <w:t>Th</w:t>
      </w:r>
      <w:r>
        <w:rPr>
          <w:rFonts w:cstheme="minorHAnsi"/>
        </w:rPr>
        <w:t>ese achievements are a result of the coordination among the Projects Support,</w:t>
      </w:r>
      <w:r w:rsidRPr="00277E7F">
        <w:rPr>
          <w:rFonts w:cstheme="minorHAnsi"/>
        </w:rPr>
        <w:t xml:space="preserve"> Resource Mobilization and Partnership</w:t>
      </w:r>
      <w:r>
        <w:rPr>
          <w:rFonts w:cstheme="minorHAnsi"/>
        </w:rPr>
        <w:t xml:space="preserve">, and the </w:t>
      </w:r>
      <w:r w:rsidRPr="00277E7F">
        <w:rPr>
          <w:rFonts w:cstheme="minorHAnsi"/>
        </w:rPr>
        <w:t>Membership</w:t>
      </w:r>
      <w:r>
        <w:rPr>
          <w:rFonts w:cstheme="minorHAnsi"/>
        </w:rPr>
        <w:t xml:space="preserve"> and Private Sector teams </w:t>
      </w:r>
      <w:r w:rsidRPr="00277E7F">
        <w:rPr>
          <w:rFonts w:cstheme="minorHAnsi"/>
        </w:rPr>
        <w:t>within the Partnerships for Digital Development Department of the BDT.</w:t>
      </w:r>
      <w:r w:rsidRPr="00277E7F">
        <w:rPr>
          <w:rStyle w:val="FootnoteReference"/>
          <w:rFonts w:cstheme="minorHAnsi"/>
        </w:rPr>
        <w:footnoteReference w:id="6"/>
      </w:r>
      <w:r w:rsidRPr="00277E7F">
        <w:rPr>
          <w:rFonts w:cstheme="minorHAnsi"/>
        </w:rPr>
        <w:t xml:space="preserve"> </w:t>
      </w:r>
    </w:p>
    <w:p w14:paraId="357A4203" w14:textId="20CFF407" w:rsidR="004C7540" w:rsidRDefault="004C7540" w:rsidP="006C3AE6">
      <w:pPr>
        <w:widowControl w:val="0"/>
        <w:spacing w:after="120"/>
        <w:rPr>
          <w:rFonts w:cstheme="minorHAnsi"/>
        </w:rPr>
      </w:pPr>
      <w:r w:rsidRPr="004C7540">
        <w:rPr>
          <w:rFonts w:cstheme="minorHAnsi"/>
        </w:rPr>
        <w:t>In conclusion, the allocation of seed money by Council 2018 for the implementation of Regional Initiatives adopted by WTDC-17, made it possible to mobilize CH</w:t>
      </w:r>
      <w:r w:rsidR="00A4206C">
        <w:rPr>
          <w:rFonts w:cstheme="minorHAnsi"/>
        </w:rPr>
        <w:t xml:space="preserve">F 8.7 million from </w:t>
      </w:r>
      <w:r w:rsidR="00EC23F1">
        <w:rPr>
          <w:rFonts w:cstheme="minorHAnsi"/>
        </w:rPr>
        <w:t>external</w:t>
      </w:r>
      <w:r w:rsidR="00A4206C">
        <w:rPr>
          <w:rFonts w:cstheme="minorHAnsi"/>
        </w:rPr>
        <w:t xml:space="preserve"> funding, </w:t>
      </w:r>
      <w:r w:rsidRPr="004C7540">
        <w:rPr>
          <w:rFonts w:cstheme="minorHAnsi"/>
        </w:rPr>
        <w:t>which made it possible for the BDT to co-finance 37 impactful projects</w:t>
      </w:r>
      <w:r w:rsidR="00EC23F1">
        <w:rPr>
          <w:rFonts w:cstheme="minorHAnsi"/>
        </w:rPr>
        <w:t xml:space="preserve"> for a total project funding of CHF 13.5 million</w:t>
      </w:r>
      <w:r w:rsidRPr="004C7540">
        <w:rPr>
          <w:rFonts w:cstheme="minorHAnsi"/>
        </w:rPr>
        <w:t>.</w:t>
      </w:r>
    </w:p>
    <w:p w14:paraId="4742CDE1" w14:textId="21936C8D" w:rsidR="000E5E7F" w:rsidRDefault="00E14B10" w:rsidP="006C3AE6">
      <w:pPr>
        <w:widowControl w:val="0"/>
        <w:spacing w:after="120"/>
        <w:rPr>
          <w:rFonts w:cstheme="minorHAnsi"/>
        </w:rPr>
      </w:pPr>
      <w:r>
        <w:rPr>
          <w:rFonts w:cstheme="minorHAnsi"/>
        </w:rPr>
        <w:t xml:space="preserve">The success in the use of the funds allocated by Council proves the importance for ITU to have access to additional sources of funds that can be </w:t>
      </w:r>
      <w:r w:rsidR="00676960">
        <w:rPr>
          <w:rFonts w:cstheme="minorHAnsi"/>
        </w:rPr>
        <w:t>used</w:t>
      </w:r>
      <w:r>
        <w:rPr>
          <w:rFonts w:cstheme="minorHAnsi"/>
        </w:rPr>
        <w:t xml:space="preserve"> to mobilize funds from partners and donors in support of ITU Member States. </w:t>
      </w:r>
    </w:p>
    <w:p w14:paraId="69B70EE0" w14:textId="4CFE3930" w:rsidR="00EC6FED" w:rsidRPr="00470DBC" w:rsidRDefault="003F4206" w:rsidP="006C3AE6">
      <w:pPr>
        <w:spacing w:after="120"/>
        <w:rPr>
          <w:lang w:val="en-US"/>
        </w:rPr>
      </w:pPr>
      <w:r w:rsidRPr="003F4206">
        <w:rPr>
          <w:rFonts w:cstheme="minorHAnsi"/>
        </w:rPr>
        <w:t xml:space="preserve">TDAG is invited to support the allocation of </w:t>
      </w:r>
      <w:r w:rsidR="008D2327">
        <w:rPr>
          <w:rFonts w:cstheme="minorHAnsi"/>
        </w:rPr>
        <w:t xml:space="preserve">new </w:t>
      </w:r>
      <w:r w:rsidRPr="003F4206">
        <w:rPr>
          <w:rFonts w:cstheme="minorHAnsi"/>
        </w:rPr>
        <w:t>seed funds for the implementation of WTDC-22 adopted Regional Initiatives</w:t>
      </w:r>
      <w:r w:rsidR="00AC1C92">
        <w:rPr>
          <w:rFonts w:cstheme="minorHAnsi"/>
        </w:rPr>
        <w:t>,</w:t>
      </w:r>
      <w:r w:rsidRPr="003F4206">
        <w:rPr>
          <w:rFonts w:cstheme="minorHAnsi"/>
        </w:rPr>
        <w:t xml:space="preserve"> similar to the allocation made by Council 2018 </w:t>
      </w:r>
      <w:r>
        <w:rPr>
          <w:rFonts w:cstheme="minorHAnsi"/>
        </w:rPr>
        <w:t>s</w:t>
      </w:r>
      <w:r w:rsidRPr="003F4206">
        <w:rPr>
          <w:rFonts w:cstheme="minorHAnsi"/>
        </w:rPr>
        <w:t xml:space="preserve">o as to finance the Regional Initiatives </w:t>
      </w:r>
      <w:r w:rsidR="008D2327">
        <w:rPr>
          <w:rFonts w:cstheme="minorHAnsi"/>
        </w:rPr>
        <w:t xml:space="preserve">adopted by WTDC-22 for </w:t>
      </w:r>
      <w:r w:rsidRPr="003F4206">
        <w:rPr>
          <w:rFonts w:cstheme="minorHAnsi"/>
        </w:rPr>
        <w:t>2023-2027 to facilitate the implementation of related projects under each of the Regional Initiatives in all the regions.</w:t>
      </w:r>
    </w:p>
    <w:p w14:paraId="7759C759" w14:textId="1B3DC6FE" w:rsidR="00821996" w:rsidRDefault="003C58BF" w:rsidP="00577CDC">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47379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8D22D" w14:textId="77777777" w:rsidR="00111019" w:rsidRDefault="00111019">
      <w:r>
        <w:separator/>
      </w:r>
    </w:p>
  </w:endnote>
  <w:endnote w:type="continuationSeparator" w:id="0">
    <w:p w14:paraId="2644F39D" w14:textId="77777777" w:rsidR="00111019" w:rsidRDefault="0011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F1F3" w14:textId="77777777" w:rsidR="00F02980" w:rsidRDefault="00F0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DB0F" w14:textId="77777777" w:rsidR="00F02980" w:rsidRDefault="00F02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5B1F6C" w:rsidRPr="004D495C" w14:paraId="65D94F20" w14:textId="77777777" w:rsidTr="007D4DAB">
      <w:tc>
        <w:tcPr>
          <w:tcW w:w="1432" w:type="dxa"/>
          <w:tcBorders>
            <w:top w:val="single" w:sz="4" w:space="0" w:color="000000"/>
          </w:tcBorders>
          <w:shd w:val="clear" w:color="auto" w:fill="auto"/>
        </w:tcPr>
        <w:p w14:paraId="23E80D42" w14:textId="77777777" w:rsidR="005B1F6C" w:rsidRPr="004D495C" w:rsidRDefault="005B1F6C" w:rsidP="005B1F6C">
          <w:pPr>
            <w:pStyle w:val="FirstFooter"/>
            <w:tabs>
              <w:tab w:val="left" w:pos="1559"/>
              <w:tab w:val="left" w:pos="3828"/>
            </w:tabs>
            <w:rPr>
              <w:sz w:val="18"/>
              <w:szCs w:val="18"/>
            </w:rPr>
          </w:pPr>
          <w:bookmarkStart w:id="7" w:name="_GoBack" w:colFirst="0" w:colLast="2"/>
          <w:proofErr w:type="gramStart"/>
          <w:r w:rsidRPr="004D495C">
            <w:rPr>
              <w:sz w:val="18"/>
              <w:szCs w:val="18"/>
            </w:rPr>
            <w:t>Contact:</w:t>
          </w:r>
          <w:proofErr w:type="gramEnd"/>
        </w:p>
      </w:tc>
      <w:tc>
        <w:tcPr>
          <w:tcW w:w="2250" w:type="dxa"/>
          <w:tcBorders>
            <w:top w:val="single" w:sz="4" w:space="0" w:color="000000"/>
          </w:tcBorders>
          <w:shd w:val="clear" w:color="auto" w:fill="auto"/>
        </w:tcPr>
        <w:p w14:paraId="185157DF" w14:textId="77777777" w:rsidR="005B1F6C" w:rsidRPr="004D495C" w:rsidRDefault="005B1F6C" w:rsidP="005B1F6C">
          <w:pPr>
            <w:pStyle w:val="FirstFooter"/>
            <w:tabs>
              <w:tab w:val="left" w:pos="2302"/>
            </w:tabs>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03A4D703" w14:textId="77777777" w:rsidR="005B1F6C" w:rsidRPr="003F4270" w:rsidRDefault="005B1F6C" w:rsidP="005B1F6C">
          <w:pPr>
            <w:pStyle w:val="FirstFooter"/>
            <w:tabs>
              <w:tab w:val="left" w:pos="2302"/>
            </w:tabs>
            <w:rPr>
              <w:sz w:val="18"/>
              <w:szCs w:val="18"/>
              <w:highlight w:val="yellow"/>
              <w:lang w:val="en-GB"/>
            </w:rPr>
          </w:pPr>
          <w:r>
            <w:rPr>
              <w:sz w:val="18"/>
              <w:szCs w:val="18"/>
              <w:lang w:val="en-GB"/>
            </w:rPr>
            <w:t xml:space="preserve">Mr </w:t>
          </w:r>
          <w:r w:rsidRPr="005E69BE">
            <w:rPr>
              <w:sz w:val="18"/>
              <w:szCs w:val="18"/>
              <w:lang w:val="en-GB"/>
            </w:rPr>
            <w:t xml:space="preserve">Jose Maria Diaz </w:t>
          </w:r>
          <w:proofErr w:type="spellStart"/>
          <w:r w:rsidRPr="005E69BE">
            <w:rPr>
              <w:sz w:val="18"/>
              <w:szCs w:val="18"/>
              <w:lang w:val="en-GB"/>
            </w:rPr>
            <w:t>Batanero</w:t>
          </w:r>
          <w:proofErr w:type="spellEnd"/>
          <w:r>
            <w:rPr>
              <w:sz w:val="18"/>
              <w:szCs w:val="18"/>
              <w:lang w:val="en-GB"/>
            </w:rPr>
            <w:t xml:space="preserve">, </w:t>
          </w:r>
          <w:r w:rsidRPr="005E69BE">
            <w:rPr>
              <w:sz w:val="18"/>
              <w:szCs w:val="18"/>
              <w:lang w:val="en-GB"/>
            </w:rPr>
            <w:t>Head, Project Support Division</w:t>
          </w:r>
          <w:r>
            <w:rPr>
              <w:sz w:val="18"/>
              <w:szCs w:val="18"/>
              <w:lang w:val="en-GB"/>
            </w:rPr>
            <w:t xml:space="preserve">, </w:t>
          </w:r>
          <w:r w:rsidRPr="003F4270">
            <w:rPr>
              <w:sz w:val="18"/>
              <w:szCs w:val="18"/>
              <w:lang w:val="en-GB"/>
            </w:rPr>
            <w:t>Telecommunication Development Bureau</w:t>
          </w:r>
        </w:p>
      </w:tc>
      <w:bookmarkStart w:id="8" w:name="OrgName"/>
      <w:bookmarkEnd w:id="8"/>
    </w:tr>
    <w:tr w:rsidR="005B1F6C" w:rsidRPr="004D495C" w14:paraId="726C72F0" w14:textId="77777777" w:rsidTr="007D4DAB">
      <w:tc>
        <w:tcPr>
          <w:tcW w:w="1432" w:type="dxa"/>
          <w:shd w:val="clear" w:color="auto" w:fill="auto"/>
        </w:tcPr>
        <w:p w14:paraId="5CBD71F0" w14:textId="77777777" w:rsidR="005B1F6C" w:rsidRPr="003F4270" w:rsidRDefault="005B1F6C" w:rsidP="005B1F6C">
          <w:pPr>
            <w:pStyle w:val="FirstFooter"/>
            <w:tabs>
              <w:tab w:val="left" w:pos="1559"/>
              <w:tab w:val="left" w:pos="3828"/>
            </w:tabs>
            <w:rPr>
              <w:sz w:val="20"/>
              <w:lang w:val="en-GB"/>
            </w:rPr>
          </w:pPr>
        </w:p>
      </w:tc>
      <w:tc>
        <w:tcPr>
          <w:tcW w:w="2250" w:type="dxa"/>
          <w:shd w:val="clear" w:color="auto" w:fill="auto"/>
        </w:tcPr>
        <w:p w14:paraId="6AC8F2EE" w14:textId="77777777" w:rsidR="005B1F6C" w:rsidRPr="004D495C" w:rsidRDefault="005B1F6C" w:rsidP="005B1F6C">
          <w:pPr>
            <w:pStyle w:val="FirstFooter"/>
            <w:tabs>
              <w:tab w:val="left" w:pos="2302"/>
            </w:tabs>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3A1C8022" w14:textId="77777777" w:rsidR="005B1F6C" w:rsidRPr="004D495C" w:rsidRDefault="005B1F6C" w:rsidP="005B1F6C">
          <w:pPr>
            <w:pStyle w:val="FirstFooter"/>
            <w:tabs>
              <w:tab w:val="left" w:pos="2302"/>
            </w:tabs>
            <w:rPr>
              <w:sz w:val="18"/>
              <w:szCs w:val="18"/>
              <w:highlight w:val="yellow"/>
            </w:rPr>
          </w:pPr>
          <w:r w:rsidRPr="003B52F8">
            <w:rPr>
              <w:sz w:val="18"/>
              <w:szCs w:val="18"/>
            </w:rPr>
            <w:t>+41</w:t>
          </w:r>
          <w:r>
            <w:rPr>
              <w:sz w:val="18"/>
              <w:szCs w:val="18"/>
            </w:rPr>
            <w:t xml:space="preserve"> </w:t>
          </w:r>
          <w:r w:rsidRPr="003B52F8">
            <w:rPr>
              <w:sz w:val="18"/>
              <w:szCs w:val="18"/>
            </w:rPr>
            <w:t>22</w:t>
          </w:r>
          <w:r>
            <w:rPr>
              <w:sz w:val="18"/>
              <w:szCs w:val="18"/>
            </w:rPr>
            <w:t xml:space="preserve"> </w:t>
          </w:r>
          <w:r w:rsidRPr="003B52F8">
            <w:rPr>
              <w:sz w:val="18"/>
              <w:szCs w:val="18"/>
            </w:rPr>
            <w:t>730</w:t>
          </w:r>
          <w:r>
            <w:rPr>
              <w:sz w:val="18"/>
              <w:szCs w:val="18"/>
            </w:rPr>
            <w:t xml:space="preserve"> </w:t>
          </w:r>
          <w:r w:rsidRPr="003B52F8">
            <w:rPr>
              <w:sz w:val="18"/>
              <w:szCs w:val="18"/>
            </w:rPr>
            <w:t>5495</w:t>
          </w:r>
        </w:p>
      </w:tc>
      <w:bookmarkStart w:id="9" w:name="PhoneNo"/>
      <w:bookmarkEnd w:id="9"/>
    </w:tr>
    <w:tr w:rsidR="005B1F6C" w:rsidRPr="004D495C" w14:paraId="65B7A964" w14:textId="77777777" w:rsidTr="007D4DAB">
      <w:tc>
        <w:tcPr>
          <w:tcW w:w="1432" w:type="dxa"/>
          <w:shd w:val="clear" w:color="auto" w:fill="auto"/>
        </w:tcPr>
        <w:p w14:paraId="4582522E" w14:textId="77777777" w:rsidR="005B1F6C" w:rsidRPr="004D495C" w:rsidRDefault="005B1F6C" w:rsidP="005B1F6C">
          <w:pPr>
            <w:pStyle w:val="FirstFooter"/>
            <w:tabs>
              <w:tab w:val="left" w:pos="1559"/>
              <w:tab w:val="left" w:pos="3828"/>
            </w:tabs>
            <w:rPr>
              <w:sz w:val="20"/>
            </w:rPr>
          </w:pPr>
        </w:p>
      </w:tc>
      <w:tc>
        <w:tcPr>
          <w:tcW w:w="2250" w:type="dxa"/>
          <w:shd w:val="clear" w:color="auto" w:fill="auto"/>
        </w:tcPr>
        <w:p w14:paraId="33978541" w14:textId="77777777" w:rsidR="005B1F6C" w:rsidRPr="004D495C" w:rsidRDefault="005B1F6C" w:rsidP="005B1F6C">
          <w:pPr>
            <w:pStyle w:val="FirstFooter"/>
            <w:tabs>
              <w:tab w:val="left" w:pos="2302"/>
            </w:tabs>
            <w:rPr>
              <w:sz w:val="18"/>
              <w:szCs w:val="18"/>
            </w:rPr>
          </w:pPr>
          <w:proofErr w:type="gramStart"/>
          <w:r w:rsidRPr="004D495C">
            <w:rPr>
              <w:sz w:val="18"/>
              <w:szCs w:val="18"/>
            </w:rPr>
            <w:t>E-mail:</w:t>
          </w:r>
          <w:proofErr w:type="gramEnd"/>
        </w:p>
      </w:tc>
      <w:tc>
        <w:tcPr>
          <w:tcW w:w="5958" w:type="dxa"/>
        </w:tcPr>
        <w:p w14:paraId="56DFE095" w14:textId="77777777" w:rsidR="005B1F6C" w:rsidRPr="004D495C" w:rsidRDefault="005B1F6C" w:rsidP="005B1F6C">
          <w:pPr>
            <w:pStyle w:val="FirstFooter"/>
            <w:tabs>
              <w:tab w:val="left" w:pos="2302"/>
            </w:tabs>
            <w:rPr>
              <w:sz w:val="18"/>
              <w:szCs w:val="18"/>
              <w:highlight w:val="yellow"/>
            </w:rPr>
          </w:pPr>
          <w:hyperlink r:id="rId1" w:history="1">
            <w:r w:rsidRPr="001C3A8B">
              <w:rPr>
                <w:rStyle w:val="Hyperlink"/>
                <w:sz w:val="18"/>
                <w:szCs w:val="22"/>
              </w:rPr>
              <w:t>jose.batanero@itu.int</w:t>
            </w:r>
          </w:hyperlink>
          <w:r w:rsidRPr="001C3A8B">
            <w:rPr>
              <w:sz w:val="18"/>
              <w:szCs w:val="22"/>
            </w:rPr>
            <w:t xml:space="preserve"> </w:t>
          </w:r>
        </w:p>
      </w:tc>
      <w:bookmarkStart w:id="10" w:name="Email"/>
      <w:bookmarkEnd w:id="10"/>
    </w:tr>
    <w:bookmarkEnd w:id="7"/>
  </w:tbl>
  <w:p w14:paraId="51EA456E" w14:textId="77777777" w:rsidR="005B1F6C" w:rsidRDefault="005B1F6C" w:rsidP="005B1F6C">
    <w:pPr>
      <w:pStyle w:val="Footer"/>
      <w:jc w:val="center"/>
      <w:rPr>
        <w:lang w:val="en-GB"/>
      </w:rPr>
    </w:pPr>
  </w:p>
  <w:p w14:paraId="40A321D0" w14:textId="5B37949B" w:rsidR="00721657" w:rsidRPr="005B1F6C" w:rsidRDefault="005B1F6C" w:rsidP="005B1F6C">
    <w:pPr>
      <w:pStyle w:val="Footer"/>
      <w:jc w:val="center"/>
    </w:pPr>
    <w:hyperlink r:id="rId2" w:history="1">
      <w:r w:rsidRPr="00A05C04">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A5699" w14:textId="77777777" w:rsidR="00111019" w:rsidRDefault="00111019">
      <w:r>
        <w:t>____________________</w:t>
      </w:r>
    </w:p>
  </w:footnote>
  <w:footnote w:type="continuationSeparator" w:id="0">
    <w:p w14:paraId="06863D9F" w14:textId="77777777" w:rsidR="00111019" w:rsidRDefault="00111019">
      <w:r>
        <w:continuationSeparator/>
      </w:r>
    </w:p>
  </w:footnote>
  <w:footnote w:id="1">
    <w:p w14:paraId="6DD08A0F" w14:textId="3D9FA2A1" w:rsidR="0033084A" w:rsidRPr="006C3AE6" w:rsidRDefault="0033084A" w:rsidP="006C3AE6">
      <w:pPr>
        <w:pStyle w:val="FootnoteText"/>
        <w:spacing w:before="0"/>
        <w:ind w:left="0" w:firstLine="0"/>
        <w:rPr>
          <w:sz w:val="20"/>
        </w:rPr>
      </w:pPr>
      <w:r w:rsidRPr="006C3AE6">
        <w:rPr>
          <w:rStyle w:val="FootnoteReference"/>
          <w:sz w:val="20"/>
        </w:rPr>
        <w:footnoteRef/>
      </w:r>
      <w:r w:rsidRPr="006C3AE6">
        <w:rPr>
          <w:i/>
          <w:iCs/>
          <w:sz w:val="20"/>
        </w:rPr>
        <w:t xml:space="preserve"> An overview of the ITU project portfolio is available at </w:t>
      </w:r>
      <w:hyperlink r:id="rId1" w:history="1">
        <w:r w:rsidRPr="006C3AE6">
          <w:rPr>
            <w:rStyle w:val="Hyperlink"/>
            <w:i/>
            <w:iCs/>
            <w:sz w:val="20"/>
          </w:rPr>
          <w:t>www.itu.int/en/ITU-D/Projects</w:t>
        </w:r>
      </w:hyperlink>
      <w:r w:rsidRPr="006C3AE6">
        <w:rPr>
          <w:i/>
          <w:iCs/>
          <w:sz w:val="20"/>
        </w:rPr>
        <w:t xml:space="preserve"> </w:t>
      </w:r>
    </w:p>
  </w:footnote>
  <w:footnote w:id="2">
    <w:p w14:paraId="36F2A2D7" w14:textId="4B57F357" w:rsidR="00915BF5" w:rsidRPr="006C3AE6" w:rsidRDefault="00915BF5" w:rsidP="006C3AE6">
      <w:pPr>
        <w:pStyle w:val="FootnoteText"/>
        <w:spacing w:before="0"/>
        <w:ind w:left="0" w:firstLine="0"/>
        <w:rPr>
          <w:i/>
          <w:iCs/>
          <w:sz w:val="20"/>
        </w:rPr>
      </w:pPr>
      <w:r w:rsidRPr="006C3AE6">
        <w:rPr>
          <w:rStyle w:val="FootnoteReference"/>
          <w:i/>
          <w:iCs/>
          <w:sz w:val="20"/>
        </w:rPr>
        <w:footnoteRef/>
      </w:r>
      <w:r w:rsidR="0033084A" w:rsidRPr="006C3AE6">
        <w:rPr>
          <w:i/>
          <w:iCs/>
          <w:sz w:val="20"/>
        </w:rPr>
        <w:t xml:space="preserve">The figures provided in the report correspond to the financial balance at the 2022 closure of accounts (balance as of 31 December 2022). </w:t>
      </w:r>
      <w:r w:rsidR="006C3AE6" w:rsidRPr="006C3AE6">
        <w:rPr>
          <w:i/>
          <w:iCs/>
          <w:sz w:val="20"/>
        </w:rPr>
        <w:t>a</w:t>
      </w:r>
    </w:p>
  </w:footnote>
  <w:footnote w:id="3">
    <w:p w14:paraId="7C6FBD17" w14:textId="77777777" w:rsidR="0061493A" w:rsidRPr="006C3AE6" w:rsidRDefault="0061493A" w:rsidP="006C3AE6">
      <w:pPr>
        <w:pStyle w:val="FootnoteText"/>
        <w:spacing w:before="0"/>
        <w:ind w:left="0" w:firstLine="0"/>
        <w:rPr>
          <w:i/>
          <w:iCs/>
          <w:sz w:val="20"/>
        </w:rPr>
      </w:pPr>
      <w:r w:rsidRPr="006C3AE6">
        <w:rPr>
          <w:rStyle w:val="FootnoteReference"/>
          <w:i/>
          <w:iCs/>
          <w:sz w:val="20"/>
        </w:rPr>
        <w:footnoteRef/>
      </w:r>
      <w:r w:rsidRPr="006C3AE6">
        <w:rPr>
          <w:i/>
          <w:iCs/>
          <w:sz w:val="20"/>
        </w:rPr>
        <w:t xml:space="preserve"> For further information about the ICTDF, please refer to document C22/034, available at </w:t>
      </w:r>
      <w:hyperlink r:id="rId2" w:history="1">
        <w:r w:rsidRPr="006C3AE6">
          <w:rPr>
            <w:rStyle w:val="Hyperlink"/>
            <w:i/>
            <w:iCs/>
            <w:sz w:val="20"/>
          </w:rPr>
          <w:t>https://www.itu.int/md/S22-CL-C-0034/en</w:t>
        </w:r>
      </w:hyperlink>
    </w:p>
  </w:footnote>
  <w:footnote w:id="4">
    <w:p w14:paraId="65B61363" w14:textId="77777777" w:rsidR="0061493A" w:rsidRPr="006C3AE6" w:rsidRDefault="0061493A" w:rsidP="006C3AE6">
      <w:pPr>
        <w:pStyle w:val="FootnoteText"/>
        <w:tabs>
          <w:tab w:val="clear" w:pos="255"/>
          <w:tab w:val="left" w:pos="270"/>
        </w:tabs>
        <w:spacing w:before="0"/>
        <w:ind w:left="0" w:firstLine="0"/>
        <w:rPr>
          <w:rFonts w:cstheme="minorHAnsi"/>
          <w:i/>
          <w:iCs/>
          <w:sz w:val="20"/>
          <w:lang w:val="en-US"/>
        </w:rPr>
      </w:pPr>
      <w:r w:rsidRPr="006C3AE6">
        <w:rPr>
          <w:rStyle w:val="FootnoteReference"/>
          <w:rFonts w:cstheme="minorHAnsi"/>
          <w:i/>
          <w:iCs/>
          <w:sz w:val="20"/>
        </w:rPr>
        <w:footnoteRef/>
      </w:r>
      <w:r w:rsidRPr="006C3AE6">
        <w:rPr>
          <w:rFonts w:cstheme="minorHAnsi"/>
          <w:i/>
          <w:iCs/>
          <w:sz w:val="20"/>
        </w:rPr>
        <w:t xml:space="preserve"> The 2018 session of the ITU Council allocated CHF 5 million for set up of projects related with the implementation of WTDC-17 Regional Initiatives.</w:t>
      </w:r>
    </w:p>
  </w:footnote>
  <w:footnote w:id="5">
    <w:p w14:paraId="1512BCDF" w14:textId="19E55F06" w:rsidR="0061493A" w:rsidRPr="006C3AE6" w:rsidRDefault="0061493A" w:rsidP="006C3AE6">
      <w:pPr>
        <w:pStyle w:val="FootnoteText"/>
        <w:tabs>
          <w:tab w:val="clear" w:pos="255"/>
          <w:tab w:val="left" w:pos="0"/>
        </w:tabs>
        <w:spacing w:before="0"/>
        <w:ind w:left="0" w:firstLine="0"/>
        <w:rPr>
          <w:sz w:val="20"/>
        </w:rPr>
      </w:pPr>
      <w:r w:rsidRPr="006C3AE6">
        <w:rPr>
          <w:rStyle w:val="FootnoteReference"/>
          <w:sz w:val="20"/>
        </w:rPr>
        <w:footnoteRef/>
      </w:r>
      <w:r w:rsidRPr="006C3AE6">
        <w:rPr>
          <w:sz w:val="20"/>
        </w:rPr>
        <w:t xml:space="preserve"> </w:t>
      </w:r>
      <w:r w:rsidRPr="006C3AE6">
        <w:rPr>
          <w:rFonts w:cstheme="minorHAnsi"/>
          <w:i/>
          <w:iCs/>
          <w:sz w:val="20"/>
        </w:rPr>
        <w:t xml:space="preserve">For further information on the use of the funds approved by Council in support of WTDC-17 Regional Initiatives, please refer to document </w:t>
      </w:r>
      <w:r w:rsidR="00BA33F6" w:rsidRPr="006C3AE6">
        <w:rPr>
          <w:rFonts w:cstheme="minorHAnsi"/>
          <w:i/>
          <w:iCs/>
          <w:sz w:val="20"/>
        </w:rPr>
        <w:t xml:space="preserve">TDAG-23/INF-3-E </w:t>
      </w:r>
      <w:r w:rsidRPr="006C3AE6">
        <w:rPr>
          <w:rFonts w:cstheme="minorHAnsi"/>
          <w:i/>
          <w:iCs/>
          <w:sz w:val="20"/>
        </w:rPr>
        <w:t>available at LINK</w:t>
      </w:r>
    </w:p>
  </w:footnote>
  <w:footnote w:id="6">
    <w:p w14:paraId="4EACA893" w14:textId="029A8819" w:rsidR="00070A7C" w:rsidRPr="006C3AE6" w:rsidRDefault="00070A7C" w:rsidP="006C3AE6">
      <w:pPr>
        <w:pStyle w:val="FootnoteText"/>
        <w:tabs>
          <w:tab w:val="clear" w:pos="255"/>
          <w:tab w:val="left" w:pos="90"/>
        </w:tabs>
        <w:spacing w:before="0"/>
        <w:ind w:left="0" w:firstLine="0"/>
        <w:rPr>
          <w:rFonts w:cstheme="minorHAnsi"/>
          <w:i/>
          <w:iCs/>
          <w:sz w:val="20"/>
        </w:rPr>
      </w:pPr>
      <w:r w:rsidRPr="006C3AE6">
        <w:rPr>
          <w:rStyle w:val="FootnoteReference"/>
          <w:i/>
          <w:iCs/>
          <w:sz w:val="20"/>
        </w:rPr>
        <w:footnoteRef/>
      </w:r>
      <w:r w:rsidRPr="006C3AE6">
        <w:rPr>
          <w:i/>
          <w:iCs/>
          <w:sz w:val="20"/>
        </w:rPr>
        <w:t xml:space="preserve"> </w:t>
      </w:r>
      <w:r w:rsidRPr="006C3AE6">
        <w:rPr>
          <w:rFonts w:cstheme="minorHAnsi"/>
          <w:i/>
          <w:iCs/>
          <w:sz w:val="20"/>
        </w:rPr>
        <w:t>More information about ITU-D partnerships and resource mobilization is available at to documents TDAG-2</w:t>
      </w:r>
      <w:r w:rsidR="00FF7324" w:rsidRPr="006C3AE6">
        <w:rPr>
          <w:rFonts w:cstheme="minorHAnsi"/>
          <w:i/>
          <w:iCs/>
          <w:sz w:val="20"/>
        </w:rPr>
        <w:t>3</w:t>
      </w:r>
      <w:r w:rsidRPr="006C3AE6">
        <w:rPr>
          <w:rFonts w:cstheme="minorHAnsi"/>
          <w:i/>
          <w:iCs/>
          <w:sz w:val="20"/>
        </w:rPr>
        <w:t>/</w:t>
      </w:r>
      <w:r w:rsidR="00FF7324" w:rsidRPr="006C3AE6">
        <w:rPr>
          <w:rFonts w:cstheme="minorHAnsi"/>
          <w:i/>
          <w:iCs/>
          <w:sz w:val="20"/>
        </w:rPr>
        <w:t>4</w:t>
      </w:r>
      <w:r w:rsidRPr="006C3AE6">
        <w:rPr>
          <w:rFonts w:cstheme="minorHAnsi"/>
          <w:i/>
          <w:iCs/>
          <w:sz w:val="20"/>
        </w:rPr>
        <w:t>-E and Document INF/</w:t>
      </w:r>
      <w:r w:rsidR="006746A4" w:rsidRPr="006C3AE6">
        <w:rPr>
          <w:rFonts w:cstheme="minorHAnsi"/>
          <w:i/>
          <w:iCs/>
          <w:sz w:val="20"/>
        </w:rPr>
        <w:t>1</w:t>
      </w:r>
      <w:r w:rsidRPr="006C3AE6">
        <w:rPr>
          <w:rFonts w:cstheme="minorHAnsi"/>
          <w:i/>
          <w:iCs/>
          <w:sz w:val="20"/>
        </w:rPr>
        <w:t>, and TDAG-2</w:t>
      </w:r>
      <w:r w:rsidR="00041909" w:rsidRPr="006C3AE6">
        <w:rPr>
          <w:rFonts w:cstheme="minorHAnsi"/>
          <w:i/>
          <w:iCs/>
          <w:sz w:val="20"/>
        </w:rPr>
        <w:t>3</w:t>
      </w:r>
      <w:r w:rsidRPr="006C3AE6">
        <w:rPr>
          <w:rFonts w:cstheme="minorHAnsi"/>
          <w:i/>
          <w:iCs/>
          <w:sz w:val="20"/>
        </w:rPr>
        <w:t>/8-E on ITU-D Sector Members, Associates, and Academia.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F343" w14:textId="77777777" w:rsidR="00F02980" w:rsidRDefault="00F02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75CB6E7" w:rsidR="00721657" w:rsidRPr="00EF2157" w:rsidRDefault="00A525CC" w:rsidP="00E07CA8">
    <w:pPr>
      <w:tabs>
        <w:tab w:val="clear" w:pos="794"/>
        <w:tab w:val="clear" w:pos="1191"/>
        <w:tab w:val="clear" w:pos="1588"/>
        <w:tab w:val="clear" w:pos="1985"/>
        <w:tab w:val="left" w:pos="3210"/>
        <w:tab w:val="center" w:pos="4820"/>
        <w:tab w:val="right" w:pos="9639"/>
      </w:tabs>
      <w:ind w:right="1"/>
      <w:rPr>
        <w:rStyle w:val="PageNumber"/>
        <w:smallCaps/>
        <w:spacing w:val="24"/>
        <w:sz w:val="22"/>
        <w:szCs w:val="22"/>
        <w:lang w:val="de-CH"/>
      </w:rPr>
    </w:pPr>
    <w:r w:rsidRPr="00972BCD">
      <w:rPr>
        <w:sz w:val="22"/>
        <w:szCs w:val="22"/>
      </w:rPr>
      <w:tab/>
    </w:r>
    <w:r w:rsidR="00E07CA8">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6A3AD7">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52F5" w14:textId="77777777" w:rsidR="00F02980" w:rsidRDefault="00F0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EB9"/>
    <w:rsid w:val="00002716"/>
    <w:rsid w:val="0000305D"/>
    <w:rsid w:val="00003C43"/>
    <w:rsid w:val="00005791"/>
    <w:rsid w:val="00010827"/>
    <w:rsid w:val="00015089"/>
    <w:rsid w:val="0002520B"/>
    <w:rsid w:val="00036836"/>
    <w:rsid w:val="00037A9E"/>
    <w:rsid w:val="00037F91"/>
    <w:rsid w:val="00041909"/>
    <w:rsid w:val="0004310C"/>
    <w:rsid w:val="000539F1"/>
    <w:rsid w:val="00053CAE"/>
    <w:rsid w:val="00054747"/>
    <w:rsid w:val="00055A2A"/>
    <w:rsid w:val="00056BE8"/>
    <w:rsid w:val="000615C1"/>
    <w:rsid w:val="00061675"/>
    <w:rsid w:val="00070A1D"/>
    <w:rsid w:val="00070A7C"/>
    <w:rsid w:val="000743AA"/>
    <w:rsid w:val="0007468A"/>
    <w:rsid w:val="0009076F"/>
    <w:rsid w:val="0009225C"/>
    <w:rsid w:val="000A17C4"/>
    <w:rsid w:val="000A36A4"/>
    <w:rsid w:val="000A5840"/>
    <w:rsid w:val="000B2352"/>
    <w:rsid w:val="000B2917"/>
    <w:rsid w:val="000C7B84"/>
    <w:rsid w:val="000D261B"/>
    <w:rsid w:val="000D58A3"/>
    <w:rsid w:val="000E1A78"/>
    <w:rsid w:val="000E3ED4"/>
    <w:rsid w:val="000E3F9C"/>
    <w:rsid w:val="000E5E7F"/>
    <w:rsid w:val="000F1550"/>
    <w:rsid w:val="000F251B"/>
    <w:rsid w:val="000F5FE8"/>
    <w:rsid w:val="000F6644"/>
    <w:rsid w:val="001002FF"/>
    <w:rsid w:val="00100833"/>
    <w:rsid w:val="00102F72"/>
    <w:rsid w:val="00107E85"/>
    <w:rsid w:val="00111019"/>
    <w:rsid w:val="00113EE8"/>
    <w:rsid w:val="0011455A"/>
    <w:rsid w:val="00114A65"/>
    <w:rsid w:val="001205D7"/>
    <w:rsid w:val="00120C21"/>
    <w:rsid w:val="00130A94"/>
    <w:rsid w:val="00133061"/>
    <w:rsid w:val="001365DC"/>
    <w:rsid w:val="00141699"/>
    <w:rsid w:val="001463DF"/>
    <w:rsid w:val="00147000"/>
    <w:rsid w:val="00154C85"/>
    <w:rsid w:val="00156428"/>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28D"/>
    <w:rsid w:val="001C3444"/>
    <w:rsid w:val="001C3702"/>
    <w:rsid w:val="001C4656"/>
    <w:rsid w:val="001C46BC"/>
    <w:rsid w:val="001D1E06"/>
    <w:rsid w:val="001E2842"/>
    <w:rsid w:val="001E6D53"/>
    <w:rsid w:val="001F23E6"/>
    <w:rsid w:val="001F4238"/>
    <w:rsid w:val="00200A38"/>
    <w:rsid w:val="00200A46"/>
    <w:rsid w:val="00211B6F"/>
    <w:rsid w:val="00217CC3"/>
    <w:rsid w:val="00220AB6"/>
    <w:rsid w:val="0022120F"/>
    <w:rsid w:val="002234D9"/>
    <w:rsid w:val="0022754A"/>
    <w:rsid w:val="00236560"/>
    <w:rsid w:val="0023662E"/>
    <w:rsid w:val="00243C31"/>
    <w:rsid w:val="00245D0F"/>
    <w:rsid w:val="00251D3D"/>
    <w:rsid w:val="002548C3"/>
    <w:rsid w:val="00257ACD"/>
    <w:rsid w:val="00262908"/>
    <w:rsid w:val="002650F4"/>
    <w:rsid w:val="00267A76"/>
    <w:rsid w:val="002715FD"/>
    <w:rsid w:val="002770B1"/>
    <w:rsid w:val="00285B33"/>
    <w:rsid w:val="00287A3C"/>
    <w:rsid w:val="002A2745"/>
    <w:rsid w:val="002A2FC6"/>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125C3"/>
    <w:rsid w:val="00312AE6"/>
    <w:rsid w:val="00317D1A"/>
    <w:rsid w:val="003211FF"/>
    <w:rsid w:val="003242AB"/>
    <w:rsid w:val="00327247"/>
    <w:rsid w:val="00327A9D"/>
    <w:rsid w:val="0033084A"/>
    <w:rsid w:val="0033130E"/>
    <w:rsid w:val="0033269C"/>
    <w:rsid w:val="00351C79"/>
    <w:rsid w:val="0035516C"/>
    <w:rsid w:val="00355857"/>
    <w:rsid w:val="00355A4C"/>
    <w:rsid w:val="003604FB"/>
    <w:rsid w:val="00360B73"/>
    <w:rsid w:val="003702DE"/>
    <w:rsid w:val="003744CE"/>
    <w:rsid w:val="00380B71"/>
    <w:rsid w:val="0038365A"/>
    <w:rsid w:val="00386A89"/>
    <w:rsid w:val="0039648E"/>
    <w:rsid w:val="003A5AFE"/>
    <w:rsid w:val="003A5D5F"/>
    <w:rsid w:val="003A7032"/>
    <w:rsid w:val="003A7FFE"/>
    <w:rsid w:val="003B0A63"/>
    <w:rsid w:val="003B50E1"/>
    <w:rsid w:val="003C1746"/>
    <w:rsid w:val="003C2AA9"/>
    <w:rsid w:val="003C58BF"/>
    <w:rsid w:val="003D451D"/>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3C6A"/>
    <w:rsid w:val="0044411E"/>
    <w:rsid w:val="00444C11"/>
    <w:rsid w:val="00445528"/>
    <w:rsid w:val="00445A3B"/>
    <w:rsid w:val="00453435"/>
    <w:rsid w:val="00457EFA"/>
    <w:rsid w:val="00460089"/>
    <w:rsid w:val="00466398"/>
    <w:rsid w:val="00470DBC"/>
    <w:rsid w:val="0047306D"/>
    <w:rsid w:val="00473791"/>
    <w:rsid w:val="00476E48"/>
    <w:rsid w:val="00481860"/>
    <w:rsid w:val="00481DE9"/>
    <w:rsid w:val="004858C2"/>
    <w:rsid w:val="0049128B"/>
    <w:rsid w:val="00493B49"/>
    <w:rsid w:val="00495501"/>
    <w:rsid w:val="004964FF"/>
    <w:rsid w:val="004A070A"/>
    <w:rsid w:val="004A0B2F"/>
    <w:rsid w:val="004A18F9"/>
    <w:rsid w:val="004A320E"/>
    <w:rsid w:val="004A4E9C"/>
    <w:rsid w:val="004B0744"/>
    <w:rsid w:val="004B1A3C"/>
    <w:rsid w:val="004B2A1E"/>
    <w:rsid w:val="004B73D1"/>
    <w:rsid w:val="004C7540"/>
    <w:rsid w:val="004D1819"/>
    <w:rsid w:val="004D1E8C"/>
    <w:rsid w:val="004D2CC3"/>
    <w:rsid w:val="004D35CB"/>
    <w:rsid w:val="004D4C9D"/>
    <w:rsid w:val="004D7DAB"/>
    <w:rsid w:val="004E20E5"/>
    <w:rsid w:val="004E64EA"/>
    <w:rsid w:val="004E7828"/>
    <w:rsid w:val="004F46AA"/>
    <w:rsid w:val="004F6A70"/>
    <w:rsid w:val="00500AD7"/>
    <w:rsid w:val="00502ABF"/>
    <w:rsid w:val="00504DB0"/>
    <w:rsid w:val="00506542"/>
    <w:rsid w:val="00507C35"/>
    <w:rsid w:val="00507FF4"/>
    <w:rsid w:val="00510735"/>
    <w:rsid w:val="00514D2F"/>
    <w:rsid w:val="0053534F"/>
    <w:rsid w:val="00535FC0"/>
    <w:rsid w:val="00542074"/>
    <w:rsid w:val="0054420E"/>
    <w:rsid w:val="00544D1B"/>
    <w:rsid w:val="00545DC0"/>
    <w:rsid w:val="00545F6C"/>
    <w:rsid w:val="005477D9"/>
    <w:rsid w:val="0055720C"/>
    <w:rsid w:val="00561796"/>
    <w:rsid w:val="005632DD"/>
    <w:rsid w:val="0056423B"/>
    <w:rsid w:val="00573063"/>
    <w:rsid w:val="00573424"/>
    <w:rsid w:val="0057402F"/>
    <w:rsid w:val="00577CDC"/>
    <w:rsid w:val="00581653"/>
    <w:rsid w:val="005849D6"/>
    <w:rsid w:val="00585367"/>
    <w:rsid w:val="00585D92"/>
    <w:rsid w:val="005866E9"/>
    <w:rsid w:val="005871A1"/>
    <w:rsid w:val="0058737E"/>
    <w:rsid w:val="00592518"/>
    <w:rsid w:val="005926CA"/>
    <w:rsid w:val="00592E87"/>
    <w:rsid w:val="0059420B"/>
    <w:rsid w:val="00594C4D"/>
    <w:rsid w:val="005A33B0"/>
    <w:rsid w:val="005B1F6C"/>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CA0"/>
    <w:rsid w:val="005E44B1"/>
    <w:rsid w:val="005E67B0"/>
    <w:rsid w:val="005E7047"/>
    <w:rsid w:val="005E777F"/>
    <w:rsid w:val="005F191A"/>
    <w:rsid w:val="005F1CA7"/>
    <w:rsid w:val="005F41D4"/>
    <w:rsid w:val="005F43DD"/>
    <w:rsid w:val="005F51A9"/>
    <w:rsid w:val="005F6BE1"/>
    <w:rsid w:val="005F7416"/>
    <w:rsid w:val="00600C11"/>
    <w:rsid w:val="0060674C"/>
    <w:rsid w:val="00606B89"/>
    <w:rsid w:val="00611EAF"/>
    <w:rsid w:val="0061493A"/>
    <w:rsid w:val="00623F30"/>
    <w:rsid w:val="00625FB8"/>
    <w:rsid w:val="006261BD"/>
    <w:rsid w:val="00626AE3"/>
    <w:rsid w:val="00631DF8"/>
    <w:rsid w:val="00635EDB"/>
    <w:rsid w:val="0064734E"/>
    <w:rsid w:val="00650137"/>
    <w:rsid w:val="006509D7"/>
    <w:rsid w:val="00651CE8"/>
    <w:rsid w:val="0065521B"/>
    <w:rsid w:val="00666903"/>
    <w:rsid w:val="00671EF6"/>
    <w:rsid w:val="0067205B"/>
    <w:rsid w:val="006746A4"/>
    <w:rsid w:val="006748F8"/>
    <w:rsid w:val="00676960"/>
    <w:rsid w:val="00680489"/>
    <w:rsid w:val="00683C32"/>
    <w:rsid w:val="00684067"/>
    <w:rsid w:val="00686753"/>
    <w:rsid w:val="00690BB2"/>
    <w:rsid w:val="00693D09"/>
    <w:rsid w:val="006A3368"/>
    <w:rsid w:val="006A3AD7"/>
    <w:rsid w:val="006A6549"/>
    <w:rsid w:val="006A7710"/>
    <w:rsid w:val="006A7A61"/>
    <w:rsid w:val="006B1E59"/>
    <w:rsid w:val="006B2FFB"/>
    <w:rsid w:val="006B33A9"/>
    <w:rsid w:val="006C10A2"/>
    <w:rsid w:val="006C1F18"/>
    <w:rsid w:val="006C3AE6"/>
    <w:rsid w:val="006D40D5"/>
    <w:rsid w:val="006E0385"/>
    <w:rsid w:val="006E0CC0"/>
    <w:rsid w:val="006F009A"/>
    <w:rsid w:val="006F3D93"/>
    <w:rsid w:val="006F7A14"/>
    <w:rsid w:val="007019B1"/>
    <w:rsid w:val="00721657"/>
    <w:rsid w:val="00722341"/>
    <w:rsid w:val="00725770"/>
    <w:rsid w:val="007279A8"/>
    <w:rsid w:val="00727B1A"/>
    <w:rsid w:val="00735102"/>
    <w:rsid w:val="00741337"/>
    <w:rsid w:val="00752258"/>
    <w:rsid w:val="007529E1"/>
    <w:rsid w:val="00756C26"/>
    <w:rsid w:val="00762880"/>
    <w:rsid w:val="00762AD6"/>
    <w:rsid w:val="00762E02"/>
    <w:rsid w:val="00772290"/>
    <w:rsid w:val="00777265"/>
    <w:rsid w:val="007805E7"/>
    <w:rsid w:val="0078222A"/>
    <w:rsid w:val="00787D48"/>
    <w:rsid w:val="00795294"/>
    <w:rsid w:val="007A4E50"/>
    <w:rsid w:val="007B18A7"/>
    <w:rsid w:val="007B250E"/>
    <w:rsid w:val="007B3C92"/>
    <w:rsid w:val="007C27FC"/>
    <w:rsid w:val="007C51FF"/>
    <w:rsid w:val="007D50E4"/>
    <w:rsid w:val="007E0AFE"/>
    <w:rsid w:val="007E2DC5"/>
    <w:rsid w:val="007F01A4"/>
    <w:rsid w:val="007F1CC7"/>
    <w:rsid w:val="008027AC"/>
    <w:rsid w:val="008028CE"/>
    <w:rsid w:val="0080332E"/>
    <w:rsid w:val="008141E0"/>
    <w:rsid w:val="00816EE1"/>
    <w:rsid w:val="00816F88"/>
    <w:rsid w:val="008216D6"/>
    <w:rsid w:val="00821996"/>
    <w:rsid w:val="00822323"/>
    <w:rsid w:val="00827BC6"/>
    <w:rsid w:val="008300AD"/>
    <w:rsid w:val="00833024"/>
    <w:rsid w:val="00835F22"/>
    <w:rsid w:val="008419B1"/>
    <w:rsid w:val="00844A56"/>
    <w:rsid w:val="00845B11"/>
    <w:rsid w:val="00851751"/>
    <w:rsid w:val="00851844"/>
    <w:rsid w:val="00851B8D"/>
    <w:rsid w:val="00852081"/>
    <w:rsid w:val="00872B6E"/>
    <w:rsid w:val="0087467A"/>
    <w:rsid w:val="00874DFD"/>
    <w:rsid w:val="008802F9"/>
    <w:rsid w:val="008818DF"/>
    <w:rsid w:val="00883086"/>
    <w:rsid w:val="008879FD"/>
    <w:rsid w:val="00894C37"/>
    <w:rsid w:val="0089620F"/>
    <w:rsid w:val="008A00EA"/>
    <w:rsid w:val="008A069C"/>
    <w:rsid w:val="008A3F93"/>
    <w:rsid w:val="008A6236"/>
    <w:rsid w:val="008A6E1C"/>
    <w:rsid w:val="008A72FD"/>
    <w:rsid w:val="008A76BF"/>
    <w:rsid w:val="008B0442"/>
    <w:rsid w:val="008B0FE9"/>
    <w:rsid w:val="008B2EDF"/>
    <w:rsid w:val="008B3128"/>
    <w:rsid w:val="008B47C7"/>
    <w:rsid w:val="008B54CB"/>
    <w:rsid w:val="008B5A3D"/>
    <w:rsid w:val="008C4010"/>
    <w:rsid w:val="008C4FDF"/>
    <w:rsid w:val="008C5F4E"/>
    <w:rsid w:val="008C6B1F"/>
    <w:rsid w:val="008D2327"/>
    <w:rsid w:val="008D5E4F"/>
    <w:rsid w:val="008E34F0"/>
    <w:rsid w:val="008E69D6"/>
    <w:rsid w:val="008F14F5"/>
    <w:rsid w:val="008F31F2"/>
    <w:rsid w:val="008F4DC8"/>
    <w:rsid w:val="008F71C1"/>
    <w:rsid w:val="00900616"/>
    <w:rsid w:val="00902D41"/>
    <w:rsid w:val="00902F49"/>
    <w:rsid w:val="00904230"/>
    <w:rsid w:val="00914004"/>
    <w:rsid w:val="00915BF5"/>
    <w:rsid w:val="00921571"/>
    <w:rsid w:val="00922EC1"/>
    <w:rsid w:val="00923CF1"/>
    <w:rsid w:val="009301F1"/>
    <w:rsid w:val="009307DF"/>
    <w:rsid w:val="0093214B"/>
    <w:rsid w:val="009359B8"/>
    <w:rsid w:val="00935FF0"/>
    <w:rsid w:val="009431F8"/>
    <w:rsid w:val="00947A35"/>
    <w:rsid w:val="00953FB8"/>
    <w:rsid w:val="0096201B"/>
    <w:rsid w:val="00962081"/>
    <w:rsid w:val="00966CB5"/>
    <w:rsid w:val="00975786"/>
    <w:rsid w:val="00981CB7"/>
    <w:rsid w:val="00983E1F"/>
    <w:rsid w:val="00993F46"/>
    <w:rsid w:val="00997358"/>
    <w:rsid w:val="009A452B"/>
    <w:rsid w:val="009B0491"/>
    <w:rsid w:val="009B050C"/>
    <w:rsid w:val="009B087F"/>
    <w:rsid w:val="009B2AF4"/>
    <w:rsid w:val="009B2DB9"/>
    <w:rsid w:val="009B7B36"/>
    <w:rsid w:val="009C110B"/>
    <w:rsid w:val="009C5441"/>
    <w:rsid w:val="009D119F"/>
    <w:rsid w:val="009D49A2"/>
    <w:rsid w:val="009F3940"/>
    <w:rsid w:val="009F3EB2"/>
    <w:rsid w:val="009F6EB1"/>
    <w:rsid w:val="00A049C2"/>
    <w:rsid w:val="00A11D05"/>
    <w:rsid w:val="00A12F6B"/>
    <w:rsid w:val="00A13162"/>
    <w:rsid w:val="00A142BD"/>
    <w:rsid w:val="00A20267"/>
    <w:rsid w:val="00A304F5"/>
    <w:rsid w:val="00A3158C"/>
    <w:rsid w:val="00A32DF3"/>
    <w:rsid w:val="00A33523"/>
    <w:rsid w:val="00A33E32"/>
    <w:rsid w:val="00A35E20"/>
    <w:rsid w:val="00A36F6D"/>
    <w:rsid w:val="00A4206C"/>
    <w:rsid w:val="00A50CA0"/>
    <w:rsid w:val="00A525CC"/>
    <w:rsid w:val="00A53E7C"/>
    <w:rsid w:val="00A5732D"/>
    <w:rsid w:val="00A60087"/>
    <w:rsid w:val="00A642FC"/>
    <w:rsid w:val="00A705E8"/>
    <w:rsid w:val="00A721F4"/>
    <w:rsid w:val="00A73C60"/>
    <w:rsid w:val="00A76372"/>
    <w:rsid w:val="00A8023D"/>
    <w:rsid w:val="00A9392C"/>
    <w:rsid w:val="00A9462B"/>
    <w:rsid w:val="00A97B83"/>
    <w:rsid w:val="00A97D59"/>
    <w:rsid w:val="00AA0EFF"/>
    <w:rsid w:val="00AA3176"/>
    <w:rsid w:val="00AA3E09"/>
    <w:rsid w:val="00AA4BEF"/>
    <w:rsid w:val="00AA7ED8"/>
    <w:rsid w:val="00AB1659"/>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11EC6"/>
    <w:rsid w:val="00B310F9"/>
    <w:rsid w:val="00B3729B"/>
    <w:rsid w:val="00B37866"/>
    <w:rsid w:val="00B412FB"/>
    <w:rsid w:val="00B44299"/>
    <w:rsid w:val="00B4576B"/>
    <w:rsid w:val="00B46350"/>
    <w:rsid w:val="00B46DF3"/>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7BB9"/>
    <w:rsid w:val="00BA0009"/>
    <w:rsid w:val="00BA24E7"/>
    <w:rsid w:val="00BA33F6"/>
    <w:rsid w:val="00BB02B5"/>
    <w:rsid w:val="00BB1863"/>
    <w:rsid w:val="00BB25EE"/>
    <w:rsid w:val="00BB363A"/>
    <w:rsid w:val="00BB6298"/>
    <w:rsid w:val="00BC10A0"/>
    <w:rsid w:val="00BC3009"/>
    <w:rsid w:val="00BC3EC8"/>
    <w:rsid w:val="00BC7BA2"/>
    <w:rsid w:val="00BD0F1A"/>
    <w:rsid w:val="00BD2364"/>
    <w:rsid w:val="00BD426B"/>
    <w:rsid w:val="00BD79F0"/>
    <w:rsid w:val="00BE2B4D"/>
    <w:rsid w:val="00BE7696"/>
    <w:rsid w:val="00C015F8"/>
    <w:rsid w:val="00C02C2A"/>
    <w:rsid w:val="00C07E26"/>
    <w:rsid w:val="00C1011C"/>
    <w:rsid w:val="00C12F94"/>
    <w:rsid w:val="00C17774"/>
    <w:rsid w:val="00C177C5"/>
    <w:rsid w:val="00C34EC3"/>
    <w:rsid w:val="00C4038C"/>
    <w:rsid w:val="00C40BEA"/>
    <w:rsid w:val="00C42BA2"/>
    <w:rsid w:val="00C44066"/>
    <w:rsid w:val="00C44E13"/>
    <w:rsid w:val="00C60A41"/>
    <w:rsid w:val="00C62DE8"/>
    <w:rsid w:val="00C62DFB"/>
    <w:rsid w:val="00C630E6"/>
    <w:rsid w:val="00C63812"/>
    <w:rsid w:val="00C64AF3"/>
    <w:rsid w:val="00C66F4D"/>
    <w:rsid w:val="00C67BB5"/>
    <w:rsid w:val="00C72713"/>
    <w:rsid w:val="00C76517"/>
    <w:rsid w:val="00C848EF"/>
    <w:rsid w:val="00C86600"/>
    <w:rsid w:val="00C87BCA"/>
    <w:rsid w:val="00C87EED"/>
    <w:rsid w:val="00C94506"/>
    <w:rsid w:val="00C954BC"/>
    <w:rsid w:val="00C97990"/>
    <w:rsid w:val="00CA1F0B"/>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6909"/>
    <w:rsid w:val="00CF72E5"/>
    <w:rsid w:val="00D013EE"/>
    <w:rsid w:val="00D01F54"/>
    <w:rsid w:val="00D040F7"/>
    <w:rsid w:val="00D04A76"/>
    <w:rsid w:val="00D10FC7"/>
    <w:rsid w:val="00D11BE2"/>
    <w:rsid w:val="00D1519F"/>
    <w:rsid w:val="00D20E99"/>
    <w:rsid w:val="00D21C83"/>
    <w:rsid w:val="00D3312F"/>
    <w:rsid w:val="00D35BDD"/>
    <w:rsid w:val="00D52A52"/>
    <w:rsid w:val="00D62EFD"/>
    <w:rsid w:val="00D63006"/>
    <w:rsid w:val="00D664B1"/>
    <w:rsid w:val="00D72301"/>
    <w:rsid w:val="00D82270"/>
    <w:rsid w:val="00D90A1B"/>
    <w:rsid w:val="00D911DE"/>
    <w:rsid w:val="00D91B97"/>
    <w:rsid w:val="00D93034"/>
    <w:rsid w:val="00D93ACC"/>
    <w:rsid w:val="00D93C08"/>
    <w:rsid w:val="00D95DAC"/>
    <w:rsid w:val="00DA0B53"/>
    <w:rsid w:val="00DA42DF"/>
    <w:rsid w:val="00DB1171"/>
    <w:rsid w:val="00DB1519"/>
    <w:rsid w:val="00DB2840"/>
    <w:rsid w:val="00DB5FC0"/>
    <w:rsid w:val="00DB6B0F"/>
    <w:rsid w:val="00DC1BD3"/>
    <w:rsid w:val="00DC20D1"/>
    <w:rsid w:val="00DC2C1A"/>
    <w:rsid w:val="00DD66B4"/>
    <w:rsid w:val="00DE1972"/>
    <w:rsid w:val="00DE27AB"/>
    <w:rsid w:val="00DE55E0"/>
    <w:rsid w:val="00DE60FC"/>
    <w:rsid w:val="00DF0592"/>
    <w:rsid w:val="00DF18F2"/>
    <w:rsid w:val="00DF2AB3"/>
    <w:rsid w:val="00DF406E"/>
    <w:rsid w:val="00DF7250"/>
    <w:rsid w:val="00E00CAA"/>
    <w:rsid w:val="00E03EBF"/>
    <w:rsid w:val="00E05209"/>
    <w:rsid w:val="00E05AC1"/>
    <w:rsid w:val="00E07CA8"/>
    <w:rsid w:val="00E11BCF"/>
    <w:rsid w:val="00E14B10"/>
    <w:rsid w:val="00E2258E"/>
    <w:rsid w:val="00E260C2"/>
    <w:rsid w:val="00E32596"/>
    <w:rsid w:val="00E35897"/>
    <w:rsid w:val="00E368F7"/>
    <w:rsid w:val="00E36EB8"/>
    <w:rsid w:val="00E37FB8"/>
    <w:rsid w:val="00E40B07"/>
    <w:rsid w:val="00E418C8"/>
    <w:rsid w:val="00E42326"/>
    <w:rsid w:val="00E43544"/>
    <w:rsid w:val="00E44D89"/>
    <w:rsid w:val="00E477EA"/>
    <w:rsid w:val="00E50697"/>
    <w:rsid w:val="00E55807"/>
    <w:rsid w:val="00E57792"/>
    <w:rsid w:val="00E63326"/>
    <w:rsid w:val="00E63B14"/>
    <w:rsid w:val="00E65CA0"/>
    <w:rsid w:val="00E70D05"/>
    <w:rsid w:val="00E70D9F"/>
    <w:rsid w:val="00E74533"/>
    <w:rsid w:val="00E83810"/>
    <w:rsid w:val="00E86933"/>
    <w:rsid w:val="00E9605B"/>
    <w:rsid w:val="00E97298"/>
    <w:rsid w:val="00E97753"/>
    <w:rsid w:val="00EA0C51"/>
    <w:rsid w:val="00EA0FA3"/>
    <w:rsid w:val="00EA44C9"/>
    <w:rsid w:val="00EA784E"/>
    <w:rsid w:val="00EA7DE7"/>
    <w:rsid w:val="00EB5445"/>
    <w:rsid w:val="00EB7A8A"/>
    <w:rsid w:val="00EB7F4B"/>
    <w:rsid w:val="00EC23F1"/>
    <w:rsid w:val="00EC6FED"/>
    <w:rsid w:val="00EC7F3B"/>
    <w:rsid w:val="00ED4D9F"/>
    <w:rsid w:val="00ED5299"/>
    <w:rsid w:val="00EE3A64"/>
    <w:rsid w:val="00EE50E5"/>
    <w:rsid w:val="00EE60F5"/>
    <w:rsid w:val="00EF01CF"/>
    <w:rsid w:val="00EF2157"/>
    <w:rsid w:val="00EF3F57"/>
    <w:rsid w:val="00EF71A2"/>
    <w:rsid w:val="00F02980"/>
    <w:rsid w:val="00F03590"/>
    <w:rsid w:val="00F03622"/>
    <w:rsid w:val="00F077FD"/>
    <w:rsid w:val="00F1639B"/>
    <w:rsid w:val="00F204F3"/>
    <w:rsid w:val="00F218AB"/>
    <w:rsid w:val="00F22CA0"/>
    <w:rsid w:val="00F238B3"/>
    <w:rsid w:val="00F24FED"/>
    <w:rsid w:val="00F25586"/>
    <w:rsid w:val="00F2651D"/>
    <w:rsid w:val="00F27362"/>
    <w:rsid w:val="00F31498"/>
    <w:rsid w:val="00F32FEF"/>
    <w:rsid w:val="00F33385"/>
    <w:rsid w:val="00F41B1C"/>
    <w:rsid w:val="00F42E13"/>
    <w:rsid w:val="00F42F1C"/>
    <w:rsid w:val="00F43B44"/>
    <w:rsid w:val="00F440E5"/>
    <w:rsid w:val="00F448F6"/>
    <w:rsid w:val="00F52741"/>
    <w:rsid w:val="00F53D8A"/>
    <w:rsid w:val="00F626F7"/>
    <w:rsid w:val="00F71FF3"/>
    <w:rsid w:val="00F736F9"/>
    <w:rsid w:val="00F73833"/>
    <w:rsid w:val="00F9211C"/>
    <w:rsid w:val="00FA095D"/>
    <w:rsid w:val="00FA1B58"/>
    <w:rsid w:val="00FA5EF6"/>
    <w:rsid w:val="00FA6C8B"/>
    <w:rsid w:val="00FA6CDA"/>
    <w:rsid w:val="00FA7527"/>
    <w:rsid w:val="00FA7C89"/>
    <w:rsid w:val="00FB1D7B"/>
    <w:rsid w:val="00FB4139"/>
    <w:rsid w:val="00FB476E"/>
    <w:rsid w:val="00FC0D90"/>
    <w:rsid w:val="00FC2EAA"/>
    <w:rsid w:val="00FC7D8C"/>
    <w:rsid w:val="00FD3980"/>
    <w:rsid w:val="00FD431E"/>
    <w:rsid w:val="00FD50CA"/>
    <w:rsid w:val="00FD5A2C"/>
    <w:rsid w:val="00FD7779"/>
    <w:rsid w:val="00FE0D47"/>
    <w:rsid w:val="00FE1D5C"/>
    <w:rsid w:val="00FE2F8B"/>
    <w:rsid w:val="00FE3669"/>
    <w:rsid w:val="00FE4113"/>
    <w:rsid w:val="00FE5204"/>
    <w:rsid w:val="00FF287F"/>
    <w:rsid w:val="00FF7324"/>
    <w:rsid w:val="00FF74A8"/>
    <w:rsid w:val="49756CB7"/>
    <w:rsid w:val="4B489D71"/>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127F52B9-2DB3-43AE-A800-E7AD856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2-CL-C-0034/en" TargetMode="External"/><Relationship Id="rId1" Type="http://schemas.openxmlformats.org/officeDocument/2006/relationships/hyperlink" Target="http://www.itu.int/en/ITU-D/Projec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0F-44E6-B9AC-CCDF029513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0F-44E6-B9AC-CCDF029513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0F-44E6-B9AC-CCDF029513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Regional Initiatives</c:v>
                </c:pt>
              </c:strCache>
            </c:strRef>
          </c:cat>
          <c:val>
            <c:numRef>
              <c:f>Summary!$M$5:$M$7</c:f>
              <c:numCache>
                <c:formatCode>General</c:formatCode>
                <c:ptCount val="3"/>
                <c:pt idx="0">
                  <c:v>79647979</c:v>
                </c:pt>
                <c:pt idx="1">
                  <c:v>5497533</c:v>
                </c:pt>
                <c:pt idx="2">
                  <c:v>3266160</c:v>
                </c:pt>
              </c:numCache>
            </c:numRef>
          </c:val>
          <c:extLst>
            <c:ext xmlns:c16="http://schemas.microsoft.com/office/drawing/2014/chart" uri="{C3380CC4-5D6E-409C-BE32-E72D297353CC}">
              <c16:uniqueId val="{00000006-900F-44E6-B9AC-CCDF029513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'Projects per year'!$A$5:$A$15</c:f>
              <c:numCache>
                <c:formatCode>0_);\(0\)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'Projects per year'!$B$5:$B$15</c:f>
              <c:numCache>
                <c:formatCode>_(* #,##0.00_);_(* \(#,##0.00\);_(* "-"??_);_(@_)</c:formatCode>
                <c:ptCount val="11"/>
                <c:pt idx="0">
                  <c:v>10905274</c:v>
                </c:pt>
                <c:pt idx="1">
                  <c:v>9927803</c:v>
                </c:pt>
                <c:pt idx="2">
                  <c:v>7674402</c:v>
                </c:pt>
                <c:pt idx="3">
                  <c:v>5289174</c:v>
                </c:pt>
                <c:pt idx="4">
                  <c:v>2767939</c:v>
                </c:pt>
                <c:pt idx="5">
                  <c:v>9730134</c:v>
                </c:pt>
                <c:pt idx="6">
                  <c:v>10721579</c:v>
                </c:pt>
                <c:pt idx="7">
                  <c:v>13612980</c:v>
                </c:pt>
                <c:pt idx="8">
                  <c:v>14901477</c:v>
                </c:pt>
                <c:pt idx="9">
                  <c:v>19315000</c:v>
                </c:pt>
                <c:pt idx="10">
                  <c:v>5342000</c:v>
                </c:pt>
              </c:numCache>
            </c:numRef>
          </c:val>
          <c:extLst>
            <c:ext xmlns:c16="http://schemas.microsoft.com/office/drawing/2014/chart" uri="{C3380CC4-5D6E-409C-BE32-E72D297353CC}">
              <c16:uniqueId val="{00000000-7143-4F96-A079-83385388DF88}"/>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2.xml><?xml version="1.0" encoding="utf-8"?>
<ds:datastoreItem xmlns:ds="http://schemas.openxmlformats.org/officeDocument/2006/customXml" ds:itemID="{E4D487F4-BEB8-42B2-AA71-EA89B47CC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20BDA-9FC6-455E-8245-312F309A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99CA6-53E6-4644-9FB8-610F3816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1737</Words>
  <Characters>9805</Characters>
  <Application>Microsoft Office Word</Application>
  <DocSecurity>0</DocSecurity>
  <Lines>81</Lines>
  <Paragraphs>23</Paragraphs>
  <ScaleCrop>false</ScaleCrop>
  <Manager>General Secretariat - Pool</Manager>
  <Company>International Telecommunication Union (ITU)</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25</cp:revision>
  <cp:lastPrinted>2014-11-04T09:22:00Z</cp:lastPrinted>
  <dcterms:created xsi:type="dcterms:W3CDTF">2023-05-04T12:00:00Z</dcterms:created>
  <dcterms:modified xsi:type="dcterms:W3CDTF">2023-05-16T06:30:00Z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