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230EF" w14:paraId="3F0E9EC4" w14:textId="77777777" w:rsidTr="00952667">
        <w:trPr>
          <w:cantSplit/>
          <w:trHeight w:val="1134"/>
        </w:trPr>
        <w:tc>
          <w:tcPr>
            <w:tcW w:w="6379" w:type="dxa"/>
          </w:tcPr>
          <w:p w14:paraId="68FE8375" w14:textId="6390CADE" w:rsidR="00307769" w:rsidRPr="00B230EF" w:rsidRDefault="00B42366" w:rsidP="00307769">
            <w:pPr>
              <w:tabs>
                <w:tab w:val="clear" w:pos="1191"/>
                <w:tab w:val="clear" w:pos="1588"/>
                <w:tab w:val="clear" w:pos="1985"/>
              </w:tabs>
              <w:ind w:left="34"/>
              <w:rPr>
                <w:b/>
                <w:bCs/>
                <w:sz w:val="32"/>
                <w:szCs w:val="32"/>
                <w:lang w:val="es-ES_tradnl"/>
              </w:rPr>
            </w:pPr>
            <w:r w:rsidRPr="00B230EF">
              <w:rPr>
                <w:b/>
                <w:bCs/>
                <w:sz w:val="32"/>
                <w:szCs w:val="32"/>
                <w:lang w:val="es-ES_tradnl"/>
              </w:rPr>
              <w:t>Grupo Asesor de Desarrollo de las Telecomunicaciones</w:t>
            </w:r>
            <w:r w:rsidR="00307769" w:rsidRPr="00B230EF">
              <w:rPr>
                <w:b/>
                <w:bCs/>
                <w:sz w:val="32"/>
                <w:szCs w:val="32"/>
                <w:lang w:val="es-ES_tradnl"/>
              </w:rPr>
              <w:t xml:space="preserve"> (</w:t>
            </w:r>
            <w:proofErr w:type="spellStart"/>
            <w:r w:rsidRPr="00B230EF">
              <w:rPr>
                <w:b/>
                <w:bCs/>
                <w:sz w:val="32"/>
                <w:szCs w:val="32"/>
                <w:lang w:val="es-ES_tradnl"/>
              </w:rPr>
              <w:t>GADT</w:t>
            </w:r>
            <w:proofErr w:type="spellEnd"/>
            <w:r w:rsidR="00307769" w:rsidRPr="00B230EF">
              <w:rPr>
                <w:b/>
                <w:bCs/>
                <w:sz w:val="32"/>
                <w:szCs w:val="32"/>
                <w:lang w:val="es-ES_tradnl"/>
              </w:rPr>
              <w:t>)</w:t>
            </w:r>
          </w:p>
          <w:p w14:paraId="5F5F590A" w14:textId="7C41D50B" w:rsidR="00307769" w:rsidRPr="00B230EF" w:rsidRDefault="00307769" w:rsidP="00307769">
            <w:pPr>
              <w:tabs>
                <w:tab w:val="clear" w:pos="1191"/>
                <w:tab w:val="clear" w:pos="1588"/>
                <w:tab w:val="clear" w:pos="1985"/>
              </w:tabs>
              <w:spacing w:after="120"/>
              <w:ind w:left="34"/>
              <w:rPr>
                <w:rFonts w:ascii="Verdana" w:hAnsi="Verdana"/>
                <w:sz w:val="28"/>
                <w:szCs w:val="28"/>
                <w:lang w:val="es-ES_tradnl"/>
              </w:rPr>
            </w:pPr>
            <w:r w:rsidRPr="00B230EF">
              <w:rPr>
                <w:b/>
                <w:bCs/>
                <w:sz w:val="26"/>
                <w:szCs w:val="26"/>
                <w:lang w:val="es-ES_tradnl"/>
              </w:rPr>
              <w:t>30</w:t>
            </w:r>
            <w:r w:rsidR="00B42366" w:rsidRPr="00B230EF">
              <w:rPr>
                <w:b/>
                <w:bCs/>
                <w:sz w:val="26"/>
                <w:szCs w:val="26"/>
                <w:lang w:val="es-ES_tradnl"/>
              </w:rPr>
              <w:t xml:space="preserve">ª reunión, Ginebra, Suiza, </w:t>
            </w:r>
            <w:r w:rsidRPr="00B230EF">
              <w:rPr>
                <w:b/>
                <w:bCs/>
                <w:sz w:val="26"/>
                <w:szCs w:val="26"/>
                <w:lang w:val="es-ES_tradnl"/>
              </w:rPr>
              <w:t xml:space="preserve">19-23 </w:t>
            </w:r>
            <w:r w:rsidR="00B42366" w:rsidRPr="00B230EF">
              <w:rPr>
                <w:b/>
                <w:bCs/>
                <w:sz w:val="26"/>
                <w:szCs w:val="26"/>
                <w:lang w:val="es-ES_tradnl"/>
              </w:rPr>
              <w:t>de junio de</w:t>
            </w:r>
            <w:r w:rsidRPr="00B230EF">
              <w:rPr>
                <w:b/>
                <w:bCs/>
                <w:sz w:val="26"/>
                <w:szCs w:val="26"/>
                <w:lang w:val="es-ES_tradnl"/>
              </w:rPr>
              <w:t xml:space="preserve"> 2023</w:t>
            </w:r>
          </w:p>
        </w:tc>
        <w:tc>
          <w:tcPr>
            <w:tcW w:w="3509" w:type="dxa"/>
          </w:tcPr>
          <w:p w14:paraId="67E7B4C4" w14:textId="0F52E4CC" w:rsidR="00307769" w:rsidRPr="00B230EF" w:rsidRDefault="00307769" w:rsidP="00952667">
            <w:pPr>
              <w:spacing w:after="120"/>
              <w:ind w:right="142"/>
              <w:jc w:val="right"/>
              <w:rPr>
                <w:lang w:val="es-ES_tradnl"/>
              </w:rPr>
            </w:pPr>
            <w:r w:rsidRPr="00B230EF">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230EF" w14:paraId="3C13197B" w14:textId="77777777" w:rsidTr="0009076F">
        <w:trPr>
          <w:cantSplit/>
        </w:trPr>
        <w:tc>
          <w:tcPr>
            <w:tcW w:w="6379" w:type="dxa"/>
            <w:tcBorders>
              <w:top w:val="single" w:sz="12" w:space="0" w:color="auto"/>
            </w:tcBorders>
          </w:tcPr>
          <w:p w14:paraId="2EED9DB2" w14:textId="77777777" w:rsidR="00683C32" w:rsidRPr="00B230EF"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B230EF" w:rsidRDefault="00683C32" w:rsidP="00107E85">
            <w:pPr>
              <w:spacing w:before="0"/>
              <w:rPr>
                <w:b/>
                <w:bCs/>
                <w:sz w:val="20"/>
                <w:lang w:val="es-ES_tradnl"/>
              </w:rPr>
            </w:pPr>
          </w:p>
        </w:tc>
      </w:tr>
      <w:tr w:rsidR="00683C32" w:rsidRPr="00B230EF" w14:paraId="0BB3FBC4" w14:textId="77777777" w:rsidTr="0009076F">
        <w:trPr>
          <w:cantSplit/>
        </w:trPr>
        <w:tc>
          <w:tcPr>
            <w:tcW w:w="6379" w:type="dxa"/>
          </w:tcPr>
          <w:p w14:paraId="43C54B3D" w14:textId="77777777" w:rsidR="00683C32" w:rsidRPr="00B230EF" w:rsidRDefault="00683C32" w:rsidP="00400CCF">
            <w:pPr>
              <w:pStyle w:val="Committee"/>
              <w:spacing w:before="0"/>
              <w:rPr>
                <w:b w:val="0"/>
                <w:szCs w:val="24"/>
                <w:lang w:val="es-ES_tradnl"/>
              </w:rPr>
            </w:pPr>
          </w:p>
        </w:tc>
        <w:tc>
          <w:tcPr>
            <w:tcW w:w="3509" w:type="dxa"/>
          </w:tcPr>
          <w:p w14:paraId="02E44EE9" w14:textId="267BE973" w:rsidR="00683C32" w:rsidRPr="00B230EF" w:rsidRDefault="0096201B" w:rsidP="00B648C7">
            <w:pPr>
              <w:spacing w:before="0"/>
              <w:jc w:val="both"/>
              <w:rPr>
                <w:bCs/>
                <w:szCs w:val="24"/>
                <w:lang w:val="es-ES_tradnl"/>
              </w:rPr>
            </w:pPr>
            <w:r w:rsidRPr="00B230EF">
              <w:rPr>
                <w:b/>
                <w:bCs/>
                <w:lang w:val="es-ES_tradnl"/>
              </w:rPr>
              <w:t>Document</w:t>
            </w:r>
            <w:r w:rsidR="00B42366" w:rsidRPr="00B230EF">
              <w:rPr>
                <w:b/>
                <w:bCs/>
                <w:lang w:val="es-ES_tradnl"/>
              </w:rPr>
              <w:t>o</w:t>
            </w:r>
            <w:r w:rsidRPr="00B230EF">
              <w:rPr>
                <w:b/>
                <w:bCs/>
                <w:lang w:val="es-ES_tradnl"/>
              </w:rPr>
              <w:t xml:space="preserve"> </w:t>
            </w:r>
            <w:bookmarkStart w:id="0" w:name="DocRef1"/>
            <w:bookmarkEnd w:id="0"/>
            <w:proofErr w:type="spellStart"/>
            <w:r w:rsidRPr="00B230EF">
              <w:rPr>
                <w:b/>
                <w:bCs/>
                <w:lang w:val="es-ES_tradnl"/>
              </w:rPr>
              <w:t>TDAG</w:t>
            </w:r>
            <w:proofErr w:type="spellEnd"/>
            <w:r w:rsidR="003242AB" w:rsidRPr="00B230EF">
              <w:rPr>
                <w:b/>
                <w:bCs/>
                <w:lang w:val="es-ES_tradnl"/>
              </w:rPr>
              <w:t>-</w:t>
            </w:r>
            <w:r w:rsidR="00B648C7" w:rsidRPr="00B230EF">
              <w:rPr>
                <w:b/>
                <w:bCs/>
                <w:lang w:val="es-ES_tradnl"/>
              </w:rPr>
              <w:t>2</w:t>
            </w:r>
            <w:bookmarkStart w:id="1" w:name="DocNo1"/>
            <w:bookmarkEnd w:id="1"/>
            <w:r w:rsidR="00307769" w:rsidRPr="00B230EF">
              <w:rPr>
                <w:b/>
                <w:bCs/>
                <w:lang w:val="es-ES_tradnl"/>
              </w:rPr>
              <w:t>3</w:t>
            </w:r>
            <w:r w:rsidR="0009076F" w:rsidRPr="00B230EF">
              <w:rPr>
                <w:b/>
                <w:bCs/>
                <w:lang w:val="es-ES_tradnl"/>
              </w:rPr>
              <w:t>/</w:t>
            </w:r>
            <w:r w:rsidR="00D67585" w:rsidRPr="00B230EF">
              <w:rPr>
                <w:b/>
                <w:bCs/>
                <w:lang w:val="es-ES_tradnl"/>
              </w:rPr>
              <w:t>4</w:t>
            </w:r>
            <w:r w:rsidRPr="00B230EF">
              <w:rPr>
                <w:b/>
                <w:bCs/>
                <w:lang w:val="es-ES_tradnl"/>
              </w:rPr>
              <w:t>-</w:t>
            </w:r>
            <w:r w:rsidR="00B42366" w:rsidRPr="00B230EF">
              <w:rPr>
                <w:b/>
                <w:bCs/>
                <w:lang w:val="es-ES_tradnl"/>
              </w:rPr>
              <w:t>S</w:t>
            </w:r>
          </w:p>
        </w:tc>
      </w:tr>
      <w:tr w:rsidR="00683C32" w:rsidRPr="00B230EF" w14:paraId="24D04936" w14:textId="77777777" w:rsidTr="0009076F">
        <w:trPr>
          <w:cantSplit/>
        </w:trPr>
        <w:tc>
          <w:tcPr>
            <w:tcW w:w="6379" w:type="dxa"/>
          </w:tcPr>
          <w:p w14:paraId="12CE4DBF" w14:textId="77777777" w:rsidR="00683C32" w:rsidRPr="00B230EF" w:rsidRDefault="00683C32" w:rsidP="00400CCF">
            <w:pPr>
              <w:spacing w:before="0"/>
              <w:rPr>
                <w:b/>
                <w:bCs/>
                <w:smallCaps/>
                <w:szCs w:val="24"/>
                <w:lang w:val="es-ES_tradnl"/>
              </w:rPr>
            </w:pPr>
          </w:p>
        </w:tc>
        <w:tc>
          <w:tcPr>
            <w:tcW w:w="3509" w:type="dxa"/>
          </w:tcPr>
          <w:p w14:paraId="0F89640F" w14:textId="06B6C5CE" w:rsidR="00683C32" w:rsidRPr="00B230EF" w:rsidRDefault="00D67585" w:rsidP="00B648C7">
            <w:pPr>
              <w:spacing w:before="0"/>
              <w:rPr>
                <w:b/>
                <w:szCs w:val="24"/>
                <w:lang w:val="es-ES_tradnl"/>
              </w:rPr>
            </w:pPr>
            <w:bookmarkStart w:id="2" w:name="CreationDate"/>
            <w:bookmarkEnd w:id="2"/>
            <w:r w:rsidRPr="00B230EF">
              <w:rPr>
                <w:b/>
                <w:bCs/>
                <w:lang w:val="es-ES_tradnl"/>
              </w:rPr>
              <w:t xml:space="preserve">11 de mayo </w:t>
            </w:r>
            <w:r w:rsidR="00B42366" w:rsidRPr="00B230EF">
              <w:rPr>
                <w:b/>
                <w:bCs/>
                <w:szCs w:val="28"/>
                <w:lang w:val="es-ES_tradnl"/>
              </w:rPr>
              <w:t xml:space="preserve">de </w:t>
            </w:r>
            <w:r w:rsidR="00CE0422" w:rsidRPr="00B230EF">
              <w:rPr>
                <w:b/>
                <w:bCs/>
                <w:szCs w:val="28"/>
                <w:lang w:val="es-ES_tradnl"/>
              </w:rPr>
              <w:t>20</w:t>
            </w:r>
            <w:r w:rsidR="00B648C7" w:rsidRPr="00B230EF">
              <w:rPr>
                <w:b/>
                <w:bCs/>
                <w:szCs w:val="28"/>
                <w:lang w:val="es-ES_tradnl"/>
              </w:rPr>
              <w:t>2</w:t>
            </w:r>
            <w:r w:rsidR="00307769" w:rsidRPr="00B230EF">
              <w:rPr>
                <w:b/>
                <w:bCs/>
                <w:szCs w:val="28"/>
                <w:lang w:val="es-ES_tradnl"/>
              </w:rPr>
              <w:t>3</w:t>
            </w:r>
          </w:p>
        </w:tc>
      </w:tr>
      <w:tr w:rsidR="00683C32" w:rsidRPr="00B230EF" w14:paraId="7B96545F" w14:textId="77777777" w:rsidTr="0009076F">
        <w:trPr>
          <w:cantSplit/>
        </w:trPr>
        <w:tc>
          <w:tcPr>
            <w:tcW w:w="6379" w:type="dxa"/>
          </w:tcPr>
          <w:p w14:paraId="65956FD3" w14:textId="77777777" w:rsidR="00683C32" w:rsidRPr="00B230EF" w:rsidRDefault="00683C32" w:rsidP="00400CCF">
            <w:pPr>
              <w:spacing w:before="0"/>
              <w:rPr>
                <w:b/>
                <w:bCs/>
                <w:smallCaps/>
                <w:szCs w:val="24"/>
                <w:lang w:val="es-ES_tradnl"/>
              </w:rPr>
            </w:pPr>
          </w:p>
        </w:tc>
        <w:tc>
          <w:tcPr>
            <w:tcW w:w="3509" w:type="dxa"/>
          </w:tcPr>
          <w:p w14:paraId="30EFD39F" w14:textId="560C5C27" w:rsidR="00514D2F" w:rsidRPr="00B230EF" w:rsidRDefault="0096201B" w:rsidP="00400CCF">
            <w:pPr>
              <w:spacing w:before="0"/>
              <w:rPr>
                <w:szCs w:val="24"/>
                <w:lang w:val="es-ES_tradnl"/>
              </w:rPr>
            </w:pPr>
            <w:r w:rsidRPr="00B230EF">
              <w:rPr>
                <w:b/>
                <w:lang w:val="es-ES_tradnl"/>
              </w:rPr>
              <w:t>Original:</w:t>
            </w:r>
            <w:bookmarkStart w:id="3" w:name="Original"/>
            <w:bookmarkEnd w:id="3"/>
            <w:r w:rsidR="00CE0422" w:rsidRPr="00B230EF">
              <w:rPr>
                <w:b/>
                <w:lang w:val="es-ES_tradnl"/>
              </w:rPr>
              <w:t xml:space="preserve"> </w:t>
            </w:r>
            <w:r w:rsidR="00B42366" w:rsidRPr="00B230EF">
              <w:rPr>
                <w:b/>
                <w:lang w:val="es-ES_tradnl"/>
              </w:rPr>
              <w:t>inglés</w:t>
            </w:r>
          </w:p>
        </w:tc>
      </w:tr>
      <w:tr w:rsidR="00A13162" w:rsidRPr="00B230EF" w14:paraId="31656E31" w14:textId="77777777" w:rsidTr="00107E85">
        <w:trPr>
          <w:cantSplit/>
          <w:trHeight w:val="852"/>
        </w:trPr>
        <w:tc>
          <w:tcPr>
            <w:tcW w:w="9888" w:type="dxa"/>
            <w:gridSpan w:val="2"/>
          </w:tcPr>
          <w:p w14:paraId="512FCA01" w14:textId="1DEA0C32" w:rsidR="00A13162" w:rsidRPr="00B230EF" w:rsidRDefault="00D67585" w:rsidP="0030353C">
            <w:pPr>
              <w:pStyle w:val="Source"/>
              <w:rPr>
                <w:lang w:val="es-ES_tradnl"/>
              </w:rPr>
            </w:pPr>
            <w:bookmarkStart w:id="4" w:name="Source"/>
            <w:bookmarkEnd w:id="4"/>
            <w:r w:rsidRPr="00B230EF">
              <w:rPr>
                <w:bCs/>
                <w:lang w:val="es-ES_tradnl"/>
              </w:rPr>
              <w:t>Director de la Oficina de Desarrollo de las Telecomunicaciones</w:t>
            </w:r>
          </w:p>
        </w:tc>
      </w:tr>
      <w:tr w:rsidR="00AC6F14" w:rsidRPr="00B230EF" w14:paraId="2CBD3A36" w14:textId="77777777" w:rsidTr="00107E85">
        <w:trPr>
          <w:cantSplit/>
        </w:trPr>
        <w:tc>
          <w:tcPr>
            <w:tcW w:w="9888" w:type="dxa"/>
            <w:gridSpan w:val="2"/>
          </w:tcPr>
          <w:p w14:paraId="1B4121DF" w14:textId="07E760D1" w:rsidR="00AC6F14" w:rsidRPr="00B230EF" w:rsidRDefault="00D67585" w:rsidP="0030353C">
            <w:pPr>
              <w:pStyle w:val="Title1"/>
              <w:rPr>
                <w:lang w:val="es-ES_tradnl"/>
              </w:rPr>
            </w:pPr>
            <w:bookmarkStart w:id="5" w:name="Title"/>
            <w:bookmarkEnd w:id="5"/>
            <w:r w:rsidRPr="00B230EF">
              <w:rPr>
                <w:lang w:val="es-ES_tradnl"/>
              </w:rPr>
              <w:t>Asociaciones y movilización de recursos en el UIT-D</w:t>
            </w:r>
          </w:p>
        </w:tc>
      </w:tr>
      <w:tr w:rsidR="00A721F4" w:rsidRPr="00B230EF" w14:paraId="23A30231" w14:textId="77777777" w:rsidTr="00A721F4">
        <w:trPr>
          <w:cantSplit/>
        </w:trPr>
        <w:tc>
          <w:tcPr>
            <w:tcW w:w="9888" w:type="dxa"/>
            <w:gridSpan w:val="2"/>
            <w:tcBorders>
              <w:bottom w:val="single" w:sz="4" w:space="0" w:color="auto"/>
            </w:tcBorders>
          </w:tcPr>
          <w:p w14:paraId="726EE70E" w14:textId="77777777" w:rsidR="00A721F4" w:rsidRPr="00B230EF" w:rsidRDefault="00A721F4" w:rsidP="0030353C">
            <w:pPr>
              <w:rPr>
                <w:lang w:val="es-ES_tradnl"/>
              </w:rPr>
            </w:pPr>
          </w:p>
        </w:tc>
      </w:tr>
      <w:tr w:rsidR="00A721F4" w:rsidRPr="00B230E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B230EF" w:rsidRDefault="00B42366" w:rsidP="00EA0C51">
            <w:pPr>
              <w:spacing w:after="120"/>
              <w:rPr>
                <w:b/>
                <w:bCs/>
                <w:szCs w:val="24"/>
                <w:lang w:val="es-ES_tradnl"/>
              </w:rPr>
            </w:pPr>
            <w:r w:rsidRPr="00B230EF">
              <w:rPr>
                <w:b/>
                <w:bCs/>
                <w:szCs w:val="24"/>
                <w:lang w:val="es-ES_tradnl"/>
              </w:rPr>
              <w:t>Resumen</w:t>
            </w:r>
            <w:r w:rsidR="00A721F4" w:rsidRPr="00B230EF">
              <w:rPr>
                <w:b/>
                <w:bCs/>
                <w:szCs w:val="24"/>
                <w:lang w:val="es-ES_tradnl"/>
              </w:rPr>
              <w:t>:</w:t>
            </w:r>
          </w:p>
          <w:p w14:paraId="4082D7E8" w14:textId="41E1A11F" w:rsidR="00A721F4" w:rsidRPr="00B230EF" w:rsidRDefault="00D67585" w:rsidP="00D67585">
            <w:pPr>
              <w:spacing w:after="120"/>
              <w:rPr>
                <w:lang w:val="es-ES_tradnl"/>
              </w:rPr>
            </w:pPr>
            <w:r w:rsidRPr="00B230EF">
              <w:rPr>
                <w:lang w:val="es-ES_tradnl"/>
              </w:rPr>
              <w:t>La importancia que revisten las asociaciones y la movilización de recursos se puso de relieve en la Conferencia Mundial de Desarrollo de las Telecomunicaciones de 2022 (</w:t>
            </w:r>
            <w:proofErr w:type="spellStart"/>
            <w:r w:rsidRPr="00B230EF">
              <w:rPr>
                <w:lang w:val="es-ES_tradnl"/>
              </w:rPr>
              <w:t>CMDT</w:t>
            </w:r>
            <w:proofErr w:type="spellEnd"/>
            <w:r w:rsidRPr="00B230EF">
              <w:rPr>
                <w:lang w:val="es-ES_tradnl"/>
              </w:rPr>
              <w:t>-22). En el presente documento se informa sobre las asociaciones y las actividades de movilización de recursos llevadas a cabo en 2022.</w:t>
            </w:r>
          </w:p>
          <w:p w14:paraId="76A1C541" w14:textId="70BC879D" w:rsidR="00A721F4" w:rsidRPr="00B230EF" w:rsidRDefault="00A721F4" w:rsidP="00EA0C51">
            <w:pPr>
              <w:spacing w:after="120"/>
              <w:rPr>
                <w:b/>
                <w:bCs/>
                <w:szCs w:val="24"/>
                <w:lang w:val="es-ES_tradnl"/>
              </w:rPr>
            </w:pPr>
            <w:r w:rsidRPr="00B230EF">
              <w:rPr>
                <w:b/>
                <w:bCs/>
                <w:lang w:val="es-ES_tradnl"/>
              </w:rPr>
              <w:t>Ac</w:t>
            </w:r>
            <w:r w:rsidR="00B42366" w:rsidRPr="00B230EF">
              <w:rPr>
                <w:b/>
                <w:bCs/>
                <w:lang w:val="es-ES_tradnl"/>
              </w:rPr>
              <w:t>ción solicitada</w:t>
            </w:r>
            <w:r w:rsidRPr="00B230EF">
              <w:rPr>
                <w:b/>
                <w:bCs/>
                <w:lang w:val="es-ES_tradnl"/>
              </w:rPr>
              <w:t>:</w:t>
            </w:r>
          </w:p>
          <w:p w14:paraId="735EE4BD" w14:textId="77777777" w:rsidR="00D67585" w:rsidRPr="00B230EF" w:rsidRDefault="00D67585" w:rsidP="00D67585">
            <w:pPr>
              <w:spacing w:after="120"/>
              <w:rPr>
                <w:lang w:val="es-ES_tradnl"/>
              </w:rPr>
            </w:pPr>
            <w:r w:rsidRPr="00B230EF">
              <w:rPr>
                <w:lang w:val="es-ES_tradnl"/>
              </w:rPr>
              <w:t xml:space="preserve">Se invita al </w:t>
            </w:r>
            <w:proofErr w:type="spellStart"/>
            <w:r w:rsidRPr="00B230EF">
              <w:rPr>
                <w:lang w:val="es-ES_tradnl"/>
              </w:rPr>
              <w:t>GADT</w:t>
            </w:r>
            <w:proofErr w:type="spellEnd"/>
            <w:r w:rsidRPr="00B230EF">
              <w:rPr>
                <w:lang w:val="es-ES_tradnl"/>
              </w:rPr>
              <w:t xml:space="preserve"> a tomar nota del presente documento y a formular los comentarios que estime convenientes.</w:t>
            </w:r>
          </w:p>
          <w:p w14:paraId="622ACB80" w14:textId="6D46991A" w:rsidR="00A721F4" w:rsidRPr="00B230EF" w:rsidRDefault="00A721F4" w:rsidP="00EA0C51">
            <w:pPr>
              <w:spacing w:after="120"/>
              <w:rPr>
                <w:b/>
                <w:bCs/>
                <w:szCs w:val="24"/>
                <w:lang w:val="es-ES_tradnl"/>
              </w:rPr>
            </w:pPr>
            <w:r w:rsidRPr="00B230EF">
              <w:rPr>
                <w:b/>
                <w:bCs/>
                <w:szCs w:val="24"/>
                <w:lang w:val="es-ES_tradnl"/>
              </w:rPr>
              <w:t>Referenc</w:t>
            </w:r>
            <w:r w:rsidR="00B42366" w:rsidRPr="00B230EF">
              <w:rPr>
                <w:b/>
                <w:bCs/>
                <w:szCs w:val="24"/>
                <w:lang w:val="es-ES_tradnl"/>
              </w:rPr>
              <w:t>ia</w:t>
            </w:r>
            <w:r w:rsidRPr="00B230EF">
              <w:rPr>
                <w:b/>
                <w:bCs/>
                <w:szCs w:val="24"/>
                <w:lang w:val="es-ES_tradnl"/>
              </w:rPr>
              <w:t>s:</w:t>
            </w:r>
          </w:p>
          <w:p w14:paraId="0BBF1307" w14:textId="77777777" w:rsidR="00D67585" w:rsidRPr="00B230EF" w:rsidRDefault="00D67585" w:rsidP="00D67585">
            <w:pPr>
              <w:spacing w:after="120"/>
              <w:rPr>
                <w:lang w:val="es-ES_tradnl"/>
              </w:rPr>
            </w:pPr>
            <w:r w:rsidRPr="00B230EF">
              <w:rPr>
                <w:lang w:val="es-ES_tradnl"/>
              </w:rPr>
              <w:t xml:space="preserve">Secciones 3.1 y 3.3 del Plan de Acción de Kigali, Informe Final de la </w:t>
            </w:r>
            <w:proofErr w:type="spellStart"/>
            <w:r w:rsidRPr="00B230EF">
              <w:rPr>
                <w:lang w:val="es-ES_tradnl"/>
              </w:rPr>
              <w:t>CMDT</w:t>
            </w:r>
            <w:proofErr w:type="spellEnd"/>
            <w:r w:rsidRPr="00B230EF">
              <w:rPr>
                <w:lang w:val="es-ES_tradnl"/>
              </w:rPr>
              <w:t>-22</w:t>
            </w:r>
          </w:p>
          <w:p w14:paraId="3C49B508" w14:textId="77777777" w:rsidR="00D67585" w:rsidRPr="00B230EF" w:rsidRDefault="00D67585" w:rsidP="00D67585">
            <w:pPr>
              <w:spacing w:after="120"/>
              <w:rPr>
                <w:lang w:val="es-ES_tradnl"/>
              </w:rPr>
            </w:pPr>
            <w:r w:rsidRPr="00B230EF">
              <w:rPr>
                <w:lang w:val="es-ES_tradnl"/>
              </w:rPr>
              <w:t xml:space="preserve">Resolución 17 (Rev. Kigali, 2022), Informe Final de la </w:t>
            </w:r>
            <w:proofErr w:type="spellStart"/>
            <w:r w:rsidRPr="00B230EF">
              <w:rPr>
                <w:lang w:val="es-ES_tradnl"/>
              </w:rPr>
              <w:t>CMDT</w:t>
            </w:r>
            <w:proofErr w:type="spellEnd"/>
            <w:r w:rsidRPr="00B230EF">
              <w:rPr>
                <w:lang w:val="es-ES_tradnl"/>
              </w:rPr>
              <w:t>-22</w:t>
            </w:r>
          </w:p>
          <w:p w14:paraId="72B2C44D" w14:textId="77777777" w:rsidR="00D67585" w:rsidRPr="00B230EF" w:rsidRDefault="00D67585" w:rsidP="00D67585">
            <w:pPr>
              <w:spacing w:after="120"/>
              <w:rPr>
                <w:lang w:val="es-ES_tradnl"/>
              </w:rPr>
            </w:pPr>
            <w:r w:rsidRPr="00B230EF">
              <w:rPr>
                <w:lang w:val="es-ES_tradnl"/>
              </w:rPr>
              <w:t xml:space="preserve">Declaración de la </w:t>
            </w:r>
            <w:proofErr w:type="spellStart"/>
            <w:r w:rsidRPr="00B230EF">
              <w:rPr>
                <w:lang w:val="es-ES_tradnl"/>
              </w:rPr>
              <w:t>CMDT</w:t>
            </w:r>
            <w:proofErr w:type="spellEnd"/>
            <w:r w:rsidRPr="00B230EF">
              <w:rPr>
                <w:lang w:val="es-ES_tradnl"/>
              </w:rPr>
              <w:t>-22</w:t>
            </w:r>
          </w:p>
          <w:p w14:paraId="1ECDD20E" w14:textId="4F21BA5A" w:rsidR="00A721F4" w:rsidRPr="00B230EF" w:rsidRDefault="00D67585" w:rsidP="00D67585">
            <w:pPr>
              <w:spacing w:after="120"/>
              <w:rPr>
                <w:lang w:val="es-ES_tradnl"/>
              </w:rPr>
            </w:pPr>
            <w:r w:rsidRPr="00B230EF">
              <w:rPr>
                <w:lang w:val="es-ES_tradnl"/>
              </w:rPr>
              <w:t xml:space="preserve">Sección 4.5 del Plan de Acción de Buenos Aires, Informe Final de la </w:t>
            </w:r>
            <w:proofErr w:type="spellStart"/>
            <w:r w:rsidRPr="00B230EF">
              <w:rPr>
                <w:lang w:val="es-ES_tradnl"/>
              </w:rPr>
              <w:t>CMDT</w:t>
            </w:r>
            <w:proofErr w:type="spellEnd"/>
            <w:r w:rsidRPr="00B230EF">
              <w:rPr>
                <w:lang w:val="es-ES_tradnl"/>
              </w:rPr>
              <w:t>-17</w:t>
            </w:r>
          </w:p>
        </w:tc>
      </w:tr>
    </w:tbl>
    <w:p w14:paraId="5B29B2A3" w14:textId="77777777" w:rsidR="00923CF1" w:rsidRPr="00B230EF"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B230EF">
        <w:rPr>
          <w:lang w:val="es-ES_tradnl"/>
        </w:rPr>
        <w:br w:type="page"/>
      </w:r>
    </w:p>
    <w:p w14:paraId="08E1C918" w14:textId="596AD216" w:rsidR="00D67585" w:rsidRPr="00B230EF" w:rsidRDefault="00D67585" w:rsidP="00D67585">
      <w:pPr>
        <w:pStyle w:val="Heading1"/>
        <w:rPr>
          <w:sz w:val="24"/>
          <w:szCs w:val="24"/>
          <w:lang w:val="es-ES_tradnl"/>
        </w:rPr>
      </w:pPr>
      <w:r w:rsidRPr="00B230EF">
        <w:rPr>
          <w:sz w:val="24"/>
          <w:szCs w:val="24"/>
          <w:lang w:val="es-ES_tradnl"/>
        </w:rPr>
        <w:lastRenderedPageBreak/>
        <w:t>1</w:t>
      </w:r>
      <w:r w:rsidRPr="00B230EF">
        <w:rPr>
          <w:sz w:val="24"/>
          <w:szCs w:val="24"/>
          <w:lang w:val="es-ES_tradnl"/>
        </w:rPr>
        <w:tab/>
      </w:r>
      <w:proofErr w:type="gramStart"/>
      <w:r w:rsidRPr="00B230EF">
        <w:rPr>
          <w:sz w:val="24"/>
          <w:szCs w:val="24"/>
          <w:lang w:val="es-ES_tradnl"/>
        </w:rPr>
        <w:t>Antecedentes</w:t>
      </w:r>
      <w:proofErr w:type="gramEnd"/>
    </w:p>
    <w:p w14:paraId="58EC5876" w14:textId="617DB3AC" w:rsidR="00D67585" w:rsidRPr="00B230EF" w:rsidRDefault="00D67585" w:rsidP="00D67585">
      <w:pPr>
        <w:spacing w:after="120"/>
        <w:rPr>
          <w:szCs w:val="24"/>
          <w:lang w:val="es-ES_tradnl"/>
        </w:rPr>
      </w:pPr>
      <w:r w:rsidRPr="00B230EF">
        <w:rPr>
          <w:lang w:val="es-ES_tradnl"/>
        </w:rPr>
        <w:t>La Conferencia Mundial de Desarrollo de las Telecomunicaciones de 2022 (</w:t>
      </w:r>
      <w:proofErr w:type="spellStart"/>
      <w:r w:rsidRPr="00B230EF">
        <w:rPr>
          <w:lang w:val="es-ES_tradnl"/>
        </w:rPr>
        <w:t>CMDT</w:t>
      </w:r>
      <w:proofErr w:type="spellEnd"/>
      <w:r w:rsidRPr="00B230EF">
        <w:rPr>
          <w:lang w:val="es-ES_tradnl"/>
        </w:rPr>
        <w:t>-22) reconoció la importancia de la movilización de recursos y la cooperación internacional, como una nueva prioridad del UIT-D y facilitador del Plan de Acción de Kigali, a saber, que "esta prioridad tiene por objeto movilizar y atraer recursos y fomentar la cooperación internacional sobre cuestiones relativas al desarrollo de las telecomunicaciones/TIC. Esta prioridad temática también es transversal, al proporcionar recursos y fomentar la cooperación internacional para obtener resultados globales pertinentes. Se debe dar prioridad y prestar la debida atención a las necesidades de los países en desarrollo, los países menos adelantados, los pequeños Estados insulares en desarrollo, los países en desarrollo sin litoral y los países con economías en transición, así como las poblaciones insuficientemente atendidas y vulnerables</w:t>
      </w:r>
      <w:r w:rsidR="00B230EF">
        <w:rPr>
          <w:lang w:val="es-ES_tradnl"/>
        </w:rPr>
        <w:t>"</w:t>
      </w:r>
      <w:r w:rsidRPr="00B230EF">
        <w:rPr>
          <w:lang w:val="es-ES_tradnl"/>
        </w:rPr>
        <w:t xml:space="preserve">. </w:t>
      </w:r>
      <w:r w:rsidR="00B230EF">
        <w:rPr>
          <w:lang w:val="es-ES_tradnl"/>
        </w:rPr>
        <w:t>(</w:t>
      </w:r>
      <w:r w:rsidRPr="00B230EF">
        <w:rPr>
          <w:lang w:val="es-ES_tradnl"/>
        </w:rPr>
        <w:t>Plan de Acción de Kigali</w:t>
      </w:r>
      <w:r w:rsidR="00B230EF">
        <w:rPr>
          <w:lang w:val="es-ES_tradnl"/>
        </w:rPr>
        <w:t>)</w:t>
      </w:r>
    </w:p>
    <w:p w14:paraId="7E0A904A" w14:textId="4C833B10" w:rsidR="00D67585" w:rsidRPr="00B230EF" w:rsidRDefault="00D67585" w:rsidP="00D67585">
      <w:pPr>
        <w:spacing w:after="120"/>
        <w:rPr>
          <w:szCs w:val="24"/>
          <w:lang w:val="es-ES_tradnl"/>
        </w:rPr>
      </w:pPr>
      <w:r w:rsidRPr="00B230EF">
        <w:rPr>
          <w:lang w:val="es-ES_tradnl"/>
        </w:rPr>
        <w:t>En la Resolución 17 (Rev. Kigali, 2022), "Ejecución en los planos nacional, regional, interregional y mundial de las iniciativas regionales aprobadas y cooperación al respecto", se encarga al Director de la BDT "que garantice que la BDT facilite la participación activa de las organizaciones regionales y subregionales de telecomunicaciones en las diferentes fases de gestión de proyectos establecidas por la UIT, así como la creación de asociaciones y la movilización de recursos, con miras a promover eficazmente la implementación de las iniciativas regionales".</w:t>
      </w:r>
    </w:p>
    <w:p w14:paraId="764E5686" w14:textId="103B2BBE" w:rsidR="00D67585" w:rsidRPr="00B230EF" w:rsidRDefault="00D67585" w:rsidP="00D67585">
      <w:pPr>
        <w:pStyle w:val="Heading1"/>
        <w:rPr>
          <w:sz w:val="24"/>
          <w:szCs w:val="24"/>
          <w:lang w:val="es-ES_tradnl"/>
        </w:rPr>
      </w:pPr>
      <w:r w:rsidRPr="00B230EF">
        <w:rPr>
          <w:sz w:val="24"/>
          <w:szCs w:val="24"/>
          <w:lang w:val="es-ES_tradnl"/>
        </w:rPr>
        <w:t>2</w:t>
      </w:r>
      <w:r w:rsidRPr="00B230EF">
        <w:rPr>
          <w:sz w:val="24"/>
          <w:szCs w:val="24"/>
          <w:lang w:val="es-ES_tradnl"/>
        </w:rPr>
        <w:tab/>
      </w:r>
      <w:proofErr w:type="gramStart"/>
      <w:r w:rsidRPr="00B230EF">
        <w:rPr>
          <w:sz w:val="24"/>
          <w:szCs w:val="24"/>
          <w:lang w:val="es-ES_tradnl"/>
        </w:rPr>
        <w:t>Objetivo</w:t>
      </w:r>
      <w:proofErr w:type="gramEnd"/>
      <w:r w:rsidRPr="00B230EF">
        <w:rPr>
          <w:sz w:val="24"/>
          <w:szCs w:val="24"/>
          <w:lang w:val="es-ES_tradnl"/>
        </w:rPr>
        <w:t xml:space="preserve"> estratégico del UIT-D: asociaciones y movilización de recursos</w:t>
      </w:r>
    </w:p>
    <w:p w14:paraId="365A4565" w14:textId="77777777" w:rsidR="00D67585" w:rsidRPr="00B230EF" w:rsidRDefault="00D67585" w:rsidP="00D67585">
      <w:pPr>
        <w:rPr>
          <w:szCs w:val="24"/>
          <w:lang w:val="es-ES_tradnl"/>
        </w:rPr>
      </w:pPr>
      <w:r w:rsidRPr="00B230EF">
        <w:rPr>
          <w:lang w:val="es-ES_tradnl"/>
        </w:rPr>
        <w:t xml:space="preserve">De acuerdo con los resultados de la </w:t>
      </w:r>
      <w:proofErr w:type="spellStart"/>
      <w:r w:rsidRPr="00B230EF">
        <w:rPr>
          <w:lang w:val="es-ES_tradnl"/>
        </w:rPr>
        <w:t>CMDT</w:t>
      </w:r>
      <w:proofErr w:type="spellEnd"/>
      <w:r w:rsidRPr="00B230EF">
        <w:rPr>
          <w:lang w:val="es-ES_tradnl"/>
        </w:rPr>
        <w:t>-22, el objetivo es facilitar, desarrollar y reforzar las asociaciones y la colaboración internacional con el mayor número posible de socios tanto de países desarrollados como en desarrollo, a fin de aumentar la coordinación, la compartición de conocimientos y la movilización de recursos para la ejecución de programas, actividades e iniciativas para el desarrollo sostenible.</w:t>
      </w:r>
    </w:p>
    <w:p w14:paraId="40251121" w14:textId="007C4880" w:rsidR="00D67585" w:rsidRPr="00B230EF" w:rsidRDefault="00D67585" w:rsidP="00D67585">
      <w:pPr>
        <w:pStyle w:val="Heading1"/>
        <w:rPr>
          <w:sz w:val="24"/>
          <w:szCs w:val="24"/>
          <w:lang w:val="es-ES_tradnl"/>
        </w:rPr>
      </w:pPr>
      <w:r w:rsidRPr="00B230EF">
        <w:rPr>
          <w:sz w:val="24"/>
          <w:szCs w:val="24"/>
          <w:lang w:val="es-ES_tradnl"/>
        </w:rPr>
        <w:t>3</w:t>
      </w:r>
      <w:r w:rsidRPr="00B230EF">
        <w:rPr>
          <w:sz w:val="24"/>
          <w:szCs w:val="24"/>
          <w:lang w:val="es-ES_tradnl"/>
        </w:rPr>
        <w:tab/>
      </w:r>
      <w:proofErr w:type="gramStart"/>
      <w:r w:rsidRPr="00B230EF">
        <w:rPr>
          <w:sz w:val="24"/>
          <w:szCs w:val="24"/>
          <w:lang w:val="es-ES_tradnl"/>
        </w:rPr>
        <w:t>Asociaciones</w:t>
      </w:r>
      <w:proofErr w:type="gramEnd"/>
      <w:r w:rsidRPr="00B230EF">
        <w:rPr>
          <w:sz w:val="24"/>
          <w:szCs w:val="24"/>
          <w:lang w:val="es-ES_tradnl"/>
        </w:rPr>
        <w:t xml:space="preserve"> y movilización de recursos en 2022</w:t>
      </w:r>
    </w:p>
    <w:p w14:paraId="690EE5DE" w14:textId="55EDCE4C" w:rsidR="00D67585" w:rsidRPr="00B230EF" w:rsidRDefault="00D67585" w:rsidP="00D67585">
      <w:pPr>
        <w:rPr>
          <w:szCs w:val="24"/>
          <w:lang w:val="es-ES_tradnl"/>
        </w:rPr>
      </w:pPr>
      <w:r w:rsidRPr="00B230EF">
        <w:rPr>
          <w:lang w:val="es-ES_tradnl"/>
        </w:rPr>
        <w:t>En 2022, la BDT firmó 71 acuerdos con numerosos asociados, de los cuales 50 tenían contribuciones financieras que ascendían a unos 9,7 millones USD. En el Documento</w:t>
      </w:r>
      <w:r w:rsidR="00F91826">
        <w:rPr>
          <w:lang w:val="es-ES_tradnl"/>
        </w:rPr>
        <w:t> </w:t>
      </w:r>
      <w:proofErr w:type="spellStart"/>
      <w:r w:rsidRPr="00B230EF">
        <w:rPr>
          <w:lang w:val="es-ES_tradnl"/>
        </w:rPr>
        <w:t>TDAG</w:t>
      </w:r>
      <w:proofErr w:type="spellEnd"/>
      <w:r w:rsidR="00FF52E1">
        <w:rPr>
          <w:lang w:val="es-ES_tradnl"/>
        </w:rPr>
        <w:noBreakHyphen/>
      </w:r>
      <w:r w:rsidRPr="00B230EF">
        <w:rPr>
          <w:lang w:val="es-ES_tradnl"/>
        </w:rPr>
        <w:t>23/INF/1 se encuentra la lista de estos acuerdos.</w:t>
      </w:r>
    </w:p>
    <w:p w14:paraId="7B956F67" w14:textId="77777777" w:rsidR="00D67585" w:rsidRPr="00B230EF" w:rsidRDefault="00D67585" w:rsidP="00D67585">
      <w:pPr>
        <w:rPr>
          <w:szCs w:val="24"/>
          <w:lang w:val="es-ES_tradnl"/>
        </w:rPr>
      </w:pPr>
      <w:r w:rsidRPr="00B230EF">
        <w:rPr>
          <w:lang w:val="es-ES_tradnl"/>
        </w:rPr>
        <w:t>La conclusión de todas estas asociaciones ha sido posible gracias a los esfuerzos combinados de los Miembros y socios de la UIT, así como del personal de la BDT, tanto en el terreno como en la Sede.</w:t>
      </w:r>
    </w:p>
    <w:p w14:paraId="2EDFC8FE" w14:textId="77777777" w:rsidR="00D67585" w:rsidRPr="00B230EF" w:rsidRDefault="00D67585" w:rsidP="00D67585">
      <w:pPr>
        <w:rPr>
          <w:lang w:val="es-ES_tradnl"/>
        </w:rPr>
      </w:pPr>
      <w:r w:rsidRPr="00B230EF">
        <w:rPr>
          <w:lang w:val="es-ES_tradnl"/>
        </w:rPr>
        <w:t>Las contribuciones financieras totales firmadas por la BDT y sus socios en 2022 se distribuyeron de la siguiente manera:</w:t>
      </w:r>
    </w:p>
    <w:p w14:paraId="1960A7BB" w14:textId="60C571BA" w:rsidR="00C04AB4" w:rsidRPr="00B230EF" w:rsidRDefault="00C04AB4" w:rsidP="00D67585">
      <w:pPr>
        <w:pStyle w:val="ListParagraph"/>
        <w:spacing w:after="120"/>
        <w:ind w:left="0"/>
        <w:contextualSpacing w:val="0"/>
        <w:rPr>
          <w:lang w:val="es-ES_tradnl"/>
        </w:rPr>
      </w:pPr>
      <w:r w:rsidRPr="00B230EF">
        <w:rPr>
          <w:lang w:val="es-ES_tradnl"/>
        </w:rPr>
        <w:drawing>
          <wp:inline distT="0" distB="0" distL="0" distR="0" wp14:anchorId="1DCD7D3B" wp14:editId="7355F030">
            <wp:extent cx="6119486" cy="18128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231" b="12385"/>
                    <a:stretch/>
                  </pic:blipFill>
                  <pic:spPr bwMode="auto">
                    <a:xfrm>
                      <a:off x="0" y="0"/>
                      <a:ext cx="6120765" cy="1813277"/>
                    </a:xfrm>
                    <a:prstGeom prst="rect">
                      <a:avLst/>
                    </a:prstGeom>
                    <a:noFill/>
                    <a:ln>
                      <a:noFill/>
                    </a:ln>
                    <a:extLst>
                      <a:ext uri="{53640926-AAD7-44D8-BBD7-CCE9431645EC}">
                        <a14:shadowObscured xmlns:a14="http://schemas.microsoft.com/office/drawing/2010/main"/>
                      </a:ext>
                    </a:extLst>
                  </pic:spPr>
                </pic:pic>
              </a:graphicData>
            </a:graphic>
          </wp:inline>
        </w:drawing>
      </w:r>
    </w:p>
    <w:p w14:paraId="4335E76C" w14:textId="2A8DB4DF" w:rsidR="00D67585" w:rsidRPr="00B230EF" w:rsidRDefault="00D67585" w:rsidP="00D67585">
      <w:pPr>
        <w:pStyle w:val="ListParagraph"/>
        <w:spacing w:after="120"/>
        <w:ind w:left="0"/>
        <w:contextualSpacing w:val="0"/>
        <w:rPr>
          <w:szCs w:val="24"/>
          <w:lang w:val="es-ES_tradnl"/>
        </w:rPr>
      </w:pPr>
      <w:r w:rsidRPr="00B230EF">
        <w:rPr>
          <w:lang w:val="es-ES_tradnl"/>
        </w:rPr>
        <w:lastRenderedPageBreak/>
        <w:t>En 2022, la BDT firmó acuerdos con 57 socios diferentes entre los que figuraban entidades gubernamentales (42%), entidades del sector privado (32%), instituciones académicas (7%), organizaciones de las Naciones Unidas (7%), otros (5%), organizaciones y asociaciones internacionales y regionales (4%), instituciones financieras (2%) y fundaciones (2%).</w:t>
      </w:r>
    </w:p>
    <w:p w14:paraId="05FBE1F2" w14:textId="77777777" w:rsidR="00D67585" w:rsidRPr="00B230EF" w:rsidRDefault="00D67585" w:rsidP="00C04AB4">
      <w:pPr>
        <w:pStyle w:val="ListParagraph"/>
        <w:spacing w:after="240"/>
        <w:ind w:left="0"/>
        <w:contextualSpacing w:val="0"/>
        <w:rPr>
          <w:lang w:val="es-ES_tradnl"/>
        </w:rPr>
      </w:pPr>
      <w:r w:rsidRPr="00B230EF">
        <w:rPr>
          <w:lang w:val="es-ES_tradnl"/>
        </w:rPr>
        <w:t>Las contribuciones financieras firmadas de estos socios se distribuyeron con arreglo al siguiente gráfico:</w:t>
      </w:r>
    </w:p>
    <w:p w14:paraId="273A87AE" w14:textId="0DC6126A" w:rsidR="00C04AB4" w:rsidRPr="00B230EF" w:rsidRDefault="00C04AB4" w:rsidP="00D67585">
      <w:pPr>
        <w:tabs>
          <w:tab w:val="clear" w:pos="794"/>
          <w:tab w:val="clear" w:pos="1191"/>
          <w:tab w:val="clear" w:pos="1588"/>
          <w:tab w:val="clear" w:pos="1985"/>
        </w:tabs>
        <w:spacing w:after="120"/>
        <w:rPr>
          <w:lang w:val="es-ES_tradnl"/>
        </w:rPr>
      </w:pPr>
      <w:r w:rsidRPr="00B230EF">
        <w:rPr>
          <w:noProof/>
          <w:lang w:val="es-ES_tradnl"/>
        </w:rPr>
        <w:drawing>
          <wp:inline distT="0" distB="0" distL="0" distR="0" wp14:anchorId="096DE3E3" wp14:editId="722197B6">
            <wp:extent cx="6151245" cy="1901825"/>
            <wp:effectExtent l="0" t="0" r="190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245" cy="1901825"/>
                    </a:xfrm>
                    <a:prstGeom prst="rect">
                      <a:avLst/>
                    </a:prstGeom>
                    <a:noFill/>
                  </pic:spPr>
                </pic:pic>
              </a:graphicData>
            </a:graphic>
          </wp:inline>
        </w:drawing>
      </w:r>
    </w:p>
    <w:p w14:paraId="46761D40" w14:textId="0B73F07C" w:rsidR="00D67585" w:rsidRPr="00B230EF" w:rsidRDefault="00D67585" w:rsidP="00C04AB4">
      <w:pPr>
        <w:tabs>
          <w:tab w:val="clear" w:pos="794"/>
          <w:tab w:val="clear" w:pos="1191"/>
          <w:tab w:val="clear" w:pos="1588"/>
          <w:tab w:val="clear" w:pos="1985"/>
        </w:tabs>
        <w:spacing w:before="240" w:after="120"/>
        <w:rPr>
          <w:szCs w:val="24"/>
          <w:lang w:val="es-ES_tradnl"/>
        </w:rPr>
      </w:pPr>
      <w:r w:rsidRPr="00B230EF">
        <w:rPr>
          <w:lang w:val="es-ES_tradnl"/>
        </w:rPr>
        <w:t xml:space="preserve">Entre estos asociados, el 19% eran Administraciones de la UIT, el 8% entidades relacionadas con Administraciones de la UIT, 12% Miembros de Sector del UIT-D (7% </w:t>
      </w:r>
      <w:proofErr w:type="spellStart"/>
      <w:r w:rsidRPr="00B230EF">
        <w:rPr>
          <w:lang w:val="es-ES_tradnl"/>
        </w:rPr>
        <w:t>SIO</w:t>
      </w:r>
      <w:proofErr w:type="spellEnd"/>
      <w:r w:rsidRPr="00B230EF">
        <w:rPr>
          <w:lang w:val="es-ES_tradnl"/>
        </w:rPr>
        <w:t xml:space="preserve"> y 5% </w:t>
      </w:r>
      <w:proofErr w:type="spellStart"/>
      <w:r w:rsidRPr="00B230EF">
        <w:rPr>
          <w:lang w:val="es-ES_tradnl"/>
        </w:rPr>
        <w:t>EER</w:t>
      </w:r>
      <w:proofErr w:type="spellEnd"/>
      <w:r w:rsidRPr="00B230EF">
        <w:rPr>
          <w:lang w:val="es-ES_tradnl"/>
        </w:rPr>
        <w:t>), 4% organizaciones regionales e internacionales de la UIT, 2% universidades/institutos de investigación de la UIT y 2% otras entidades de la UIT, según las categorías de Miembros de la UIT.</w:t>
      </w:r>
      <w:r w:rsidRPr="00B230EF">
        <w:rPr>
          <w:rStyle w:val="FootnoteReference"/>
          <w:szCs w:val="18"/>
          <w:lang w:val="es-ES_tradnl"/>
        </w:rPr>
        <w:footnoteReference w:id="1"/>
      </w:r>
    </w:p>
    <w:p w14:paraId="3C4D06E7" w14:textId="77777777" w:rsidR="00D67585" w:rsidRPr="00B230EF" w:rsidRDefault="00D67585" w:rsidP="00D231A9">
      <w:pPr>
        <w:spacing w:after="240"/>
        <w:rPr>
          <w:szCs w:val="24"/>
          <w:lang w:val="es-ES_tradnl"/>
        </w:rPr>
      </w:pPr>
      <w:r w:rsidRPr="00B230EF">
        <w:rPr>
          <w:lang w:val="es-ES_tradnl"/>
        </w:rPr>
        <w:t>Los tres socios financieros con las mayores contribuciones en 2022 fueron:</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3284"/>
      </w:tblGrid>
      <w:tr w:rsidR="00D67585" w:rsidRPr="00B230EF" w14:paraId="0FFEA8BA" w14:textId="77777777" w:rsidTr="00DE6714">
        <w:tc>
          <w:tcPr>
            <w:tcW w:w="6350" w:type="dxa"/>
            <w:shd w:val="clear" w:color="auto" w:fill="DBE5F1" w:themeFill="accent1" w:themeFillTint="33"/>
          </w:tcPr>
          <w:p w14:paraId="720E9FE9" w14:textId="77777777" w:rsidR="00D67585" w:rsidRPr="00B230EF" w:rsidRDefault="00D67585" w:rsidP="00DE6714">
            <w:pPr>
              <w:pStyle w:val="Tablehead"/>
              <w:jc w:val="left"/>
              <w:rPr>
                <w:szCs w:val="22"/>
                <w:lang w:val="es-ES_tradnl"/>
              </w:rPr>
            </w:pPr>
            <w:r w:rsidRPr="00B230EF">
              <w:rPr>
                <w:lang w:val="es-ES_tradnl"/>
              </w:rPr>
              <w:t>Socio</w:t>
            </w:r>
          </w:p>
        </w:tc>
        <w:tc>
          <w:tcPr>
            <w:tcW w:w="3284" w:type="dxa"/>
            <w:shd w:val="clear" w:color="auto" w:fill="DBE5F1" w:themeFill="accent1" w:themeFillTint="33"/>
          </w:tcPr>
          <w:p w14:paraId="36199F3D" w14:textId="77777777" w:rsidR="00D67585" w:rsidRPr="00B230EF" w:rsidRDefault="00D67585" w:rsidP="00DE6714">
            <w:pPr>
              <w:pStyle w:val="Tablehead"/>
              <w:rPr>
                <w:szCs w:val="22"/>
                <w:lang w:val="es-ES_tradnl"/>
              </w:rPr>
            </w:pPr>
            <w:r w:rsidRPr="00B230EF">
              <w:rPr>
                <w:lang w:val="es-ES_tradnl"/>
              </w:rPr>
              <w:t>Contribución financiera firmada</w:t>
            </w:r>
          </w:p>
        </w:tc>
      </w:tr>
      <w:tr w:rsidR="00D67585" w:rsidRPr="00B230EF" w14:paraId="13597EE8" w14:textId="77777777" w:rsidTr="00DE6714">
        <w:tc>
          <w:tcPr>
            <w:tcW w:w="6350" w:type="dxa"/>
          </w:tcPr>
          <w:p w14:paraId="379B9893" w14:textId="77777777" w:rsidR="00D67585" w:rsidRPr="00B230EF" w:rsidRDefault="00D67585" w:rsidP="00D87D66">
            <w:pPr>
              <w:tabs>
                <w:tab w:val="clear" w:pos="794"/>
                <w:tab w:val="clear" w:pos="1191"/>
                <w:tab w:val="clear" w:pos="1588"/>
                <w:tab w:val="clear" w:pos="1985"/>
              </w:tabs>
              <w:spacing w:before="60" w:after="60"/>
              <w:rPr>
                <w:sz w:val="22"/>
                <w:szCs w:val="22"/>
                <w:lang w:val="es-ES_tradnl"/>
              </w:rPr>
            </w:pPr>
            <w:r w:rsidRPr="00B230EF">
              <w:rPr>
                <w:lang w:val="es-ES_tradnl"/>
              </w:rPr>
              <w:t>Departamento Federal de Relaciones Exteriores, actuando a través de la Secretaría de Estado, División de las Naciones Unidas, Suiza</w:t>
            </w:r>
          </w:p>
        </w:tc>
        <w:tc>
          <w:tcPr>
            <w:tcW w:w="3284" w:type="dxa"/>
          </w:tcPr>
          <w:p w14:paraId="6739114C" w14:textId="77777777" w:rsidR="00D67585" w:rsidRPr="00B230EF" w:rsidRDefault="00D67585" w:rsidP="00D87D66">
            <w:pPr>
              <w:tabs>
                <w:tab w:val="clear" w:pos="794"/>
                <w:tab w:val="clear" w:pos="1191"/>
                <w:tab w:val="clear" w:pos="1588"/>
                <w:tab w:val="clear" w:pos="1985"/>
              </w:tabs>
              <w:spacing w:before="60" w:after="60"/>
              <w:rPr>
                <w:sz w:val="22"/>
                <w:szCs w:val="22"/>
                <w:lang w:val="es-ES_tradnl"/>
              </w:rPr>
            </w:pPr>
            <w:r w:rsidRPr="00B230EF">
              <w:rPr>
                <w:lang w:val="es-ES_tradnl"/>
              </w:rPr>
              <w:t>2,4 millones CHF</w:t>
            </w:r>
          </w:p>
        </w:tc>
      </w:tr>
      <w:tr w:rsidR="00D67585" w:rsidRPr="00B230EF" w14:paraId="3740AF5A" w14:textId="77777777" w:rsidTr="00DE6714">
        <w:tc>
          <w:tcPr>
            <w:tcW w:w="6350" w:type="dxa"/>
          </w:tcPr>
          <w:p w14:paraId="6B664C24" w14:textId="49ADB53A" w:rsidR="00D67585" w:rsidRPr="00B230EF" w:rsidRDefault="00D67585" w:rsidP="00D87D66">
            <w:pPr>
              <w:tabs>
                <w:tab w:val="clear" w:pos="794"/>
                <w:tab w:val="clear" w:pos="1191"/>
                <w:tab w:val="clear" w:pos="1588"/>
                <w:tab w:val="clear" w:pos="1985"/>
              </w:tabs>
              <w:spacing w:before="60" w:after="60"/>
              <w:rPr>
                <w:sz w:val="22"/>
                <w:szCs w:val="22"/>
                <w:lang w:val="es-ES_tradnl"/>
              </w:rPr>
            </w:pPr>
            <w:r w:rsidRPr="00B230EF">
              <w:rPr>
                <w:lang w:val="es-ES_tradnl"/>
              </w:rPr>
              <w:t xml:space="preserve">Oficina del Fondo Fiduciario </w:t>
            </w:r>
            <w:proofErr w:type="spellStart"/>
            <w:r w:rsidRPr="00B230EF">
              <w:rPr>
                <w:lang w:val="es-ES_tradnl"/>
              </w:rPr>
              <w:t>Multipartito</w:t>
            </w:r>
            <w:proofErr w:type="spellEnd"/>
            <w:r w:rsidRPr="00B230EF">
              <w:rPr>
                <w:lang w:val="es-ES_tradnl"/>
              </w:rPr>
              <w:t xml:space="preserve"> </w:t>
            </w:r>
            <w:proofErr w:type="spellStart"/>
            <w:proofErr w:type="gramStart"/>
            <w:r w:rsidRPr="00B230EF">
              <w:rPr>
                <w:lang w:val="es-ES_tradnl"/>
              </w:rPr>
              <w:t>NN.UU</w:t>
            </w:r>
            <w:proofErr w:type="spellEnd"/>
            <w:proofErr w:type="gramEnd"/>
            <w:r w:rsidRPr="00B230EF">
              <w:rPr>
                <w:lang w:val="es-ES_tradnl"/>
              </w:rPr>
              <w:t>/PNUD</w:t>
            </w:r>
          </w:p>
        </w:tc>
        <w:tc>
          <w:tcPr>
            <w:tcW w:w="3284" w:type="dxa"/>
          </w:tcPr>
          <w:p w14:paraId="4E83F451" w14:textId="77777777" w:rsidR="00D67585" w:rsidRPr="00B230EF" w:rsidRDefault="00D67585" w:rsidP="00D87D66">
            <w:pPr>
              <w:tabs>
                <w:tab w:val="clear" w:pos="794"/>
                <w:tab w:val="clear" w:pos="1191"/>
                <w:tab w:val="clear" w:pos="1588"/>
                <w:tab w:val="clear" w:pos="1985"/>
              </w:tabs>
              <w:spacing w:before="60" w:after="60"/>
              <w:rPr>
                <w:sz w:val="22"/>
                <w:szCs w:val="22"/>
                <w:lang w:val="es-ES_tradnl"/>
              </w:rPr>
            </w:pPr>
            <w:r w:rsidRPr="00B230EF">
              <w:rPr>
                <w:lang w:val="es-ES_tradnl"/>
              </w:rPr>
              <w:t>1,6 millones USD</w:t>
            </w:r>
          </w:p>
        </w:tc>
      </w:tr>
      <w:tr w:rsidR="00D67585" w:rsidRPr="00B230EF" w14:paraId="6F84680C" w14:textId="77777777" w:rsidTr="00DE6714">
        <w:trPr>
          <w:trHeight w:val="535"/>
        </w:trPr>
        <w:tc>
          <w:tcPr>
            <w:tcW w:w="6350" w:type="dxa"/>
          </w:tcPr>
          <w:p w14:paraId="4793E710" w14:textId="77777777" w:rsidR="00D67585" w:rsidRPr="00B230EF" w:rsidRDefault="00D67585" w:rsidP="00D87D66">
            <w:pPr>
              <w:tabs>
                <w:tab w:val="clear" w:pos="794"/>
                <w:tab w:val="clear" w:pos="1191"/>
                <w:tab w:val="clear" w:pos="1588"/>
                <w:tab w:val="clear" w:pos="1985"/>
              </w:tabs>
              <w:spacing w:before="60" w:after="60"/>
              <w:rPr>
                <w:sz w:val="22"/>
                <w:szCs w:val="22"/>
                <w:lang w:val="es-ES_tradnl"/>
              </w:rPr>
            </w:pPr>
            <w:r w:rsidRPr="00B230EF">
              <w:rPr>
                <w:lang w:val="es-ES_tradnl"/>
              </w:rPr>
              <w:t>Departamento de Asuntos Exteriores y Comercio, Australia</w:t>
            </w:r>
          </w:p>
        </w:tc>
        <w:tc>
          <w:tcPr>
            <w:tcW w:w="3284" w:type="dxa"/>
          </w:tcPr>
          <w:p w14:paraId="101422B6" w14:textId="77777777" w:rsidR="00D67585" w:rsidRPr="00B230EF" w:rsidRDefault="00D67585" w:rsidP="00D87D66">
            <w:pPr>
              <w:tabs>
                <w:tab w:val="clear" w:pos="794"/>
                <w:tab w:val="clear" w:pos="1191"/>
                <w:tab w:val="clear" w:pos="1588"/>
                <w:tab w:val="clear" w:pos="1985"/>
              </w:tabs>
              <w:spacing w:before="60" w:after="60"/>
              <w:rPr>
                <w:sz w:val="22"/>
                <w:szCs w:val="22"/>
                <w:lang w:val="es-ES_tradnl"/>
              </w:rPr>
            </w:pPr>
            <w:r w:rsidRPr="00B230EF">
              <w:rPr>
                <w:lang w:val="es-ES_tradnl"/>
              </w:rPr>
              <w:t xml:space="preserve">1,5 millones </w:t>
            </w:r>
            <w:proofErr w:type="spellStart"/>
            <w:r w:rsidRPr="00B230EF">
              <w:rPr>
                <w:lang w:val="es-ES_tradnl"/>
              </w:rPr>
              <w:t>AUD</w:t>
            </w:r>
            <w:proofErr w:type="spellEnd"/>
          </w:p>
        </w:tc>
      </w:tr>
    </w:tbl>
    <w:p w14:paraId="1A8F048B" w14:textId="77777777" w:rsidR="009310B3" w:rsidRDefault="009310B3">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3B3FA69E" w14:textId="7D89625A" w:rsidR="00E225D1" w:rsidRPr="00B230EF" w:rsidRDefault="00D67585" w:rsidP="00D67585">
      <w:pPr>
        <w:spacing w:after="120"/>
        <w:rPr>
          <w:szCs w:val="24"/>
          <w:lang w:val="es-ES_tradnl"/>
        </w:rPr>
      </w:pPr>
      <w:r w:rsidRPr="00B230EF">
        <w:rPr>
          <w:lang w:val="es-ES_tradnl"/>
        </w:rPr>
        <w:lastRenderedPageBreak/>
        <w:t>En el diagrama siguiente se muestra la distribución geográfica de los acuerdos de asociación firmados en 2022 (en términos de número y fondos firmados):</w:t>
      </w:r>
    </w:p>
    <w:p w14:paraId="3FCF9820" w14:textId="03232CBE" w:rsidR="00E225D1" w:rsidRPr="00B230EF" w:rsidRDefault="00C36FFA" w:rsidP="00D67585">
      <w:pPr>
        <w:spacing w:after="120"/>
        <w:rPr>
          <w:lang w:val="es-ES_tradnl"/>
        </w:rPr>
      </w:pPr>
      <w:r w:rsidRPr="00B230EF">
        <w:rPr>
          <w:noProof/>
          <w:lang w:val="es-ES_tradnl"/>
        </w:rPr>
        <w:drawing>
          <wp:inline distT="0" distB="0" distL="0" distR="0" wp14:anchorId="7297FA19" wp14:editId="0ECB296C">
            <wp:extent cx="6120765" cy="25393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539365"/>
                    </a:xfrm>
                    <a:prstGeom prst="rect">
                      <a:avLst/>
                    </a:prstGeom>
                    <a:noFill/>
                    <a:ln>
                      <a:noFill/>
                    </a:ln>
                  </pic:spPr>
                </pic:pic>
              </a:graphicData>
            </a:graphic>
          </wp:inline>
        </w:drawing>
      </w:r>
    </w:p>
    <w:p w14:paraId="6FBE04CB" w14:textId="1A0BDFDD" w:rsidR="00D67585" w:rsidRDefault="00D67585" w:rsidP="00DF07D6">
      <w:pPr>
        <w:spacing w:before="240" w:after="240"/>
        <w:rPr>
          <w:lang w:val="es-ES_tradnl"/>
        </w:rPr>
      </w:pPr>
      <w:r w:rsidRPr="00B230EF">
        <w:rPr>
          <w:lang w:val="es-ES_tradnl"/>
        </w:rPr>
        <w:t>Las prioridades temáticas (de conformidad con el Plan de Acción de Buenos Aires) que se beneficiaron de los acuerdos firmados en 2022 (en cuanto al número y los fondos firmados) fueron las siguientes:</w:t>
      </w:r>
    </w:p>
    <w:p w14:paraId="3D778248" w14:textId="77777777" w:rsidR="00FF52E1" w:rsidRPr="00B230EF" w:rsidRDefault="00FF52E1" w:rsidP="00DF07D6">
      <w:pPr>
        <w:spacing w:before="240" w:after="240"/>
        <w:rPr>
          <w:szCs w:val="24"/>
          <w:lang w:val="es-ES_tradnl"/>
        </w:rPr>
      </w:pPr>
    </w:p>
    <w:p w14:paraId="56EF5BC7" w14:textId="13CBA9CF" w:rsidR="00C04AB4" w:rsidRPr="00B230EF" w:rsidRDefault="00C04AB4" w:rsidP="00D67585">
      <w:pPr>
        <w:spacing w:after="80"/>
        <w:jc w:val="both"/>
        <w:rPr>
          <w:sz w:val="22"/>
          <w:szCs w:val="22"/>
          <w:lang w:val="es-ES_tradnl"/>
        </w:rPr>
      </w:pPr>
      <w:r w:rsidRPr="00B230EF">
        <w:rPr>
          <w:lang w:val="es-ES_tradnl"/>
        </w:rPr>
        <w:drawing>
          <wp:inline distT="0" distB="0" distL="0" distR="0" wp14:anchorId="661F4D17" wp14:editId="4054A91A">
            <wp:extent cx="6120407" cy="2568271"/>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696" b="8691"/>
                    <a:stretch/>
                  </pic:blipFill>
                  <pic:spPr bwMode="auto">
                    <a:xfrm>
                      <a:off x="0" y="0"/>
                      <a:ext cx="6120765" cy="2568421"/>
                    </a:xfrm>
                    <a:prstGeom prst="rect">
                      <a:avLst/>
                    </a:prstGeom>
                    <a:noFill/>
                    <a:ln>
                      <a:noFill/>
                    </a:ln>
                    <a:extLst>
                      <a:ext uri="{53640926-AAD7-44D8-BBD7-CCE9431645EC}">
                        <a14:shadowObscured xmlns:a14="http://schemas.microsoft.com/office/drawing/2010/main"/>
                      </a:ext>
                    </a:extLst>
                  </pic:spPr>
                </pic:pic>
              </a:graphicData>
            </a:graphic>
          </wp:inline>
        </w:drawing>
      </w:r>
    </w:p>
    <w:p w14:paraId="69EAA275" w14:textId="702B09DF" w:rsidR="00D67585" w:rsidRPr="00B230EF" w:rsidRDefault="00477AC0" w:rsidP="00477AC0">
      <w:pPr>
        <w:pStyle w:val="Heading1"/>
        <w:rPr>
          <w:sz w:val="24"/>
          <w:szCs w:val="24"/>
          <w:lang w:val="es-ES_tradnl"/>
        </w:rPr>
      </w:pPr>
      <w:r w:rsidRPr="00B230EF">
        <w:rPr>
          <w:sz w:val="24"/>
          <w:szCs w:val="24"/>
          <w:lang w:val="es-ES_tradnl"/>
        </w:rPr>
        <w:t>4</w:t>
      </w:r>
      <w:r w:rsidRPr="00B230EF">
        <w:rPr>
          <w:sz w:val="24"/>
          <w:szCs w:val="24"/>
          <w:lang w:val="es-ES_tradnl"/>
        </w:rPr>
        <w:tab/>
      </w:r>
      <w:proofErr w:type="gramStart"/>
      <w:r w:rsidR="00D67585" w:rsidRPr="00B230EF">
        <w:rPr>
          <w:sz w:val="24"/>
          <w:szCs w:val="24"/>
          <w:lang w:val="es-ES_tradnl"/>
        </w:rPr>
        <w:t>Asociaciones</w:t>
      </w:r>
      <w:proofErr w:type="gramEnd"/>
      <w:r w:rsidR="00D67585" w:rsidRPr="00B230EF">
        <w:rPr>
          <w:sz w:val="24"/>
          <w:szCs w:val="24"/>
          <w:lang w:val="es-ES_tradnl"/>
        </w:rPr>
        <w:t xml:space="preserve"> y resultados de la movilización de recursos entre el 1 de enero y el 30 de abril de 2023</w:t>
      </w:r>
    </w:p>
    <w:p w14:paraId="6967537E" w14:textId="50FE89BF" w:rsidR="00D67585" w:rsidRPr="00B230EF" w:rsidRDefault="00D67585" w:rsidP="00D67585">
      <w:pPr>
        <w:spacing w:after="120"/>
        <w:rPr>
          <w:szCs w:val="24"/>
          <w:lang w:val="es-ES_tradnl"/>
        </w:rPr>
      </w:pPr>
      <w:r w:rsidRPr="00B230EF">
        <w:rPr>
          <w:lang w:val="es-ES_tradnl"/>
        </w:rPr>
        <w:t>Entre el 1 de enero y el 30 de abril de 2023, la BDT firmó 30 acuerdos con numerosos socios, de los cuales 12 tenían contribuciones financieras por unos 5,4 millones USD. En el Documento</w:t>
      </w:r>
      <w:r w:rsidR="00D231A9">
        <w:rPr>
          <w:lang w:val="es-ES_tradnl"/>
        </w:rPr>
        <w:t> </w:t>
      </w:r>
      <w:proofErr w:type="spellStart"/>
      <w:r w:rsidRPr="00B230EF">
        <w:rPr>
          <w:lang w:val="es-ES_tradnl"/>
        </w:rPr>
        <w:t>TDAG</w:t>
      </w:r>
      <w:proofErr w:type="spellEnd"/>
      <w:r w:rsidR="00DF07D6" w:rsidRPr="00B230EF">
        <w:rPr>
          <w:lang w:val="es-ES_tradnl"/>
        </w:rPr>
        <w:noBreakHyphen/>
      </w:r>
      <w:r w:rsidRPr="00B230EF">
        <w:rPr>
          <w:lang w:val="es-ES_tradnl"/>
        </w:rPr>
        <w:t>23/INF/1 se encuentra la lista de estos acuerdos.</w:t>
      </w:r>
    </w:p>
    <w:p w14:paraId="5AED0ACF" w14:textId="77777777" w:rsidR="00D231A9" w:rsidRDefault="00D231A9">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2815B62F" w14:textId="4FF73D07" w:rsidR="00D67585" w:rsidRPr="00B230EF" w:rsidRDefault="00D67585" w:rsidP="00DF07D6">
      <w:pPr>
        <w:spacing w:after="240"/>
        <w:rPr>
          <w:szCs w:val="24"/>
          <w:lang w:val="es-ES_tradnl"/>
        </w:rPr>
      </w:pPr>
      <w:r w:rsidRPr="00B230EF">
        <w:rPr>
          <w:lang w:val="es-ES_tradnl"/>
        </w:rPr>
        <w:lastRenderedPageBreak/>
        <w:t>Las contribuciones financieras totales firmadas por la BDT y sus socios en 2022 se distribuyeron de la siguiente manera:</w:t>
      </w:r>
    </w:p>
    <w:p w14:paraId="29654E27" w14:textId="77777777" w:rsidR="00DF07D6" w:rsidRPr="00B230EF" w:rsidRDefault="00DF07D6" w:rsidP="00DF07D6">
      <w:pPr>
        <w:tabs>
          <w:tab w:val="clear" w:pos="794"/>
          <w:tab w:val="clear" w:pos="1191"/>
          <w:tab w:val="clear" w:pos="1588"/>
          <w:tab w:val="clear" w:pos="1985"/>
        </w:tabs>
        <w:spacing w:after="120"/>
        <w:jc w:val="both"/>
        <w:rPr>
          <w:lang w:val="es-ES_tradnl"/>
        </w:rPr>
      </w:pPr>
      <w:r w:rsidRPr="00B230EF">
        <w:rPr>
          <w:noProof/>
          <w:lang w:val="es-ES_tradnl"/>
        </w:rPr>
        <w:drawing>
          <wp:inline distT="0" distB="0" distL="0" distR="0" wp14:anchorId="2E73F700" wp14:editId="31D783C2">
            <wp:extent cx="5706110" cy="1767840"/>
            <wp:effectExtent l="0" t="0" r="8890" b="3810"/>
            <wp:docPr id="38" name="Picture 3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 screenshot, font,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1767840"/>
                    </a:xfrm>
                    <a:prstGeom prst="rect">
                      <a:avLst/>
                    </a:prstGeom>
                    <a:noFill/>
                  </pic:spPr>
                </pic:pic>
              </a:graphicData>
            </a:graphic>
          </wp:inline>
        </w:drawing>
      </w:r>
    </w:p>
    <w:p w14:paraId="63FAF7F9" w14:textId="2ABFC88F" w:rsidR="00D67585" w:rsidRPr="00B230EF" w:rsidRDefault="00D67585" w:rsidP="00D231A9">
      <w:pPr>
        <w:spacing w:before="240" w:after="240"/>
        <w:rPr>
          <w:szCs w:val="24"/>
          <w:lang w:val="es-ES_tradnl"/>
        </w:rPr>
      </w:pPr>
      <w:r w:rsidRPr="00B230EF">
        <w:rPr>
          <w:lang w:val="es-ES_tradnl"/>
        </w:rPr>
        <w:t>Los tres socios financieros con las mayores contribuciones entre enero y finales de abril de 2023 fueron:</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4"/>
        <w:gridCol w:w="9"/>
        <w:gridCol w:w="3261"/>
      </w:tblGrid>
      <w:tr w:rsidR="00D67585" w:rsidRPr="00B230EF" w14:paraId="61B35C91" w14:textId="77777777" w:rsidTr="00D231A9">
        <w:tc>
          <w:tcPr>
            <w:tcW w:w="6373" w:type="dxa"/>
            <w:gridSpan w:val="2"/>
            <w:shd w:val="clear" w:color="auto" w:fill="DBE5F1" w:themeFill="accent1" w:themeFillTint="33"/>
          </w:tcPr>
          <w:p w14:paraId="2E07EF90" w14:textId="77777777" w:rsidR="00D67585" w:rsidRPr="00B230EF" w:rsidRDefault="00D67585" w:rsidP="00D231A9">
            <w:pPr>
              <w:pStyle w:val="Tablehead"/>
              <w:jc w:val="left"/>
              <w:rPr>
                <w:szCs w:val="22"/>
                <w:lang w:val="es-ES_tradnl"/>
              </w:rPr>
            </w:pPr>
            <w:r w:rsidRPr="00B230EF">
              <w:rPr>
                <w:lang w:val="es-ES_tradnl"/>
              </w:rPr>
              <w:t>Socio</w:t>
            </w:r>
          </w:p>
        </w:tc>
        <w:tc>
          <w:tcPr>
            <w:tcW w:w="3261" w:type="dxa"/>
            <w:shd w:val="clear" w:color="auto" w:fill="DBE5F1" w:themeFill="accent1" w:themeFillTint="33"/>
          </w:tcPr>
          <w:p w14:paraId="017E3491" w14:textId="77777777" w:rsidR="00D67585" w:rsidRPr="00B230EF" w:rsidRDefault="00D67585" w:rsidP="00D231A9">
            <w:pPr>
              <w:pStyle w:val="Tablehead"/>
              <w:jc w:val="left"/>
              <w:rPr>
                <w:szCs w:val="22"/>
                <w:lang w:val="es-ES_tradnl"/>
              </w:rPr>
            </w:pPr>
            <w:r w:rsidRPr="00B230EF">
              <w:rPr>
                <w:lang w:val="es-ES_tradnl"/>
              </w:rPr>
              <w:t>Contribución financiera firmada</w:t>
            </w:r>
          </w:p>
        </w:tc>
      </w:tr>
      <w:tr w:rsidR="00D67585" w:rsidRPr="00B230EF" w14:paraId="2D28A6C3" w14:textId="77777777" w:rsidTr="00D231A9">
        <w:tc>
          <w:tcPr>
            <w:tcW w:w="6364" w:type="dxa"/>
          </w:tcPr>
          <w:p w14:paraId="38F301DE" w14:textId="77777777" w:rsidR="00D67585" w:rsidRPr="00B230EF" w:rsidRDefault="00D67585" w:rsidP="00D231A9">
            <w:pPr>
              <w:pStyle w:val="Tabletext"/>
              <w:rPr>
                <w:szCs w:val="22"/>
                <w:lang w:val="es-ES_tradnl"/>
              </w:rPr>
            </w:pPr>
            <w:r w:rsidRPr="00B230EF">
              <w:rPr>
                <w:lang w:val="es-ES_tradnl"/>
              </w:rPr>
              <w:t>Comisión Europea</w:t>
            </w:r>
          </w:p>
        </w:tc>
        <w:tc>
          <w:tcPr>
            <w:tcW w:w="3270" w:type="dxa"/>
            <w:gridSpan w:val="2"/>
          </w:tcPr>
          <w:p w14:paraId="5D9B62C2" w14:textId="77777777" w:rsidR="00D67585" w:rsidRPr="00B230EF" w:rsidRDefault="00D67585" w:rsidP="00D231A9">
            <w:pPr>
              <w:pStyle w:val="Tabletext"/>
              <w:rPr>
                <w:szCs w:val="22"/>
                <w:lang w:val="es-ES_tradnl"/>
              </w:rPr>
            </w:pPr>
            <w:r w:rsidRPr="00B230EF">
              <w:rPr>
                <w:lang w:val="es-ES_tradnl"/>
              </w:rPr>
              <w:t>3 millones EUR</w:t>
            </w:r>
          </w:p>
        </w:tc>
      </w:tr>
      <w:tr w:rsidR="00D67585" w:rsidRPr="00B230EF" w14:paraId="75BDCAFA" w14:textId="77777777" w:rsidTr="00D231A9">
        <w:tc>
          <w:tcPr>
            <w:tcW w:w="6364" w:type="dxa"/>
          </w:tcPr>
          <w:p w14:paraId="0B924B1A" w14:textId="77777777" w:rsidR="00D67585" w:rsidRPr="00D231A9" w:rsidRDefault="00D67585" w:rsidP="00D231A9">
            <w:pPr>
              <w:pStyle w:val="Tabletext"/>
              <w:rPr>
                <w:szCs w:val="22"/>
                <w:lang w:val="nl-NL"/>
              </w:rPr>
            </w:pPr>
            <w:r w:rsidRPr="00D231A9">
              <w:rPr>
                <w:lang w:val="nl-NL"/>
              </w:rPr>
              <w:t xml:space="preserve">Deutsche Gesellschaft für Internationale Zusammenarbeit GmbH </w:t>
            </w:r>
          </w:p>
        </w:tc>
        <w:tc>
          <w:tcPr>
            <w:tcW w:w="3270" w:type="dxa"/>
            <w:gridSpan w:val="2"/>
          </w:tcPr>
          <w:p w14:paraId="0657EA22" w14:textId="77777777" w:rsidR="00D67585" w:rsidRPr="00B230EF" w:rsidRDefault="00D67585" w:rsidP="00D231A9">
            <w:pPr>
              <w:pStyle w:val="Tabletext"/>
              <w:rPr>
                <w:szCs w:val="22"/>
                <w:lang w:val="es-ES_tradnl"/>
              </w:rPr>
            </w:pPr>
            <w:r w:rsidRPr="00B230EF">
              <w:rPr>
                <w:lang w:val="es-ES_tradnl"/>
              </w:rPr>
              <w:t>0,9 millones EUR</w:t>
            </w:r>
          </w:p>
        </w:tc>
      </w:tr>
      <w:tr w:rsidR="00D67585" w:rsidRPr="00B230EF" w14:paraId="0417F90A" w14:textId="77777777" w:rsidTr="00D231A9">
        <w:trPr>
          <w:trHeight w:val="535"/>
        </w:trPr>
        <w:tc>
          <w:tcPr>
            <w:tcW w:w="6364" w:type="dxa"/>
          </w:tcPr>
          <w:p w14:paraId="0D20D49B" w14:textId="77777777" w:rsidR="00D67585" w:rsidRPr="00B230EF" w:rsidRDefault="00D67585" w:rsidP="00D231A9">
            <w:pPr>
              <w:pStyle w:val="Tabletext"/>
              <w:rPr>
                <w:szCs w:val="22"/>
                <w:lang w:val="es-ES_tradnl"/>
              </w:rPr>
            </w:pPr>
            <w:r w:rsidRPr="00B230EF">
              <w:rPr>
                <w:lang w:val="es-ES_tradnl"/>
              </w:rPr>
              <w:t>Ministerio del Interior y Comunicaciones</w:t>
            </w:r>
          </w:p>
        </w:tc>
        <w:tc>
          <w:tcPr>
            <w:tcW w:w="3270" w:type="dxa"/>
            <w:gridSpan w:val="2"/>
          </w:tcPr>
          <w:p w14:paraId="3F88F47B" w14:textId="77777777" w:rsidR="00D67585" w:rsidRPr="00B230EF" w:rsidRDefault="00D67585" w:rsidP="00D231A9">
            <w:pPr>
              <w:pStyle w:val="Tabletext"/>
              <w:rPr>
                <w:szCs w:val="22"/>
                <w:lang w:val="es-ES_tradnl"/>
              </w:rPr>
            </w:pPr>
            <w:r w:rsidRPr="00B230EF">
              <w:rPr>
                <w:lang w:val="es-ES_tradnl"/>
              </w:rPr>
              <w:t>0,6 millones USD</w:t>
            </w:r>
          </w:p>
        </w:tc>
      </w:tr>
    </w:tbl>
    <w:p w14:paraId="26B9ACC2" w14:textId="641D17B7" w:rsidR="00D67585" w:rsidRPr="00B230EF" w:rsidRDefault="00D67585" w:rsidP="00D231A9">
      <w:pPr>
        <w:spacing w:before="240"/>
        <w:rPr>
          <w:szCs w:val="24"/>
          <w:lang w:val="es-ES_tradnl"/>
        </w:rPr>
      </w:pPr>
      <w:r w:rsidRPr="00B230EF">
        <w:rPr>
          <w:lang w:val="es-ES_tradnl"/>
        </w:rPr>
        <w:t>Durante el periodo comprendido entre el 1 de enero y el 30 de abril de 2023, la BDT firmó acuerdos con 26 socios diferentes, entre los que se cuentan instituciones académicas (35%), entidades gubernamentales (31%), organizaciones de las Naciones Unidas (15%), entidades del sector privado (8%), organizaciones y asociaciones internacionales y regionales (8%) e instituciones financieras (4%).</w:t>
      </w:r>
    </w:p>
    <w:p w14:paraId="3C2543D3" w14:textId="53BD1210" w:rsidR="00D67585" w:rsidRPr="00B230EF" w:rsidRDefault="00D67585" w:rsidP="00D231A9">
      <w:pPr>
        <w:spacing w:after="240"/>
        <w:rPr>
          <w:szCs w:val="24"/>
          <w:lang w:val="es-ES_tradnl"/>
        </w:rPr>
      </w:pPr>
      <w:r w:rsidRPr="00B230EF">
        <w:rPr>
          <w:lang w:val="es-ES_tradnl"/>
        </w:rPr>
        <w:t>Las contribuciones financieras firmadas de estos socios se distribuyeron con arreglo al siguiente gráfico:</w:t>
      </w:r>
    </w:p>
    <w:p w14:paraId="28FD4E3F" w14:textId="37E457E4" w:rsidR="00DF07D6" w:rsidRPr="00B230EF" w:rsidRDefault="00EC4F21" w:rsidP="00D67585">
      <w:pPr>
        <w:pStyle w:val="ListParagraph"/>
        <w:spacing w:before="0"/>
        <w:ind w:left="0"/>
        <w:contextualSpacing w:val="0"/>
        <w:jc w:val="both"/>
        <w:rPr>
          <w:sz w:val="22"/>
          <w:szCs w:val="22"/>
          <w:lang w:val="es-ES_tradnl"/>
        </w:rPr>
      </w:pPr>
      <w:r w:rsidRPr="00B230EF">
        <w:rPr>
          <w:lang w:val="es-ES_tradnl"/>
        </w:rPr>
        <w:drawing>
          <wp:inline distT="0" distB="0" distL="0" distR="0" wp14:anchorId="0DAD4E81" wp14:editId="5F6C6975">
            <wp:extent cx="6120765" cy="213442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651"/>
                    <a:stretch/>
                  </pic:blipFill>
                  <pic:spPr bwMode="auto">
                    <a:xfrm>
                      <a:off x="0" y="0"/>
                      <a:ext cx="6120765" cy="2134428"/>
                    </a:xfrm>
                    <a:prstGeom prst="rect">
                      <a:avLst/>
                    </a:prstGeom>
                    <a:noFill/>
                    <a:ln>
                      <a:noFill/>
                    </a:ln>
                    <a:extLst>
                      <a:ext uri="{53640926-AAD7-44D8-BBD7-CCE9431645EC}">
                        <a14:shadowObscured xmlns:a14="http://schemas.microsoft.com/office/drawing/2010/main"/>
                      </a:ext>
                    </a:extLst>
                  </pic:spPr>
                </pic:pic>
              </a:graphicData>
            </a:graphic>
          </wp:inline>
        </w:drawing>
      </w:r>
    </w:p>
    <w:p w14:paraId="4EB2D0B8" w14:textId="1B73EFAE" w:rsidR="00D67585" w:rsidRPr="00B230EF" w:rsidRDefault="00D67585" w:rsidP="00D231A9">
      <w:pPr>
        <w:pStyle w:val="ListParagraph"/>
        <w:spacing w:before="240" w:after="120"/>
        <w:ind w:left="0"/>
        <w:contextualSpacing w:val="0"/>
        <w:rPr>
          <w:szCs w:val="24"/>
          <w:lang w:val="es-ES_tradnl"/>
        </w:rPr>
      </w:pPr>
      <w:r w:rsidRPr="00B230EF">
        <w:rPr>
          <w:lang w:val="es-ES_tradnl"/>
        </w:rPr>
        <w:t>Entre estos asociados, el 15% eran Administraciones</w:t>
      </w:r>
      <w:r w:rsidR="00EC4F21" w:rsidRPr="00B230EF">
        <w:rPr>
          <w:lang w:val="es-ES_tradnl"/>
        </w:rPr>
        <w:t xml:space="preserve"> </w:t>
      </w:r>
      <w:r w:rsidRPr="00B230EF">
        <w:rPr>
          <w:lang w:val="es-ES_tradnl"/>
        </w:rPr>
        <w:t>de la UIT, el 12% universidades/institutos de investigación de la UIT, el 8% Miembros de Sector del UIT-D (</w:t>
      </w:r>
      <w:proofErr w:type="spellStart"/>
      <w:r w:rsidRPr="00B230EF">
        <w:rPr>
          <w:lang w:val="es-ES_tradnl"/>
        </w:rPr>
        <w:t>SIO</w:t>
      </w:r>
      <w:proofErr w:type="spellEnd"/>
      <w:r w:rsidRPr="00B230EF">
        <w:rPr>
          <w:lang w:val="es-ES_tradnl"/>
        </w:rPr>
        <w:t>) y el 4% organizaciones regionales e internacionales de la UIT, según las categorías de Miembros de la UIT.</w:t>
      </w:r>
    </w:p>
    <w:p w14:paraId="3CFDFA96" w14:textId="49BEAAB2" w:rsidR="00D67585" w:rsidRPr="00B230EF" w:rsidRDefault="00D67585" w:rsidP="00EC4F21">
      <w:pPr>
        <w:spacing w:after="240"/>
        <w:rPr>
          <w:szCs w:val="24"/>
          <w:lang w:val="es-ES_tradnl"/>
        </w:rPr>
      </w:pPr>
      <w:r w:rsidRPr="00B230EF">
        <w:rPr>
          <w:lang w:val="es-ES_tradnl"/>
        </w:rPr>
        <w:lastRenderedPageBreak/>
        <w:t>En el siguiente gráfico se muestra la distribución geográfica de los acuerdos de asociación firmados entre el 1 de enero y el 30 de abril de 2023 (en cuanto al número y los fondos firmados):</w:t>
      </w:r>
    </w:p>
    <w:p w14:paraId="1A8AC87B" w14:textId="178E2E54" w:rsidR="00EC4F21" w:rsidRPr="00B230EF" w:rsidRDefault="00EC4F21" w:rsidP="00915498">
      <w:pPr>
        <w:spacing w:after="240"/>
        <w:rPr>
          <w:lang w:val="es-ES_tradnl"/>
        </w:rPr>
      </w:pPr>
      <w:r w:rsidRPr="00B230EF">
        <w:rPr>
          <w:lang w:val="es-ES_tradnl"/>
        </w:rPr>
        <w:drawing>
          <wp:inline distT="0" distB="0" distL="0" distR="0" wp14:anchorId="52325209" wp14:editId="3D81AC50">
            <wp:extent cx="6120057" cy="2297927"/>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948" b="3692"/>
                    <a:stretch/>
                  </pic:blipFill>
                  <pic:spPr bwMode="auto">
                    <a:xfrm>
                      <a:off x="0" y="0"/>
                      <a:ext cx="6120765" cy="2298193"/>
                    </a:xfrm>
                    <a:prstGeom prst="rect">
                      <a:avLst/>
                    </a:prstGeom>
                    <a:noFill/>
                    <a:ln>
                      <a:noFill/>
                    </a:ln>
                    <a:extLst>
                      <a:ext uri="{53640926-AAD7-44D8-BBD7-CCE9431645EC}">
                        <a14:shadowObscured xmlns:a14="http://schemas.microsoft.com/office/drawing/2010/main"/>
                      </a:ext>
                    </a:extLst>
                  </pic:spPr>
                </pic:pic>
              </a:graphicData>
            </a:graphic>
          </wp:inline>
        </w:drawing>
      </w:r>
    </w:p>
    <w:p w14:paraId="1EAA9057" w14:textId="15FCB3CF" w:rsidR="00D67585" w:rsidRPr="00B230EF" w:rsidRDefault="00D67585" w:rsidP="00EC4F21">
      <w:pPr>
        <w:spacing w:before="240" w:after="120"/>
        <w:rPr>
          <w:szCs w:val="24"/>
          <w:lang w:val="es-ES_tradnl"/>
        </w:rPr>
      </w:pPr>
      <w:r w:rsidRPr="00B230EF">
        <w:rPr>
          <w:lang w:val="es-ES_tradnl"/>
        </w:rPr>
        <w:t>En relación con las prioridades del UIT-D (Plan de Acción de Kigali) los acuerdos firmados entre principios de enero de 2023 y finales de abril de 2023 (en términos de número y fondos firmados) se distribuyeron de la siguiente manera:</w:t>
      </w:r>
    </w:p>
    <w:p w14:paraId="6663EE3A" w14:textId="77777777" w:rsidR="00EC4F21" w:rsidRPr="00B230EF" w:rsidRDefault="00EC4F21" w:rsidP="00EC4F21">
      <w:pPr>
        <w:tabs>
          <w:tab w:val="clear" w:pos="794"/>
          <w:tab w:val="clear" w:pos="1191"/>
          <w:tab w:val="clear" w:pos="1588"/>
          <w:tab w:val="clear" w:pos="1985"/>
        </w:tabs>
        <w:jc w:val="both"/>
        <w:rPr>
          <w:b/>
          <w:bCs/>
          <w:sz w:val="22"/>
          <w:szCs w:val="18"/>
          <w:lang w:val="es-ES_tradnl"/>
        </w:rPr>
      </w:pPr>
      <w:r w:rsidRPr="00B230EF">
        <w:rPr>
          <w:lang w:val="es-ES_tradnl"/>
        </w:rPr>
        <w:drawing>
          <wp:inline distT="0" distB="0" distL="0" distR="0" wp14:anchorId="22B725ED" wp14:editId="6736BC6D">
            <wp:extent cx="6120637" cy="2456953"/>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274" b="5784"/>
                    <a:stretch/>
                  </pic:blipFill>
                  <pic:spPr bwMode="auto">
                    <a:xfrm>
                      <a:off x="0" y="0"/>
                      <a:ext cx="6120765" cy="2457004"/>
                    </a:xfrm>
                    <a:prstGeom prst="rect">
                      <a:avLst/>
                    </a:prstGeom>
                    <a:noFill/>
                    <a:ln>
                      <a:noFill/>
                    </a:ln>
                    <a:extLst>
                      <a:ext uri="{53640926-AAD7-44D8-BBD7-CCE9431645EC}">
                        <a14:shadowObscured xmlns:a14="http://schemas.microsoft.com/office/drawing/2010/main"/>
                      </a:ext>
                    </a:extLst>
                  </pic:spPr>
                </pic:pic>
              </a:graphicData>
            </a:graphic>
          </wp:inline>
        </w:drawing>
      </w:r>
    </w:p>
    <w:p w14:paraId="3825541C" w14:textId="42734F77" w:rsidR="00D67585" w:rsidRPr="00B230EF" w:rsidRDefault="00D67585" w:rsidP="00D67585">
      <w:pPr>
        <w:tabs>
          <w:tab w:val="clear" w:pos="794"/>
          <w:tab w:val="clear" w:pos="1191"/>
          <w:tab w:val="clear" w:pos="1588"/>
          <w:tab w:val="clear" w:pos="1985"/>
        </w:tabs>
        <w:spacing w:afterLines="120" w:after="288"/>
        <w:jc w:val="both"/>
        <w:rPr>
          <w:lang w:val="es-ES_tradnl"/>
        </w:rPr>
      </w:pPr>
      <w:r w:rsidRPr="00B230EF">
        <w:rPr>
          <w:lang w:val="es-ES_tradnl"/>
        </w:rPr>
        <w:t>En los gráficos siguientes se compara el número de acuerdos y fondos firmados para el periodo comprendido entre el 1 de enero y el 30 de abril, tanto en 2022 como en 2023:</w:t>
      </w:r>
    </w:p>
    <w:p w14:paraId="26B1DAAC" w14:textId="435CC190" w:rsidR="00EC4F21" w:rsidRPr="00B230EF" w:rsidRDefault="00EC4F21" w:rsidP="00F2145F">
      <w:pPr>
        <w:spacing w:before="240"/>
        <w:rPr>
          <w:lang w:val="es-ES_tradnl"/>
        </w:rPr>
      </w:pPr>
      <w:r w:rsidRPr="00B230EF">
        <w:rPr>
          <w:lang w:val="es-ES_tradnl"/>
        </w:rPr>
        <w:drawing>
          <wp:inline distT="0" distB="0" distL="0" distR="0" wp14:anchorId="587A8EF9" wp14:editId="268DEBAC">
            <wp:extent cx="6119233" cy="2186609"/>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3602" b="8454"/>
                    <a:stretch/>
                  </pic:blipFill>
                  <pic:spPr bwMode="auto">
                    <a:xfrm>
                      <a:off x="0" y="0"/>
                      <a:ext cx="6120765" cy="2187157"/>
                    </a:xfrm>
                    <a:prstGeom prst="rect">
                      <a:avLst/>
                    </a:prstGeom>
                    <a:noFill/>
                    <a:ln>
                      <a:noFill/>
                    </a:ln>
                    <a:extLst>
                      <a:ext uri="{53640926-AAD7-44D8-BBD7-CCE9431645EC}">
                        <a14:shadowObscured xmlns:a14="http://schemas.microsoft.com/office/drawing/2010/main"/>
                      </a:ext>
                    </a:extLst>
                  </pic:spPr>
                </pic:pic>
              </a:graphicData>
            </a:graphic>
          </wp:inline>
        </w:drawing>
      </w:r>
    </w:p>
    <w:p w14:paraId="45E13137" w14:textId="09E4168C" w:rsidR="00D67585" w:rsidRPr="00B230EF" w:rsidRDefault="00D67585" w:rsidP="00F2145F">
      <w:pPr>
        <w:spacing w:before="240"/>
        <w:rPr>
          <w:szCs w:val="24"/>
          <w:lang w:val="es-ES_tradnl"/>
        </w:rPr>
      </w:pPr>
      <w:r w:rsidRPr="00B230EF">
        <w:rPr>
          <w:lang w:val="es-ES_tradnl"/>
        </w:rPr>
        <w:lastRenderedPageBreak/>
        <w:t xml:space="preserve">Los resultados de la Coalición Digital </w:t>
      </w:r>
      <w:proofErr w:type="spellStart"/>
      <w:r w:rsidRPr="00B230EF">
        <w:rPr>
          <w:lang w:val="es-ES_tradnl"/>
        </w:rPr>
        <w:t>Partner2Connect</w:t>
      </w:r>
      <w:proofErr w:type="spellEnd"/>
      <w:r w:rsidRPr="00B230EF">
        <w:rPr>
          <w:lang w:val="es-ES_tradnl"/>
        </w:rPr>
        <w:t xml:space="preserve">, que registró 617 compromisos valorados en 30 000 millones USD al 30 de abril de 2023, brindan a la BDT la posibilidad de firmar nuevos acuerdos. Se dedicará un segmento especial de los Foros Regionales de Desarrollo a la Coalición Digital </w:t>
      </w:r>
      <w:proofErr w:type="spellStart"/>
      <w:r w:rsidRPr="00B230EF">
        <w:rPr>
          <w:lang w:val="es-ES_tradnl"/>
        </w:rPr>
        <w:t>Partner2Connect</w:t>
      </w:r>
      <w:proofErr w:type="spellEnd"/>
      <w:r w:rsidRPr="00B230EF">
        <w:rPr>
          <w:lang w:val="es-ES_tradnl"/>
        </w:rPr>
        <w:t xml:space="preserve">, que brindará a las partes interesadas la oportunidad de expresar sus compromisos que podrían basarse en las promesas que ya han formulado o en nuevas promesas destinadas a atender las necesidades de los países con el fin de promover el desarrollo digital en las distintas regiones. Para más información sobre la Coalición Digital </w:t>
      </w:r>
      <w:proofErr w:type="spellStart"/>
      <w:r w:rsidRPr="00B230EF">
        <w:rPr>
          <w:lang w:val="es-ES_tradnl"/>
        </w:rPr>
        <w:t>Partner2Connect</w:t>
      </w:r>
      <w:proofErr w:type="spellEnd"/>
      <w:r w:rsidRPr="00B230EF">
        <w:rPr>
          <w:lang w:val="es-ES_tradnl"/>
        </w:rPr>
        <w:t xml:space="preserve">, véase </w:t>
      </w:r>
      <w:proofErr w:type="spellStart"/>
      <w:r w:rsidRPr="00B230EF">
        <w:rPr>
          <w:lang w:val="es-ES_tradnl"/>
        </w:rPr>
        <w:t>TDAG</w:t>
      </w:r>
      <w:proofErr w:type="spellEnd"/>
      <w:r w:rsidRPr="00B230EF">
        <w:rPr>
          <w:lang w:val="es-ES_tradnl"/>
        </w:rPr>
        <w:t>-23/14 (Iniciativas especiales de la UIT).</w:t>
      </w:r>
    </w:p>
    <w:p w14:paraId="6B29D648" w14:textId="738BE4AD" w:rsidR="00D67585" w:rsidRPr="00B230EF" w:rsidRDefault="00477AC0" w:rsidP="00477AC0">
      <w:pPr>
        <w:pStyle w:val="Heading1"/>
        <w:rPr>
          <w:sz w:val="24"/>
          <w:szCs w:val="24"/>
          <w:lang w:val="es-ES_tradnl"/>
        </w:rPr>
      </w:pPr>
      <w:r w:rsidRPr="00B230EF">
        <w:rPr>
          <w:sz w:val="24"/>
          <w:szCs w:val="24"/>
          <w:lang w:val="es-ES_tradnl"/>
        </w:rPr>
        <w:t>5</w:t>
      </w:r>
      <w:r w:rsidRPr="00B230EF">
        <w:rPr>
          <w:sz w:val="24"/>
          <w:szCs w:val="24"/>
          <w:lang w:val="es-ES_tradnl"/>
        </w:rPr>
        <w:tab/>
      </w:r>
      <w:proofErr w:type="gramStart"/>
      <w:r w:rsidR="00D67585" w:rsidRPr="00B230EF">
        <w:rPr>
          <w:sz w:val="24"/>
          <w:szCs w:val="24"/>
          <w:lang w:val="es-ES_tradnl"/>
        </w:rPr>
        <w:t>Acciones</w:t>
      </w:r>
      <w:proofErr w:type="gramEnd"/>
      <w:r w:rsidR="00D67585" w:rsidRPr="00B230EF">
        <w:rPr>
          <w:sz w:val="24"/>
          <w:szCs w:val="24"/>
          <w:lang w:val="es-ES_tradnl"/>
        </w:rPr>
        <w:t xml:space="preserve"> y resultados clave</w:t>
      </w:r>
    </w:p>
    <w:p w14:paraId="3F0E770D" w14:textId="77777777" w:rsidR="00D67585" w:rsidRPr="00B230EF" w:rsidRDefault="00D67585" w:rsidP="00477AC0">
      <w:pPr>
        <w:rPr>
          <w:lang w:val="es-ES_tradnl"/>
        </w:rPr>
      </w:pPr>
      <w:r w:rsidRPr="00B230EF">
        <w:rPr>
          <w:lang w:val="es-ES_tradnl"/>
        </w:rPr>
        <w:t>La BDT ha estado llevando a cabo una serie de acciones estratégicas que incluyen el desarrollo y la mejora de sus productos internos y servicios externos a fin de mejorar las asociaciones y la movilización de recursos, como:</w:t>
      </w:r>
    </w:p>
    <w:p w14:paraId="28FA00F8" w14:textId="639126E7" w:rsidR="00D67585" w:rsidRPr="00B230EF" w:rsidRDefault="00477AC0" w:rsidP="00477AC0">
      <w:pPr>
        <w:pStyle w:val="enumlev1"/>
        <w:rPr>
          <w:lang w:val="es-ES_tradnl"/>
        </w:rPr>
      </w:pPr>
      <w:r w:rsidRPr="00B230EF">
        <w:rPr>
          <w:lang w:val="es-ES_tradnl"/>
        </w:rPr>
        <w:t>–</w:t>
      </w:r>
      <w:r w:rsidRPr="00B230EF">
        <w:rPr>
          <w:lang w:val="es-ES_tradnl"/>
        </w:rPr>
        <w:tab/>
      </w:r>
      <w:r w:rsidR="00D67585" w:rsidRPr="00B230EF">
        <w:rPr>
          <w:b/>
          <w:bCs/>
          <w:lang w:val="es-ES_tradnl"/>
        </w:rPr>
        <w:t xml:space="preserve">Cultivo/fortalecimiento de las relaciones con los socios actuales: </w:t>
      </w:r>
      <w:r w:rsidR="00D67585" w:rsidRPr="00B230EF">
        <w:rPr>
          <w:lang w:val="es-ES_tradnl"/>
        </w:rPr>
        <w:t xml:space="preserve">El éxito de las asociaciones y la movilización de recursos depende de la calidad de la relación con los asociados. Se trata principalmente de actividades de creación de relaciones basadas en la confianza y el respeto. El cuidado y el desarrollo de la relación son fundamentales para mantenerla y sostenerla a largo plazo. Las asociaciones y la movilización de recursos no son actividades únicas que terminan cuando se recibe el apoyo. Por consiguiente, la BDT presta especial atención al fomento de su relación con sus socios más antiguos, incluidos los indicados en el Documento </w:t>
      </w:r>
      <w:proofErr w:type="spellStart"/>
      <w:r w:rsidR="00D67585" w:rsidRPr="00B230EF">
        <w:rPr>
          <w:lang w:val="es-ES_tradnl"/>
        </w:rPr>
        <w:t>TDAG</w:t>
      </w:r>
      <w:proofErr w:type="spellEnd"/>
      <w:r w:rsidR="00D67585" w:rsidRPr="00B230EF">
        <w:rPr>
          <w:lang w:val="es-ES_tradnl"/>
        </w:rPr>
        <w:t>-23/INF/1.</w:t>
      </w:r>
    </w:p>
    <w:p w14:paraId="1A03FC5E" w14:textId="40C3070B" w:rsidR="00D67585" w:rsidRPr="00B230EF" w:rsidRDefault="00477AC0" w:rsidP="00477AC0">
      <w:pPr>
        <w:pStyle w:val="enumlev1"/>
        <w:rPr>
          <w:lang w:val="es-ES_tradnl"/>
        </w:rPr>
      </w:pPr>
      <w:r w:rsidRPr="00B230EF">
        <w:rPr>
          <w:lang w:val="es-ES_tradnl"/>
        </w:rPr>
        <w:t>–</w:t>
      </w:r>
      <w:r w:rsidRPr="00B230EF">
        <w:rPr>
          <w:lang w:val="es-ES_tradnl"/>
        </w:rPr>
        <w:tab/>
      </w:r>
      <w:r w:rsidR="00D67585" w:rsidRPr="00B230EF">
        <w:rPr>
          <w:b/>
          <w:bCs/>
          <w:lang w:val="es-ES_tradnl"/>
        </w:rPr>
        <w:t xml:space="preserve">Presentación a nuevos socios potenciales: </w:t>
      </w:r>
      <w:r w:rsidR="00D67585" w:rsidRPr="00B230EF">
        <w:rPr>
          <w:lang w:val="es-ES_tradnl"/>
        </w:rPr>
        <w:t>Al tiempo que presta una atención especial a cuidar la relación con los socios actuales y entablar una relación duradera, la BDT también reconoce la importancia de ampliar y diversificar su conjunto de socios mediante actividades de divulgación hacia nuevos asociados potenciales. Para hacerlo y garantizar el enfoque estratégico, la BDT ha establecido una correspondencia, ha establecido perfiles y ha lanzado campañas prospectivas, en particular con las entidades del sector privado, incluidas las fundaciones, a fin de mejorar el perfil de la UIT/BDT, identificar sinergias y discutir posibles oportunidades de asociación.</w:t>
      </w:r>
    </w:p>
    <w:p w14:paraId="311E81F5" w14:textId="6DA45873" w:rsidR="00477AC0" w:rsidRPr="00B230EF" w:rsidRDefault="00477AC0" w:rsidP="00477AC0">
      <w:pPr>
        <w:pStyle w:val="enumlev1"/>
        <w:rPr>
          <w:lang w:val="es-ES_tradnl"/>
        </w:rPr>
      </w:pPr>
      <w:r w:rsidRPr="00B230EF">
        <w:rPr>
          <w:lang w:val="es-ES_tradnl"/>
        </w:rPr>
        <w:t>–</w:t>
      </w:r>
      <w:r w:rsidRPr="00B230EF">
        <w:rPr>
          <w:lang w:val="es-ES_tradnl"/>
        </w:rPr>
        <w:tab/>
      </w:r>
      <w:r w:rsidR="00D67585" w:rsidRPr="00B230EF">
        <w:rPr>
          <w:b/>
          <w:bCs/>
          <w:lang w:val="es-ES_tradnl"/>
        </w:rPr>
        <w:t xml:space="preserve">Intensificación de la colaboración con los organismos de las Naciones Unidas: </w:t>
      </w:r>
      <w:r w:rsidR="00D67585" w:rsidRPr="00B230EF">
        <w:rPr>
          <w:lang w:val="es-ES_tradnl"/>
        </w:rPr>
        <w:t>La BDT sigue fortaleciendo su colaboración con otros organismos de las Naciones Unidas para aumentar su visibilidad, incluida la función única de la UIT como organización líder en el ámbito de las telecomunicaciones/TIC, aumentando las sinergias y el intercambio de conocimientos, y generando nuevas y mayores fuentes de financiación, aprovechando la capacidad de convocatoria multilateral. Estas colaboraciones ofrecen a la BDT oportunidades cada vez mayores de trabajar en estrecha colaboración con organismos hermanos de las Naciones Unidas y de acceder a la financiación de la ejecución conjunta de proyectos a escala nacional, regional y mundial con miras a la Agenda 2030.</w:t>
      </w:r>
    </w:p>
    <w:p w14:paraId="4D874EB7" w14:textId="77777777" w:rsidR="00C27BB0" w:rsidRDefault="00C27BB0">
      <w:pPr>
        <w:tabs>
          <w:tab w:val="clear" w:pos="794"/>
          <w:tab w:val="clear" w:pos="1191"/>
          <w:tab w:val="clear" w:pos="1588"/>
          <w:tab w:val="clear" w:pos="1985"/>
        </w:tabs>
        <w:overflowPunct/>
        <w:autoSpaceDE/>
        <w:autoSpaceDN/>
        <w:adjustRightInd/>
        <w:spacing w:before="0"/>
        <w:textAlignment w:val="auto"/>
        <w:rPr>
          <w:b/>
          <w:szCs w:val="24"/>
          <w:lang w:val="es-ES_tradnl"/>
        </w:rPr>
      </w:pPr>
      <w:r>
        <w:rPr>
          <w:szCs w:val="24"/>
          <w:lang w:val="es-ES_tradnl"/>
        </w:rPr>
        <w:br w:type="page"/>
      </w:r>
    </w:p>
    <w:p w14:paraId="526C4F92" w14:textId="6A2CA372" w:rsidR="00D67585" w:rsidRPr="00B230EF" w:rsidRDefault="00477AC0" w:rsidP="00477AC0">
      <w:pPr>
        <w:pStyle w:val="Heading1"/>
        <w:rPr>
          <w:sz w:val="24"/>
          <w:szCs w:val="24"/>
          <w:lang w:val="es-ES_tradnl"/>
        </w:rPr>
      </w:pPr>
      <w:r w:rsidRPr="00B230EF">
        <w:rPr>
          <w:sz w:val="24"/>
          <w:szCs w:val="24"/>
          <w:lang w:val="es-ES_tradnl"/>
        </w:rPr>
        <w:lastRenderedPageBreak/>
        <w:t>6</w:t>
      </w:r>
      <w:r w:rsidRPr="00B230EF">
        <w:rPr>
          <w:sz w:val="24"/>
          <w:szCs w:val="24"/>
          <w:lang w:val="es-ES_tradnl"/>
        </w:rPr>
        <w:tab/>
      </w:r>
      <w:proofErr w:type="gramStart"/>
      <w:r w:rsidR="00D67585" w:rsidRPr="00B230EF">
        <w:rPr>
          <w:sz w:val="24"/>
          <w:szCs w:val="24"/>
          <w:lang w:val="es-ES_tradnl"/>
        </w:rPr>
        <w:t>Perspectivas</w:t>
      </w:r>
      <w:proofErr w:type="gramEnd"/>
      <w:r w:rsidR="00D67585" w:rsidRPr="00B230EF">
        <w:rPr>
          <w:sz w:val="24"/>
          <w:szCs w:val="24"/>
          <w:lang w:val="es-ES_tradnl"/>
        </w:rPr>
        <w:t xml:space="preserve"> de futuro</w:t>
      </w:r>
    </w:p>
    <w:p w14:paraId="203562CA" w14:textId="77777777" w:rsidR="00D67585" w:rsidRPr="00B230EF" w:rsidRDefault="00D67585" w:rsidP="00477AC0">
      <w:pPr>
        <w:rPr>
          <w:lang w:val="es-ES_tradnl"/>
        </w:rPr>
      </w:pPr>
      <w:r w:rsidRPr="00B230EF">
        <w:rPr>
          <w:lang w:val="es-ES_tradnl"/>
        </w:rPr>
        <w:t>La BDT reconoce y agradece a sus antiguos socios, así como a los nuevos socios, que han hecho posible que la BDT ejecute proyectos e iniciativas en todo el mundo. Habida cuenta de lo anterior y de acuerdo con lo estipulado en el Plan de Acción de Kigali, la BDT seguirá fortaleciendo su colaboración y coordinación con los organismos de las Naciones Unidas y otras organizaciones internacionales, organizaciones regionales de telecomunicaciones, instituciones regionales y mundiales de desarrollo, así como fortaleciendo la estrategia de movilización de recursos y el marco operacional de creación de asociaciones con todas las partes interesadas para la aplicación del Plan de Acción de Kigali, incluidas las prioridades del UIT-D para alcanzar los objetivos de desarrollo sostenible de 2030 en materia de desarrollo de las telecomunicaciones/TIC.</w:t>
      </w:r>
    </w:p>
    <w:p w14:paraId="17715635" w14:textId="77777777" w:rsidR="00D67585" w:rsidRPr="00B230EF" w:rsidRDefault="00D67585" w:rsidP="00411C49">
      <w:pPr>
        <w:pStyle w:val="Reasons"/>
        <w:rPr>
          <w:lang w:val="es-ES_tradnl"/>
        </w:rPr>
      </w:pPr>
    </w:p>
    <w:p w14:paraId="7204EE7E" w14:textId="77777777" w:rsidR="00D67585" w:rsidRPr="00B230EF" w:rsidRDefault="00D67585">
      <w:pPr>
        <w:jc w:val="center"/>
        <w:rPr>
          <w:lang w:val="es-ES_tradnl"/>
        </w:rPr>
      </w:pPr>
      <w:r w:rsidRPr="00B230EF">
        <w:rPr>
          <w:lang w:val="es-ES_tradnl"/>
        </w:rPr>
        <w:t>______________</w:t>
      </w:r>
    </w:p>
    <w:sectPr w:rsidR="00D67585" w:rsidRPr="00B230EF" w:rsidSect="00473791">
      <w:headerReference w:type="default" r:id="rId18"/>
      <w:foot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5FCE" w14:textId="02BAE2EE" w:rsidR="00181934" w:rsidRDefault="00A80676" w:rsidP="00181934">
    <w:pPr>
      <w:pStyle w:val="Footer"/>
    </w:pPr>
    <w:r>
      <w:fldChar w:fldCharType="begin"/>
    </w:r>
    <w:r>
      <w:instrText xml:space="preserve"> FILENAME \p  \* MERGEFORMAT </w:instrText>
    </w:r>
    <w:r>
      <w:fldChar w:fldCharType="separate"/>
    </w:r>
    <w:r>
      <w:t>P:\ESP\ITU-D\CONF-D\TDAG23\TDAG23-30\000\004S.docx</w:t>
    </w:r>
    <w:r>
      <w:fldChar w:fldCharType="end"/>
    </w:r>
    <w:r w:rsidR="00181934">
      <w:t xml:space="preserve"> (520116)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C04AB4"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0EA45ADF" w:rsidR="0059420B" w:rsidRPr="00842E57" w:rsidRDefault="00D67585" w:rsidP="0059420B">
          <w:pPr>
            <w:pStyle w:val="FirstFooter"/>
            <w:tabs>
              <w:tab w:val="left" w:pos="2302"/>
            </w:tabs>
            <w:rPr>
              <w:sz w:val="18"/>
              <w:szCs w:val="18"/>
              <w:lang w:val="es-ES_tradnl"/>
            </w:rPr>
          </w:pPr>
          <w:r>
            <w:rPr>
              <w:lang w:val="es-ES"/>
            </w:rPr>
            <w:t xml:space="preserve">Sra. Sandrine Guyot, </w:t>
          </w:r>
          <w:proofErr w:type="gramStart"/>
          <w:r>
            <w:rPr>
              <w:lang w:val="es-ES"/>
            </w:rPr>
            <w:t>Jefa</w:t>
          </w:r>
          <w:proofErr w:type="gramEnd"/>
          <w:r>
            <w:rPr>
              <w:lang w:val="es-ES"/>
            </w:rPr>
            <w:t xml:space="preserve"> del Servicio de Asociaciones y Movilización de Recursos, Departamento de Asociaciones para el Desarrollo Digital, BDT</w:t>
          </w:r>
        </w:p>
      </w:tc>
      <w:bookmarkStart w:id="6" w:name="OrgName"/>
      <w:bookmarkEnd w:id="6"/>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4BE0F07C" w:rsidR="0059420B" w:rsidRPr="00842E57" w:rsidRDefault="00D67585" w:rsidP="0059420B">
          <w:pPr>
            <w:pStyle w:val="FirstFooter"/>
            <w:tabs>
              <w:tab w:val="left" w:pos="2302"/>
            </w:tabs>
            <w:rPr>
              <w:sz w:val="18"/>
              <w:szCs w:val="18"/>
              <w:lang w:val="es-ES_tradnl"/>
            </w:rPr>
          </w:pPr>
          <w:r>
            <w:rPr>
              <w:lang w:val="es-ES"/>
            </w:rPr>
            <w:t>+41 22 730510</w:t>
          </w:r>
          <w:r w:rsidR="00F91826">
            <w:rPr>
              <w:lang w:val="es-ES"/>
            </w:rPr>
            <w:t>0</w:t>
          </w:r>
        </w:p>
      </w:tc>
      <w:bookmarkStart w:id="7" w:name="PhoneNo"/>
      <w:bookmarkEnd w:id="7"/>
    </w:tr>
    <w:tr w:rsidR="0059420B" w:rsidRPr="00842E57" w14:paraId="0299A231" w14:textId="77777777" w:rsidTr="004E3CF5">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EAB0988" w14:textId="23C0BBD4" w:rsidR="0059420B" w:rsidRPr="00842E57" w:rsidRDefault="008F5334" w:rsidP="0059420B">
          <w:pPr>
            <w:pStyle w:val="FirstFooter"/>
            <w:tabs>
              <w:tab w:val="left" w:pos="2302"/>
            </w:tabs>
            <w:rPr>
              <w:sz w:val="18"/>
              <w:szCs w:val="18"/>
              <w:lang w:val="es-ES_tradnl"/>
            </w:rPr>
          </w:pPr>
          <w:hyperlink r:id="rId1" w:history="1">
            <w:proofErr w:type="spellStart"/>
            <w:r w:rsidRPr="000A4D79">
              <w:rPr>
                <w:rStyle w:val="Hyperlink"/>
              </w:rPr>
              <w:t>sandrine.guyot@itu.int</w:t>
            </w:r>
            <w:proofErr w:type="spellEnd"/>
          </w:hyperlink>
        </w:p>
      </w:tc>
      <w:bookmarkStart w:id="8" w:name="Email"/>
      <w:bookmarkEnd w:id="8"/>
    </w:tr>
  </w:tbl>
  <w:p w14:paraId="5AEFE7F9" w14:textId="77777777" w:rsidR="0059420B" w:rsidRDefault="0059420B" w:rsidP="00B80157">
    <w:pPr>
      <w:pStyle w:val="Footer"/>
      <w:jc w:val="center"/>
      <w:rPr>
        <w:lang w:val="en-GB"/>
      </w:rPr>
    </w:pPr>
  </w:p>
  <w:p w14:paraId="40A321D0" w14:textId="78E43D36" w:rsidR="00721657" w:rsidRPr="003C6C09" w:rsidRDefault="00A80676" w:rsidP="003C6C09">
    <w:pPr>
      <w:pStyle w:val="Footer"/>
      <w:jc w:val="center"/>
      <w:rPr>
        <w:caps w:val="0"/>
        <w:noProof w:val="0"/>
        <w:color w:val="0000FF" w:themeColor="hyperlink"/>
        <w:sz w:val="18"/>
        <w:szCs w:val="18"/>
        <w:u w:val="single"/>
        <w:lang w:val="en-US"/>
      </w:rPr>
    </w:pPr>
    <w:hyperlink r:id="rId2" w:history="1">
      <w:proofErr w:type="spellStart"/>
      <w:r w:rsidR="008B47C7" w:rsidRPr="003C6C09">
        <w:rPr>
          <w:rStyle w:val="Hyperlink"/>
          <w:caps w:val="0"/>
          <w:noProof w:val="0"/>
          <w:sz w:val="18"/>
          <w:szCs w:val="18"/>
          <w:lang w:val="en-US"/>
        </w:rPr>
        <w:t>TDAG</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401D0166" w14:textId="5CAAC76B" w:rsidR="00D67585" w:rsidRPr="005E0208" w:rsidRDefault="00D67585" w:rsidP="00D67585">
      <w:pPr>
        <w:pStyle w:val="FootnoteText"/>
        <w:spacing w:before="0"/>
        <w:ind w:left="0" w:firstLine="0"/>
        <w:rPr>
          <w:sz w:val="20"/>
          <w:lang w:val="es-ES"/>
        </w:rPr>
      </w:pPr>
      <w:r w:rsidRPr="009C309F">
        <w:rPr>
          <w:rStyle w:val="FootnoteReference"/>
          <w:sz w:val="20"/>
          <w:szCs w:val="22"/>
          <w:lang w:val="es-ES"/>
        </w:rPr>
        <w:footnoteRef/>
      </w:r>
      <w:r w:rsidR="00DE6714">
        <w:rPr>
          <w:lang w:val="es-ES"/>
        </w:rPr>
        <w:tab/>
      </w:r>
      <w:proofErr w:type="spellStart"/>
      <w:r>
        <w:rPr>
          <w:lang w:val="es-ES"/>
        </w:rPr>
        <w:t>ADMIN</w:t>
      </w:r>
      <w:proofErr w:type="spellEnd"/>
      <w:r>
        <w:rPr>
          <w:lang w:val="es-ES"/>
        </w:rPr>
        <w:t xml:space="preserve">: Administraciones, </w:t>
      </w:r>
      <w:proofErr w:type="spellStart"/>
      <w:r>
        <w:rPr>
          <w:lang w:val="es-ES"/>
        </w:rPr>
        <w:t>REGINTORG</w:t>
      </w:r>
      <w:proofErr w:type="spellEnd"/>
      <w:r>
        <w:rPr>
          <w:lang w:val="es-ES"/>
        </w:rPr>
        <w:t xml:space="preserve">: Organizaciones regionales y otras organizaciones internacionales, </w:t>
      </w:r>
      <w:proofErr w:type="spellStart"/>
      <w:r>
        <w:rPr>
          <w:lang w:val="es-ES"/>
        </w:rPr>
        <w:t>EER</w:t>
      </w:r>
      <w:proofErr w:type="spellEnd"/>
      <w:r>
        <w:rPr>
          <w:lang w:val="es-ES"/>
        </w:rPr>
        <w:t xml:space="preserve">: Empresas de explotación reconocidas, </w:t>
      </w:r>
      <w:proofErr w:type="spellStart"/>
      <w:r>
        <w:rPr>
          <w:lang w:val="es-ES"/>
        </w:rPr>
        <w:t>SIO</w:t>
      </w:r>
      <w:proofErr w:type="spellEnd"/>
      <w:r>
        <w:rPr>
          <w:lang w:val="es-ES"/>
        </w:rPr>
        <w:t xml:space="preserve">: Organizaciones científicas industriales, </w:t>
      </w:r>
      <w:proofErr w:type="spellStart"/>
      <w:r>
        <w:rPr>
          <w:lang w:val="es-ES"/>
        </w:rPr>
        <w:t>UNIVERS</w:t>
      </w:r>
      <w:proofErr w:type="spellEnd"/>
      <w:r>
        <w:rPr>
          <w:lang w:val="es-ES"/>
        </w:rPr>
        <w:t>/</w:t>
      </w:r>
      <w:proofErr w:type="spellStart"/>
      <w:r>
        <w:rPr>
          <w:lang w:val="es-ES"/>
        </w:rPr>
        <w:t>RSRCH</w:t>
      </w:r>
      <w:proofErr w:type="spellEnd"/>
      <w:r>
        <w:rPr>
          <w:lang w:val="es-ES"/>
        </w:rPr>
        <w:t>: Universidades, institutos de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2CF26E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67585">
      <w:rPr>
        <w:sz w:val="22"/>
        <w:szCs w:val="22"/>
        <w:lang w:val="de-CH"/>
      </w:rPr>
      <w:t>4</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3439725">
    <w:abstractNumId w:val="1"/>
  </w:num>
  <w:num w:numId="2" w16cid:durableId="1246108995">
    <w:abstractNumId w:val="2"/>
  </w:num>
  <w:num w:numId="3" w16cid:durableId="97309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1934"/>
    <w:rsid w:val="001828DB"/>
    <w:rsid w:val="001850FE"/>
    <w:rsid w:val="00185135"/>
    <w:rsid w:val="0019037C"/>
    <w:rsid w:val="001905A9"/>
    <w:rsid w:val="00191273"/>
    <w:rsid w:val="001942A7"/>
    <w:rsid w:val="0019587B"/>
    <w:rsid w:val="001977F0"/>
    <w:rsid w:val="001A163D"/>
    <w:rsid w:val="001A441E"/>
    <w:rsid w:val="001A6733"/>
    <w:rsid w:val="001B357F"/>
    <w:rsid w:val="001B65B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71A"/>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EE3"/>
    <w:rsid w:val="003242AB"/>
    <w:rsid w:val="00327247"/>
    <w:rsid w:val="00327A9D"/>
    <w:rsid w:val="0033130E"/>
    <w:rsid w:val="0033269C"/>
    <w:rsid w:val="00351C79"/>
    <w:rsid w:val="0035516C"/>
    <w:rsid w:val="00355A4C"/>
    <w:rsid w:val="003604FB"/>
    <w:rsid w:val="00360B73"/>
    <w:rsid w:val="00380B71"/>
    <w:rsid w:val="0038365A"/>
    <w:rsid w:val="00386A89"/>
    <w:rsid w:val="00396258"/>
    <w:rsid w:val="0039648E"/>
    <w:rsid w:val="003A5AFE"/>
    <w:rsid w:val="003A5D5F"/>
    <w:rsid w:val="003A7FFE"/>
    <w:rsid w:val="003B0A63"/>
    <w:rsid w:val="003B18B2"/>
    <w:rsid w:val="003B50E1"/>
    <w:rsid w:val="003C1746"/>
    <w:rsid w:val="003C2AA9"/>
    <w:rsid w:val="003C58BF"/>
    <w:rsid w:val="003C6C09"/>
    <w:rsid w:val="003D451D"/>
    <w:rsid w:val="003E47F4"/>
    <w:rsid w:val="003F2DD8"/>
    <w:rsid w:val="003F3F2D"/>
    <w:rsid w:val="003F50B2"/>
    <w:rsid w:val="00400CCF"/>
    <w:rsid w:val="00401BFF"/>
    <w:rsid w:val="00404424"/>
    <w:rsid w:val="0041156B"/>
    <w:rsid w:val="004122C5"/>
    <w:rsid w:val="00413B78"/>
    <w:rsid w:val="00416DDE"/>
    <w:rsid w:val="0044411E"/>
    <w:rsid w:val="00453435"/>
    <w:rsid w:val="004564CF"/>
    <w:rsid w:val="00460089"/>
    <w:rsid w:val="00466398"/>
    <w:rsid w:val="0047306D"/>
    <w:rsid w:val="00473791"/>
    <w:rsid w:val="00476E48"/>
    <w:rsid w:val="00477AC0"/>
    <w:rsid w:val="00481DE9"/>
    <w:rsid w:val="0049128B"/>
    <w:rsid w:val="00493B49"/>
    <w:rsid w:val="00495501"/>
    <w:rsid w:val="004A070A"/>
    <w:rsid w:val="004A320E"/>
    <w:rsid w:val="004A4E9C"/>
    <w:rsid w:val="004B1A3C"/>
    <w:rsid w:val="004B7D62"/>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6E16"/>
    <w:rsid w:val="006D40D5"/>
    <w:rsid w:val="006D4DA7"/>
    <w:rsid w:val="006F009A"/>
    <w:rsid w:val="006F3D93"/>
    <w:rsid w:val="007019B1"/>
    <w:rsid w:val="00721657"/>
    <w:rsid w:val="007279A8"/>
    <w:rsid w:val="00727B1A"/>
    <w:rsid w:val="00741337"/>
    <w:rsid w:val="00750580"/>
    <w:rsid w:val="00752258"/>
    <w:rsid w:val="007529E1"/>
    <w:rsid w:val="00762880"/>
    <w:rsid w:val="00762AD6"/>
    <w:rsid w:val="00762E02"/>
    <w:rsid w:val="00766683"/>
    <w:rsid w:val="00772290"/>
    <w:rsid w:val="00777265"/>
    <w:rsid w:val="007805E7"/>
    <w:rsid w:val="0078222A"/>
    <w:rsid w:val="00785661"/>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334"/>
    <w:rsid w:val="008F71C1"/>
    <w:rsid w:val="00902D41"/>
    <w:rsid w:val="00902F49"/>
    <w:rsid w:val="00904230"/>
    <w:rsid w:val="00914004"/>
    <w:rsid w:val="00915498"/>
    <w:rsid w:val="00922EC1"/>
    <w:rsid w:val="00923CF1"/>
    <w:rsid w:val="009301F1"/>
    <w:rsid w:val="009307DF"/>
    <w:rsid w:val="009310B3"/>
    <w:rsid w:val="009359B8"/>
    <w:rsid w:val="00935FF0"/>
    <w:rsid w:val="009431F8"/>
    <w:rsid w:val="00947A35"/>
    <w:rsid w:val="00952667"/>
    <w:rsid w:val="009613C8"/>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0676"/>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019DB"/>
    <w:rsid w:val="00B230EF"/>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4AB4"/>
    <w:rsid w:val="00C07E26"/>
    <w:rsid w:val="00C1011C"/>
    <w:rsid w:val="00C12F94"/>
    <w:rsid w:val="00C177C5"/>
    <w:rsid w:val="00C27BB0"/>
    <w:rsid w:val="00C34EC3"/>
    <w:rsid w:val="00C36FFA"/>
    <w:rsid w:val="00C4038C"/>
    <w:rsid w:val="00C42BA2"/>
    <w:rsid w:val="00C42EEA"/>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BE7"/>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3EB6"/>
    <w:rsid w:val="00D1519F"/>
    <w:rsid w:val="00D20E99"/>
    <w:rsid w:val="00D21C83"/>
    <w:rsid w:val="00D231A9"/>
    <w:rsid w:val="00D35BDD"/>
    <w:rsid w:val="00D63006"/>
    <w:rsid w:val="00D67585"/>
    <w:rsid w:val="00D72301"/>
    <w:rsid w:val="00D800CB"/>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6714"/>
    <w:rsid w:val="00DF07D6"/>
    <w:rsid w:val="00DF2AB3"/>
    <w:rsid w:val="00DF7250"/>
    <w:rsid w:val="00E00CAA"/>
    <w:rsid w:val="00E03EBF"/>
    <w:rsid w:val="00E05209"/>
    <w:rsid w:val="00E05AC1"/>
    <w:rsid w:val="00E11BCF"/>
    <w:rsid w:val="00E2258E"/>
    <w:rsid w:val="00E225D1"/>
    <w:rsid w:val="00E260C2"/>
    <w:rsid w:val="00E32596"/>
    <w:rsid w:val="00E368F7"/>
    <w:rsid w:val="00E36EB8"/>
    <w:rsid w:val="00E37FB8"/>
    <w:rsid w:val="00E40B07"/>
    <w:rsid w:val="00E42326"/>
    <w:rsid w:val="00E43544"/>
    <w:rsid w:val="00E44D89"/>
    <w:rsid w:val="00E477EA"/>
    <w:rsid w:val="00E547F5"/>
    <w:rsid w:val="00E55807"/>
    <w:rsid w:val="00E63B14"/>
    <w:rsid w:val="00E65CA0"/>
    <w:rsid w:val="00E70D9F"/>
    <w:rsid w:val="00E72996"/>
    <w:rsid w:val="00E83810"/>
    <w:rsid w:val="00E86933"/>
    <w:rsid w:val="00E9605B"/>
    <w:rsid w:val="00E97298"/>
    <w:rsid w:val="00E97753"/>
    <w:rsid w:val="00EA0C51"/>
    <w:rsid w:val="00EA7DE7"/>
    <w:rsid w:val="00EB7A8A"/>
    <w:rsid w:val="00EC4F21"/>
    <w:rsid w:val="00EC6FED"/>
    <w:rsid w:val="00EC7F3B"/>
    <w:rsid w:val="00ED5299"/>
    <w:rsid w:val="00EE3A64"/>
    <w:rsid w:val="00EE50E5"/>
    <w:rsid w:val="00EF01CF"/>
    <w:rsid w:val="00F03590"/>
    <w:rsid w:val="00F03622"/>
    <w:rsid w:val="00F077FD"/>
    <w:rsid w:val="00F204F3"/>
    <w:rsid w:val="00F2145F"/>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1826"/>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52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basedOn w:val="DefaultParagraphFont"/>
    <w:link w:val="ListParagraph"/>
    <w:uiPriority w:val="34"/>
    <w:locked/>
    <w:rsid w:val="00D6758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andrine.guyot@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1726</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cp:lastModifiedBy>
  <cp:revision>38</cp:revision>
  <cp:lastPrinted>2014-11-04T09:22:00Z</cp:lastPrinted>
  <dcterms:created xsi:type="dcterms:W3CDTF">2023-05-22T15:09:00Z</dcterms:created>
  <dcterms:modified xsi:type="dcterms:W3CDTF">2023-05-23T13:18:00Z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