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4.xml" ContentType="application/vnd.openxmlformats-officedocument.drawingml.chartshapes+xml"/>
  <Override PartName="/word/charts/chartEx2.xml" ContentType="application/vnd.ms-office.chartex+xml"/>
  <Override PartName="/word/charts/style6.xml" ContentType="application/vnd.ms-office.chartstyle+xml"/>
  <Override PartName="/word/charts/colors6.xml" ContentType="application/vnd.ms-office.chartcolorstyle+xml"/>
  <Override PartName="/word/charts/chart5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8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1276"/>
        <w:gridCol w:w="2233"/>
      </w:tblGrid>
      <w:tr w:rsidR="005C5A93" w14:paraId="3F0E9EC4" w14:textId="77777777" w:rsidTr="000C4291">
        <w:trPr>
          <w:cantSplit/>
          <w:trHeight w:val="1134"/>
        </w:trPr>
        <w:tc>
          <w:tcPr>
            <w:tcW w:w="7655" w:type="dxa"/>
            <w:gridSpan w:val="2"/>
          </w:tcPr>
          <w:p w14:paraId="1570562D" w14:textId="78CC3B29" w:rsidR="005C5A93" w:rsidRPr="00E96432" w:rsidRDefault="00E96432" w:rsidP="005C5A93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ru-RU"/>
              </w:rPr>
            </w:pPr>
            <w:r w:rsidRPr="00E96432">
              <w:rPr>
                <w:rFonts w:cstheme="minorHAnsi"/>
                <w:b/>
                <w:bCs/>
                <w:sz w:val="32"/>
                <w:szCs w:val="32"/>
                <w:lang w:val="ru-RU" w:eastAsia="zh-CN"/>
              </w:rPr>
              <w:t xml:space="preserve">Консультативная группа </w:t>
            </w:r>
            <w:r w:rsidR="000C4291">
              <w:rPr>
                <w:rFonts w:cstheme="minorHAnsi"/>
                <w:b/>
                <w:bCs/>
                <w:sz w:val="32"/>
                <w:szCs w:val="32"/>
                <w:lang w:val="ru-RU" w:eastAsia="zh-CN"/>
              </w:rPr>
              <w:br/>
            </w:r>
            <w:r w:rsidRPr="00E96432">
              <w:rPr>
                <w:rFonts w:cstheme="minorHAnsi"/>
                <w:b/>
                <w:bCs/>
                <w:sz w:val="32"/>
                <w:szCs w:val="32"/>
                <w:lang w:val="ru-RU" w:eastAsia="zh-CN"/>
              </w:rPr>
              <w:t>по развитию электросвязи (КГРЭ)</w:t>
            </w:r>
          </w:p>
          <w:p w14:paraId="5F5F590A" w14:textId="5B8C0D26" w:rsidR="005C5A93" w:rsidRPr="00E96432" w:rsidRDefault="00E96432" w:rsidP="005C5A9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ru-RU"/>
              </w:rPr>
            </w:pPr>
            <w:r w:rsidRPr="00E96432">
              <w:rPr>
                <w:rFonts w:cstheme="minorHAnsi"/>
                <w:b/>
                <w:bCs/>
                <w:szCs w:val="24"/>
                <w:lang w:val="ru-RU" w:eastAsia="zh-CN"/>
              </w:rPr>
              <w:t xml:space="preserve">30-е собрание, </w:t>
            </w:r>
            <w:r w:rsidRPr="00E96432">
              <w:rPr>
                <w:b/>
                <w:bCs/>
                <w:szCs w:val="24"/>
                <w:lang w:val="ru-RU"/>
              </w:rPr>
              <w:t>Женева, Швейцария, 19–23 июня 2023</w:t>
            </w:r>
            <w:r>
              <w:rPr>
                <w:b/>
                <w:bCs/>
                <w:szCs w:val="24"/>
              </w:rPr>
              <w:t> </w:t>
            </w:r>
            <w:r w:rsidRPr="00E96432">
              <w:rPr>
                <w:b/>
                <w:bCs/>
                <w:szCs w:val="24"/>
                <w:lang w:val="ru-RU"/>
              </w:rPr>
              <w:t>года</w:t>
            </w:r>
          </w:p>
        </w:tc>
        <w:tc>
          <w:tcPr>
            <w:tcW w:w="2233" w:type="dxa"/>
          </w:tcPr>
          <w:p w14:paraId="67E7B4C4" w14:textId="1428984F" w:rsidR="005C5A93" w:rsidRPr="00683C32" w:rsidRDefault="005C5A93" w:rsidP="005C5A93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0C4291" w:rsidRDefault="00683C32" w:rsidP="00400CCF">
            <w:pPr>
              <w:pStyle w:val="Committee"/>
              <w:spacing w:before="0"/>
              <w:rPr>
                <w:b w:val="0"/>
                <w:szCs w:val="22"/>
              </w:rPr>
            </w:pPr>
          </w:p>
        </w:tc>
        <w:tc>
          <w:tcPr>
            <w:tcW w:w="3509" w:type="dxa"/>
            <w:gridSpan w:val="2"/>
          </w:tcPr>
          <w:p w14:paraId="02E44EE9" w14:textId="0A126B52" w:rsidR="00683C32" w:rsidRPr="000C4291" w:rsidRDefault="00E96432" w:rsidP="00B648C7">
            <w:pPr>
              <w:spacing w:before="0"/>
              <w:jc w:val="both"/>
              <w:rPr>
                <w:bCs/>
                <w:szCs w:val="22"/>
                <w:lang w:val="en-US"/>
              </w:rPr>
            </w:pPr>
            <w:r w:rsidRPr="000C4291">
              <w:rPr>
                <w:b/>
                <w:bCs/>
                <w:szCs w:val="22"/>
                <w:lang w:val="ru-RU"/>
              </w:rPr>
              <w:t>Документ</w:t>
            </w:r>
            <w:r w:rsidR="0096201B" w:rsidRPr="000C4291">
              <w:rPr>
                <w:b/>
                <w:bCs/>
                <w:szCs w:val="22"/>
                <w:lang w:val="en-US"/>
              </w:rPr>
              <w:t xml:space="preserve"> </w:t>
            </w:r>
            <w:bookmarkStart w:id="0" w:name="DocRef1"/>
            <w:bookmarkEnd w:id="0"/>
            <w:r w:rsidR="0096201B" w:rsidRPr="000C4291">
              <w:rPr>
                <w:b/>
                <w:bCs/>
                <w:szCs w:val="22"/>
                <w:lang w:val="en-US"/>
              </w:rPr>
              <w:t>TDAG</w:t>
            </w:r>
            <w:r w:rsidR="003242AB" w:rsidRPr="000C4291">
              <w:rPr>
                <w:b/>
                <w:bCs/>
                <w:szCs w:val="22"/>
                <w:lang w:val="en-US"/>
              </w:rPr>
              <w:t>-</w:t>
            </w:r>
            <w:r w:rsidR="00B648C7" w:rsidRPr="000C4291">
              <w:rPr>
                <w:b/>
                <w:bCs/>
                <w:szCs w:val="22"/>
                <w:lang w:val="en-US"/>
              </w:rPr>
              <w:t>2</w:t>
            </w:r>
            <w:bookmarkStart w:id="1" w:name="DocNo1"/>
            <w:bookmarkEnd w:id="1"/>
            <w:r w:rsidR="005C5A93" w:rsidRPr="000C4291">
              <w:rPr>
                <w:b/>
                <w:bCs/>
                <w:szCs w:val="22"/>
                <w:lang w:val="en-US"/>
              </w:rPr>
              <w:t>3</w:t>
            </w:r>
            <w:r w:rsidR="0009076F" w:rsidRPr="000C4291">
              <w:rPr>
                <w:b/>
                <w:bCs/>
                <w:szCs w:val="22"/>
                <w:lang w:val="en-US"/>
              </w:rPr>
              <w:t>/</w:t>
            </w:r>
            <w:r w:rsidR="000C4291">
              <w:rPr>
                <w:b/>
                <w:bCs/>
                <w:szCs w:val="22"/>
                <w:lang w:val="en-US"/>
              </w:rPr>
              <w:t>4</w:t>
            </w:r>
            <w:r w:rsidR="0096201B" w:rsidRPr="000C4291">
              <w:rPr>
                <w:b/>
                <w:bCs/>
                <w:szCs w:val="22"/>
                <w:lang w:val="en-US"/>
              </w:rPr>
              <w:t>-</w:t>
            </w:r>
            <w:r w:rsidRPr="000C4291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0C4291" w:rsidRDefault="00683C32" w:rsidP="00400CCF">
            <w:pPr>
              <w:spacing w:before="0"/>
              <w:rPr>
                <w:b/>
                <w:bCs/>
                <w:smallCaps/>
                <w:szCs w:val="22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693134A8" w:rsidR="00683C32" w:rsidRPr="000C4291" w:rsidRDefault="004C65CF" w:rsidP="00B648C7">
            <w:pPr>
              <w:spacing w:before="0"/>
              <w:rPr>
                <w:b/>
                <w:szCs w:val="22"/>
                <w:lang w:val="ru-RU"/>
              </w:rPr>
            </w:pPr>
            <w:bookmarkStart w:id="2" w:name="CreationDate"/>
            <w:bookmarkEnd w:id="2"/>
            <w:r w:rsidRPr="000C4291">
              <w:rPr>
                <w:b/>
                <w:bCs/>
                <w:szCs w:val="22"/>
              </w:rPr>
              <w:t>11</w:t>
            </w:r>
            <w:r w:rsidR="00CE0422" w:rsidRPr="000C4291">
              <w:rPr>
                <w:b/>
                <w:bCs/>
                <w:szCs w:val="22"/>
              </w:rPr>
              <w:t xml:space="preserve"> </w:t>
            </w:r>
            <w:r w:rsidR="00E96432" w:rsidRPr="000C4291">
              <w:rPr>
                <w:b/>
                <w:bCs/>
                <w:szCs w:val="22"/>
                <w:lang w:val="ru-RU"/>
              </w:rPr>
              <w:t>мая</w:t>
            </w:r>
            <w:r w:rsidR="00CE0422" w:rsidRPr="000C4291">
              <w:rPr>
                <w:b/>
                <w:bCs/>
                <w:szCs w:val="22"/>
              </w:rPr>
              <w:t xml:space="preserve"> 20</w:t>
            </w:r>
            <w:r w:rsidR="00B648C7" w:rsidRPr="000C4291">
              <w:rPr>
                <w:b/>
                <w:bCs/>
                <w:szCs w:val="22"/>
              </w:rPr>
              <w:t>2</w:t>
            </w:r>
            <w:r w:rsidR="005C5A93" w:rsidRPr="000C4291">
              <w:rPr>
                <w:b/>
                <w:bCs/>
                <w:szCs w:val="22"/>
              </w:rPr>
              <w:t>3</w:t>
            </w:r>
            <w:r w:rsidR="00E96432" w:rsidRPr="000C4291">
              <w:rPr>
                <w:b/>
                <w:bCs/>
                <w:szCs w:val="22"/>
                <w:lang w:val="ru-RU"/>
              </w:rPr>
              <w:t> года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0C4291" w:rsidRDefault="00683C32" w:rsidP="00400CCF">
            <w:pPr>
              <w:spacing w:before="0"/>
              <w:rPr>
                <w:b/>
                <w:bCs/>
                <w:smallCaps/>
                <w:szCs w:val="22"/>
                <w:lang w:val="ru-RU"/>
              </w:rPr>
            </w:pPr>
          </w:p>
        </w:tc>
        <w:tc>
          <w:tcPr>
            <w:tcW w:w="3509" w:type="dxa"/>
            <w:gridSpan w:val="2"/>
          </w:tcPr>
          <w:p w14:paraId="30EFD39F" w14:textId="71CCB282" w:rsidR="00514D2F" w:rsidRPr="000C4291" w:rsidRDefault="00E96432" w:rsidP="00400CCF">
            <w:pPr>
              <w:spacing w:before="0"/>
              <w:rPr>
                <w:szCs w:val="22"/>
                <w:lang w:val="ru-RU"/>
              </w:rPr>
            </w:pPr>
            <w:r w:rsidRPr="000C4291">
              <w:rPr>
                <w:rFonts w:cstheme="minorHAnsi"/>
                <w:b/>
                <w:bCs/>
                <w:szCs w:val="22"/>
                <w:lang w:val="ru-RU"/>
              </w:rPr>
              <w:t>Оригинал:</w:t>
            </w:r>
            <w:bookmarkStart w:id="3" w:name="Original"/>
            <w:bookmarkEnd w:id="3"/>
            <w:r w:rsidRPr="000C4291">
              <w:rPr>
                <w:rFonts w:cstheme="minorHAnsi"/>
                <w:b/>
                <w:bCs/>
                <w:szCs w:val="22"/>
                <w:lang w:val="ru-RU"/>
              </w:rPr>
              <w:t xml:space="preserve"> английский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6A0869DF" w:rsidR="00A13162" w:rsidRPr="000C4291" w:rsidRDefault="00E96432" w:rsidP="0030353C">
            <w:pPr>
              <w:pStyle w:val="Source"/>
              <w:rPr>
                <w:szCs w:val="26"/>
                <w:lang w:val="ru-RU"/>
              </w:rPr>
            </w:pPr>
            <w:bookmarkStart w:id="4" w:name="Source"/>
            <w:bookmarkEnd w:id="4"/>
            <w:r w:rsidRPr="000C4291">
              <w:rPr>
                <w:szCs w:val="26"/>
                <w:lang w:val="ru-RU"/>
              </w:rPr>
              <w:t>Директор Бюро развития электросвязи</w:t>
            </w:r>
          </w:p>
        </w:tc>
      </w:tr>
      <w:tr w:rsidR="00AC6F14" w:rsidRPr="000C4291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03FE663D" w:rsidR="00AC6F14" w:rsidRPr="000C4291" w:rsidRDefault="00E96432" w:rsidP="000C4291">
            <w:pPr>
              <w:pStyle w:val="Title1"/>
              <w:rPr>
                <w:lang w:val="ru-RU"/>
              </w:rPr>
            </w:pPr>
            <w:bookmarkStart w:id="5" w:name="Title"/>
            <w:bookmarkEnd w:id="5"/>
            <w:r w:rsidRPr="000C4291">
              <w:rPr>
                <w:lang w:val="ru-RU"/>
              </w:rPr>
              <w:t xml:space="preserve">Партнерские отношения и </w:t>
            </w:r>
            <w:r w:rsidRPr="000C4291">
              <w:t>мобилизация</w:t>
            </w:r>
            <w:r w:rsidRPr="000C4291">
              <w:rPr>
                <w:lang w:val="ru-RU"/>
              </w:rPr>
              <w:t xml:space="preserve"> ресурсов в МСЭ-</w:t>
            </w:r>
            <w:r w:rsidRPr="000C4291">
              <w:t>D</w:t>
            </w:r>
          </w:p>
        </w:tc>
      </w:tr>
      <w:tr w:rsidR="00A721F4" w:rsidRPr="000C4291" w14:paraId="23A30231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77777777" w:rsidR="00A721F4" w:rsidRPr="00E96432" w:rsidRDefault="00A721F4" w:rsidP="0030353C">
            <w:pPr>
              <w:rPr>
                <w:lang w:val="ru-RU"/>
              </w:rPr>
            </w:pPr>
          </w:p>
        </w:tc>
      </w:tr>
      <w:tr w:rsidR="00A721F4" w:rsidRPr="000C4291" w14:paraId="590033C8" w14:textId="77777777" w:rsidTr="00A721F4">
        <w:trPr>
          <w:cantSplit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568FF4D0" w:rsidR="00A721F4" w:rsidRPr="00831BFB" w:rsidRDefault="00E96432" w:rsidP="000C4291">
            <w:pPr>
              <w:pStyle w:val="Headingb"/>
              <w:rPr>
                <w:lang w:val="ru-RU"/>
              </w:rPr>
            </w:pPr>
            <w:r w:rsidRPr="00E96432">
              <w:rPr>
                <w:lang w:val="ru-RU"/>
              </w:rPr>
              <w:t>Резюме</w:t>
            </w:r>
          </w:p>
          <w:p w14:paraId="606EF887" w14:textId="7D5487D4" w:rsidR="00BD2158" w:rsidRPr="00BA5249" w:rsidRDefault="00E96432" w:rsidP="009C309F">
            <w:pPr>
              <w:spacing w:after="1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Значение</w:t>
            </w:r>
            <w:r w:rsidRPr="00E964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партнерских</w:t>
            </w:r>
            <w:r w:rsidRPr="00E964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отношений</w:t>
            </w:r>
            <w:r w:rsidRPr="00E964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E964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мобилизации</w:t>
            </w:r>
            <w:r w:rsidRPr="00E964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ресурсов</w:t>
            </w:r>
            <w:r w:rsidRPr="00E964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отмечалось</w:t>
            </w:r>
            <w:r w:rsidRPr="00E964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Всемирной</w:t>
            </w:r>
            <w:r w:rsidRPr="00E964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конференцией</w:t>
            </w:r>
            <w:r w:rsidRPr="00E964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E964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развитию</w:t>
            </w:r>
            <w:r w:rsidRPr="00E964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электросвязи</w:t>
            </w:r>
            <w:r w:rsidRPr="00E96432">
              <w:rPr>
                <w:szCs w:val="22"/>
                <w:lang w:val="ru-RU"/>
              </w:rPr>
              <w:t xml:space="preserve"> </w:t>
            </w:r>
            <w:r w:rsidR="00B377A5" w:rsidRPr="00E96432">
              <w:rPr>
                <w:szCs w:val="22"/>
                <w:lang w:val="ru-RU"/>
              </w:rPr>
              <w:t>2022</w:t>
            </w:r>
            <w:r>
              <w:rPr>
                <w:szCs w:val="22"/>
                <w:lang w:val="ru-RU"/>
              </w:rPr>
              <w:t> года</w:t>
            </w:r>
            <w:r w:rsidR="00BD2158" w:rsidRPr="00E96432">
              <w:rPr>
                <w:szCs w:val="22"/>
                <w:lang w:val="ru-RU"/>
              </w:rPr>
              <w:t xml:space="preserve"> (</w:t>
            </w:r>
            <w:r>
              <w:rPr>
                <w:szCs w:val="22"/>
                <w:lang w:val="ru-RU"/>
              </w:rPr>
              <w:t>ВКРЭ</w:t>
            </w:r>
            <w:r w:rsidR="00BD2158" w:rsidRPr="00E96432">
              <w:rPr>
                <w:szCs w:val="22"/>
                <w:lang w:val="ru-RU"/>
              </w:rPr>
              <w:t xml:space="preserve">-22). </w:t>
            </w:r>
            <w:r w:rsidR="00BA5249">
              <w:rPr>
                <w:szCs w:val="22"/>
                <w:lang w:val="ru-RU"/>
              </w:rPr>
              <w:t>В</w:t>
            </w:r>
            <w:r w:rsidR="00BA5249" w:rsidRPr="00BA5249">
              <w:rPr>
                <w:szCs w:val="22"/>
                <w:lang w:val="ru-RU"/>
              </w:rPr>
              <w:t xml:space="preserve"> </w:t>
            </w:r>
            <w:r w:rsidR="00BA5249">
              <w:rPr>
                <w:szCs w:val="22"/>
                <w:lang w:val="ru-RU"/>
              </w:rPr>
              <w:t>настоящем</w:t>
            </w:r>
            <w:r w:rsidR="00BA5249" w:rsidRPr="00BA5249">
              <w:rPr>
                <w:szCs w:val="22"/>
                <w:lang w:val="ru-RU"/>
              </w:rPr>
              <w:t xml:space="preserve"> </w:t>
            </w:r>
            <w:r w:rsidR="00BA5249">
              <w:rPr>
                <w:szCs w:val="22"/>
                <w:lang w:val="ru-RU"/>
              </w:rPr>
              <w:t>документе</w:t>
            </w:r>
            <w:r w:rsidR="00BA5249" w:rsidRPr="00BA5249">
              <w:rPr>
                <w:szCs w:val="22"/>
                <w:lang w:val="ru-RU"/>
              </w:rPr>
              <w:t xml:space="preserve"> </w:t>
            </w:r>
            <w:r w:rsidR="00BA5249">
              <w:rPr>
                <w:szCs w:val="22"/>
                <w:lang w:val="ru-RU"/>
              </w:rPr>
              <w:t>приводятся</w:t>
            </w:r>
            <w:r w:rsidR="00BA5249" w:rsidRPr="00BA5249">
              <w:rPr>
                <w:szCs w:val="22"/>
                <w:lang w:val="ru-RU"/>
              </w:rPr>
              <w:t xml:space="preserve"> </w:t>
            </w:r>
            <w:r w:rsidR="00BA5249">
              <w:rPr>
                <w:szCs w:val="22"/>
                <w:lang w:val="ru-RU"/>
              </w:rPr>
              <w:t>сведения</w:t>
            </w:r>
            <w:r w:rsidR="00BA5249" w:rsidRPr="00BA5249">
              <w:rPr>
                <w:szCs w:val="22"/>
                <w:lang w:val="ru-RU"/>
              </w:rPr>
              <w:t xml:space="preserve"> </w:t>
            </w:r>
            <w:r w:rsidR="00BA5249">
              <w:rPr>
                <w:szCs w:val="22"/>
                <w:lang w:val="ru-RU"/>
              </w:rPr>
              <w:t>о</w:t>
            </w:r>
            <w:r w:rsidR="00BA5249" w:rsidRPr="00BA5249">
              <w:rPr>
                <w:szCs w:val="22"/>
                <w:lang w:val="ru-RU"/>
              </w:rPr>
              <w:t xml:space="preserve"> </w:t>
            </w:r>
            <w:r w:rsidR="00BA5249">
              <w:rPr>
                <w:szCs w:val="22"/>
                <w:lang w:val="ru-RU"/>
              </w:rPr>
              <w:t>партнерских</w:t>
            </w:r>
            <w:r w:rsidR="00BA5249" w:rsidRPr="00BA5249">
              <w:rPr>
                <w:szCs w:val="22"/>
                <w:lang w:val="ru-RU"/>
              </w:rPr>
              <w:t xml:space="preserve"> </w:t>
            </w:r>
            <w:r w:rsidR="00BA5249">
              <w:rPr>
                <w:szCs w:val="22"/>
                <w:lang w:val="ru-RU"/>
              </w:rPr>
              <w:t>отношениях</w:t>
            </w:r>
            <w:r w:rsidR="00BA5249" w:rsidRPr="00BA5249">
              <w:rPr>
                <w:szCs w:val="22"/>
                <w:lang w:val="ru-RU"/>
              </w:rPr>
              <w:t xml:space="preserve"> </w:t>
            </w:r>
            <w:r w:rsidR="00BA5249">
              <w:rPr>
                <w:szCs w:val="22"/>
                <w:lang w:val="ru-RU"/>
              </w:rPr>
              <w:t>и</w:t>
            </w:r>
            <w:r w:rsidR="00BA5249" w:rsidRPr="00BA5249">
              <w:rPr>
                <w:szCs w:val="22"/>
                <w:lang w:val="ru-RU"/>
              </w:rPr>
              <w:t xml:space="preserve"> </w:t>
            </w:r>
            <w:r w:rsidR="00BA5249">
              <w:rPr>
                <w:szCs w:val="22"/>
                <w:lang w:val="ru-RU"/>
              </w:rPr>
              <w:t xml:space="preserve">деятельности по мобилизации ресурсов, проводившейся в </w:t>
            </w:r>
            <w:r w:rsidR="00BD2158" w:rsidRPr="00BA5249">
              <w:rPr>
                <w:szCs w:val="22"/>
                <w:lang w:val="ru-RU"/>
              </w:rPr>
              <w:t>2022</w:t>
            </w:r>
            <w:r w:rsidR="00BA5249">
              <w:rPr>
                <w:szCs w:val="22"/>
                <w:lang w:val="ru-RU"/>
              </w:rPr>
              <w:t> году</w:t>
            </w:r>
            <w:r w:rsidR="00BD2158" w:rsidRPr="00BA5249">
              <w:rPr>
                <w:szCs w:val="22"/>
                <w:lang w:val="ru-RU"/>
              </w:rPr>
              <w:t>.</w:t>
            </w:r>
          </w:p>
          <w:p w14:paraId="76A1C541" w14:textId="36BD111A" w:rsidR="00A721F4" w:rsidRPr="00831BFB" w:rsidRDefault="00E96432" w:rsidP="000C4291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r w:rsidRPr="000C4291">
              <w:rPr>
                <w:lang w:val="ru-RU"/>
              </w:rPr>
              <w:t>Необходимые</w:t>
            </w:r>
            <w:r w:rsidRPr="00831BFB">
              <w:rPr>
                <w:bCs/>
                <w:szCs w:val="22"/>
                <w:lang w:val="ru-RU"/>
              </w:rPr>
              <w:t xml:space="preserve"> </w:t>
            </w:r>
            <w:r w:rsidRPr="00E96432">
              <w:rPr>
                <w:bCs/>
                <w:szCs w:val="22"/>
                <w:lang w:val="ru-RU"/>
              </w:rPr>
              <w:t>действия</w:t>
            </w:r>
          </w:p>
          <w:p w14:paraId="47D8BC4F" w14:textId="3B9AD049" w:rsidR="005B227A" w:rsidRPr="00E96432" w:rsidRDefault="00E96432" w:rsidP="009C309F">
            <w:pPr>
              <w:spacing w:after="120"/>
              <w:rPr>
                <w:szCs w:val="22"/>
                <w:lang w:val="ru-RU"/>
              </w:rPr>
            </w:pPr>
            <w:r w:rsidRPr="00E96432">
              <w:rPr>
                <w:szCs w:val="18"/>
                <w:lang w:val="ru-RU"/>
              </w:rPr>
              <w:t xml:space="preserve">КГРЭ </w:t>
            </w:r>
            <w:r w:rsidRPr="000C4291">
              <w:rPr>
                <w:szCs w:val="22"/>
                <w:lang w:val="ru-RU"/>
              </w:rPr>
              <w:t>предлагается</w:t>
            </w:r>
            <w:r w:rsidRPr="00E96432">
              <w:rPr>
                <w:szCs w:val="18"/>
                <w:lang w:val="ru-RU"/>
              </w:rPr>
              <w:t xml:space="preserve"> принять настоящий документ к сведению и по мере необходимости предоставить руководящие указания</w:t>
            </w:r>
            <w:r w:rsidR="005B227A" w:rsidRPr="00E96432">
              <w:rPr>
                <w:szCs w:val="22"/>
                <w:lang w:val="ru-RU"/>
              </w:rPr>
              <w:t>.</w:t>
            </w:r>
          </w:p>
          <w:p w14:paraId="37CA2CE3" w14:textId="77777777" w:rsidR="00E96432" w:rsidRPr="00831BFB" w:rsidRDefault="00E96432" w:rsidP="000C4291">
            <w:pPr>
              <w:pStyle w:val="Headingb"/>
              <w:rPr>
                <w:b w:val="0"/>
                <w:bCs/>
                <w:szCs w:val="22"/>
                <w:lang w:val="ru-RU"/>
              </w:rPr>
            </w:pPr>
            <w:r w:rsidRPr="000C4291">
              <w:rPr>
                <w:lang w:val="ru-RU"/>
              </w:rPr>
              <w:t>Справочные</w:t>
            </w:r>
            <w:r w:rsidRPr="00831BFB">
              <w:rPr>
                <w:bCs/>
                <w:szCs w:val="22"/>
                <w:lang w:val="ru-RU"/>
              </w:rPr>
              <w:t xml:space="preserve"> материалы </w:t>
            </w:r>
          </w:p>
          <w:p w14:paraId="268800CB" w14:textId="38F224CD" w:rsidR="00631DCF" w:rsidRDefault="00E96432" w:rsidP="009C309F">
            <w:pPr>
              <w:spacing w:after="120"/>
              <w:rPr>
                <w:szCs w:val="22"/>
                <w:lang w:val="ru-RU"/>
              </w:rPr>
            </w:pPr>
            <w:r w:rsidRPr="00E96432">
              <w:rPr>
                <w:szCs w:val="22"/>
                <w:lang w:val="ru-RU"/>
              </w:rPr>
              <w:t>Разделы</w:t>
            </w:r>
            <w:r w:rsidR="00D356E3" w:rsidRPr="00E96432">
              <w:rPr>
                <w:szCs w:val="22"/>
                <w:lang w:val="ru-RU"/>
              </w:rPr>
              <w:t xml:space="preserve"> 3.</w:t>
            </w:r>
            <w:r w:rsidR="00BF06FC" w:rsidRPr="00E96432">
              <w:rPr>
                <w:szCs w:val="22"/>
                <w:lang w:val="ru-RU"/>
              </w:rPr>
              <w:t>1</w:t>
            </w:r>
            <w:r w:rsidR="00D356E3" w:rsidRPr="00E96432">
              <w:rPr>
                <w:szCs w:val="22"/>
                <w:lang w:val="ru-RU"/>
              </w:rPr>
              <w:t xml:space="preserve"> </w:t>
            </w:r>
            <w:r w:rsidRPr="00E96432">
              <w:rPr>
                <w:szCs w:val="22"/>
                <w:lang w:val="ru-RU"/>
              </w:rPr>
              <w:t>и</w:t>
            </w:r>
            <w:r w:rsidR="00D356E3" w:rsidRPr="00E96432">
              <w:rPr>
                <w:szCs w:val="22"/>
                <w:lang w:val="ru-RU"/>
              </w:rPr>
              <w:t xml:space="preserve"> </w:t>
            </w:r>
            <w:r w:rsidR="00BF06FC" w:rsidRPr="00E96432">
              <w:rPr>
                <w:szCs w:val="22"/>
                <w:lang w:val="ru-RU"/>
              </w:rPr>
              <w:t>3</w:t>
            </w:r>
            <w:r w:rsidR="00D356E3" w:rsidRPr="00E96432">
              <w:rPr>
                <w:szCs w:val="22"/>
                <w:lang w:val="ru-RU"/>
              </w:rPr>
              <w:t>.</w:t>
            </w:r>
            <w:r w:rsidR="00BF06FC" w:rsidRPr="00E96432">
              <w:rPr>
                <w:szCs w:val="22"/>
                <w:lang w:val="ru-RU"/>
              </w:rPr>
              <w:t>3</w:t>
            </w:r>
            <w:r w:rsidR="00D356E3" w:rsidRPr="00E96432">
              <w:rPr>
                <w:szCs w:val="22"/>
                <w:lang w:val="ru-RU"/>
              </w:rPr>
              <w:t xml:space="preserve"> </w:t>
            </w:r>
            <w:r w:rsidRPr="00E96432">
              <w:rPr>
                <w:szCs w:val="22"/>
                <w:lang w:val="ru-RU"/>
              </w:rPr>
              <w:t>Кигалийского плана действий</w:t>
            </w:r>
            <w:r w:rsidR="00FA2081" w:rsidRPr="00E96432">
              <w:rPr>
                <w:szCs w:val="22"/>
                <w:lang w:val="ru-RU"/>
              </w:rPr>
              <w:t xml:space="preserve">, </w:t>
            </w:r>
            <w:r w:rsidRPr="00E96432">
              <w:rPr>
                <w:szCs w:val="22"/>
                <w:lang w:val="ru-RU"/>
              </w:rPr>
              <w:t>Заключительный отчет ВКРЭ</w:t>
            </w:r>
            <w:r w:rsidR="00631DCF" w:rsidRPr="00E96432">
              <w:rPr>
                <w:szCs w:val="22"/>
                <w:lang w:val="ru-RU"/>
              </w:rPr>
              <w:t>-</w:t>
            </w:r>
            <w:r w:rsidR="00DE04AA" w:rsidRPr="00E96432">
              <w:rPr>
                <w:szCs w:val="22"/>
                <w:lang w:val="ru-RU"/>
              </w:rPr>
              <w:t>22</w:t>
            </w:r>
          </w:p>
          <w:p w14:paraId="1C3ED183" w14:textId="0D6ED315" w:rsidR="00091D4F" w:rsidRPr="00E96432" w:rsidRDefault="00E96432" w:rsidP="009C309F">
            <w:pPr>
              <w:spacing w:after="120"/>
              <w:rPr>
                <w:szCs w:val="22"/>
                <w:lang w:val="ru-RU"/>
              </w:rPr>
            </w:pPr>
            <w:r w:rsidRPr="00E96432">
              <w:rPr>
                <w:szCs w:val="22"/>
                <w:lang w:val="ru-RU"/>
              </w:rPr>
              <w:t>Резолюция</w:t>
            </w:r>
            <w:r w:rsidR="00631DCF" w:rsidRPr="00E96432">
              <w:rPr>
                <w:szCs w:val="22"/>
                <w:lang w:val="ru-RU"/>
              </w:rPr>
              <w:t xml:space="preserve"> </w:t>
            </w:r>
            <w:r w:rsidR="009820B7" w:rsidRPr="00E96432">
              <w:rPr>
                <w:szCs w:val="22"/>
                <w:lang w:val="ru-RU"/>
              </w:rPr>
              <w:t>17</w:t>
            </w:r>
            <w:r w:rsidR="00631DCF" w:rsidRPr="00E96432">
              <w:rPr>
                <w:szCs w:val="22"/>
                <w:lang w:val="ru-RU"/>
              </w:rPr>
              <w:t xml:space="preserve"> (</w:t>
            </w:r>
            <w:r w:rsidRPr="00E96432">
              <w:rPr>
                <w:szCs w:val="22"/>
                <w:lang w:val="ru-RU"/>
              </w:rPr>
              <w:t>Пересм. Кигали</w:t>
            </w:r>
            <w:r w:rsidR="009820B7" w:rsidRPr="00E96432">
              <w:rPr>
                <w:szCs w:val="22"/>
                <w:lang w:val="ru-RU"/>
              </w:rPr>
              <w:t>,</w:t>
            </w:r>
            <w:r w:rsidR="00631DCF" w:rsidRPr="00E96432">
              <w:rPr>
                <w:szCs w:val="22"/>
                <w:lang w:val="ru-RU"/>
              </w:rPr>
              <w:t xml:space="preserve"> 20</w:t>
            </w:r>
            <w:r w:rsidR="0003668E" w:rsidRPr="00E96432">
              <w:rPr>
                <w:szCs w:val="22"/>
                <w:lang w:val="ru-RU"/>
              </w:rPr>
              <w:t>2</w:t>
            </w:r>
            <w:r w:rsidR="009820B7" w:rsidRPr="00E96432">
              <w:rPr>
                <w:szCs w:val="22"/>
                <w:lang w:val="ru-RU"/>
              </w:rPr>
              <w:t>2</w:t>
            </w:r>
            <w:r w:rsidRPr="00E96432">
              <w:rPr>
                <w:szCs w:val="22"/>
                <w:lang w:val="ru-RU"/>
              </w:rPr>
              <w:t> г.</w:t>
            </w:r>
            <w:r w:rsidR="00631DCF" w:rsidRPr="00E96432">
              <w:rPr>
                <w:szCs w:val="22"/>
                <w:lang w:val="ru-RU"/>
              </w:rPr>
              <w:t>)</w:t>
            </w:r>
            <w:r w:rsidR="00FA2081" w:rsidRPr="00E96432">
              <w:rPr>
                <w:szCs w:val="22"/>
                <w:lang w:val="ru-RU"/>
              </w:rPr>
              <w:t xml:space="preserve">, </w:t>
            </w:r>
            <w:r w:rsidRPr="00E96432">
              <w:rPr>
                <w:szCs w:val="22"/>
                <w:lang w:val="ru-RU"/>
              </w:rPr>
              <w:t>Заключительный отчет ВКРЭ-22</w:t>
            </w:r>
          </w:p>
          <w:p w14:paraId="0FBEF2AC" w14:textId="64B4C021" w:rsidR="00A10BCB" w:rsidRPr="00831BFB" w:rsidRDefault="00E96432" w:rsidP="009C309F">
            <w:pPr>
              <w:spacing w:after="120"/>
              <w:rPr>
                <w:szCs w:val="22"/>
                <w:lang w:val="ru-RU"/>
              </w:rPr>
            </w:pPr>
            <w:r w:rsidRPr="00E96432">
              <w:rPr>
                <w:szCs w:val="22"/>
                <w:lang w:val="ru-RU"/>
              </w:rPr>
              <w:t>Декларация</w:t>
            </w:r>
            <w:r w:rsidRPr="00831BFB">
              <w:rPr>
                <w:szCs w:val="22"/>
                <w:lang w:val="ru-RU"/>
              </w:rPr>
              <w:t xml:space="preserve"> </w:t>
            </w:r>
            <w:r w:rsidRPr="00E96432">
              <w:rPr>
                <w:szCs w:val="22"/>
                <w:lang w:val="ru-RU"/>
              </w:rPr>
              <w:t>ВКРЭ</w:t>
            </w:r>
            <w:r w:rsidR="00513FA0" w:rsidRPr="00831BFB">
              <w:rPr>
                <w:szCs w:val="22"/>
                <w:lang w:val="ru-RU"/>
              </w:rPr>
              <w:t xml:space="preserve">-22 </w:t>
            </w:r>
          </w:p>
          <w:p w14:paraId="1ECDD20E" w14:textId="0A09541F" w:rsidR="00C8039E" w:rsidRPr="00E96432" w:rsidRDefault="00E96432" w:rsidP="009C309F">
            <w:pPr>
              <w:spacing w:after="120"/>
              <w:rPr>
                <w:szCs w:val="22"/>
                <w:lang w:val="ru-RU"/>
              </w:rPr>
            </w:pPr>
            <w:r w:rsidRPr="00E96432">
              <w:rPr>
                <w:szCs w:val="22"/>
                <w:lang w:val="ru-RU"/>
              </w:rPr>
              <w:t>Раздел</w:t>
            </w:r>
            <w:r w:rsidR="00D14790" w:rsidRPr="00E96432">
              <w:rPr>
                <w:szCs w:val="22"/>
                <w:lang w:val="ru-RU"/>
              </w:rPr>
              <w:t xml:space="preserve"> 4.5 </w:t>
            </w:r>
            <w:r w:rsidRPr="00E96432">
              <w:rPr>
                <w:szCs w:val="22"/>
                <w:lang w:val="ru-RU"/>
              </w:rPr>
              <w:t>Плана действий Буэнос-Айреса</w:t>
            </w:r>
            <w:r w:rsidR="00C8039E" w:rsidRPr="00E96432">
              <w:rPr>
                <w:szCs w:val="22"/>
                <w:lang w:val="ru-RU"/>
              </w:rPr>
              <w:t xml:space="preserve">, </w:t>
            </w:r>
            <w:r w:rsidRPr="00E96432">
              <w:rPr>
                <w:szCs w:val="22"/>
                <w:lang w:val="ru-RU"/>
              </w:rPr>
              <w:t>Заключительный отчет ВКРЭ</w:t>
            </w:r>
            <w:r w:rsidR="00D14790" w:rsidRPr="00E96432">
              <w:rPr>
                <w:szCs w:val="22"/>
                <w:lang w:val="ru-RU"/>
              </w:rPr>
              <w:t xml:space="preserve">-17 </w:t>
            </w:r>
          </w:p>
        </w:tc>
      </w:tr>
    </w:tbl>
    <w:p w14:paraId="4669363B" w14:textId="77777777" w:rsidR="000C4291" w:rsidRDefault="000C42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5B29B2A3" w14:textId="33B874E5" w:rsidR="00923CF1" w:rsidRPr="00E96432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96432">
        <w:rPr>
          <w:lang w:val="ru-RU"/>
        </w:rPr>
        <w:br w:type="page"/>
      </w:r>
    </w:p>
    <w:p w14:paraId="6C642C9F" w14:textId="31E22DAB" w:rsidR="00AC439B" w:rsidRPr="009C309F" w:rsidRDefault="000C4291" w:rsidP="000C4291">
      <w:pPr>
        <w:pStyle w:val="Heading1"/>
      </w:pPr>
      <w:r>
        <w:rPr>
          <w:lang w:val="en-US"/>
        </w:rPr>
        <w:lastRenderedPageBreak/>
        <w:t>1</w:t>
      </w:r>
      <w:r>
        <w:rPr>
          <w:lang w:val="en-US"/>
        </w:rPr>
        <w:tab/>
      </w:r>
      <w:r w:rsidR="00831BFB">
        <w:rPr>
          <w:lang w:val="ru-RU"/>
        </w:rPr>
        <w:t>Базовая информация</w:t>
      </w:r>
    </w:p>
    <w:p w14:paraId="5DE57773" w14:textId="25411579" w:rsidR="00636973" w:rsidRPr="00154B8C" w:rsidRDefault="00831BFB" w:rsidP="000C4291">
      <w:pPr>
        <w:rPr>
          <w:lang w:val="ru-RU"/>
        </w:rPr>
      </w:pPr>
      <w:r w:rsidRPr="00BD76BC">
        <w:rPr>
          <w:lang w:val="ru-RU"/>
        </w:rPr>
        <w:t>На Всемирной конференции по развитию электросвязи 2022</w:t>
      </w:r>
      <w:r w:rsidRPr="00BD76BC">
        <w:t> </w:t>
      </w:r>
      <w:r w:rsidRPr="00BD76BC">
        <w:rPr>
          <w:lang w:val="ru-RU"/>
        </w:rPr>
        <w:t xml:space="preserve">года (ВКРЭ-22) было признано значение </w:t>
      </w:r>
      <w:r w:rsidRPr="00BD76BC">
        <w:rPr>
          <w:shd w:val="clear" w:color="auto" w:fill="FFFFFF"/>
          <w:lang w:val="ru-RU"/>
        </w:rPr>
        <w:t>мобилизации ресурсов и международного сотрудничества как нового приоритета МСЭ-</w:t>
      </w:r>
      <w:r w:rsidRPr="00BD76BC">
        <w:rPr>
          <w:shd w:val="clear" w:color="auto" w:fill="FFFFFF"/>
          <w:lang w:val="en-US"/>
        </w:rPr>
        <w:t>D</w:t>
      </w:r>
      <w:r w:rsidRPr="00BD76BC">
        <w:rPr>
          <w:shd w:val="clear" w:color="auto" w:fill="FFFFFF"/>
          <w:lang w:val="ru-RU"/>
        </w:rPr>
        <w:t xml:space="preserve"> и движущей силы осуществления Кигалийского плана действий</w:t>
      </w:r>
      <w:r w:rsidR="007247E9" w:rsidRPr="00BD76BC">
        <w:rPr>
          <w:lang w:val="ru-RU"/>
        </w:rPr>
        <w:t>:</w:t>
      </w:r>
      <w:r w:rsidR="00AC439B" w:rsidRPr="00BD76BC">
        <w:rPr>
          <w:lang w:val="ru-RU"/>
        </w:rPr>
        <w:t xml:space="preserve"> </w:t>
      </w:r>
      <w:r w:rsidR="00BD76BC" w:rsidRPr="00BD76BC">
        <w:rPr>
          <w:lang w:val="ru-RU"/>
        </w:rPr>
        <w:t>"</w:t>
      </w:r>
      <w:r w:rsidR="00BD76BC" w:rsidRPr="00BD76BC">
        <w:rPr>
          <w:color w:val="000000"/>
          <w:lang w:val="ru-RU"/>
        </w:rPr>
        <w:t>Цель настоящего приоритета заключается в мобилизации и привлечении ресурсов, а также в содействии международному сотрудничеству по вопросам развития электросвязи/ИКТ.</w:t>
      </w:r>
      <w:r w:rsidR="00636973" w:rsidRPr="00BD76BC">
        <w:rPr>
          <w:lang w:val="ru-RU"/>
        </w:rPr>
        <w:t xml:space="preserve"> </w:t>
      </w:r>
      <w:r w:rsidR="00BD76BC" w:rsidRPr="00BD76BC">
        <w:rPr>
          <w:color w:val="000000"/>
          <w:lang w:val="ru-RU"/>
        </w:rPr>
        <w:t>Данный приоритет также носит сквозной характер, привлекая ресурсы и содействуя международному сотрудничеству для обеспечения соответствующих глобальных конечных результатов</w:t>
      </w:r>
      <w:r w:rsidR="00636973" w:rsidRPr="00BD76BC">
        <w:rPr>
          <w:lang w:val="ru-RU"/>
        </w:rPr>
        <w:t xml:space="preserve">. </w:t>
      </w:r>
      <w:r w:rsidR="00BD76BC" w:rsidRPr="00BD76BC">
        <w:rPr>
          <w:color w:val="000000"/>
          <w:lang w:val="ru-RU"/>
        </w:rPr>
        <w:t>При этом потребности развивающихся стран, наименее развитых стран, малых островных развивающихся государств, развивающихся стран, не имеющих выхода к морю, и стран с переходной экономикой, а также недостаточно обслуживаемых и уязвимых групп населения следует отнести к числу приоритетных и уделять им должное внимание"</w:t>
      </w:r>
      <w:r w:rsidR="00105B16" w:rsidRPr="00BD76BC">
        <w:rPr>
          <w:lang w:val="ru-RU"/>
        </w:rPr>
        <w:t xml:space="preserve"> </w:t>
      </w:r>
      <w:r w:rsidR="00CC2735" w:rsidRPr="00154B8C">
        <w:rPr>
          <w:lang w:val="ru-RU"/>
        </w:rPr>
        <w:t>(</w:t>
      </w:r>
      <w:r w:rsidR="00BD76BC" w:rsidRPr="00BD76BC">
        <w:rPr>
          <w:lang w:val="ru-RU"/>
        </w:rPr>
        <w:t>Кигалийский</w:t>
      </w:r>
      <w:r w:rsidR="00BD76BC" w:rsidRPr="00154B8C">
        <w:rPr>
          <w:lang w:val="ru-RU"/>
        </w:rPr>
        <w:t xml:space="preserve"> </w:t>
      </w:r>
      <w:r w:rsidR="00BD76BC" w:rsidRPr="00BD76BC">
        <w:rPr>
          <w:lang w:val="ru-RU"/>
        </w:rPr>
        <w:t>план</w:t>
      </w:r>
      <w:r w:rsidR="00BD76BC" w:rsidRPr="00154B8C">
        <w:rPr>
          <w:lang w:val="ru-RU"/>
        </w:rPr>
        <w:t xml:space="preserve"> </w:t>
      </w:r>
      <w:r w:rsidR="00BD76BC" w:rsidRPr="00BD76BC">
        <w:rPr>
          <w:lang w:val="ru-RU"/>
        </w:rPr>
        <w:t>действий</w:t>
      </w:r>
      <w:r w:rsidR="00CC2735" w:rsidRPr="00154B8C">
        <w:rPr>
          <w:lang w:val="ru-RU"/>
        </w:rPr>
        <w:t>)</w:t>
      </w:r>
      <w:r w:rsidR="00F75263">
        <w:rPr>
          <w:lang w:val="ru-RU"/>
        </w:rPr>
        <w:t>.</w:t>
      </w:r>
    </w:p>
    <w:p w14:paraId="44E1D69E" w14:textId="4CE196A7" w:rsidR="00D30ED9" w:rsidRPr="00AA6894" w:rsidRDefault="00BD76BC" w:rsidP="000C4291">
      <w:pPr>
        <w:rPr>
          <w:lang w:val="ru-RU"/>
        </w:rPr>
      </w:pPr>
      <w:r w:rsidRPr="00AA6894">
        <w:rPr>
          <w:lang w:val="ru-RU"/>
        </w:rPr>
        <w:t>В</w:t>
      </w:r>
      <w:r w:rsidRPr="00154B8C">
        <w:rPr>
          <w:lang w:val="ru-RU"/>
        </w:rPr>
        <w:t xml:space="preserve"> </w:t>
      </w:r>
      <w:r w:rsidRPr="00AA6894">
        <w:rPr>
          <w:lang w:val="ru-RU"/>
        </w:rPr>
        <w:t>Резолюции</w:t>
      </w:r>
      <w:r w:rsidR="004104C8" w:rsidRPr="00154B8C">
        <w:rPr>
          <w:lang w:val="ru-RU"/>
        </w:rPr>
        <w:t xml:space="preserve"> 17 (</w:t>
      </w:r>
      <w:r w:rsidRPr="00AA6894">
        <w:rPr>
          <w:lang w:val="ru-RU"/>
        </w:rPr>
        <w:t>Пересм</w:t>
      </w:r>
      <w:r w:rsidRPr="00154B8C">
        <w:rPr>
          <w:lang w:val="ru-RU"/>
        </w:rPr>
        <w:t xml:space="preserve">. </w:t>
      </w:r>
      <w:r w:rsidRPr="00AA6894">
        <w:rPr>
          <w:lang w:val="ru-RU"/>
        </w:rPr>
        <w:t>Кигали</w:t>
      </w:r>
      <w:r w:rsidR="008A2B01" w:rsidRPr="00AA6894">
        <w:rPr>
          <w:lang w:val="ru-RU"/>
        </w:rPr>
        <w:t>, 2022</w:t>
      </w:r>
      <w:r w:rsidRPr="00AA6894">
        <w:t> </w:t>
      </w:r>
      <w:r w:rsidRPr="00AA6894">
        <w:rPr>
          <w:lang w:val="ru-RU"/>
        </w:rPr>
        <w:t>г.</w:t>
      </w:r>
      <w:r w:rsidR="004104C8" w:rsidRPr="00AA6894">
        <w:rPr>
          <w:lang w:val="ru-RU"/>
        </w:rPr>
        <w:t xml:space="preserve">) </w:t>
      </w:r>
      <w:r w:rsidRPr="00AA6894">
        <w:rPr>
          <w:color w:val="000000"/>
          <w:szCs w:val="18"/>
          <w:lang w:val="ru-RU"/>
        </w:rPr>
        <w:t>об осуществлении на национальном, региональном, межрегиональном и глобальном уровнях одобренных региональных инициатив и сотрудничестве по ним</w:t>
      </w:r>
      <w:r w:rsidRPr="00AA6894">
        <w:rPr>
          <w:lang w:val="ru-RU"/>
        </w:rPr>
        <w:t xml:space="preserve"> Директору БРЭ поручается</w:t>
      </w:r>
      <w:r w:rsidR="00AA6894" w:rsidRPr="00AA6894">
        <w:rPr>
          <w:lang w:val="ru-RU"/>
        </w:rPr>
        <w:t xml:space="preserve"> "</w:t>
      </w:r>
      <w:r w:rsidR="00AA6894" w:rsidRPr="00AA6894">
        <w:rPr>
          <w:szCs w:val="18"/>
          <w:lang w:val="ru-RU"/>
        </w:rPr>
        <w:t xml:space="preserve">обеспечить, чтобы БРЭ способствовало активному участию региональных и субрегиональных организаций электросвязи в различных этапах управления проектами, установленных </w:t>
      </w:r>
      <w:r w:rsidR="00AA6894" w:rsidRPr="000C4291">
        <w:rPr>
          <w:color w:val="000000"/>
          <w:lang w:val="ru-RU"/>
        </w:rPr>
        <w:t>МСЭ</w:t>
      </w:r>
      <w:r w:rsidR="00AA6894" w:rsidRPr="00AA6894">
        <w:rPr>
          <w:szCs w:val="18"/>
          <w:lang w:val="ru-RU"/>
        </w:rPr>
        <w:t>, а также в налаживании партнерских отношений и мобилизации ресурсов в целях оказания эффективного содействия реализации региональных инициатив</w:t>
      </w:r>
      <w:r w:rsidR="00AA6894" w:rsidRPr="00AA6894">
        <w:rPr>
          <w:lang w:val="ru-RU"/>
        </w:rPr>
        <w:t>".</w:t>
      </w:r>
    </w:p>
    <w:p w14:paraId="7FE8E3EE" w14:textId="150C46FD" w:rsidR="00AC439B" w:rsidRPr="00AA6894" w:rsidRDefault="000C4291" w:rsidP="000C4291">
      <w:pPr>
        <w:pStyle w:val="Heading1"/>
        <w:rPr>
          <w:lang w:val="ru-RU"/>
        </w:rPr>
      </w:pPr>
      <w:r w:rsidRPr="000C4291">
        <w:rPr>
          <w:lang w:val="ru-RU"/>
        </w:rPr>
        <w:t>2</w:t>
      </w:r>
      <w:r w:rsidRPr="000C4291">
        <w:rPr>
          <w:lang w:val="ru-RU"/>
        </w:rPr>
        <w:tab/>
      </w:r>
      <w:r w:rsidR="00AA6894">
        <w:rPr>
          <w:lang w:val="ru-RU"/>
        </w:rPr>
        <w:t>Стратегическая</w:t>
      </w:r>
      <w:r w:rsidR="00AA6894" w:rsidRPr="00AA6894">
        <w:rPr>
          <w:lang w:val="ru-RU"/>
        </w:rPr>
        <w:t xml:space="preserve"> </w:t>
      </w:r>
      <w:r w:rsidR="00AA6894">
        <w:rPr>
          <w:lang w:val="ru-RU"/>
        </w:rPr>
        <w:t>цель</w:t>
      </w:r>
      <w:r w:rsidR="00AA6894" w:rsidRPr="00AA6894">
        <w:rPr>
          <w:lang w:val="ru-RU"/>
        </w:rPr>
        <w:t xml:space="preserve"> </w:t>
      </w:r>
      <w:r w:rsidR="00AA6894">
        <w:rPr>
          <w:lang w:val="ru-RU"/>
        </w:rPr>
        <w:t>МСЭ</w:t>
      </w:r>
      <w:r w:rsidR="00AC439B" w:rsidRPr="00AA6894">
        <w:rPr>
          <w:lang w:val="ru-RU"/>
        </w:rPr>
        <w:t>-</w:t>
      </w:r>
      <w:r w:rsidR="00AC439B" w:rsidRPr="009C309F">
        <w:t>D</w:t>
      </w:r>
      <w:r w:rsidR="00AC439B" w:rsidRPr="00AA6894">
        <w:rPr>
          <w:lang w:val="ru-RU"/>
        </w:rPr>
        <w:t xml:space="preserve"> </w:t>
      </w:r>
      <w:r w:rsidR="00AA6894" w:rsidRPr="00AA6894">
        <w:rPr>
          <w:lang w:val="ru-RU"/>
        </w:rPr>
        <w:t xml:space="preserve">– </w:t>
      </w:r>
      <w:r w:rsidR="00AA6894">
        <w:rPr>
          <w:lang w:val="ru-RU"/>
        </w:rPr>
        <w:t>партнерские</w:t>
      </w:r>
      <w:r w:rsidR="00AA6894" w:rsidRPr="00AA6894">
        <w:rPr>
          <w:lang w:val="ru-RU"/>
        </w:rPr>
        <w:t xml:space="preserve"> </w:t>
      </w:r>
      <w:r w:rsidR="00AA6894">
        <w:rPr>
          <w:lang w:val="ru-RU"/>
        </w:rPr>
        <w:t>отношения</w:t>
      </w:r>
      <w:r w:rsidR="00AA6894" w:rsidRPr="00AA6894">
        <w:rPr>
          <w:lang w:val="ru-RU"/>
        </w:rPr>
        <w:t xml:space="preserve"> </w:t>
      </w:r>
      <w:r w:rsidR="00AA6894">
        <w:rPr>
          <w:lang w:val="ru-RU"/>
        </w:rPr>
        <w:t>и</w:t>
      </w:r>
      <w:r w:rsidR="00AA6894" w:rsidRPr="00AA6894">
        <w:rPr>
          <w:lang w:val="ru-RU"/>
        </w:rPr>
        <w:t xml:space="preserve"> </w:t>
      </w:r>
      <w:r w:rsidR="00AA6894">
        <w:rPr>
          <w:lang w:val="ru-RU"/>
        </w:rPr>
        <w:t>мобилизация ресурсов</w:t>
      </w:r>
    </w:p>
    <w:p w14:paraId="5CD42126" w14:textId="19C133E7" w:rsidR="00942CC3" w:rsidRPr="00154B8C" w:rsidRDefault="00AA6894" w:rsidP="000C4291">
      <w:pPr>
        <w:rPr>
          <w:sz w:val="20"/>
          <w:lang w:val="ru-RU"/>
        </w:rPr>
      </w:pPr>
      <w:r w:rsidRPr="00AE7793">
        <w:rPr>
          <w:shd w:val="clear" w:color="auto" w:fill="FFFFFF"/>
          <w:lang w:val="ru-RU"/>
        </w:rPr>
        <w:t>В соответствии с решениями ВКРЭ-22 задача заключается в содействии, развитии и укреплении партнерств и международного сотрудничества с как можно более широким кругом партнеров из развитых и развивающихся стран в целях активизации координации, обмена специальными знаниями и опытом и мобилизации ресурсов для осуществления программ</w:t>
      </w:r>
      <w:r w:rsidR="00AE7793" w:rsidRPr="00AE7793">
        <w:rPr>
          <w:shd w:val="clear" w:color="auto" w:fill="FFFFFF"/>
          <w:lang w:val="ru-RU"/>
        </w:rPr>
        <w:t>, направлений деятельности</w:t>
      </w:r>
      <w:r w:rsidRPr="00AE7793">
        <w:rPr>
          <w:shd w:val="clear" w:color="auto" w:fill="FFFFFF"/>
          <w:lang w:val="ru-RU"/>
        </w:rPr>
        <w:t xml:space="preserve"> </w:t>
      </w:r>
      <w:r w:rsidR="00AE7793" w:rsidRPr="00AE7793">
        <w:rPr>
          <w:shd w:val="clear" w:color="auto" w:fill="FFFFFF"/>
          <w:lang w:val="ru-RU"/>
        </w:rPr>
        <w:t xml:space="preserve">и </w:t>
      </w:r>
      <w:r w:rsidRPr="00AE7793">
        <w:rPr>
          <w:shd w:val="clear" w:color="auto" w:fill="FFFFFF"/>
          <w:lang w:val="ru-RU"/>
        </w:rPr>
        <w:t>инициатив в интересах устойчивого развития.</w:t>
      </w:r>
      <w:r w:rsidRPr="00AE7793">
        <w:rPr>
          <w:sz w:val="20"/>
          <w:lang w:val="ru-RU"/>
        </w:rPr>
        <w:t xml:space="preserve"> </w:t>
      </w:r>
    </w:p>
    <w:p w14:paraId="0F0D7BA2" w14:textId="510F1BC6" w:rsidR="00AC439B" w:rsidRPr="00AE7793" w:rsidRDefault="000C4291" w:rsidP="000C4291">
      <w:pPr>
        <w:pStyle w:val="Heading1"/>
        <w:rPr>
          <w:lang w:val="ru-RU"/>
        </w:rPr>
      </w:pPr>
      <w:r w:rsidRPr="000C4291">
        <w:rPr>
          <w:lang w:val="ru-RU"/>
        </w:rPr>
        <w:t>3</w:t>
      </w:r>
      <w:r w:rsidRPr="000C4291">
        <w:rPr>
          <w:lang w:val="ru-RU"/>
        </w:rPr>
        <w:tab/>
      </w:r>
      <w:r w:rsidR="00AE7793">
        <w:rPr>
          <w:lang w:val="ru-RU"/>
        </w:rPr>
        <w:t>Партнерские</w:t>
      </w:r>
      <w:r w:rsidR="00AE7793" w:rsidRPr="00AE7793">
        <w:rPr>
          <w:lang w:val="ru-RU"/>
        </w:rPr>
        <w:t xml:space="preserve"> </w:t>
      </w:r>
      <w:r w:rsidR="00AE7793">
        <w:rPr>
          <w:lang w:val="ru-RU"/>
        </w:rPr>
        <w:t>отношения</w:t>
      </w:r>
      <w:r w:rsidR="00AE7793" w:rsidRPr="00AE7793">
        <w:rPr>
          <w:lang w:val="ru-RU"/>
        </w:rPr>
        <w:t xml:space="preserve"> </w:t>
      </w:r>
      <w:r w:rsidR="00AE7793">
        <w:rPr>
          <w:lang w:val="ru-RU"/>
        </w:rPr>
        <w:t>и</w:t>
      </w:r>
      <w:r w:rsidR="00AE7793" w:rsidRPr="00AE7793">
        <w:rPr>
          <w:lang w:val="ru-RU"/>
        </w:rPr>
        <w:t xml:space="preserve"> </w:t>
      </w:r>
      <w:r w:rsidR="00AE7793">
        <w:rPr>
          <w:lang w:val="ru-RU"/>
        </w:rPr>
        <w:t>результаты</w:t>
      </w:r>
      <w:r w:rsidR="00AE7793" w:rsidRPr="00AE7793">
        <w:rPr>
          <w:lang w:val="ru-RU"/>
        </w:rPr>
        <w:t xml:space="preserve"> </w:t>
      </w:r>
      <w:r w:rsidR="00AE7793">
        <w:rPr>
          <w:lang w:val="ru-RU"/>
        </w:rPr>
        <w:t>мобилизации</w:t>
      </w:r>
      <w:r w:rsidR="00AE7793" w:rsidRPr="00AE7793">
        <w:rPr>
          <w:lang w:val="ru-RU"/>
        </w:rPr>
        <w:t xml:space="preserve"> </w:t>
      </w:r>
      <w:r w:rsidR="00AE7793">
        <w:rPr>
          <w:lang w:val="ru-RU"/>
        </w:rPr>
        <w:t xml:space="preserve">ресурсов в </w:t>
      </w:r>
      <w:r w:rsidR="00EC3322" w:rsidRPr="00AE7793">
        <w:rPr>
          <w:lang w:val="ru-RU"/>
        </w:rPr>
        <w:t>2022</w:t>
      </w:r>
      <w:r w:rsidR="00AE7793">
        <w:rPr>
          <w:lang w:val="ru-RU"/>
        </w:rPr>
        <w:t> году</w:t>
      </w:r>
    </w:p>
    <w:p w14:paraId="6CC790C6" w14:textId="38B450D7" w:rsidR="00283EA3" w:rsidRPr="00AE7793" w:rsidRDefault="00AE7793" w:rsidP="000C4291">
      <w:pPr>
        <w:rPr>
          <w:lang w:val="ru-RU"/>
        </w:rPr>
      </w:pPr>
      <w:r w:rsidRPr="00AE7793">
        <w:rPr>
          <w:shd w:val="clear" w:color="auto" w:fill="FFFFFF"/>
          <w:lang w:val="ru-RU"/>
        </w:rPr>
        <w:t>В 2022 году БРЭ подписало 71 соглашение с широким кругом партнеров, из которых 50 имеют финансовые взносы порядка 9,7 млн. долл. США.</w:t>
      </w:r>
      <w:r w:rsidRPr="00AE7793">
        <w:rPr>
          <w:lang w:val="ru-RU"/>
        </w:rPr>
        <w:t xml:space="preserve"> Список этих соглашений содержится в Документе </w:t>
      </w:r>
      <w:r w:rsidR="00BE3101" w:rsidRPr="00AE7793">
        <w:t>TDAG</w:t>
      </w:r>
      <w:r w:rsidR="0027170C" w:rsidRPr="00AE7793">
        <w:rPr>
          <w:lang w:val="ru-RU"/>
        </w:rPr>
        <w:noBreakHyphen/>
      </w:r>
      <w:r w:rsidR="00BE3101" w:rsidRPr="00AE7793">
        <w:rPr>
          <w:lang w:val="ru-RU"/>
        </w:rPr>
        <w:t>23/</w:t>
      </w:r>
      <w:r w:rsidR="00BE3101" w:rsidRPr="00AE7793">
        <w:t>INF</w:t>
      </w:r>
      <w:r w:rsidR="00BE3101" w:rsidRPr="00AE7793">
        <w:rPr>
          <w:lang w:val="ru-RU"/>
        </w:rPr>
        <w:t xml:space="preserve">/1. </w:t>
      </w:r>
    </w:p>
    <w:p w14:paraId="7B78A27B" w14:textId="0A16A709" w:rsidR="00D53718" w:rsidRPr="00154B8C" w:rsidRDefault="00AE7793" w:rsidP="000C4291">
      <w:pPr>
        <w:rPr>
          <w:sz w:val="20"/>
          <w:lang w:val="ru-RU"/>
        </w:rPr>
      </w:pPr>
      <w:r w:rsidRPr="00AE7793">
        <w:rPr>
          <w:shd w:val="clear" w:color="auto" w:fill="FFFFFF"/>
          <w:lang w:val="ru-RU"/>
        </w:rPr>
        <w:t>Создание всех этих партнерств стало возможным благодаря совместным усилиям членов МСЭ и партнеров, а также персонала БРЭ, как на местах, так и в штаб-квартире.</w:t>
      </w:r>
      <w:r w:rsidRPr="00AE7793">
        <w:rPr>
          <w:sz w:val="20"/>
          <w:lang w:val="ru-RU"/>
        </w:rPr>
        <w:t xml:space="preserve"> </w:t>
      </w:r>
    </w:p>
    <w:p w14:paraId="66B5B16F" w14:textId="3C2C8D2F" w:rsidR="00B528DB" w:rsidRPr="009D28AF" w:rsidRDefault="00AE2FBE" w:rsidP="000C4291">
      <w:pPr>
        <w:rPr>
          <w:sz w:val="20"/>
          <w:lang w:val="ru-RU"/>
        </w:rPr>
      </w:pPr>
      <w:r w:rsidRPr="009D28AF">
        <w:rPr>
          <w:shd w:val="clear" w:color="auto" w:fill="FFFFFF"/>
          <w:lang w:val="ru-RU"/>
        </w:rPr>
        <w:t>В 2022 году общий объем финансовых взносов, по соглашениям, подписанным БРЭ и его партнерами, был распределен следующим образом:</w:t>
      </w:r>
    </w:p>
    <w:p w14:paraId="257D561F" w14:textId="0B8F6523" w:rsidR="00EC3322" w:rsidRPr="00022797" w:rsidRDefault="00CA2BD7" w:rsidP="00F10ED4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795EE" wp14:editId="484243CF">
                <wp:simplePos x="0" y="0"/>
                <wp:positionH relativeFrom="column">
                  <wp:posOffset>3144244</wp:posOffset>
                </wp:positionH>
                <wp:positionV relativeFrom="paragraph">
                  <wp:posOffset>395108</wp:posOffset>
                </wp:positionV>
                <wp:extent cx="1192613" cy="261703"/>
                <wp:effectExtent l="0" t="0" r="762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13" cy="261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13FAB" w14:textId="5CCF674C" w:rsidR="00CA2BD7" w:rsidRPr="00CA2BD7" w:rsidRDefault="00CA2BD7" w:rsidP="00CA2BD7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CA2BD7">
                              <w:rPr>
                                <w:sz w:val="16"/>
                                <w:szCs w:val="16"/>
                                <w:lang w:val="ru-RU"/>
                              </w:rPr>
                              <w:t>Доля партнеров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795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7.6pt;margin-top:31.1pt;width:93.9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" fillcolor="white [3201]" stroked="f" strokeweight=".5pt">
                <v:textbox>
                  <w:txbxContent>
                    <w:p w14:paraId="47113FAB" w14:textId="5CCF674C" w:rsidR="00CA2BD7" w:rsidRPr="00CA2BD7" w:rsidRDefault="00CA2BD7" w:rsidP="00CA2BD7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CA2BD7">
                        <w:rPr>
                          <w:sz w:val="16"/>
                          <w:szCs w:val="16"/>
                          <w:lang w:val="ru-RU"/>
                        </w:rPr>
                        <w:t>Доля партнеров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14597" wp14:editId="7BC45863">
                <wp:simplePos x="0" y="0"/>
                <wp:positionH relativeFrom="column">
                  <wp:posOffset>2205990</wp:posOffset>
                </wp:positionH>
                <wp:positionV relativeFrom="paragraph">
                  <wp:posOffset>395108</wp:posOffset>
                </wp:positionV>
                <wp:extent cx="779228" cy="262393"/>
                <wp:effectExtent l="0" t="0" r="1905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228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6FED5" w14:textId="562B2141" w:rsidR="00CA2BD7" w:rsidRPr="00CA2BD7" w:rsidRDefault="00CA2BD7" w:rsidP="00CA2BD7">
                            <w:pPr>
                              <w:spacing w:before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Доля МСЭ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14597" id="Text Box 4" o:spid="_x0000_s1027" type="#_x0000_t202" style="position:absolute;left:0;text-align:left;margin-left:173.7pt;margin-top:31.1pt;width:61.3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" fillcolor="white [3201]" stroked="f" strokeweight=".5pt">
                <v:textbox>
                  <w:txbxContent>
                    <w:p w14:paraId="3406FED5" w14:textId="562B2141" w:rsidR="00CA2BD7" w:rsidRPr="00CA2BD7" w:rsidRDefault="00CA2BD7" w:rsidP="00CA2BD7">
                      <w:pPr>
                        <w:spacing w:before="0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Доля МСЭ</w:t>
                      </w:r>
                    </w:p>
                  </w:txbxContent>
                </v:textbox>
              </v:shape>
            </w:pict>
          </mc:Fallback>
        </mc:AlternateContent>
      </w:r>
      <w:r w:rsidR="00352131">
        <w:rPr>
          <w:noProof/>
        </w:rPr>
        <mc:AlternateContent>
          <mc:Choice Requires="cx1">
            <w:drawing>
              <wp:inline distT="0" distB="0" distL="0" distR="0" wp14:anchorId="0C3B2370" wp14:editId="2DB8648D">
                <wp:extent cx="6120765" cy="1720158"/>
                <wp:effectExtent l="0" t="0" r="13335" b="13970"/>
                <wp:docPr id="3" name="Char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2AA87D-976D-498B-9315-3E3ECC643F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0C3B2370" wp14:editId="2DB8648D">
                <wp:extent cx="6120765" cy="1720158"/>
                <wp:effectExtent l="0" t="0" r="13335" b="13970"/>
                <wp:docPr id="3" name="Char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2AA87D-976D-498B-9315-3E3ECC643F07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hart 3">
                          <a:extLst>
                            <a:ext uri="{FF2B5EF4-FFF2-40B4-BE49-F238E27FC236}">
                              <a16:creationId xmlns:a16="http://schemas.microsoft.com/office/drawing/2014/main" id="{052AA87D-976D-498B-9315-3E3ECC643F07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71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A46CBAC" w14:textId="329682AD" w:rsidR="009469D6" w:rsidRPr="009469D6" w:rsidRDefault="009469D6" w:rsidP="000C4291">
      <w:pPr>
        <w:rPr>
          <w:shd w:val="clear" w:color="auto" w:fill="FFFFFF"/>
          <w:lang w:val="ru-RU"/>
        </w:rPr>
      </w:pPr>
      <w:r w:rsidRPr="009469D6">
        <w:rPr>
          <w:shd w:val="clear" w:color="auto" w:fill="FFFFFF"/>
          <w:lang w:val="ru-RU"/>
        </w:rPr>
        <w:t>В 2022 году БРЭ подписало соглашения с 57 различными партнерами, к числу которых относятся государственные учреждения (42%), объединения частного сектора (32%), Академические организации (7%), организации системы ООН (7%), другие (5%), международные и региональные организации и ассоциации (4%), финансовые учреждения (2%) и фонды (2%).</w:t>
      </w:r>
    </w:p>
    <w:p w14:paraId="04AD9276" w14:textId="3B0B17F7" w:rsidR="00930E28" w:rsidRPr="009508E0" w:rsidRDefault="009508E0" w:rsidP="000C4291">
      <w:pPr>
        <w:rPr>
          <w:lang w:val="ru-RU"/>
        </w:rPr>
      </w:pPr>
      <w:r w:rsidRPr="009508E0">
        <w:rPr>
          <w:shd w:val="clear" w:color="auto" w:fill="FFFFFF"/>
          <w:lang w:val="ru-RU"/>
        </w:rPr>
        <w:lastRenderedPageBreak/>
        <w:t>Подписанные финансовые взносы этих партнеров были распределены по схеме ниже</w:t>
      </w:r>
      <w:r w:rsidR="00AD40E0" w:rsidRPr="009508E0">
        <w:rPr>
          <w:lang w:val="ru-RU"/>
        </w:rPr>
        <w:t>:</w:t>
      </w:r>
    </w:p>
    <w:p w14:paraId="2E44C348" w14:textId="3D6EE12D" w:rsidR="004C43E9" w:rsidRDefault="00192CAF" w:rsidP="007247E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61C15CFA" wp14:editId="24B58178">
            <wp:extent cx="6137910" cy="1887648"/>
            <wp:effectExtent l="0" t="0" r="15240" b="1778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3190CAA5-544F-1544-A127-454635F949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D110D5" w14:textId="7CCEAC35" w:rsidR="00B23E25" w:rsidRPr="00B87370" w:rsidRDefault="00374B59" w:rsidP="009C309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2"/>
          <w:lang w:val="ru-RU"/>
        </w:rPr>
      </w:pPr>
      <w:r w:rsidRPr="00124EF0">
        <w:rPr>
          <w:lang w:val="ru-RU"/>
        </w:rPr>
        <w:t>В числе этих партнеров</w:t>
      </w:r>
      <w:r w:rsidR="00B23E25" w:rsidRPr="00124EF0">
        <w:rPr>
          <w:lang w:val="ru-RU"/>
        </w:rPr>
        <w:t xml:space="preserve"> 19% </w:t>
      </w:r>
      <w:r w:rsidRPr="00124EF0">
        <w:rPr>
          <w:lang w:val="ru-RU"/>
        </w:rPr>
        <w:t>были администраци</w:t>
      </w:r>
      <w:r w:rsidR="00CE3F7D" w:rsidRPr="00124EF0">
        <w:rPr>
          <w:lang w:val="ru-RU"/>
        </w:rPr>
        <w:t xml:space="preserve">ями </w:t>
      </w:r>
      <w:r w:rsidR="00E44219" w:rsidRPr="000C4291">
        <w:rPr>
          <w:lang w:val="ru-RU"/>
        </w:rPr>
        <w:t>(</w:t>
      </w:r>
      <w:r w:rsidR="00E44219" w:rsidRPr="000C4291">
        <w:t>ADMIN</w:t>
      </w:r>
      <w:r w:rsidR="00E44219" w:rsidRPr="000C4291">
        <w:rPr>
          <w:lang w:val="ru-RU"/>
        </w:rPr>
        <w:t xml:space="preserve">) </w:t>
      </w:r>
      <w:r w:rsidR="00CE3F7D" w:rsidRPr="00124EF0">
        <w:rPr>
          <w:lang w:val="ru-RU"/>
        </w:rPr>
        <w:t>Государств</w:t>
      </w:r>
      <w:r w:rsidR="00CE3F7D" w:rsidRPr="000C4291">
        <w:t> </w:t>
      </w:r>
      <w:r w:rsidR="00CE3F7D" w:rsidRPr="00124EF0">
        <w:rPr>
          <w:lang w:val="ru-RU"/>
        </w:rPr>
        <w:t>– Членов МСЭ</w:t>
      </w:r>
      <w:r w:rsidR="00B23E25" w:rsidRPr="00124EF0">
        <w:rPr>
          <w:lang w:val="ru-RU"/>
        </w:rPr>
        <w:t xml:space="preserve">, 8% </w:t>
      </w:r>
      <w:r w:rsidR="00CE3F7D" w:rsidRPr="00124EF0">
        <w:rPr>
          <w:lang w:val="ru-RU"/>
        </w:rPr>
        <w:t>были связаны с администрациями Государств</w:t>
      </w:r>
      <w:r w:rsidR="00CE3F7D" w:rsidRPr="000C4291">
        <w:t> </w:t>
      </w:r>
      <w:r w:rsidR="00CE3F7D" w:rsidRPr="00124EF0">
        <w:rPr>
          <w:lang w:val="ru-RU"/>
        </w:rPr>
        <w:t>– Членов МСЭ</w:t>
      </w:r>
      <w:r w:rsidR="00B23E25" w:rsidRPr="00124EF0">
        <w:rPr>
          <w:lang w:val="ru-RU"/>
        </w:rPr>
        <w:t xml:space="preserve">, </w:t>
      </w:r>
      <w:r w:rsidR="00A035D9" w:rsidRPr="00124EF0">
        <w:rPr>
          <w:lang w:val="ru-RU"/>
        </w:rPr>
        <w:t>12</w:t>
      </w:r>
      <w:r w:rsidR="00B23E25" w:rsidRPr="00124EF0">
        <w:rPr>
          <w:lang w:val="ru-RU"/>
        </w:rPr>
        <w:t xml:space="preserve">% </w:t>
      </w:r>
      <w:r w:rsidR="00CE3F7D" w:rsidRPr="00124EF0">
        <w:rPr>
          <w:lang w:val="ru-RU"/>
        </w:rPr>
        <w:t>были Членами Сектора МСЭ</w:t>
      </w:r>
      <w:r w:rsidR="00B23E25" w:rsidRPr="00124EF0">
        <w:rPr>
          <w:lang w:val="ru-RU"/>
        </w:rPr>
        <w:t>-</w:t>
      </w:r>
      <w:r w:rsidR="00B23E25" w:rsidRPr="000C4291">
        <w:t>D</w:t>
      </w:r>
      <w:r w:rsidR="00B23E25" w:rsidRPr="00124EF0">
        <w:rPr>
          <w:lang w:val="ru-RU"/>
        </w:rPr>
        <w:t xml:space="preserve"> (7% </w:t>
      </w:r>
      <w:r w:rsidR="00142023" w:rsidRPr="00124EF0">
        <w:rPr>
          <w:lang w:val="ru-RU"/>
        </w:rPr>
        <w:t>НПО и</w:t>
      </w:r>
      <w:r w:rsidR="00B23E25" w:rsidRPr="00124EF0">
        <w:rPr>
          <w:lang w:val="ru-RU"/>
        </w:rPr>
        <w:t xml:space="preserve"> </w:t>
      </w:r>
      <w:r w:rsidR="00A035D9" w:rsidRPr="00124EF0">
        <w:rPr>
          <w:lang w:val="ru-RU"/>
        </w:rPr>
        <w:t>5</w:t>
      </w:r>
      <w:r w:rsidR="00B23E25" w:rsidRPr="00124EF0">
        <w:rPr>
          <w:lang w:val="ru-RU"/>
        </w:rPr>
        <w:t>%</w:t>
      </w:r>
      <w:r w:rsidR="00B23E25" w:rsidRPr="000C4291">
        <w:t> </w:t>
      </w:r>
      <w:r w:rsidR="00142023" w:rsidRPr="00124EF0">
        <w:rPr>
          <w:lang w:val="ru-RU"/>
        </w:rPr>
        <w:t>ПЭО</w:t>
      </w:r>
      <w:r w:rsidR="00B23E25" w:rsidRPr="00124EF0">
        <w:rPr>
          <w:lang w:val="ru-RU"/>
        </w:rPr>
        <w:t xml:space="preserve">), </w:t>
      </w:r>
      <w:r w:rsidR="00A035D9" w:rsidRPr="00124EF0">
        <w:rPr>
          <w:lang w:val="ru-RU"/>
        </w:rPr>
        <w:t>4</w:t>
      </w:r>
      <w:r w:rsidR="00B23E25" w:rsidRPr="00124EF0">
        <w:rPr>
          <w:lang w:val="ru-RU"/>
        </w:rPr>
        <w:t xml:space="preserve">% </w:t>
      </w:r>
      <w:r w:rsidR="00142023" w:rsidRPr="00124EF0">
        <w:rPr>
          <w:lang w:val="ru-RU"/>
        </w:rPr>
        <w:t>– региональные организации и другие международные организации</w:t>
      </w:r>
      <w:r w:rsidR="00E44219" w:rsidRPr="000C4291">
        <w:rPr>
          <w:lang w:val="ru-RU"/>
        </w:rPr>
        <w:t xml:space="preserve"> </w:t>
      </w:r>
      <w:r w:rsidR="00E44219" w:rsidRPr="00124EF0">
        <w:rPr>
          <w:lang w:val="ru-RU"/>
        </w:rPr>
        <w:t>(</w:t>
      </w:r>
      <w:r w:rsidR="00E44219" w:rsidRPr="000C4291">
        <w:t>REGINTORG</w:t>
      </w:r>
      <w:r w:rsidR="00E44219" w:rsidRPr="00124EF0">
        <w:rPr>
          <w:lang w:val="ru-RU"/>
        </w:rPr>
        <w:t>)</w:t>
      </w:r>
      <w:r w:rsidR="00B23E25" w:rsidRPr="00124EF0">
        <w:rPr>
          <w:lang w:val="ru-RU"/>
        </w:rPr>
        <w:t xml:space="preserve">, 2% </w:t>
      </w:r>
      <w:r w:rsidR="00142023" w:rsidRPr="00124EF0">
        <w:rPr>
          <w:lang w:val="ru-RU"/>
        </w:rPr>
        <w:t>– университеты и научно-исследовательские учреждения</w:t>
      </w:r>
      <w:r w:rsidR="00A52523" w:rsidRPr="00124EF0">
        <w:rPr>
          <w:lang w:val="ru-RU"/>
        </w:rPr>
        <w:t xml:space="preserve"> </w:t>
      </w:r>
      <w:r w:rsidR="00E44219" w:rsidRPr="000C4291">
        <w:rPr>
          <w:lang w:val="ru-RU"/>
        </w:rPr>
        <w:t>(</w:t>
      </w:r>
      <w:r w:rsidR="00E44219" w:rsidRPr="000C4291">
        <w:t>UNIVERS</w:t>
      </w:r>
      <w:r w:rsidR="00E44219" w:rsidRPr="00124EF0">
        <w:rPr>
          <w:lang w:val="ru-RU"/>
        </w:rPr>
        <w:t>/</w:t>
      </w:r>
      <w:r w:rsidR="00E44219" w:rsidRPr="000C4291">
        <w:t>RSRCH</w:t>
      </w:r>
      <w:r w:rsidR="00E44219" w:rsidRPr="000C4291">
        <w:rPr>
          <w:lang w:val="ru-RU"/>
        </w:rPr>
        <w:t>)</w:t>
      </w:r>
      <w:r w:rsidR="00E44219" w:rsidRPr="00124EF0">
        <w:rPr>
          <w:lang w:val="ru-RU"/>
        </w:rPr>
        <w:t xml:space="preserve"> </w:t>
      </w:r>
      <w:r w:rsidR="00142023" w:rsidRPr="00124EF0">
        <w:rPr>
          <w:lang w:val="ru-RU"/>
        </w:rPr>
        <w:t>и</w:t>
      </w:r>
      <w:r w:rsidR="00B23E25" w:rsidRPr="00124EF0">
        <w:rPr>
          <w:lang w:val="ru-RU"/>
        </w:rPr>
        <w:t xml:space="preserve"> 2% </w:t>
      </w:r>
      <w:r w:rsidR="00142023" w:rsidRPr="00124EF0">
        <w:rPr>
          <w:lang w:val="ru-RU"/>
        </w:rPr>
        <w:t>– другие объединения МСЭ, в соответствии с категориями членства МСЭ</w:t>
      </w:r>
      <w:r w:rsidR="00B23E25" w:rsidRPr="000C4291">
        <w:rPr>
          <w:rStyle w:val="FootnoteReference"/>
        </w:rPr>
        <w:footnoteReference w:id="1"/>
      </w:r>
      <w:r w:rsidR="00B23E25" w:rsidRPr="00B87370">
        <w:rPr>
          <w:szCs w:val="22"/>
          <w:lang w:val="ru-RU"/>
        </w:rPr>
        <w:t>.</w:t>
      </w:r>
    </w:p>
    <w:p w14:paraId="42032597" w14:textId="6475DAD1" w:rsidR="006567AC" w:rsidRPr="00142023" w:rsidRDefault="00142023" w:rsidP="001C5492">
      <w:pPr>
        <w:spacing w:after="120"/>
        <w:rPr>
          <w:lang w:val="ru-RU"/>
        </w:rPr>
      </w:pPr>
      <w:r w:rsidRPr="00142023">
        <w:rPr>
          <w:shd w:val="clear" w:color="auto" w:fill="FFFFFF"/>
          <w:lang w:val="ru-RU"/>
        </w:rPr>
        <w:t>В 2022 году тремя партнерами по финансированию с наиболее крупными финансовыми взносами были</w:t>
      </w:r>
      <w:r w:rsidR="000C0A5E" w:rsidRPr="00142023">
        <w:rPr>
          <w:lang w:val="ru-RU"/>
        </w:rPr>
        <w:t>:</w:t>
      </w:r>
    </w:p>
    <w:tbl>
      <w:tblPr>
        <w:tblStyle w:val="TableGrid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8"/>
      </w:tblGrid>
      <w:tr w:rsidR="006567AC" w14:paraId="33DD50B5" w14:textId="77777777" w:rsidTr="00D83AAA">
        <w:tc>
          <w:tcPr>
            <w:tcW w:w="6516" w:type="dxa"/>
            <w:shd w:val="clear" w:color="auto" w:fill="DBE5F1" w:themeFill="accent1" w:themeFillTint="33"/>
          </w:tcPr>
          <w:p w14:paraId="5315DD8A" w14:textId="042A2824" w:rsidR="006567AC" w:rsidRPr="00354128" w:rsidRDefault="00142023" w:rsidP="001C5492">
            <w:pPr>
              <w:pStyle w:val="Tabletitle"/>
              <w:rPr>
                <w:lang w:val="ru-RU"/>
              </w:rPr>
            </w:pPr>
            <w:r w:rsidRPr="00354128">
              <w:rPr>
                <w:lang w:val="ru-RU"/>
              </w:rPr>
              <w:t>Партнер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8E0D1CD" w14:textId="1C523ADB" w:rsidR="006567AC" w:rsidRPr="00354128" w:rsidRDefault="00142023" w:rsidP="001C5492">
            <w:pPr>
              <w:pStyle w:val="Tabletitle"/>
              <w:rPr>
                <w:lang w:val="ru-RU"/>
              </w:rPr>
            </w:pPr>
            <w:r w:rsidRPr="00354128">
              <w:rPr>
                <w:lang w:val="ru-RU"/>
              </w:rPr>
              <w:t>Подписанный финансовый взнос</w:t>
            </w:r>
          </w:p>
        </w:tc>
      </w:tr>
      <w:tr w:rsidR="006567AC" w14:paraId="3B99C6B2" w14:textId="77777777" w:rsidTr="00D83AAA">
        <w:tc>
          <w:tcPr>
            <w:tcW w:w="6516" w:type="dxa"/>
          </w:tcPr>
          <w:p w14:paraId="6F138E4F" w14:textId="7F1827CE" w:rsidR="006567AC" w:rsidRPr="009D28AF" w:rsidRDefault="00142023" w:rsidP="001C5492">
            <w:pPr>
              <w:pStyle w:val="Tabletext"/>
              <w:rPr>
                <w:lang w:val="ru-RU"/>
              </w:rPr>
            </w:pPr>
            <w:r w:rsidRPr="009D28AF">
              <w:rPr>
                <w:shd w:val="clear" w:color="auto" w:fill="FFFFFF"/>
                <w:lang w:val="ru-RU"/>
              </w:rPr>
              <w:t>Федеральный департамент иностранных дел, действующий через Государственный секретариат, Отдел Организации Объединенных Наций, Швейцария</w:t>
            </w:r>
            <w:r w:rsidRPr="009D28AF">
              <w:rPr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14:paraId="5C476FD3" w14:textId="1753A61B" w:rsidR="006567AC" w:rsidRPr="00354128" w:rsidRDefault="006567AC" w:rsidP="001C5492">
            <w:pPr>
              <w:pStyle w:val="Tabletext"/>
            </w:pPr>
            <w:r w:rsidRPr="00354128">
              <w:t>2</w:t>
            </w:r>
            <w:r w:rsidR="00142023" w:rsidRPr="00354128">
              <w:rPr>
                <w:lang w:val="ru-RU"/>
              </w:rPr>
              <w:t>,</w:t>
            </w:r>
            <w:r w:rsidR="000C237C" w:rsidRPr="00354128">
              <w:t>4</w:t>
            </w:r>
            <w:r w:rsidRPr="00354128">
              <w:t xml:space="preserve"> </w:t>
            </w:r>
            <w:r w:rsidR="00142023" w:rsidRPr="00354128">
              <w:rPr>
                <w:lang w:val="ru-RU"/>
              </w:rPr>
              <w:t xml:space="preserve">млн. швейцарских франков </w:t>
            </w:r>
          </w:p>
        </w:tc>
      </w:tr>
      <w:tr w:rsidR="006567AC" w14:paraId="74EE9815" w14:textId="77777777" w:rsidTr="00D83AAA">
        <w:tc>
          <w:tcPr>
            <w:tcW w:w="6516" w:type="dxa"/>
          </w:tcPr>
          <w:p w14:paraId="15687ABA" w14:textId="6DA7CC3D" w:rsidR="006567AC" w:rsidRPr="00354128" w:rsidRDefault="00173A38" w:rsidP="001C5492">
            <w:pPr>
              <w:pStyle w:val="Tabletext"/>
              <w:rPr>
                <w:lang w:val="ru-RU"/>
              </w:rPr>
            </w:pPr>
            <w:r w:rsidRPr="00354128">
              <w:rPr>
                <w:lang w:val="ru-RU"/>
              </w:rPr>
              <w:t xml:space="preserve">Управление </w:t>
            </w:r>
            <w:r w:rsidRPr="00354128">
              <w:rPr>
                <w:color w:val="000000"/>
                <w:lang w:val="ru-RU"/>
              </w:rPr>
              <w:t>Целевого фонда с участием нескольких партнеров</w:t>
            </w:r>
            <w:r w:rsidRPr="00354128">
              <w:rPr>
                <w:lang w:val="ru-RU"/>
              </w:rPr>
              <w:t xml:space="preserve"> ООН/ПРООН</w:t>
            </w:r>
            <w:r w:rsidR="00670EA6" w:rsidRPr="00354128">
              <w:rPr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14:paraId="6438DFCD" w14:textId="75EB2E8F" w:rsidR="006567AC" w:rsidRPr="00354128" w:rsidRDefault="006567AC" w:rsidP="001C5492">
            <w:pPr>
              <w:pStyle w:val="Tabletext"/>
            </w:pPr>
            <w:r w:rsidRPr="00354128">
              <w:t>1</w:t>
            </w:r>
            <w:r w:rsidR="00173A38" w:rsidRPr="00354128">
              <w:rPr>
                <w:lang w:val="ru-RU"/>
              </w:rPr>
              <w:t>,</w:t>
            </w:r>
            <w:r w:rsidRPr="00354128">
              <w:t xml:space="preserve">6 </w:t>
            </w:r>
            <w:r w:rsidR="00142023" w:rsidRPr="00354128">
              <w:rPr>
                <w:lang w:val="ru-RU"/>
              </w:rPr>
              <w:t xml:space="preserve">млн. </w:t>
            </w:r>
            <w:r w:rsidR="00173A38" w:rsidRPr="00354128">
              <w:rPr>
                <w:lang w:val="ru-RU"/>
              </w:rPr>
              <w:t>долл. США</w:t>
            </w:r>
          </w:p>
        </w:tc>
      </w:tr>
      <w:tr w:rsidR="006567AC" w14:paraId="4E771D89" w14:textId="77777777" w:rsidTr="00D83AAA">
        <w:trPr>
          <w:trHeight w:val="535"/>
        </w:trPr>
        <w:tc>
          <w:tcPr>
            <w:tcW w:w="6516" w:type="dxa"/>
          </w:tcPr>
          <w:p w14:paraId="004D4AF4" w14:textId="45C55C04" w:rsidR="00B57A35" w:rsidRPr="00354128" w:rsidRDefault="00173A38" w:rsidP="001C5492">
            <w:pPr>
              <w:pStyle w:val="Tabletext"/>
              <w:rPr>
                <w:lang w:val="ru-RU"/>
              </w:rPr>
            </w:pPr>
            <w:r w:rsidRPr="00354128">
              <w:rPr>
                <w:color w:val="000000"/>
                <w:lang w:val="ru-RU"/>
              </w:rPr>
              <w:t>Министерство иностранных дел и торговли Австралии</w:t>
            </w:r>
          </w:p>
        </w:tc>
        <w:tc>
          <w:tcPr>
            <w:tcW w:w="3118" w:type="dxa"/>
          </w:tcPr>
          <w:p w14:paraId="304126B8" w14:textId="43777AF7" w:rsidR="006567AC" w:rsidRPr="00354128" w:rsidRDefault="006567AC" w:rsidP="001C5492">
            <w:pPr>
              <w:pStyle w:val="Tabletext"/>
            </w:pPr>
            <w:r w:rsidRPr="00354128">
              <w:t>1</w:t>
            </w:r>
            <w:r w:rsidR="00173A38" w:rsidRPr="00354128">
              <w:rPr>
                <w:lang w:val="ru-RU"/>
              </w:rPr>
              <w:t>,</w:t>
            </w:r>
            <w:r w:rsidR="000C237C" w:rsidRPr="00354128">
              <w:t>5</w:t>
            </w:r>
            <w:r w:rsidRPr="00354128">
              <w:t xml:space="preserve"> </w:t>
            </w:r>
            <w:r w:rsidR="00173A38" w:rsidRPr="00354128">
              <w:rPr>
                <w:lang w:val="ru-RU"/>
              </w:rPr>
              <w:t>млн. австралийских долл.</w:t>
            </w:r>
          </w:p>
        </w:tc>
      </w:tr>
    </w:tbl>
    <w:p w14:paraId="4CC97B13" w14:textId="4C716166" w:rsidR="002006CD" w:rsidRPr="0033194A" w:rsidRDefault="0033194A" w:rsidP="001C5492">
      <w:pPr>
        <w:rPr>
          <w:sz w:val="20"/>
          <w:lang w:val="ru-RU"/>
        </w:rPr>
      </w:pPr>
      <w:r w:rsidRPr="0033194A">
        <w:rPr>
          <w:shd w:val="clear" w:color="auto" w:fill="FFFFFF"/>
          <w:lang w:val="ru-RU"/>
        </w:rPr>
        <w:t>На приведенной ниже диаграмме показано географическое распределение подписанных в 2022 году соглашений о партнерстве (в отношении количества подписанных соглашений и средств):</w:t>
      </w:r>
      <w:r w:rsidR="002006CD" w:rsidRPr="0033194A">
        <w:rPr>
          <w:sz w:val="20"/>
          <w:lang w:val="ru-RU"/>
        </w:rPr>
        <w:t xml:space="preserve"> </w:t>
      </w:r>
    </w:p>
    <w:p w14:paraId="6844E288" w14:textId="061BCCBA" w:rsidR="00182756" w:rsidRDefault="00182756" w:rsidP="002006CD">
      <w:pPr>
        <w:spacing w:after="80"/>
        <w:jc w:val="both"/>
        <w:rPr>
          <w:szCs w:val="22"/>
        </w:rPr>
      </w:pPr>
      <w:r>
        <w:rPr>
          <w:noProof/>
        </w:rPr>
        <w:drawing>
          <wp:inline distT="0" distB="0" distL="0" distR="0" wp14:anchorId="7389B796" wp14:editId="66684545">
            <wp:extent cx="6210300" cy="2111828"/>
            <wp:effectExtent l="0" t="0" r="0" b="317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1C74F0C9-A7FB-1682-D5B7-A43DA5C6F2A6}"/>
                </a:ext>
                <a:ext uri="{147F2762-F138-4A5C-976F-8EAC2B608ADB}">
                  <a16:predDERef xmlns:a16="http://schemas.microsoft.com/office/drawing/2014/main" pred="{6F46CA5C-CB23-67AC-2967-CCCF06F49C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DFF5DC0" w14:textId="05414647" w:rsidR="00673012" w:rsidRPr="007F4ACE" w:rsidRDefault="007F4ACE" w:rsidP="001C5492">
      <w:pPr>
        <w:rPr>
          <w:sz w:val="20"/>
          <w:lang w:val="ru-RU"/>
        </w:rPr>
      </w:pPr>
      <w:r w:rsidRPr="007F4ACE">
        <w:rPr>
          <w:shd w:val="clear" w:color="auto" w:fill="FFFFFF"/>
          <w:lang w:val="ru-RU"/>
        </w:rPr>
        <w:lastRenderedPageBreak/>
        <w:t>Тематические приоритеты (согласно Плану действий Буэнос-Айреса), которые получили средства от соглашений, подписанных в 2022 году (в отношении количества подписанных соглашений и средств):</w:t>
      </w:r>
    </w:p>
    <w:p w14:paraId="012AB86A" w14:textId="792E4E10" w:rsidR="00BD2135" w:rsidRDefault="00BD2135" w:rsidP="002006CD">
      <w:pPr>
        <w:spacing w:after="80"/>
        <w:jc w:val="both"/>
        <w:rPr>
          <w:szCs w:val="22"/>
        </w:rPr>
      </w:pPr>
      <w:r>
        <w:rPr>
          <w:noProof/>
        </w:rPr>
        <w:drawing>
          <wp:inline distT="0" distB="0" distL="0" distR="0" wp14:anchorId="1343DDD6" wp14:editId="5E11C10D">
            <wp:extent cx="6524874" cy="2677795"/>
            <wp:effectExtent l="0" t="0" r="9525" b="825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B34E7F23-7D7D-2AD9-1126-2318D1FA5F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9C63077" w14:textId="14F85E58" w:rsidR="00A8708D" w:rsidRPr="001C5492" w:rsidRDefault="001C5492" w:rsidP="001C5492">
      <w:pPr>
        <w:pStyle w:val="Heading1"/>
        <w:rPr>
          <w:lang w:val="ru-RU"/>
        </w:rPr>
      </w:pPr>
      <w:r w:rsidRPr="001C5492">
        <w:rPr>
          <w:lang w:val="ru-RU"/>
        </w:rPr>
        <w:t>4</w:t>
      </w:r>
      <w:r>
        <w:rPr>
          <w:lang w:val="ru-RU"/>
        </w:rPr>
        <w:tab/>
      </w:r>
      <w:r w:rsidR="00554D3A" w:rsidRPr="001C5492">
        <w:rPr>
          <w:lang w:val="ru-RU"/>
        </w:rPr>
        <w:t xml:space="preserve">Партнерские соглашения </w:t>
      </w:r>
      <w:r w:rsidR="00354128" w:rsidRPr="001C5492">
        <w:rPr>
          <w:lang w:val="ru-RU"/>
        </w:rPr>
        <w:t>и результаты мобилизации ресурсов с 1 января по 30 апреля</w:t>
      </w:r>
      <w:r w:rsidR="008605E9" w:rsidRPr="001C5492">
        <w:rPr>
          <w:lang w:val="ru-RU"/>
        </w:rPr>
        <w:t xml:space="preserve"> 2023</w:t>
      </w:r>
      <w:r w:rsidR="00354128" w:rsidRPr="001C5492">
        <w:rPr>
          <w:lang w:val="ru-RU"/>
        </w:rPr>
        <w:t> года</w:t>
      </w:r>
    </w:p>
    <w:p w14:paraId="6E71D7C2" w14:textId="32779832" w:rsidR="00A8708D" w:rsidRPr="00354128" w:rsidRDefault="00354128" w:rsidP="001C5492">
      <w:pPr>
        <w:rPr>
          <w:lang w:val="ru-RU"/>
        </w:rPr>
      </w:pPr>
      <w:r w:rsidRPr="00354128">
        <w:rPr>
          <w:lang w:val="ru-RU"/>
        </w:rPr>
        <w:t>С 1</w:t>
      </w:r>
      <w:r w:rsidRPr="00354128">
        <w:t> </w:t>
      </w:r>
      <w:r w:rsidRPr="00354128">
        <w:rPr>
          <w:lang w:val="ru-RU"/>
        </w:rPr>
        <w:t>января по 30</w:t>
      </w:r>
      <w:r w:rsidRPr="00354128">
        <w:t> </w:t>
      </w:r>
      <w:r w:rsidRPr="00354128">
        <w:rPr>
          <w:lang w:val="ru-RU"/>
        </w:rPr>
        <w:t>апреля 2023</w:t>
      </w:r>
      <w:r w:rsidRPr="00354128">
        <w:t> </w:t>
      </w:r>
      <w:r w:rsidRPr="00354128">
        <w:rPr>
          <w:lang w:val="ru-RU"/>
        </w:rPr>
        <w:t>года БРЭ подписало</w:t>
      </w:r>
      <w:r w:rsidR="00A8708D" w:rsidRPr="00354128">
        <w:rPr>
          <w:lang w:val="ru-RU"/>
        </w:rPr>
        <w:t xml:space="preserve"> </w:t>
      </w:r>
      <w:r w:rsidR="00ED1D20" w:rsidRPr="00354128">
        <w:rPr>
          <w:lang w:val="ru-RU"/>
        </w:rPr>
        <w:t>30</w:t>
      </w:r>
      <w:r w:rsidRPr="00354128">
        <w:t> </w:t>
      </w:r>
      <w:r w:rsidRPr="00354128">
        <w:rPr>
          <w:lang w:val="ru-RU"/>
        </w:rPr>
        <w:t>соглашений с широким кругом партнеров, по 12 из которых финансовые взносы составили около</w:t>
      </w:r>
      <w:r w:rsidR="00A8708D" w:rsidRPr="00354128">
        <w:rPr>
          <w:lang w:val="ru-RU"/>
        </w:rPr>
        <w:t xml:space="preserve"> </w:t>
      </w:r>
      <w:r w:rsidR="00AB06E1" w:rsidRPr="00354128">
        <w:rPr>
          <w:lang w:val="ru-RU"/>
        </w:rPr>
        <w:t>5</w:t>
      </w:r>
      <w:r w:rsidRPr="00354128">
        <w:rPr>
          <w:lang w:val="ru-RU"/>
        </w:rPr>
        <w:t>,</w:t>
      </w:r>
      <w:r w:rsidR="00AB06E1" w:rsidRPr="00354128">
        <w:rPr>
          <w:lang w:val="ru-RU"/>
        </w:rPr>
        <w:t>4</w:t>
      </w:r>
      <w:r w:rsidRPr="00354128">
        <w:rPr>
          <w:lang w:val="ru-RU"/>
        </w:rPr>
        <w:t> млн. долл. США</w:t>
      </w:r>
      <w:r w:rsidR="00A8708D" w:rsidRPr="00354128">
        <w:rPr>
          <w:lang w:val="ru-RU"/>
        </w:rPr>
        <w:t xml:space="preserve">. </w:t>
      </w:r>
      <w:r w:rsidRPr="00354128">
        <w:rPr>
          <w:lang w:val="ru-RU"/>
        </w:rPr>
        <w:t>Список этих соглашений содержится в Документе </w:t>
      </w:r>
      <w:r w:rsidR="00A8708D" w:rsidRPr="00354128">
        <w:t>TDAG</w:t>
      </w:r>
      <w:r w:rsidR="00A8708D" w:rsidRPr="00354128">
        <w:rPr>
          <w:lang w:val="ru-RU"/>
        </w:rPr>
        <w:noBreakHyphen/>
        <w:t>23/</w:t>
      </w:r>
      <w:r w:rsidR="00A8708D" w:rsidRPr="00354128">
        <w:t>INF</w:t>
      </w:r>
      <w:r w:rsidR="00A8708D" w:rsidRPr="00354128">
        <w:rPr>
          <w:lang w:val="ru-RU"/>
        </w:rPr>
        <w:t>/1.</w:t>
      </w:r>
    </w:p>
    <w:p w14:paraId="7A220F8F" w14:textId="06D4E302" w:rsidR="0087330C" w:rsidRPr="00354128" w:rsidRDefault="00354128" w:rsidP="00F75263">
      <w:pPr>
        <w:spacing w:after="120"/>
        <w:rPr>
          <w:lang w:val="ru-RU"/>
        </w:rPr>
      </w:pPr>
      <w:r w:rsidRPr="00354128">
        <w:rPr>
          <w:shd w:val="clear" w:color="auto" w:fill="FFFFFF"/>
          <w:lang w:val="ru-RU"/>
        </w:rPr>
        <w:t>В 2022 году общий объем финансовых взносов, подписанных БРЭ и его партнерами, был распределен следующим образом</w:t>
      </w:r>
      <w:r w:rsidR="0087330C" w:rsidRPr="00354128">
        <w:rPr>
          <w:lang w:val="ru-RU"/>
        </w:rPr>
        <w:t>:</w:t>
      </w:r>
    </w:p>
    <w:p w14:paraId="7E852BB8" w14:textId="1ED8C3CB" w:rsidR="00137609" w:rsidRPr="009C309F" w:rsidRDefault="00137609" w:rsidP="00DD195C">
      <w:pPr>
        <w:spacing w:before="0"/>
        <w:jc w:val="center"/>
        <w:rPr>
          <w:szCs w:val="24"/>
        </w:rPr>
      </w:pPr>
      <w:r w:rsidRPr="009C309F">
        <w:rPr>
          <w:noProof/>
          <w:sz w:val="28"/>
          <w:szCs w:val="22"/>
        </w:rPr>
        <w:drawing>
          <wp:inline distT="0" distB="0" distL="0" distR="0" wp14:anchorId="7CDC043B" wp14:editId="54E86D3B">
            <wp:extent cx="5695315" cy="1757680"/>
            <wp:effectExtent l="0" t="0" r="635" b="139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100719C-8D93-6D92-A9D1-E684081DCD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D7516D9" w14:textId="361BCBF7" w:rsidR="007E11B2" w:rsidRPr="009C58CF" w:rsidRDefault="00354128" w:rsidP="00F75263">
      <w:pPr>
        <w:spacing w:after="120"/>
        <w:rPr>
          <w:rStyle w:val="LineNumber"/>
          <w:lang w:val="ru-RU"/>
        </w:rPr>
      </w:pPr>
      <w:r w:rsidRPr="009C58CF">
        <w:rPr>
          <w:rStyle w:val="LineNumber"/>
          <w:lang w:val="ru-RU"/>
        </w:rPr>
        <w:t>С января по конец апреля 2023</w:t>
      </w:r>
      <w:r w:rsidRPr="001C5492">
        <w:rPr>
          <w:rStyle w:val="LineNumber"/>
        </w:rPr>
        <w:t> </w:t>
      </w:r>
      <w:r w:rsidRPr="009C58CF">
        <w:rPr>
          <w:rStyle w:val="LineNumber"/>
          <w:lang w:val="ru-RU"/>
        </w:rPr>
        <w:t>года тремя партнерами по финансированию с наиболее крупными финансовыми взносами были</w:t>
      </w:r>
      <w:r w:rsidR="007E11B2" w:rsidRPr="009C58CF">
        <w:rPr>
          <w:rStyle w:val="LineNumber"/>
          <w:lang w:val="ru-RU"/>
        </w:rPr>
        <w:t>:</w:t>
      </w:r>
    </w:p>
    <w:tbl>
      <w:tblPr>
        <w:tblStyle w:val="TableGrid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8"/>
      </w:tblGrid>
      <w:tr w:rsidR="00354128" w14:paraId="0839B15B" w14:textId="77777777" w:rsidTr="00725964">
        <w:tc>
          <w:tcPr>
            <w:tcW w:w="6516" w:type="dxa"/>
            <w:shd w:val="clear" w:color="auto" w:fill="DBE5F1" w:themeFill="accent1" w:themeFillTint="33"/>
          </w:tcPr>
          <w:p w14:paraId="5351B876" w14:textId="245FA03C" w:rsidR="00354128" w:rsidRPr="00B57A35" w:rsidRDefault="00354128" w:rsidP="001C5492">
            <w:pPr>
              <w:pStyle w:val="Tabletitle"/>
              <w:rPr>
                <w:sz w:val="22"/>
                <w:szCs w:val="22"/>
              </w:rPr>
            </w:pPr>
            <w:r w:rsidRPr="00354128">
              <w:rPr>
                <w:lang w:val="ru-RU"/>
              </w:rPr>
              <w:t>Партнер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11E734B" w14:textId="35C05615" w:rsidR="00354128" w:rsidRPr="00B57A35" w:rsidRDefault="00354128" w:rsidP="001C5492">
            <w:pPr>
              <w:pStyle w:val="Tabletitle"/>
              <w:rPr>
                <w:sz w:val="22"/>
                <w:szCs w:val="22"/>
              </w:rPr>
            </w:pPr>
            <w:r w:rsidRPr="00354128">
              <w:rPr>
                <w:lang w:val="ru-RU"/>
              </w:rPr>
              <w:t>Подписанный финансовый взнос</w:t>
            </w:r>
          </w:p>
        </w:tc>
      </w:tr>
      <w:tr w:rsidR="00AB06E1" w14:paraId="19B3F521" w14:textId="77777777" w:rsidTr="00725964">
        <w:tc>
          <w:tcPr>
            <w:tcW w:w="6516" w:type="dxa"/>
          </w:tcPr>
          <w:p w14:paraId="2855B0E0" w14:textId="44AA6726" w:rsidR="00AB06E1" w:rsidRPr="00B224F3" w:rsidRDefault="00354128" w:rsidP="001C5492">
            <w:pPr>
              <w:pStyle w:val="Tabletext"/>
            </w:pPr>
            <w:r w:rsidRPr="00B224F3">
              <w:rPr>
                <w:lang w:val="ru-RU"/>
              </w:rPr>
              <w:t>Европейская комиссия</w:t>
            </w:r>
          </w:p>
        </w:tc>
        <w:tc>
          <w:tcPr>
            <w:tcW w:w="3118" w:type="dxa"/>
          </w:tcPr>
          <w:p w14:paraId="7A6F44EB" w14:textId="61BE110C" w:rsidR="00AB06E1" w:rsidRPr="00B224F3" w:rsidRDefault="002A3A97" w:rsidP="001C5492">
            <w:pPr>
              <w:pStyle w:val="Tabletext"/>
            </w:pPr>
            <w:r w:rsidRPr="00B224F3">
              <w:t>3</w:t>
            </w:r>
            <w:r w:rsidR="00354128" w:rsidRPr="00B224F3">
              <w:rPr>
                <w:lang w:val="ru-RU"/>
              </w:rPr>
              <w:t> млн. евро</w:t>
            </w:r>
          </w:p>
        </w:tc>
      </w:tr>
      <w:tr w:rsidR="00AB06E1" w14:paraId="7ED03E28" w14:textId="77777777" w:rsidTr="00725964">
        <w:tc>
          <w:tcPr>
            <w:tcW w:w="6516" w:type="dxa"/>
          </w:tcPr>
          <w:p w14:paraId="27CFB7B3" w14:textId="527C1348" w:rsidR="00AB06E1" w:rsidRPr="00B224F3" w:rsidRDefault="00354128" w:rsidP="001C5492">
            <w:pPr>
              <w:pStyle w:val="Tabletext"/>
              <w:rPr>
                <w:lang w:val="ru-RU"/>
              </w:rPr>
            </w:pPr>
            <w:r w:rsidRPr="00B224F3">
              <w:rPr>
                <w:color w:val="000000"/>
                <w:lang w:val="ru-RU"/>
              </w:rPr>
              <w:t>Германское общество по международному развитию</w:t>
            </w:r>
          </w:p>
        </w:tc>
        <w:tc>
          <w:tcPr>
            <w:tcW w:w="3118" w:type="dxa"/>
          </w:tcPr>
          <w:p w14:paraId="66C71728" w14:textId="175E5282" w:rsidR="00AB06E1" w:rsidRPr="00B224F3" w:rsidRDefault="00A808CF" w:rsidP="001C5492">
            <w:pPr>
              <w:pStyle w:val="Tabletext"/>
            </w:pPr>
            <w:r w:rsidRPr="00B224F3">
              <w:t>0</w:t>
            </w:r>
            <w:r w:rsidR="00354128" w:rsidRPr="00B224F3">
              <w:rPr>
                <w:lang w:val="ru-RU"/>
              </w:rPr>
              <w:t>,</w:t>
            </w:r>
            <w:r w:rsidRPr="00B224F3">
              <w:t xml:space="preserve">9 </w:t>
            </w:r>
            <w:r w:rsidR="00354128" w:rsidRPr="00B224F3">
              <w:rPr>
                <w:lang w:val="ru-RU"/>
              </w:rPr>
              <w:t>млн. евро</w:t>
            </w:r>
          </w:p>
        </w:tc>
      </w:tr>
      <w:tr w:rsidR="00AB06E1" w14:paraId="1EA05166" w14:textId="77777777" w:rsidTr="00F75263">
        <w:trPr>
          <w:trHeight w:val="325"/>
        </w:trPr>
        <w:tc>
          <w:tcPr>
            <w:tcW w:w="6516" w:type="dxa"/>
          </w:tcPr>
          <w:p w14:paraId="15ED8290" w14:textId="478C47CF" w:rsidR="00AB06E1" w:rsidRPr="00B224F3" w:rsidRDefault="00354128" w:rsidP="001C5492">
            <w:pPr>
              <w:pStyle w:val="Tabletext"/>
              <w:rPr>
                <w:lang w:val="ru-RU"/>
              </w:rPr>
            </w:pPr>
            <w:r w:rsidRPr="00B224F3">
              <w:rPr>
                <w:lang w:val="ru-RU"/>
              </w:rPr>
              <w:t>Министерство внутренних дел и связи</w:t>
            </w:r>
          </w:p>
        </w:tc>
        <w:tc>
          <w:tcPr>
            <w:tcW w:w="3118" w:type="dxa"/>
          </w:tcPr>
          <w:p w14:paraId="53B695DE" w14:textId="5312F1A5" w:rsidR="00AB06E1" w:rsidRPr="00B224F3" w:rsidRDefault="001B4B28" w:rsidP="001C5492">
            <w:pPr>
              <w:pStyle w:val="Tabletext"/>
            </w:pPr>
            <w:r w:rsidRPr="00B224F3">
              <w:t>0</w:t>
            </w:r>
            <w:r w:rsidR="00B224F3" w:rsidRPr="00B224F3">
              <w:rPr>
                <w:lang w:val="ru-RU"/>
              </w:rPr>
              <w:t>,</w:t>
            </w:r>
            <w:r w:rsidR="00A808CF" w:rsidRPr="00B224F3">
              <w:t>6</w:t>
            </w:r>
            <w:r w:rsidR="00B224F3" w:rsidRPr="00B224F3">
              <w:rPr>
                <w:lang w:val="ru-RU"/>
              </w:rPr>
              <w:t> млн. долл. США</w:t>
            </w:r>
          </w:p>
        </w:tc>
      </w:tr>
    </w:tbl>
    <w:p w14:paraId="7FBC514E" w14:textId="114F52D9" w:rsidR="00EE29F4" w:rsidRPr="00EE29F4" w:rsidRDefault="00EE29F4" w:rsidP="001C5492">
      <w:pPr>
        <w:rPr>
          <w:sz w:val="20"/>
          <w:lang w:val="ru-RU"/>
        </w:rPr>
      </w:pPr>
      <w:r w:rsidRPr="00EE29F4">
        <w:rPr>
          <w:shd w:val="clear" w:color="auto" w:fill="FFFFFF"/>
          <w:lang w:val="ru-RU"/>
        </w:rPr>
        <w:t>В период с 1 января по 30 апреля 2023 года БРЭ подписало соглашения с 26 различными партнерами, в числе которых академические организации (35%), государственные объединения (31%), организации системы ООН (15%), объединения частного сектора (8%), международные и региональные организации и ассоциации (8%) и финансовые учреждения (4%).</w:t>
      </w:r>
    </w:p>
    <w:p w14:paraId="3AB7ECCD" w14:textId="7B185EA6" w:rsidR="0088010B" w:rsidRPr="00B87370" w:rsidRDefault="00B87370" w:rsidP="001C5492">
      <w:pPr>
        <w:spacing w:after="120"/>
        <w:rPr>
          <w:szCs w:val="24"/>
          <w:lang w:val="ru-RU"/>
        </w:rPr>
      </w:pPr>
      <w:r w:rsidRPr="009508E0">
        <w:rPr>
          <w:shd w:val="clear" w:color="auto" w:fill="FFFFFF"/>
          <w:lang w:val="ru-RU"/>
        </w:rPr>
        <w:lastRenderedPageBreak/>
        <w:t>Подписанные финансовые взносы этих партнеров были распределены по схеме ниже</w:t>
      </w:r>
      <w:r w:rsidR="0088010B" w:rsidRPr="00B87370">
        <w:rPr>
          <w:szCs w:val="24"/>
          <w:lang w:val="ru-RU"/>
        </w:rPr>
        <w:t xml:space="preserve">: </w:t>
      </w:r>
    </w:p>
    <w:p w14:paraId="3C44BB8B" w14:textId="54987D19" w:rsidR="00952859" w:rsidRDefault="00EB1DD9" w:rsidP="0088010B">
      <w:pPr>
        <w:pStyle w:val="ListParagraph"/>
        <w:spacing w:before="0"/>
        <w:ind w:left="0"/>
        <w:contextualSpacing w:val="0"/>
        <w:jc w:val="both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D8ECC" wp14:editId="7FE785CE">
                <wp:simplePos x="0" y="0"/>
                <wp:positionH relativeFrom="column">
                  <wp:posOffset>2094230</wp:posOffset>
                </wp:positionH>
                <wp:positionV relativeFrom="paragraph">
                  <wp:posOffset>272415</wp:posOffset>
                </wp:positionV>
                <wp:extent cx="1113155" cy="340995"/>
                <wp:effectExtent l="0" t="0" r="0" b="1905"/>
                <wp:wrapNone/>
                <wp:docPr id="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A39C4" w14:textId="6A78DF31" w:rsidR="009C58CF" w:rsidRDefault="009C58CF" w:rsidP="009C58CF">
                            <w:pPr>
                              <w:spacing w:before="0" w:line="180" w:lineRule="exact"/>
                              <w:rPr>
                                <w:rFonts w:ascii="Calibri" w:hAnsi="Calibr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ru-RU"/>
                              </w:rPr>
                              <w:t>Государственные объединения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8ECC" id="Text Box 1" o:spid="_x0000_s1028" type="#_x0000_t202" style="position:absolute;left:0;text-align:left;margin-left:164.9pt;margin-top:21.45pt;width:87.65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" fillcolor="white [3201]" stroked="f" strokeweight=".5pt">
                <v:textbox>
                  <w:txbxContent>
                    <w:p w14:paraId="256A39C4" w14:textId="6A78DF31" w:rsidR="009C58CF" w:rsidRDefault="009C58CF" w:rsidP="009C58CF">
                      <w:pPr>
                        <w:spacing w:before="0" w:line="180" w:lineRule="exact"/>
                        <w:rPr>
                          <w:rFonts w:ascii="Calibri" w:hAnsi="Calibr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ru-RU"/>
                        </w:rPr>
                        <w:t>Государственные объединения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4150F" wp14:editId="17B9741A">
                <wp:simplePos x="0" y="0"/>
                <wp:positionH relativeFrom="column">
                  <wp:posOffset>3401060</wp:posOffset>
                </wp:positionH>
                <wp:positionV relativeFrom="paragraph">
                  <wp:posOffset>280670</wp:posOffset>
                </wp:positionV>
                <wp:extent cx="1176655" cy="340995"/>
                <wp:effectExtent l="0" t="0" r="4445" b="1905"/>
                <wp:wrapNone/>
                <wp:docPr id="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4A091" w14:textId="5301723E" w:rsidR="009C58CF" w:rsidRDefault="009C58CF" w:rsidP="009C58CF">
                            <w:pPr>
                              <w:spacing w:before="0" w:line="180" w:lineRule="exact"/>
                              <w:rPr>
                                <w:rFonts w:ascii="Calibri" w:hAnsi="Calibr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ru-RU"/>
                              </w:rPr>
                              <w:t>Объединения частного сектора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150F" id="_x0000_s1029" type="#_x0000_t202" style="position:absolute;left:0;text-align:left;margin-left:267.8pt;margin-top:22.1pt;width:92.65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" fillcolor="white [3201]" stroked="f" strokeweight=".5pt">
                <v:textbox>
                  <w:txbxContent>
                    <w:p w14:paraId="2014A091" w14:textId="5301723E" w:rsidR="009C58CF" w:rsidRDefault="009C58CF" w:rsidP="009C58CF">
                      <w:pPr>
                        <w:spacing w:before="0" w:line="180" w:lineRule="exact"/>
                        <w:rPr>
                          <w:rFonts w:ascii="Calibri" w:hAnsi="Calibr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ru-RU"/>
                        </w:rPr>
                        <w:t>Объединения частного сектора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74F9F" wp14:editId="1461B7E9">
                <wp:simplePos x="0" y="0"/>
                <wp:positionH relativeFrom="column">
                  <wp:posOffset>4664710</wp:posOffset>
                </wp:positionH>
                <wp:positionV relativeFrom="paragraph">
                  <wp:posOffset>274955</wp:posOffset>
                </wp:positionV>
                <wp:extent cx="1144905" cy="340995"/>
                <wp:effectExtent l="0" t="0" r="0" b="1905"/>
                <wp:wrapNone/>
                <wp:docPr id="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1D776" w14:textId="592F4049" w:rsidR="009C58CF" w:rsidRDefault="009C58CF" w:rsidP="009C58CF">
                            <w:pPr>
                              <w:spacing w:before="0" w:line="180" w:lineRule="exact"/>
                              <w:rPr>
                                <w:rFonts w:ascii="Calibri" w:hAnsi="Calibr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ru-RU"/>
                              </w:rPr>
                              <w:t>Организации системы ООН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4F9F" id="_x0000_s1030" type="#_x0000_t202" style="position:absolute;left:0;text-align:left;margin-left:367.3pt;margin-top:21.65pt;width:90.15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" fillcolor="white [3201]" stroked="f" strokeweight=".5pt">
                <v:textbox>
                  <w:txbxContent>
                    <w:p w14:paraId="1641D776" w14:textId="592F4049" w:rsidR="009C58CF" w:rsidRDefault="009C58CF" w:rsidP="009C58CF">
                      <w:pPr>
                        <w:spacing w:before="0" w:line="180" w:lineRule="exact"/>
                        <w:rPr>
                          <w:rFonts w:ascii="Calibri" w:hAnsi="Calibr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ru-RU"/>
                        </w:rPr>
                        <w:t>Организации системы ООН</w:t>
                      </w:r>
                    </w:p>
                  </w:txbxContent>
                </v:textbox>
              </v:shape>
            </w:pict>
          </mc:Fallback>
        </mc:AlternateContent>
      </w:r>
      <w:r w:rsidR="009C58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0FD9F" wp14:editId="521BDD77">
                <wp:simplePos x="0" y="0"/>
                <wp:positionH relativeFrom="column">
                  <wp:posOffset>854268</wp:posOffset>
                </wp:positionH>
                <wp:positionV relativeFrom="paragraph">
                  <wp:posOffset>267887</wp:posOffset>
                </wp:positionV>
                <wp:extent cx="1049572" cy="365760"/>
                <wp:effectExtent l="0" t="0" r="0" b="0"/>
                <wp:wrapNone/>
                <wp:docPr id="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72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093C5" w14:textId="1D9FAC13" w:rsidR="009C58CF" w:rsidRDefault="009C58CF" w:rsidP="009C58CF">
                            <w:pPr>
                              <w:spacing w:before="0" w:line="180" w:lineRule="exact"/>
                              <w:rPr>
                                <w:rFonts w:ascii="Calibri" w:hAnsi="Calibr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ru-RU"/>
                              </w:rPr>
                              <w:t>Финансовые учреждения</w:t>
                            </w:r>
                          </w:p>
                          <w:p w14:paraId="3A71BB51" w14:textId="77777777" w:rsidR="009C58CF" w:rsidRDefault="009C58CF" w:rsidP="009C58CF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ru-RU"/>
                              </w:rPr>
                              <w:t>Доля партнера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FD9F" id="_x0000_s1031" type="#_x0000_t202" style="position:absolute;left:0;text-align:left;margin-left:67.25pt;margin-top:21.1pt;width:82.6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" fillcolor="white [3201]" stroked="f" strokeweight=".5pt">
                <v:textbox>
                  <w:txbxContent>
                    <w:p w14:paraId="1A4093C5" w14:textId="1D9FAC13" w:rsidR="009C58CF" w:rsidRDefault="009C58CF" w:rsidP="009C58CF">
                      <w:pPr>
                        <w:spacing w:before="0" w:line="180" w:lineRule="exact"/>
                        <w:rPr>
                          <w:rFonts w:ascii="Calibri" w:hAnsi="Calibr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ru-RU"/>
                        </w:rPr>
                        <w:t>Финансовые учреждения</w:t>
                      </w:r>
                    </w:p>
                    <w:p w14:paraId="3A71BB51" w14:textId="77777777" w:rsidR="009C58CF" w:rsidRDefault="009C58CF" w:rsidP="009C58CF">
                      <w:pPr>
                        <w:rPr>
                          <w:rFonts w:ascii="Calibri" w:hAnsi="Calibr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ru-RU"/>
                        </w:rPr>
                        <w:t>Доля партнера</w:t>
                      </w:r>
                    </w:p>
                  </w:txbxContent>
                </v:textbox>
              </v:shape>
            </w:pict>
          </mc:Fallback>
        </mc:AlternateContent>
      </w:r>
      <w:r w:rsidR="00952859">
        <w:rPr>
          <w:noProof/>
        </w:rPr>
        <mc:AlternateContent>
          <mc:Choice Requires="cx1">
            <w:drawing>
              <wp:inline distT="0" distB="0" distL="0" distR="0" wp14:anchorId="7BBE2938" wp14:editId="1B60A04B">
                <wp:extent cx="6188075" cy="1986643"/>
                <wp:effectExtent l="0" t="0" r="3175" b="13970"/>
                <wp:docPr id="11" name="Char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54C60A-AF37-D452-FE50-61B2D82C8F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8"/>
                  </a:graphicData>
                </a:graphic>
              </wp:inline>
            </w:drawing>
          </mc:Choice>
          <mc:Fallback>
            <w:drawing>
              <wp:inline distT="0" distB="0" distL="0" distR="0" wp14:anchorId="7BBE2938" wp14:editId="1B60A04B">
                <wp:extent cx="6188075" cy="1986643"/>
                <wp:effectExtent l="0" t="0" r="3175" b="13970"/>
                <wp:docPr id="11" name="Char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54C60A-AF37-D452-FE50-61B2D82C8F11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hart 11">
                          <a:extLst>
                            <a:ext uri="{FF2B5EF4-FFF2-40B4-BE49-F238E27FC236}">
                              <a16:creationId xmlns:a16="http://schemas.microsoft.com/office/drawing/2014/main" id="{C754C60A-AF37-D452-FE50-61B2D82C8F11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075" cy="198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F4A926D" w14:textId="12E85968" w:rsidR="00813AC8" w:rsidRPr="00B87370" w:rsidRDefault="00B87370" w:rsidP="001C5492">
      <w:pPr>
        <w:rPr>
          <w:szCs w:val="24"/>
          <w:lang w:val="ru-RU"/>
        </w:rPr>
      </w:pPr>
      <w:r w:rsidRPr="00B87370">
        <w:rPr>
          <w:lang w:val="ru-RU"/>
        </w:rPr>
        <w:t>В числе этих партнеров 1</w:t>
      </w:r>
      <w:r>
        <w:rPr>
          <w:lang w:val="ru-RU"/>
        </w:rPr>
        <w:t>5</w:t>
      </w:r>
      <w:r w:rsidRPr="00B87370">
        <w:rPr>
          <w:lang w:val="ru-RU"/>
        </w:rPr>
        <w:t>% были администрациями Государств</w:t>
      </w:r>
      <w:r w:rsidRPr="00B87370">
        <w:t> </w:t>
      </w:r>
      <w:r w:rsidRPr="00B87370">
        <w:rPr>
          <w:lang w:val="ru-RU"/>
        </w:rPr>
        <w:t>– Членов МСЭ</w:t>
      </w:r>
      <w:r w:rsidR="00813AC8" w:rsidRPr="00B87370">
        <w:rPr>
          <w:szCs w:val="24"/>
          <w:lang w:val="ru-RU"/>
        </w:rPr>
        <w:t xml:space="preserve">, </w:t>
      </w:r>
      <w:r w:rsidR="00106E35" w:rsidRPr="00B87370">
        <w:rPr>
          <w:szCs w:val="24"/>
          <w:lang w:val="ru-RU"/>
        </w:rPr>
        <w:t>12</w:t>
      </w:r>
      <w:r w:rsidR="00813AC8" w:rsidRPr="00B87370">
        <w:rPr>
          <w:szCs w:val="24"/>
          <w:lang w:val="ru-RU"/>
        </w:rPr>
        <w:t xml:space="preserve">% </w:t>
      </w:r>
      <w:r>
        <w:rPr>
          <w:szCs w:val="24"/>
          <w:lang w:val="ru-RU"/>
        </w:rPr>
        <w:t xml:space="preserve">– </w:t>
      </w:r>
      <w:r w:rsidR="0034083E" w:rsidRPr="00B87370">
        <w:rPr>
          <w:lang w:val="ru-RU"/>
        </w:rPr>
        <w:t>университет</w:t>
      </w:r>
      <w:r w:rsidR="0034083E">
        <w:rPr>
          <w:lang w:val="ru-RU"/>
        </w:rPr>
        <w:t>ами</w:t>
      </w:r>
      <w:r w:rsidR="0034083E" w:rsidRPr="00B87370">
        <w:rPr>
          <w:lang w:val="ru-RU"/>
        </w:rPr>
        <w:t xml:space="preserve"> и научно-исследовательски</w:t>
      </w:r>
      <w:r w:rsidR="0034083E">
        <w:rPr>
          <w:lang w:val="ru-RU"/>
        </w:rPr>
        <w:t>ми</w:t>
      </w:r>
      <w:r w:rsidR="0034083E" w:rsidRPr="00B87370">
        <w:rPr>
          <w:lang w:val="ru-RU"/>
        </w:rPr>
        <w:t xml:space="preserve"> учреждения</w:t>
      </w:r>
      <w:r w:rsidR="0034083E">
        <w:rPr>
          <w:lang w:val="ru-RU"/>
        </w:rPr>
        <w:t>ми</w:t>
      </w:r>
      <w:r w:rsidR="00813AC8" w:rsidRPr="00B87370">
        <w:rPr>
          <w:szCs w:val="24"/>
          <w:lang w:val="ru-RU"/>
        </w:rPr>
        <w:t xml:space="preserve">, 8% </w:t>
      </w:r>
      <w:r w:rsidR="0034083E">
        <w:rPr>
          <w:szCs w:val="24"/>
          <w:lang w:val="ru-RU"/>
        </w:rPr>
        <w:t>–</w:t>
      </w:r>
      <w:r w:rsidR="0034083E" w:rsidRPr="0034083E">
        <w:rPr>
          <w:lang w:val="ru-RU"/>
        </w:rPr>
        <w:t xml:space="preserve"> </w:t>
      </w:r>
      <w:r w:rsidR="0034083E" w:rsidRPr="00B87370">
        <w:rPr>
          <w:lang w:val="ru-RU"/>
        </w:rPr>
        <w:t>Членами Сектора МСЭ-</w:t>
      </w:r>
      <w:r w:rsidR="0034083E" w:rsidRPr="00B87370">
        <w:t>D</w:t>
      </w:r>
      <w:r w:rsidR="0034083E" w:rsidRPr="0034083E">
        <w:rPr>
          <w:szCs w:val="24"/>
          <w:lang w:val="ru-RU"/>
        </w:rPr>
        <w:t xml:space="preserve"> </w:t>
      </w:r>
      <w:r w:rsidR="00813AC8" w:rsidRPr="00B87370">
        <w:rPr>
          <w:szCs w:val="24"/>
          <w:lang w:val="ru-RU"/>
        </w:rPr>
        <w:t>(</w:t>
      </w:r>
      <w:r w:rsidR="0034083E">
        <w:rPr>
          <w:szCs w:val="24"/>
          <w:lang w:val="ru-RU"/>
        </w:rPr>
        <w:t>НПО</w:t>
      </w:r>
      <w:r w:rsidR="00813AC8" w:rsidRPr="00B87370">
        <w:rPr>
          <w:szCs w:val="24"/>
          <w:lang w:val="ru-RU"/>
        </w:rPr>
        <w:t>)</w:t>
      </w:r>
      <w:r w:rsidR="00B80962" w:rsidRPr="00B87370">
        <w:rPr>
          <w:szCs w:val="24"/>
          <w:lang w:val="ru-RU"/>
        </w:rPr>
        <w:t xml:space="preserve"> </w:t>
      </w:r>
      <w:r w:rsidR="0034083E">
        <w:rPr>
          <w:szCs w:val="24"/>
          <w:lang w:val="ru-RU"/>
        </w:rPr>
        <w:t>и</w:t>
      </w:r>
      <w:r w:rsidR="00B80962" w:rsidRPr="00B87370">
        <w:rPr>
          <w:szCs w:val="24"/>
          <w:lang w:val="ru-RU"/>
        </w:rPr>
        <w:t xml:space="preserve"> </w:t>
      </w:r>
      <w:r w:rsidR="00813AC8" w:rsidRPr="00B87370">
        <w:rPr>
          <w:szCs w:val="24"/>
          <w:lang w:val="ru-RU"/>
        </w:rPr>
        <w:t>4%</w:t>
      </w:r>
      <w:r w:rsidR="008C1AEA" w:rsidRPr="009C309F">
        <w:rPr>
          <w:szCs w:val="24"/>
        </w:rPr>
        <w:t> </w:t>
      </w:r>
      <w:r w:rsidR="0034083E">
        <w:rPr>
          <w:szCs w:val="24"/>
          <w:lang w:val="ru-RU"/>
        </w:rPr>
        <w:t xml:space="preserve"> – </w:t>
      </w:r>
      <w:r w:rsidR="0034083E" w:rsidRPr="00B87370">
        <w:rPr>
          <w:lang w:val="ru-RU"/>
        </w:rPr>
        <w:t>региональны</w:t>
      </w:r>
      <w:r w:rsidR="0034083E">
        <w:rPr>
          <w:lang w:val="ru-RU"/>
        </w:rPr>
        <w:t>ми</w:t>
      </w:r>
      <w:r w:rsidR="0034083E" w:rsidRPr="00B87370">
        <w:rPr>
          <w:lang w:val="ru-RU"/>
        </w:rPr>
        <w:t xml:space="preserve"> организаци</w:t>
      </w:r>
      <w:r w:rsidR="0034083E">
        <w:rPr>
          <w:lang w:val="ru-RU"/>
        </w:rPr>
        <w:t>ям</w:t>
      </w:r>
      <w:r w:rsidR="0034083E" w:rsidRPr="00B87370">
        <w:rPr>
          <w:lang w:val="ru-RU"/>
        </w:rPr>
        <w:t>и и други</w:t>
      </w:r>
      <w:r w:rsidR="0034083E">
        <w:rPr>
          <w:lang w:val="ru-RU"/>
        </w:rPr>
        <w:t>ми</w:t>
      </w:r>
      <w:r w:rsidR="0034083E" w:rsidRPr="00B87370">
        <w:rPr>
          <w:lang w:val="ru-RU"/>
        </w:rPr>
        <w:t xml:space="preserve"> международны</w:t>
      </w:r>
      <w:r w:rsidR="0034083E">
        <w:rPr>
          <w:lang w:val="ru-RU"/>
        </w:rPr>
        <w:t>ми</w:t>
      </w:r>
      <w:r w:rsidR="0034083E" w:rsidRPr="00B87370">
        <w:rPr>
          <w:lang w:val="ru-RU"/>
        </w:rPr>
        <w:t xml:space="preserve"> организаци</w:t>
      </w:r>
      <w:r w:rsidR="0034083E">
        <w:rPr>
          <w:lang w:val="ru-RU"/>
        </w:rPr>
        <w:t>ям</w:t>
      </w:r>
      <w:r w:rsidR="0034083E" w:rsidRPr="00B87370">
        <w:rPr>
          <w:lang w:val="ru-RU"/>
        </w:rPr>
        <w:t>и</w:t>
      </w:r>
      <w:r w:rsidR="00813AC8" w:rsidRPr="00B87370">
        <w:rPr>
          <w:szCs w:val="24"/>
          <w:lang w:val="ru-RU"/>
        </w:rPr>
        <w:t xml:space="preserve">, </w:t>
      </w:r>
      <w:r w:rsidR="0034083E" w:rsidRPr="00B87370">
        <w:rPr>
          <w:lang w:val="ru-RU"/>
        </w:rPr>
        <w:t>в соответствии с категориями членства МС</w:t>
      </w:r>
      <w:r w:rsidR="00AB14A1">
        <w:rPr>
          <w:lang w:val="ru-RU"/>
        </w:rPr>
        <w:t>Э</w:t>
      </w:r>
      <w:r w:rsidR="00813AC8" w:rsidRPr="00B87370">
        <w:rPr>
          <w:szCs w:val="24"/>
          <w:lang w:val="ru-RU"/>
        </w:rPr>
        <w:t>.</w:t>
      </w:r>
    </w:p>
    <w:p w14:paraId="5758F355" w14:textId="39B69D7E" w:rsidR="004C5245" w:rsidRPr="0034083E" w:rsidRDefault="0034083E" w:rsidP="001C5492">
      <w:pPr>
        <w:rPr>
          <w:szCs w:val="24"/>
          <w:lang w:val="ru-RU"/>
        </w:rPr>
      </w:pPr>
      <w:r w:rsidRPr="0033194A">
        <w:rPr>
          <w:shd w:val="clear" w:color="auto" w:fill="FFFFFF"/>
          <w:lang w:val="ru-RU"/>
        </w:rPr>
        <w:t xml:space="preserve">На приведенной ниже диаграмме показано географическое распределение подписанных </w:t>
      </w:r>
      <w:r>
        <w:rPr>
          <w:shd w:val="clear" w:color="auto" w:fill="FFFFFF"/>
          <w:lang w:val="ru-RU"/>
        </w:rPr>
        <w:t>с 1 января по 30 апреля 2023 </w:t>
      </w:r>
      <w:r w:rsidRPr="0033194A">
        <w:rPr>
          <w:shd w:val="clear" w:color="auto" w:fill="FFFFFF"/>
          <w:lang w:val="ru-RU"/>
        </w:rPr>
        <w:t>год</w:t>
      </w:r>
      <w:r>
        <w:rPr>
          <w:shd w:val="clear" w:color="auto" w:fill="FFFFFF"/>
          <w:lang w:val="ru-RU"/>
        </w:rPr>
        <w:t>а</w:t>
      </w:r>
      <w:r w:rsidRPr="0033194A">
        <w:rPr>
          <w:shd w:val="clear" w:color="auto" w:fill="FFFFFF"/>
          <w:lang w:val="ru-RU"/>
        </w:rPr>
        <w:t xml:space="preserve"> соглашений о партнерстве (в отношении количества подписанных соглашений и средств):</w:t>
      </w:r>
    </w:p>
    <w:p w14:paraId="6D46F24F" w14:textId="279217B0" w:rsidR="00B25D57" w:rsidRDefault="007C2694" w:rsidP="00A8708D">
      <w:pPr>
        <w:spacing w:before="0"/>
        <w:jc w:val="both"/>
        <w:rPr>
          <w:szCs w:val="22"/>
          <w:highlight w:val="yellow"/>
        </w:rPr>
      </w:pPr>
      <w:r>
        <w:rPr>
          <w:noProof/>
        </w:rPr>
        <w:drawing>
          <wp:inline distT="0" distB="0" distL="0" distR="0" wp14:anchorId="33AF1B78" wp14:editId="4D06A1FB">
            <wp:extent cx="6231890" cy="2117271"/>
            <wp:effectExtent l="0" t="0" r="16510" b="1651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430A3D1F-76C0-D5B5-BB00-460CAD1A12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AD30EA8" w14:textId="76E8DE75" w:rsidR="00DE5105" w:rsidRPr="00DE5105" w:rsidRDefault="00DE5105" w:rsidP="001C5492">
      <w:pPr>
        <w:rPr>
          <w:sz w:val="20"/>
          <w:lang w:val="ru-RU"/>
        </w:rPr>
      </w:pPr>
      <w:r w:rsidRPr="00DE5105">
        <w:rPr>
          <w:shd w:val="clear" w:color="auto" w:fill="FFFFFF"/>
          <w:lang w:val="ru-RU"/>
        </w:rPr>
        <w:t>В отношении приоритетов МСЭ-</w:t>
      </w:r>
      <w:r w:rsidRPr="00DE5105">
        <w:rPr>
          <w:shd w:val="clear" w:color="auto" w:fill="FFFFFF"/>
        </w:rPr>
        <w:t>D</w:t>
      </w:r>
      <w:r w:rsidRPr="00DE5105">
        <w:rPr>
          <w:shd w:val="clear" w:color="auto" w:fill="FFFFFF"/>
          <w:lang w:val="ru-RU"/>
        </w:rPr>
        <w:t xml:space="preserve"> (согласно Кигалийскому плану действий) в период с начала января 2023 года по конец апреля 2023 года соглашения были распределены следующим образом (в отношении количества и подписанных средств):</w:t>
      </w:r>
    </w:p>
    <w:p w14:paraId="584C04F3" w14:textId="3F64BA90" w:rsidR="00B50479" w:rsidRDefault="00B50479" w:rsidP="00515F8F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b/>
          <w:bCs/>
          <w:szCs w:val="18"/>
        </w:rPr>
      </w:pPr>
      <w:r>
        <w:rPr>
          <w:noProof/>
        </w:rPr>
        <w:drawing>
          <wp:inline distT="0" distB="0" distL="0" distR="0" wp14:anchorId="186FB4C2" wp14:editId="3E511D9B">
            <wp:extent cx="6204585" cy="2334986"/>
            <wp:effectExtent l="0" t="0" r="5715" b="825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16DE4DFD-A7B6-DC40-EC5A-FC8CBCAB50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BEE1989" w14:textId="6A210642" w:rsidR="00B20C1D" w:rsidRPr="009D28AF" w:rsidRDefault="00B20C1D" w:rsidP="001C5492">
      <w:pPr>
        <w:spacing w:after="120"/>
        <w:rPr>
          <w:sz w:val="20"/>
          <w:szCs w:val="16"/>
          <w:lang w:val="ru-RU"/>
        </w:rPr>
      </w:pPr>
      <w:r w:rsidRPr="009D28AF">
        <w:rPr>
          <w:shd w:val="clear" w:color="auto" w:fill="FFFFFF"/>
          <w:lang w:val="ru-RU"/>
        </w:rPr>
        <w:lastRenderedPageBreak/>
        <w:t>На представленных ниже диаграммах приведено сравнение числа соглашений и средств, подписанных за период с 1 января по 30 апреля в 2022 и 2023 годах:</w:t>
      </w:r>
    </w:p>
    <w:p w14:paraId="2F83F4E2" w14:textId="55A2A56A" w:rsidR="008D3E9E" w:rsidRPr="00B20C1D" w:rsidRDefault="0084291B" w:rsidP="00782F9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noProof/>
          <w:lang w:val="ru-RU"/>
        </w:rPr>
      </w:pPr>
      <w:r>
        <w:rPr>
          <w:noProof/>
        </w:rPr>
        <w:drawing>
          <wp:inline distT="0" distB="0" distL="0" distR="0" wp14:anchorId="5DC865B5" wp14:editId="0538B25C">
            <wp:extent cx="1926590" cy="1469572"/>
            <wp:effectExtent l="0" t="0" r="16510" b="1651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BD027C90-CC9D-430E-8B16-CAC620D796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15281D" w:rsidRPr="00B20C1D">
        <w:rPr>
          <w:noProof/>
          <w:lang w:val="ru-RU"/>
        </w:rPr>
        <w:t xml:space="preserve"> </w:t>
      </w:r>
      <w:r w:rsidR="00E21CED" w:rsidRPr="00B20C1D">
        <w:rPr>
          <w:noProof/>
          <w:lang w:val="ru-RU"/>
        </w:rPr>
        <w:t xml:space="preserve">        </w:t>
      </w:r>
      <w:r w:rsidR="0015281D">
        <w:rPr>
          <w:noProof/>
        </w:rPr>
        <w:drawing>
          <wp:inline distT="0" distB="0" distL="0" distR="0" wp14:anchorId="2492A633" wp14:editId="4F0CD52A">
            <wp:extent cx="4011295" cy="1785257"/>
            <wp:effectExtent l="0" t="0" r="8255" b="571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2C249ED3-A7B6-F64C-22A8-EB2A48D998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E588E3E" w14:textId="2BC51E2A" w:rsidR="008F3D54" w:rsidRPr="0089504B" w:rsidRDefault="006E1D70" w:rsidP="001C5492">
      <w:pPr>
        <w:rPr>
          <w:lang w:val="ru-RU"/>
        </w:rPr>
      </w:pPr>
      <w:r w:rsidRPr="0089504B">
        <w:rPr>
          <w:shd w:val="clear" w:color="auto" w:fill="FFFFFF"/>
          <w:lang w:val="ru-RU"/>
        </w:rPr>
        <w:t>Результаты</w:t>
      </w:r>
      <w:r w:rsidR="00BF3BEB" w:rsidRPr="000C4291">
        <w:rPr>
          <w:shd w:val="clear" w:color="auto" w:fill="FFFFFF"/>
          <w:lang w:val="ru-RU"/>
        </w:rPr>
        <w:t xml:space="preserve"> </w:t>
      </w:r>
      <w:r w:rsidR="00BF3BEB">
        <w:rPr>
          <w:shd w:val="clear" w:color="auto" w:fill="FFFFFF"/>
          <w:lang w:val="ru-RU"/>
        </w:rPr>
        <w:t>деятельности</w:t>
      </w:r>
      <w:r w:rsidRPr="0089504B">
        <w:rPr>
          <w:shd w:val="clear" w:color="auto" w:fill="FFFFFF"/>
          <w:lang w:val="ru-RU"/>
        </w:rPr>
        <w:t xml:space="preserve"> Цифровой коалиции "</w:t>
      </w:r>
      <w:r w:rsidRPr="0089504B">
        <w:rPr>
          <w:color w:val="000000"/>
          <w:lang w:val="ru-RU"/>
        </w:rPr>
        <w:t>Партнерства для подключения"</w:t>
      </w:r>
      <w:r w:rsidRPr="0089504B">
        <w:rPr>
          <w:shd w:val="clear" w:color="auto" w:fill="FFFFFF"/>
          <w:lang w:val="ru-RU"/>
        </w:rPr>
        <w:t xml:space="preserve">, </w:t>
      </w:r>
      <w:r w:rsidR="00BF3BEB">
        <w:rPr>
          <w:shd w:val="clear" w:color="auto" w:fill="FFFFFF"/>
          <w:lang w:val="ru-RU"/>
        </w:rPr>
        <w:t xml:space="preserve">в рамках </w:t>
      </w:r>
      <w:r w:rsidRPr="0089504B">
        <w:rPr>
          <w:shd w:val="clear" w:color="auto" w:fill="FFFFFF"/>
          <w:lang w:val="ru-RU"/>
        </w:rPr>
        <w:t xml:space="preserve">которой </w:t>
      </w:r>
      <w:r w:rsidR="00BF3BEB" w:rsidRPr="0089504B">
        <w:rPr>
          <w:shd w:val="clear" w:color="auto" w:fill="FFFFFF"/>
          <w:lang w:val="ru-RU"/>
        </w:rPr>
        <w:t xml:space="preserve">по состоянию на 30 апреля 2023 года </w:t>
      </w:r>
      <w:r w:rsidRPr="0089504B">
        <w:rPr>
          <w:shd w:val="clear" w:color="auto" w:fill="FFFFFF"/>
          <w:lang w:val="ru-RU"/>
        </w:rPr>
        <w:t>было зарегистрировано 617 обязательств</w:t>
      </w:r>
      <w:r w:rsidR="00BF3BEB">
        <w:rPr>
          <w:shd w:val="clear" w:color="auto" w:fill="FFFFFF"/>
          <w:lang w:val="ru-RU"/>
        </w:rPr>
        <w:t xml:space="preserve"> на</w:t>
      </w:r>
      <w:r w:rsidRPr="0089504B">
        <w:rPr>
          <w:shd w:val="clear" w:color="auto" w:fill="FFFFFF"/>
          <w:lang w:val="ru-RU"/>
        </w:rPr>
        <w:t xml:space="preserve"> общ</w:t>
      </w:r>
      <w:r w:rsidR="00BF3BEB">
        <w:rPr>
          <w:shd w:val="clear" w:color="auto" w:fill="FFFFFF"/>
          <w:lang w:val="ru-RU"/>
        </w:rPr>
        <w:t>ую</w:t>
      </w:r>
      <w:r w:rsidRPr="0089504B">
        <w:rPr>
          <w:shd w:val="clear" w:color="auto" w:fill="FFFFFF"/>
          <w:lang w:val="ru-RU"/>
        </w:rPr>
        <w:t xml:space="preserve"> сумм</w:t>
      </w:r>
      <w:r w:rsidR="00BF3BEB">
        <w:rPr>
          <w:shd w:val="clear" w:color="auto" w:fill="FFFFFF"/>
          <w:lang w:val="ru-RU"/>
        </w:rPr>
        <w:t>у</w:t>
      </w:r>
      <w:r w:rsidRPr="0089504B">
        <w:rPr>
          <w:shd w:val="clear" w:color="auto" w:fill="FFFFFF"/>
          <w:lang w:val="ru-RU"/>
        </w:rPr>
        <w:t xml:space="preserve"> 30 млрд. долл. США, дают БРЭ надежду на подписание новых соглашений. Специальный сегмент региональных форумов по вопросам развития будет посвящен налаживанию контактов в рамках Цифровой коалиции "</w:t>
      </w:r>
      <w:r w:rsidRPr="0089504B">
        <w:rPr>
          <w:color w:val="000000"/>
          <w:lang w:val="ru-RU"/>
        </w:rPr>
        <w:t>Партнерства для подключения"</w:t>
      </w:r>
      <w:r w:rsidRPr="0089504B">
        <w:rPr>
          <w:shd w:val="clear" w:color="auto" w:fill="FFFFFF"/>
          <w:lang w:val="ru-RU"/>
        </w:rPr>
        <w:t xml:space="preserve">, что даст заинтересованным сторонам возможность </w:t>
      </w:r>
      <w:r w:rsidR="00BF3BEB">
        <w:rPr>
          <w:shd w:val="clear" w:color="auto" w:fill="FFFFFF"/>
          <w:lang w:val="ru-RU"/>
        </w:rPr>
        <w:t>заявить о</w:t>
      </w:r>
      <w:r w:rsidRPr="0089504B">
        <w:rPr>
          <w:shd w:val="clear" w:color="auto" w:fill="FFFFFF"/>
          <w:lang w:val="ru-RU"/>
        </w:rPr>
        <w:t xml:space="preserve"> свои</w:t>
      </w:r>
      <w:r w:rsidR="00BF3BEB">
        <w:rPr>
          <w:shd w:val="clear" w:color="auto" w:fill="FFFFFF"/>
          <w:lang w:val="ru-RU"/>
        </w:rPr>
        <w:t>х</w:t>
      </w:r>
      <w:r w:rsidRPr="0089504B">
        <w:rPr>
          <w:shd w:val="clear" w:color="auto" w:fill="FFFFFF"/>
          <w:lang w:val="ru-RU"/>
        </w:rPr>
        <w:t xml:space="preserve"> обязательства</w:t>
      </w:r>
      <w:r w:rsidR="00BF3BEB">
        <w:rPr>
          <w:shd w:val="clear" w:color="auto" w:fill="FFFFFF"/>
          <w:lang w:val="ru-RU"/>
        </w:rPr>
        <w:t>х</w:t>
      </w:r>
      <w:r w:rsidRPr="0089504B">
        <w:rPr>
          <w:shd w:val="clear" w:color="auto" w:fill="FFFFFF"/>
          <w:lang w:val="ru-RU"/>
        </w:rPr>
        <w:t>, основанны</w:t>
      </w:r>
      <w:r w:rsidR="00BF3BEB">
        <w:rPr>
          <w:shd w:val="clear" w:color="auto" w:fill="FFFFFF"/>
          <w:lang w:val="ru-RU"/>
        </w:rPr>
        <w:t>х</w:t>
      </w:r>
      <w:r w:rsidRPr="0089504B">
        <w:rPr>
          <w:shd w:val="clear" w:color="auto" w:fill="FFFFFF"/>
          <w:lang w:val="ru-RU"/>
        </w:rPr>
        <w:t xml:space="preserve"> на уже принятых или новых обязательствах, направленных на удовлетворение потребностей стран, с целью ускорения цифрового развития в различных регионах.</w:t>
      </w:r>
      <w:r w:rsidR="0089504B" w:rsidRPr="0089504B">
        <w:rPr>
          <w:shd w:val="clear" w:color="auto" w:fill="FFFFFF"/>
          <w:lang w:val="ru-RU"/>
        </w:rPr>
        <w:t xml:space="preserve"> </w:t>
      </w:r>
      <w:r w:rsidR="0089504B" w:rsidRPr="0089504B">
        <w:rPr>
          <w:lang w:val="ru-RU"/>
        </w:rPr>
        <w:t xml:space="preserve">Дополнительную информацию о </w:t>
      </w:r>
      <w:r w:rsidR="0089504B" w:rsidRPr="0089504B">
        <w:rPr>
          <w:shd w:val="clear" w:color="auto" w:fill="FFFFFF"/>
          <w:lang w:val="ru-RU"/>
        </w:rPr>
        <w:t>Цифровой коалиции "</w:t>
      </w:r>
      <w:r w:rsidR="0089504B" w:rsidRPr="0089504B">
        <w:rPr>
          <w:color w:val="000000"/>
          <w:lang w:val="ru-RU"/>
        </w:rPr>
        <w:t>Партнерства для подключения" см. в Документе</w:t>
      </w:r>
      <w:r w:rsidR="0089504B" w:rsidRPr="0089504B">
        <w:rPr>
          <w:shd w:val="clear" w:color="auto" w:fill="FFFFFF"/>
          <w:lang w:val="ru-RU"/>
        </w:rPr>
        <w:t> </w:t>
      </w:r>
      <w:r w:rsidR="008F3D54" w:rsidRPr="0089504B">
        <w:t>TDAG</w:t>
      </w:r>
      <w:r w:rsidR="00CE3F18" w:rsidRPr="0089504B">
        <w:rPr>
          <w:lang w:val="ru-RU"/>
        </w:rPr>
        <w:t>-23</w:t>
      </w:r>
      <w:r w:rsidR="008F3D54" w:rsidRPr="0089504B">
        <w:rPr>
          <w:lang w:val="ru-RU"/>
        </w:rPr>
        <w:t xml:space="preserve">/14 </w:t>
      </w:r>
      <w:r w:rsidR="00E91BE1" w:rsidRPr="0089504B">
        <w:rPr>
          <w:lang w:val="ru-RU"/>
        </w:rPr>
        <w:t>(</w:t>
      </w:r>
      <w:r w:rsidR="0089504B" w:rsidRPr="0089504B">
        <w:rPr>
          <w:lang w:val="ru-RU"/>
        </w:rPr>
        <w:t>Специальные инициативы МСЭ</w:t>
      </w:r>
      <w:r w:rsidR="00E91BE1" w:rsidRPr="0089504B">
        <w:rPr>
          <w:lang w:val="ru-RU"/>
        </w:rPr>
        <w:t>)</w:t>
      </w:r>
      <w:r w:rsidR="008F3D54" w:rsidRPr="0089504B">
        <w:rPr>
          <w:lang w:val="ru-RU"/>
        </w:rPr>
        <w:t>.</w:t>
      </w:r>
    </w:p>
    <w:p w14:paraId="542E9490" w14:textId="3910313D" w:rsidR="00022797" w:rsidRPr="009C309F" w:rsidRDefault="001C5492" w:rsidP="001C5492">
      <w:pPr>
        <w:pStyle w:val="Heading1"/>
      </w:pPr>
      <w:r>
        <w:rPr>
          <w:lang w:val="en-US"/>
        </w:rPr>
        <w:t>5</w:t>
      </w:r>
      <w:r>
        <w:rPr>
          <w:lang w:val="en-US"/>
        </w:rPr>
        <w:tab/>
      </w:r>
      <w:r w:rsidR="0089504B">
        <w:rPr>
          <w:lang w:val="ru-RU"/>
        </w:rPr>
        <w:t>Основные действия и итоги</w:t>
      </w:r>
    </w:p>
    <w:p w14:paraId="21315083" w14:textId="6C3F65B1" w:rsidR="0089504B" w:rsidRPr="009D28AF" w:rsidRDefault="0089504B" w:rsidP="001C5492">
      <w:pPr>
        <w:rPr>
          <w:sz w:val="20"/>
          <w:lang w:val="ru-RU"/>
        </w:rPr>
      </w:pPr>
      <w:r w:rsidRPr="009D28AF">
        <w:rPr>
          <w:shd w:val="clear" w:color="auto" w:fill="FFFFFF"/>
          <w:lang w:val="ru-RU"/>
        </w:rPr>
        <w:t>БРЭ осуществило ряд стратегических действий, включая разработку и усовершенствование своих внутренних продуктов и внешних услуг, в целях укрепления партнерских отношений и более активной мобилизации ресурсов, в том числе:</w:t>
      </w:r>
    </w:p>
    <w:p w14:paraId="04E0E03A" w14:textId="611FEDC4" w:rsidR="000144E3" w:rsidRPr="009D28AF" w:rsidRDefault="001C5492" w:rsidP="001C5492">
      <w:pPr>
        <w:pStyle w:val="enumlev1"/>
        <w:rPr>
          <w:lang w:val="ru-RU"/>
        </w:rPr>
      </w:pPr>
      <w:r w:rsidRPr="001C5492">
        <w:rPr>
          <w:lang w:val="ru-RU"/>
        </w:rPr>
        <w:t>–</w:t>
      </w:r>
      <w:r>
        <w:rPr>
          <w:b/>
          <w:bCs/>
          <w:lang w:val="ru-RU"/>
        </w:rPr>
        <w:tab/>
      </w:r>
      <w:r w:rsidR="0089504B" w:rsidRPr="009D28AF">
        <w:rPr>
          <w:b/>
          <w:bCs/>
          <w:lang w:val="ru-RU"/>
        </w:rPr>
        <w:t>Развитие/укрепление отношений с существующими партнерами</w:t>
      </w:r>
      <w:r w:rsidR="004814B2" w:rsidRPr="00F75263">
        <w:rPr>
          <w:lang w:val="ru-RU"/>
        </w:rPr>
        <w:t xml:space="preserve">: </w:t>
      </w:r>
      <w:r w:rsidR="0089504B" w:rsidRPr="009D28AF">
        <w:rPr>
          <w:shd w:val="clear" w:color="auto" w:fill="FFFFFF"/>
          <w:lang w:val="ru-RU"/>
        </w:rPr>
        <w:t>Успешные партнерства и мобилизация ресурсов зависят от качества отношений с партнерами.</w:t>
      </w:r>
      <w:r w:rsidR="00D93A47" w:rsidRPr="009D28AF">
        <w:rPr>
          <w:lang w:val="ru-RU"/>
        </w:rPr>
        <w:t xml:space="preserve"> </w:t>
      </w:r>
      <w:r w:rsidR="00A46970" w:rsidRPr="009D28AF">
        <w:rPr>
          <w:shd w:val="clear" w:color="auto" w:fill="FFFFFF"/>
          <w:lang w:val="ru-RU"/>
        </w:rPr>
        <w:t xml:space="preserve">Они в первую очередь </w:t>
      </w:r>
      <w:r w:rsidR="00A46970" w:rsidRPr="009D28AF">
        <w:rPr>
          <w:color w:val="000000"/>
          <w:lang w:val="ru-RU"/>
        </w:rPr>
        <w:t>являются деятельностью по налаживанию отношений, основанных на доверии, уверенности и уважении</w:t>
      </w:r>
      <w:r w:rsidR="00A46970" w:rsidRPr="009D28AF">
        <w:rPr>
          <w:shd w:val="clear" w:color="auto" w:fill="FFFFFF"/>
          <w:lang w:val="ru-RU"/>
        </w:rPr>
        <w:t>.</w:t>
      </w:r>
      <w:r w:rsidR="004A300B" w:rsidRPr="009D28AF">
        <w:rPr>
          <w:lang w:val="ru-RU"/>
        </w:rPr>
        <w:t xml:space="preserve"> </w:t>
      </w:r>
      <w:r w:rsidR="00A46970" w:rsidRPr="009D28AF">
        <w:rPr>
          <w:color w:val="000000"/>
          <w:lang w:val="ru-RU"/>
        </w:rPr>
        <w:t>Стимулирование и развитие отношений имеет основополагающее значение для их поддержания и сохранения на долгосрочной основе. Налаживание партнерских отношений и мобилизация ресурсов не являются однократными видами деятельности, которые заканчиваются после получения поддержки. Поэтому БРЭ уделяет особое внимание стимулированию отношений со своими давними партнерами, в том числе указанны</w:t>
      </w:r>
      <w:r w:rsidR="00EB4D92">
        <w:rPr>
          <w:color w:val="000000"/>
          <w:lang w:val="ru-RU"/>
        </w:rPr>
        <w:t>ми</w:t>
      </w:r>
      <w:r w:rsidR="00A46970" w:rsidRPr="009D28AF">
        <w:rPr>
          <w:color w:val="000000"/>
          <w:lang w:val="ru-RU"/>
        </w:rPr>
        <w:t xml:space="preserve"> в Документе </w:t>
      </w:r>
      <w:r w:rsidR="00AE7815" w:rsidRPr="009D28AF">
        <w:t>TDAG</w:t>
      </w:r>
      <w:r w:rsidR="00CE3F18" w:rsidRPr="009D28AF">
        <w:rPr>
          <w:lang w:val="ru-RU"/>
        </w:rPr>
        <w:t>-23/</w:t>
      </w:r>
      <w:r w:rsidR="00AE7815" w:rsidRPr="009D28AF">
        <w:t>INF</w:t>
      </w:r>
      <w:r w:rsidR="00AE7815" w:rsidRPr="009D28AF">
        <w:rPr>
          <w:lang w:val="ru-RU"/>
        </w:rPr>
        <w:t>/1</w:t>
      </w:r>
      <w:r w:rsidR="00593EDD" w:rsidRPr="009D28AF">
        <w:rPr>
          <w:lang w:val="ru-RU"/>
        </w:rPr>
        <w:t xml:space="preserve">. </w:t>
      </w:r>
    </w:p>
    <w:p w14:paraId="400521B2" w14:textId="66D96B2A" w:rsidR="00593EDD" w:rsidRPr="009D28AF" w:rsidRDefault="001C5492" w:rsidP="001C5492">
      <w:pPr>
        <w:pStyle w:val="enumlev1"/>
        <w:rPr>
          <w:lang w:val="ru-RU"/>
        </w:rPr>
      </w:pPr>
      <w:r w:rsidRPr="001C5492">
        <w:rPr>
          <w:lang w:val="ru-RU"/>
        </w:rPr>
        <w:t>–</w:t>
      </w:r>
      <w:r>
        <w:rPr>
          <w:b/>
          <w:bCs/>
          <w:lang w:val="ru-RU"/>
        </w:rPr>
        <w:tab/>
      </w:r>
      <w:r w:rsidR="00B85CB1" w:rsidRPr="009D28AF">
        <w:rPr>
          <w:b/>
          <w:bCs/>
          <w:lang w:val="ru-RU"/>
        </w:rPr>
        <w:t>Информационно-пропагандистская работа с новыми потенциальными партнерами</w:t>
      </w:r>
      <w:r w:rsidR="00593EDD" w:rsidRPr="009D28AF">
        <w:rPr>
          <w:lang w:val="ru-RU"/>
        </w:rPr>
        <w:t xml:space="preserve">: </w:t>
      </w:r>
      <w:r w:rsidR="00B85CB1" w:rsidRPr="009D28AF">
        <w:rPr>
          <w:shd w:val="clear" w:color="auto" w:fill="FFFFFF"/>
          <w:lang w:val="ru-RU"/>
        </w:rPr>
        <w:t>БРЭ уделяет особое внимание поддержанию отношений со своими существующими партнерами и вовлечению их в долгосрочные отношения, но также признает значение расширения и диверсификации круга своих партнеров с помощью деятельности, направленной на охват потенциальных новых партнеров.</w:t>
      </w:r>
      <w:r w:rsidR="00593EDD" w:rsidRPr="009D28AF">
        <w:rPr>
          <w:lang w:val="ru-RU"/>
        </w:rPr>
        <w:t xml:space="preserve"> </w:t>
      </w:r>
      <w:r w:rsidR="00813875" w:rsidRPr="009D28AF">
        <w:rPr>
          <w:shd w:val="clear" w:color="auto" w:fill="FFFFFF"/>
          <w:lang w:val="ru-RU"/>
        </w:rPr>
        <w:t>Для этого и для обеспечения стратегического подхода БРЭ провело картирование, профилирование и налаживание контактов с несколькими потенциальными партнерами, в частности объединениями частного сектора, включая фонды, с целью повышения профиля БРЭ МСЭ, определения синергии и обсуждения потенциальных возможностей партнерства.</w:t>
      </w:r>
    </w:p>
    <w:p w14:paraId="095D8EF8" w14:textId="01CF228A" w:rsidR="00782CED" w:rsidRPr="00154B8C" w:rsidRDefault="001C5492" w:rsidP="001C5492">
      <w:pPr>
        <w:pStyle w:val="enumlev1"/>
        <w:rPr>
          <w:lang w:val="ru-RU"/>
        </w:rPr>
      </w:pPr>
      <w:r w:rsidRPr="001C5492">
        <w:rPr>
          <w:lang w:val="ru-RU"/>
        </w:rPr>
        <w:t>–</w:t>
      </w:r>
      <w:r>
        <w:rPr>
          <w:b/>
          <w:bCs/>
          <w:lang w:val="ru-RU"/>
        </w:rPr>
        <w:tab/>
      </w:r>
      <w:r w:rsidR="009C2C3D" w:rsidRPr="009D28AF">
        <w:rPr>
          <w:b/>
          <w:bCs/>
          <w:lang w:val="ru-RU"/>
        </w:rPr>
        <w:t>Укрепление сотрудничества с учреждениями системы ООН</w:t>
      </w:r>
      <w:r w:rsidR="007757C1" w:rsidRPr="009D28AF">
        <w:rPr>
          <w:lang w:val="ru-RU"/>
        </w:rPr>
        <w:t xml:space="preserve">: </w:t>
      </w:r>
      <w:r w:rsidR="009C2C3D" w:rsidRPr="009D28AF">
        <w:rPr>
          <w:shd w:val="clear" w:color="auto" w:fill="FFFFFF"/>
          <w:lang w:val="ru-RU"/>
        </w:rPr>
        <w:t xml:space="preserve">БРЭ продолжает укреплять сотрудничество с другими учреждениями ООН, повышая наглядность своей деятельности, в том числе уникальной роли МСЭ как ведущей организации в сфере электросвязи/ИКТ, повышая эффект синергии и совместного использования знаний, а также создавая новые и возрастающие объемы финансирования, используя возможности для проведения </w:t>
      </w:r>
      <w:r w:rsidR="009C2C3D" w:rsidRPr="009D28AF">
        <w:rPr>
          <w:shd w:val="clear" w:color="auto" w:fill="FFFFFF"/>
          <w:lang w:val="ru-RU"/>
        </w:rPr>
        <w:lastRenderedPageBreak/>
        <w:t>многосторонних встреч. Это сотрудничество открывает для БРЭ более широкие возможности тесного сотрудничества с родственными учреждениями ООН и доступа к финансированию для реализации совместных проектов на национальном, региональном и глобальном уровнях при реализации Повестки дня на период до 2030 года.</w:t>
      </w:r>
    </w:p>
    <w:p w14:paraId="3EC2F068" w14:textId="1A3BA885" w:rsidR="00022797" w:rsidRPr="00EB4D92" w:rsidRDefault="001C5492" w:rsidP="001C5492">
      <w:pPr>
        <w:pStyle w:val="Heading1"/>
        <w:rPr>
          <w:szCs w:val="24"/>
          <w:lang w:val="ru-RU"/>
        </w:rPr>
      </w:pPr>
      <w:r>
        <w:rPr>
          <w:lang w:val="en-US"/>
        </w:rPr>
        <w:t>6</w:t>
      </w:r>
      <w:r>
        <w:rPr>
          <w:lang w:val="en-US"/>
        </w:rPr>
        <w:tab/>
      </w:r>
      <w:r w:rsidR="009D28AF" w:rsidRPr="00EB4D92">
        <w:rPr>
          <w:lang w:val="ru-RU"/>
        </w:rPr>
        <w:t>Направления дальнейшей деятельности</w:t>
      </w:r>
    </w:p>
    <w:p w14:paraId="41D96595" w14:textId="33D9F26A" w:rsidR="009D28AF" w:rsidRPr="009D28AF" w:rsidRDefault="009D28AF" w:rsidP="001C5492">
      <w:pPr>
        <w:rPr>
          <w:lang w:val="ru-RU"/>
        </w:rPr>
      </w:pPr>
      <w:r w:rsidRPr="009D28AF">
        <w:rPr>
          <w:shd w:val="clear" w:color="auto" w:fill="FFFFFF"/>
          <w:lang w:val="ru-RU"/>
        </w:rPr>
        <w:t>БРЭ высоко ценит своих давних партнеров и выражает им признательность, как и своим новым партнерам, с которыми БРЭ стало возможным осуществлять проекты и инициативы по всему миру</w:t>
      </w:r>
      <w:r w:rsidR="007459FE" w:rsidRPr="009D28AF">
        <w:rPr>
          <w:lang w:val="ru-RU"/>
        </w:rPr>
        <w:t xml:space="preserve">. </w:t>
      </w:r>
      <w:r w:rsidRPr="009D28AF">
        <w:rPr>
          <w:shd w:val="clear" w:color="auto" w:fill="FFFFFF"/>
          <w:lang w:val="ru-RU"/>
        </w:rPr>
        <w:t>Принимая во внимание вышеизложенное и в соответствии с требованиями Кигалийского плана действий, БРЭ будет продолжать укреплять сотрудничество и координацию своей деятельности с учреждениями ООН и другими международными организациями – региональными организациями электросвязи, региональными и глобальными учреждениями в области развития, а также укреплять стратегию мобилизации ресурсов и оперативные рамки для создания партнерств со всеми заинтересованными сторонами в целях выполнения Кигалийского плана действий, включая приоритеты МСЭ-</w:t>
      </w:r>
      <w:r w:rsidRPr="009D28AF">
        <w:rPr>
          <w:shd w:val="clear" w:color="auto" w:fill="FFFFFF"/>
        </w:rPr>
        <w:t>D</w:t>
      </w:r>
      <w:r w:rsidRPr="009D28AF">
        <w:rPr>
          <w:shd w:val="clear" w:color="auto" w:fill="FFFFFF"/>
          <w:lang w:val="ru-RU"/>
        </w:rPr>
        <w:t xml:space="preserve"> по достижению Целей в области устойчивого развития на период до 2030 года, относящихся к вопросам развития электросвязи/ИКТ.</w:t>
      </w:r>
    </w:p>
    <w:p w14:paraId="5A1B087C" w14:textId="69877FAA" w:rsidR="00243FF0" w:rsidRPr="00243FF0" w:rsidRDefault="003C58BF" w:rsidP="001C5492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sz w:val="20"/>
          <w:lang w:val="en-US"/>
        </w:rPr>
      </w:pPr>
      <w:r>
        <w:t>____________</w:t>
      </w:r>
      <w:r w:rsidR="004122C5">
        <w:t>_</w:t>
      </w:r>
      <w:r w:rsidR="00922EC1">
        <w:t>_</w:t>
      </w:r>
    </w:p>
    <w:sectPr w:rsidR="00243FF0" w:rsidRPr="00243FF0" w:rsidSect="007247E9">
      <w:headerReference w:type="default" r:id="rId24"/>
      <w:footerReference w:type="default" r:id="rId25"/>
      <w:footerReference w:type="first" r:id="rId26"/>
      <w:pgSz w:w="11907" w:h="16834" w:code="9"/>
      <w:pgMar w:top="1418" w:right="992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C208" w14:textId="77777777" w:rsidR="00A74933" w:rsidRDefault="00A74933">
      <w:r>
        <w:separator/>
      </w:r>
    </w:p>
  </w:endnote>
  <w:endnote w:type="continuationSeparator" w:id="0">
    <w:p w14:paraId="0424022B" w14:textId="77777777" w:rsidR="00A74933" w:rsidRDefault="00A7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8A7D" w14:textId="41A8DD21" w:rsidR="000C4291" w:rsidRPr="000C4291" w:rsidRDefault="000C4291">
    <w:pPr>
      <w:pStyle w:val="Footer"/>
      <w:rPr>
        <w:lang w:val="en-US"/>
      </w:rPr>
    </w:pPr>
    <w:r>
      <w:fldChar w:fldCharType="begin"/>
    </w:r>
    <w:r w:rsidRPr="00A059BA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P:\RUS\ITU-D\CONF-D\TDAG23\TDAG23-30\000\004R.docx</w:t>
    </w:r>
    <w:r>
      <w:fldChar w:fldCharType="end"/>
    </w:r>
    <w:r w:rsidRPr="00A059BA">
      <w:rPr>
        <w:lang w:val="fr-CH"/>
      </w:rPr>
      <w:t xml:space="preserve"> (</w:t>
    </w:r>
    <w:r>
      <w:t>52011</w:t>
    </w:r>
    <w:r>
      <w:t>6</w:t>
    </w:r>
    <w:r w:rsidRPr="00A059B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13"/>
      <w:gridCol w:w="5008"/>
    </w:tblGrid>
    <w:tr w:rsidR="000C4291" w:rsidRPr="000C4291" w14:paraId="705950E0" w14:textId="77777777" w:rsidTr="00F634AB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E8C86BE" w14:textId="77777777" w:rsidR="000C4291" w:rsidRPr="004726D2" w:rsidRDefault="000C4291" w:rsidP="000C429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726D2">
            <w:rPr>
              <w:sz w:val="18"/>
              <w:szCs w:val="18"/>
            </w:rPr>
            <w:t>Координатор: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1019E1B2" w14:textId="77777777" w:rsidR="000C4291" w:rsidRPr="004726D2" w:rsidRDefault="000C4291" w:rsidP="000C429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Фамилия/организация/объединение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  <w:tcBorders>
            <w:top w:val="single" w:sz="4" w:space="0" w:color="000000"/>
          </w:tcBorders>
        </w:tcPr>
        <w:p w14:paraId="4BF425C2" w14:textId="099B1508" w:rsidR="000C4291" w:rsidRPr="000C4291" w:rsidRDefault="000C4291" w:rsidP="000C4291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9D28AF">
            <w:rPr>
              <w:sz w:val="18"/>
              <w:szCs w:val="18"/>
              <w:lang w:val="ru-RU"/>
            </w:rPr>
            <w:t xml:space="preserve">Г-жа </w:t>
          </w:r>
          <w:r w:rsidRPr="009D28AF">
            <w:rPr>
              <w:color w:val="000000"/>
              <w:sz w:val="18"/>
              <w:szCs w:val="18"/>
              <w:lang w:val="ru-RU"/>
            </w:rPr>
            <w:t>Сандрин Гийо</w:t>
          </w:r>
          <w:r w:rsidRPr="009D28AF">
            <w:rPr>
              <w:sz w:val="18"/>
              <w:szCs w:val="18"/>
              <w:lang w:val="ru-RU"/>
            </w:rPr>
            <w:t xml:space="preserve"> (Ms Sandrine Guyot), руководитель </w:t>
          </w:r>
          <w:r w:rsidRPr="009D28AF">
            <w:rPr>
              <w:color w:val="000000"/>
              <w:sz w:val="18"/>
              <w:szCs w:val="18"/>
              <w:lang w:val="ru-RU"/>
            </w:rPr>
            <w:t>Отдела партнерских отношений и мобилизации ресурсов</w:t>
          </w:r>
          <w:r w:rsidRPr="009D28AF">
            <w:rPr>
              <w:sz w:val="18"/>
              <w:szCs w:val="18"/>
              <w:lang w:val="ru-RU"/>
            </w:rPr>
            <w:t xml:space="preserve"> Департамента цифрового развития БРЭ</w:t>
          </w:r>
        </w:p>
      </w:tc>
    </w:tr>
    <w:tr w:rsidR="000C4291" w:rsidRPr="001326A4" w14:paraId="6C296D92" w14:textId="77777777" w:rsidTr="00F634AB">
      <w:tc>
        <w:tcPr>
          <w:tcW w:w="1418" w:type="dxa"/>
          <w:shd w:val="clear" w:color="auto" w:fill="auto"/>
        </w:tcPr>
        <w:p w14:paraId="2D809391" w14:textId="77777777" w:rsidR="000C4291" w:rsidRPr="000C4291" w:rsidRDefault="000C4291" w:rsidP="000C429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13" w:type="dxa"/>
          <w:shd w:val="clear" w:color="auto" w:fill="auto"/>
        </w:tcPr>
        <w:p w14:paraId="38A9F49F" w14:textId="77777777" w:rsidR="000C4291" w:rsidRPr="004726D2" w:rsidRDefault="000C4291" w:rsidP="000C42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Тел.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6B1A5485" w14:textId="36762AE9" w:rsidR="000C4291" w:rsidRPr="004726D2" w:rsidRDefault="000C4291" w:rsidP="000C4291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+41 22 7305100</w:t>
          </w:r>
        </w:p>
      </w:tc>
    </w:tr>
    <w:tr w:rsidR="000C4291" w:rsidRPr="00CD7AC0" w14:paraId="62798405" w14:textId="77777777" w:rsidTr="00F634AB">
      <w:tc>
        <w:tcPr>
          <w:tcW w:w="1418" w:type="dxa"/>
          <w:shd w:val="clear" w:color="auto" w:fill="auto"/>
        </w:tcPr>
        <w:p w14:paraId="0C5D729A" w14:textId="77777777" w:rsidR="000C4291" w:rsidRPr="004726D2" w:rsidRDefault="000C4291" w:rsidP="000C429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78023B75" w14:textId="77777777" w:rsidR="000C4291" w:rsidRPr="004726D2" w:rsidRDefault="000C4291" w:rsidP="000C42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Эл.</w:t>
          </w:r>
          <w:r w:rsidRPr="004726D2">
            <w:rPr>
              <w:sz w:val="18"/>
              <w:szCs w:val="18"/>
              <w:lang w:val="en-US"/>
            </w:rPr>
            <w:t> </w:t>
          </w:r>
          <w:r w:rsidRPr="004726D2">
            <w:rPr>
              <w:sz w:val="18"/>
              <w:szCs w:val="18"/>
            </w:rPr>
            <w:t>почта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08AFFC95" w14:textId="3B2FFBDD" w:rsidR="000C4291" w:rsidRPr="004726D2" w:rsidRDefault="000C4291" w:rsidP="000C42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DC02DB">
              <w:rPr>
                <w:rStyle w:val="Hyperlink"/>
                <w:sz w:val="18"/>
                <w:szCs w:val="18"/>
                <w:lang w:val="en-US"/>
              </w:rPr>
              <w:t>sandrine.guyot@itu.int</w:t>
            </w:r>
          </w:hyperlink>
        </w:p>
      </w:tc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666D4652" w:rsidR="00721657" w:rsidRPr="00CC2735" w:rsidRDefault="005F6590" w:rsidP="00B80157">
    <w:pPr>
      <w:pStyle w:val="Footer"/>
      <w:jc w:val="center"/>
      <w:rPr>
        <w:lang w:val="fr-CH"/>
      </w:rPr>
    </w:pPr>
    <w:hyperlink r:id="rId2" w:history="1">
      <w:r w:rsidR="00BA5249">
        <w:rPr>
          <w:rStyle w:val="Hyperlink"/>
          <w:lang w:val="ru-RU"/>
        </w:rPr>
        <w:t>КГРЭ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912A" w14:textId="77777777" w:rsidR="00A74933" w:rsidRDefault="00A74933">
      <w:r>
        <w:t>____________________</w:t>
      </w:r>
    </w:p>
  </w:footnote>
  <w:footnote w:type="continuationSeparator" w:id="0">
    <w:p w14:paraId="1E7A6DF4" w14:textId="77777777" w:rsidR="00A74933" w:rsidRDefault="00A74933">
      <w:r>
        <w:continuationSeparator/>
      </w:r>
    </w:p>
  </w:footnote>
  <w:footnote w:id="1">
    <w:p w14:paraId="60DE6006" w14:textId="0D869B7A" w:rsidR="00B23E25" w:rsidRPr="0033194A" w:rsidRDefault="00B23E25" w:rsidP="001C5492">
      <w:pPr>
        <w:pStyle w:val="FootnoteText"/>
        <w:rPr>
          <w:lang w:val="ru-RU"/>
        </w:rPr>
      </w:pPr>
      <w:r w:rsidRPr="001C5492">
        <w:rPr>
          <w:rStyle w:val="FootnoteReference"/>
        </w:rPr>
        <w:footnoteRef/>
      </w:r>
      <w:r w:rsidR="001C5492">
        <w:rPr>
          <w:lang w:val="ru-RU"/>
        </w:rPr>
        <w:tab/>
      </w:r>
      <w:r w:rsidRPr="009C309F">
        <w:t>ADMIN</w:t>
      </w:r>
      <w:r w:rsidRPr="0033194A">
        <w:rPr>
          <w:lang w:val="ru-RU"/>
        </w:rPr>
        <w:t xml:space="preserve">: </w:t>
      </w:r>
      <w:r w:rsidR="0033194A">
        <w:rPr>
          <w:lang w:val="ru-RU"/>
        </w:rPr>
        <w:t>администрации</w:t>
      </w:r>
      <w:r w:rsidRPr="0033194A">
        <w:rPr>
          <w:lang w:val="ru-RU"/>
        </w:rPr>
        <w:t xml:space="preserve">, </w:t>
      </w:r>
      <w:r w:rsidRPr="009C309F">
        <w:t>REGINTORG</w:t>
      </w:r>
      <w:r w:rsidRPr="0033194A">
        <w:rPr>
          <w:lang w:val="ru-RU"/>
        </w:rPr>
        <w:t xml:space="preserve">: </w:t>
      </w:r>
      <w:r w:rsidR="0033194A">
        <w:rPr>
          <w:lang w:val="ru-RU"/>
        </w:rPr>
        <w:t>региональные</w:t>
      </w:r>
      <w:r w:rsidR="0033194A" w:rsidRPr="0033194A">
        <w:rPr>
          <w:lang w:val="ru-RU"/>
        </w:rPr>
        <w:t xml:space="preserve"> </w:t>
      </w:r>
      <w:r w:rsidR="0033194A">
        <w:rPr>
          <w:lang w:val="ru-RU"/>
        </w:rPr>
        <w:t>и</w:t>
      </w:r>
      <w:r w:rsidR="0033194A" w:rsidRPr="0033194A">
        <w:rPr>
          <w:lang w:val="ru-RU"/>
        </w:rPr>
        <w:t xml:space="preserve"> </w:t>
      </w:r>
      <w:r w:rsidR="0033194A">
        <w:rPr>
          <w:lang w:val="ru-RU"/>
        </w:rPr>
        <w:t>другие</w:t>
      </w:r>
      <w:r w:rsidR="0033194A" w:rsidRPr="0033194A">
        <w:rPr>
          <w:lang w:val="ru-RU"/>
        </w:rPr>
        <w:t xml:space="preserve"> </w:t>
      </w:r>
      <w:r w:rsidR="0033194A" w:rsidRPr="00F75263">
        <w:rPr>
          <w:lang w:val="ru-RU"/>
        </w:rPr>
        <w:t>международные</w:t>
      </w:r>
      <w:r w:rsidR="0033194A" w:rsidRPr="0033194A">
        <w:rPr>
          <w:lang w:val="ru-RU"/>
        </w:rPr>
        <w:t xml:space="preserve"> </w:t>
      </w:r>
      <w:r w:rsidR="0033194A">
        <w:rPr>
          <w:lang w:val="ru-RU"/>
        </w:rPr>
        <w:t>организации</w:t>
      </w:r>
      <w:r w:rsidRPr="0033194A">
        <w:rPr>
          <w:lang w:val="ru-RU"/>
        </w:rPr>
        <w:t xml:space="preserve">, </w:t>
      </w:r>
      <w:r w:rsidR="0033194A">
        <w:rPr>
          <w:lang w:val="ru-RU"/>
        </w:rPr>
        <w:t>ПЭО</w:t>
      </w:r>
      <w:r w:rsidRPr="0033194A">
        <w:rPr>
          <w:lang w:val="ru-RU"/>
        </w:rPr>
        <w:t xml:space="preserve">: </w:t>
      </w:r>
      <w:r w:rsidR="0033194A">
        <w:rPr>
          <w:lang w:val="ru-RU"/>
        </w:rPr>
        <w:t>признанные</w:t>
      </w:r>
      <w:r w:rsidR="0033194A" w:rsidRPr="0033194A">
        <w:rPr>
          <w:lang w:val="ru-RU"/>
        </w:rPr>
        <w:t xml:space="preserve"> </w:t>
      </w:r>
      <w:r w:rsidR="0033194A">
        <w:rPr>
          <w:lang w:val="ru-RU"/>
        </w:rPr>
        <w:t>эксплуатационные организации</w:t>
      </w:r>
      <w:r w:rsidRPr="0033194A">
        <w:rPr>
          <w:lang w:val="ru-RU"/>
        </w:rPr>
        <w:t xml:space="preserve">, </w:t>
      </w:r>
      <w:r w:rsidR="0033194A">
        <w:rPr>
          <w:lang w:val="ru-RU"/>
        </w:rPr>
        <w:t>НПО</w:t>
      </w:r>
      <w:r w:rsidRPr="0033194A">
        <w:rPr>
          <w:lang w:val="ru-RU"/>
        </w:rPr>
        <w:t>:</w:t>
      </w:r>
      <w:r w:rsidRPr="009C309F">
        <w:t> </w:t>
      </w:r>
      <w:r w:rsidR="0033194A">
        <w:rPr>
          <w:lang w:val="ru-RU"/>
        </w:rPr>
        <w:t>научные/промышленные организации</w:t>
      </w:r>
      <w:r w:rsidRPr="0033194A">
        <w:rPr>
          <w:lang w:val="ru-RU"/>
        </w:rPr>
        <w:t xml:space="preserve">, </w:t>
      </w:r>
      <w:r w:rsidRPr="009C309F">
        <w:t>UNIVERS</w:t>
      </w:r>
      <w:r w:rsidRPr="0033194A">
        <w:rPr>
          <w:lang w:val="ru-RU"/>
        </w:rPr>
        <w:t>/</w:t>
      </w:r>
      <w:r w:rsidRPr="009C309F">
        <w:t>RSRCH</w:t>
      </w:r>
      <w:r w:rsidRPr="0033194A">
        <w:rPr>
          <w:lang w:val="ru-RU"/>
        </w:rPr>
        <w:t xml:space="preserve">: </w:t>
      </w:r>
      <w:r w:rsidR="0033194A">
        <w:rPr>
          <w:lang w:val="ru-RU"/>
        </w:rPr>
        <w:t>университеты и научно-исследовательские учреждения</w:t>
      </w:r>
      <w:r w:rsidR="00F7526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5E468FC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 w:rsidR="003242AB">
      <w:rPr>
        <w:szCs w:val="22"/>
        <w:lang w:val="de-CH"/>
      </w:rPr>
      <w:t>-</w:t>
    </w:r>
    <w:r w:rsidR="00923CF1">
      <w:rPr>
        <w:szCs w:val="22"/>
        <w:lang w:val="de-CH"/>
      </w:rPr>
      <w:t>2</w:t>
    </w:r>
    <w:r w:rsidR="005C5A93">
      <w:rPr>
        <w:szCs w:val="22"/>
        <w:lang w:val="de-CH"/>
      </w:rPr>
      <w:t>3</w:t>
    </w:r>
    <w:r w:rsidRPr="00A54E72">
      <w:rPr>
        <w:szCs w:val="22"/>
        <w:lang w:val="de-CH"/>
      </w:rPr>
      <w:t>/</w:t>
    </w:r>
    <w:r w:rsidR="000C4291">
      <w:rPr>
        <w:szCs w:val="22"/>
        <w:lang w:val="de-CH"/>
      </w:rPr>
      <w:t>4</w:t>
    </w:r>
    <w:r w:rsidRPr="006D271A">
      <w:rPr>
        <w:szCs w:val="22"/>
        <w:lang w:val="de-CH"/>
      </w:rPr>
      <w:t>-</w:t>
    </w:r>
    <w:r w:rsidR="00BA5249">
      <w:rPr>
        <w:szCs w:val="22"/>
        <w:lang w:val="en-US"/>
      </w:rPr>
      <w:t>R</w:t>
    </w:r>
    <w:r w:rsidRPr="006D271A">
      <w:rPr>
        <w:szCs w:val="22"/>
        <w:lang w:val="de-CH"/>
      </w:rPr>
      <w:tab/>
    </w:r>
    <w:r w:rsidR="00BA5249">
      <w:rPr>
        <w:szCs w:val="22"/>
        <w:lang w:val="ru-RU"/>
      </w:rPr>
      <w:t>Стр</w:t>
    </w:r>
    <w:r w:rsidR="000C4291">
      <w:rPr>
        <w:szCs w:val="22"/>
        <w:lang w:val="ru-RU"/>
      </w:rPr>
      <w:t>аница</w:t>
    </w:r>
    <w:r w:rsidRPr="006D271A">
      <w:rPr>
        <w:szCs w:val="22"/>
        <w:lang w:val="de-CH"/>
      </w:rPr>
      <w:t xml:space="preserve">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="004D7DAB">
      <w:rPr>
        <w:noProof/>
        <w:szCs w:val="22"/>
        <w:lang w:val="de-CH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6EC6"/>
    <w:multiLevelType w:val="hybridMultilevel"/>
    <w:tmpl w:val="F88EF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4A5EF98"/>
    <w:multiLevelType w:val="hybridMultilevel"/>
    <w:tmpl w:val="ADAE6F38"/>
    <w:lvl w:ilvl="0" w:tplc="5A4233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5CF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87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46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63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C2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8D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C3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A3D2"/>
    <w:multiLevelType w:val="hybridMultilevel"/>
    <w:tmpl w:val="C3CE4EF0"/>
    <w:lvl w:ilvl="0" w:tplc="A10A76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A3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67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ED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A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AD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ED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5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AD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13E2"/>
    <w:multiLevelType w:val="hybridMultilevel"/>
    <w:tmpl w:val="E2487E3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40E59"/>
    <w:multiLevelType w:val="hybridMultilevel"/>
    <w:tmpl w:val="760629D4"/>
    <w:lvl w:ilvl="0" w:tplc="175A61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96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23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82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E6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E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A4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4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A1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7D01"/>
    <w:multiLevelType w:val="hybridMultilevel"/>
    <w:tmpl w:val="7EE21C24"/>
    <w:lvl w:ilvl="0" w:tplc="0D20CE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62A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CA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6C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F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47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88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23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08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677B"/>
    <w:multiLevelType w:val="hybridMultilevel"/>
    <w:tmpl w:val="59267C94"/>
    <w:lvl w:ilvl="0" w:tplc="B8B470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E28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6D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AA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88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A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41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A8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6F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169F5"/>
    <w:multiLevelType w:val="hybridMultilevel"/>
    <w:tmpl w:val="B9766AB2"/>
    <w:lvl w:ilvl="0" w:tplc="C2F83C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92A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EB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64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83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A5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ED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1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6B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C73D"/>
    <w:multiLevelType w:val="hybridMultilevel"/>
    <w:tmpl w:val="CB0893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FAE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C7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E4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EC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85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CF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4C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E66243"/>
    <w:multiLevelType w:val="hybridMultilevel"/>
    <w:tmpl w:val="80944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18C1C4"/>
    <w:multiLevelType w:val="hybridMultilevel"/>
    <w:tmpl w:val="EE42FBD2"/>
    <w:lvl w:ilvl="0" w:tplc="6C9AA7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14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47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ED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4A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A3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4B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0B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81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BDED2"/>
    <w:multiLevelType w:val="hybridMultilevel"/>
    <w:tmpl w:val="9200820C"/>
    <w:lvl w:ilvl="0" w:tplc="6C0681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AC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A7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08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A3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03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4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A2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4D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65F00EE"/>
    <w:multiLevelType w:val="hybridMultilevel"/>
    <w:tmpl w:val="446C7004"/>
    <w:lvl w:ilvl="0" w:tplc="C512B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36B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6B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A8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A9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69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20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AA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87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7027D"/>
    <w:multiLevelType w:val="hybridMultilevel"/>
    <w:tmpl w:val="E6CEFAFA"/>
    <w:lvl w:ilvl="0" w:tplc="F0DE020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726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3B5C8F"/>
    <w:multiLevelType w:val="hybridMultilevel"/>
    <w:tmpl w:val="D6344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895">
    <w:abstractNumId w:val="8"/>
  </w:num>
  <w:num w:numId="2" w16cid:durableId="1148088687">
    <w:abstractNumId w:val="3"/>
  </w:num>
  <w:num w:numId="3" w16cid:durableId="1431122784">
    <w:abstractNumId w:val="5"/>
  </w:num>
  <w:num w:numId="4" w16cid:durableId="560139239">
    <w:abstractNumId w:val="7"/>
  </w:num>
  <w:num w:numId="5" w16cid:durableId="168761589">
    <w:abstractNumId w:val="12"/>
  </w:num>
  <w:num w:numId="6" w16cid:durableId="5251038">
    <w:abstractNumId w:val="2"/>
  </w:num>
  <w:num w:numId="7" w16cid:durableId="1318798687">
    <w:abstractNumId w:val="13"/>
  </w:num>
  <w:num w:numId="8" w16cid:durableId="1911308688">
    <w:abstractNumId w:val="9"/>
  </w:num>
  <w:num w:numId="9" w16cid:durableId="1091782794">
    <w:abstractNumId w:val="15"/>
  </w:num>
  <w:num w:numId="10" w16cid:durableId="1070349382">
    <w:abstractNumId w:val="6"/>
  </w:num>
  <w:num w:numId="11" w16cid:durableId="1252471010">
    <w:abstractNumId w:val="14"/>
  </w:num>
  <w:num w:numId="12" w16cid:durableId="1898272145">
    <w:abstractNumId w:val="0"/>
  </w:num>
  <w:num w:numId="13" w16cid:durableId="1199002488">
    <w:abstractNumId w:val="10"/>
  </w:num>
  <w:num w:numId="14" w16cid:durableId="1925872270">
    <w:abstractNumId w:val="1"/>
  </w:num>
  <w:num w:numId="15" w16cid:durableId="791747347">
    <w:abstractNumId w:val="11"/>
  </w:num>
  <w:num w:numId="16" w16cid:durableId="886990677">
    <w:abstractNumId w:val="16"/>
  </w:num>
  <w:num w:numId="17" w16cid:durableId="2076586616">
    <w:abstractNumId w:val="17"/>
  </w:num>
  <w:num w:numId="18" w16cid:durableId="861824708">
    <w:abstractNumId w:val="18"/>
  </w:num>
  <w:num w:numId="19" w16cid:durableId="512652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0E75"/>
    <w:rsid w:val="000011FA"/>
    <w:rsid w:val="00002716"/>
    <w:rsid w:val="00002E89"/>
    <w:rsid w:val="00003C43"/>
    <w:rsid w:val="00005791"/>
    <w:rsid w:val="00006D2E"/>
    <w:rsid w:val="00010827"/>
    <w:rsid w:val="00012223"/>
    <w:rsid w:val="00013BCF"/>
    <w:rsid w:val="00013C64"/>
    <w:rsid w:val="000144E3"/>
    <w:rsid w:val="00014EFC"/>
    <w:rsid w:val="00014F56"/>
    <w:rsid w:val="00015089"/>
    <w:rsid w:val="0002004D"/>
    <w:rsid w:val="0002083F"/>
    <w:rsid w:val="00022797"/>
    <w:rsid w:val="00024DAC"/>
    <w:rsid w:val="0002520B"/>
    <w:rsid w:val="0003007B"/>
    <w:rsid w:val="00032B2E"/>
    <w:rsid w:val="0003668E"/>
    <w:rsid w:val="00037A9E"/>
    <w:rsid w:val="00037F91"/>
    <w:rsid w:val="00041421"/>
    <w:rsid w:val="000420B9"/>
    <w:rsid w:val="00043E15"/>
    <w:rsid w:val="00045EB6"/>
    <w:rsid w:val="00046E19"/>
    <w:rsid w:val="00050477"/>
    <w:rsid w:val="00050CED"/>
    <w:rsid w:val="00050DE7"/>
    <w:rsid w:val="000523FC"/>
    <w:rsid w:val="000539F1"/>
    <w:rsid w:val="00054747"/>
    <w:rsid w:val="000549FA"/>
    <w:rsid w:val="00054EB4"/>
    <w:rsid w:val="00055A2A"/>
    <w:rsid w:val="00056D35"/>
    <w:rsid w:val="000615C1"/>
    <w:rsid w:val="00061675"/>
    <w:rsid w:val="0006209C"/>
    <w:rsid w:val="00065084"/>
    <w:rsid w:val="0006582C"/>
    <w:rsid w:val="0007124C"/>
    <w:rsid w:val="000734A4"/>
    <w:rsid w:val="000743AA"/>
    <w:rsid w:val="00074746"/>
    <w:rsid w:val="00075522"/>
    <w:rsid w:val="0008311F"/>
    <w:rsid w:val="00086169"/>
    <w:rsid w:val="0009076F"/>
    <w:rsid w:val="00090896"/>
    <w:rsid w:val="00090F75"/>
    <w:rsid w:val="00091D4F"/>
    <w:rsid w:val="00091EC4"/>
    <w:rsid w:val="0009225C"/>
    <w:rsid w:val="0009324D"/>
    <w:rsid w:val="0009351D"/>
    <w:rsid w:val="0009726B"/>
    <w:rsid w:val="000A17C4"/>
    <w:rsid w:val="000A21EF"/>
    <w:rsid w:val="000A2B10"/>
    <w:rsid w:val="000A31DB"/>
    <w:rsid w:val="000A36A4"/>
    <w:rsid w:val="000A47A2"/>
    <w:rsid w:val="000A60E5"/>
    <w:rsid w:val="000A6A4A"/>
    <w:rsid w:val="000B17BD"/>
    <w:rsid w:val="000B1AAB"/>
    <w:rsid w:val="000B2352"/>
    <w:rsid w:val="000B36BF"/>
    <w:rsid w:val="000B5E9A"/>
    <w:rsid w:val="000C03EB"/>
    <w:rsid w:val="000C0A5E"/>
    <w:rsid w:val="000C237C"/>
    <w:rsid w:val="000C37D9"/>
    <w:rsid w:val="000C4291"/>
    <w:rsid w:val="000C7B84"/>
    <w:rsid w:val="000D1ECD"/>
    <w:rsid w:val="000D261B"/>
    <w:rsid w:val="000D56D7"/>
    <w:rsid w:val="000D58A3"/>
    <w:rsid w:val="000E3D94"/>
    <w:rsid w:val="000E3ED4"/>
    <w:rsid w:val="000E3F9C"/>
    <w:rsid w:val="000E5C7F"/>
    <w:rsid w:val="000E6380"/>
    <w:rsid w:val="000F1550"/>
    <w:rsid w:val="000F2011"/>
    <w:rsid w:val="000F230D"/>
    <w:rsid w:val="000F251B"/>
    <w:rsid w:val="000F4500"/>
    <w:rsid w:val="000F4789"/>
    <w:rsid w:val="000F5FE8"/>
    <w:rsid w:val="000F6644"/>
    <w:rsid w:val="000F719B"/>
    <w:rsid w:val="00100323"/>
    <w:rsid w:val="00100833"/>
    <w:rsid w:val="00100FC4"/>
    <w:rsid w:val="00102F72"/>
    <w:rsid w:val="00105305"/>
    <w:rsid w:val="00105B16"/>
    <w:rsid w:val="00106E35"/>
    <w:rsid w:val="00107E85"/>
    <w:rsid w:val="00111704"/>
    <w:rsid w:val="00111CD8"/>
    <w:rsid w:val="00113B62"/>
    <w:rsid w:val="00113EE8"/>
    <w:rsid w:val="0011455A"/>
    <w:rsid w:val="00114A65"/>
    <w:rsid w:val="00124EF0"/>
    <w:rsid w:val="00125E0F"/>
    <w:rsid w:val="00130392"/>
    <w:rsid w:val="00130AE9"/>
    <w:rsid w:val="00131C53"/>
    <w:rsid w:val="001321E7"/>
    <w:rsid w:val="00133061"/>
    <w:rsid w:val="00134F08"/>
    <w:rsid w:val="00134FA9"/>
    <w:rsid w:val="0013524C"/>
    <w:rsid w:val="00135701"/>
    <w:rsid w:val="001367FD"/>
    <w:rsid w:val="00137609"/>
    <w:rsid w:val="0013766A"/>
    <w:rsid w:val="00141699"/>
    <w:rsid w:val="00142023"/>
    <w:rsid w:val="00144C13"/>
    <w:rsid w:val="00147000"/>
    <w:rsid w:val="0015281D"/>
    <w:rsid w:val="00154B8C"/>
    <w:rsid w:val="00155B3B"/>
    <w:rsid w:val="001626AF"/>
    <w:rsid w:val="001627E1"/>
    <w:rsid w:val="00163091"/>
    <w:rsid w:val="001645CB"/>
    <w:rsid w:val="00166305"/>
    <w:rsid w:val="00167184"/>
    <w:rsid w:val="00167545"/>
    <w:rsid w:val="001703C6"/>
    <w:rsid w:val="00171BEB"/>
    <w:rsid w:val="00173781"/>
    <w:rsid w:val="00173A38"/>
    <w:rsid w:val="00175ADF"/>
    <w:rsid w:val="00175B3D"/>
    <w:rsid w:val="00175CAE"/>
    <w:rsid w:val="00175F36"/>
    <w:rsid w:val="001763C7"/>
    <w:rsid w:val="00182756"/>
    <w:rsid w:val="001828DB"/>
    <w:rsid w:val="001850FE"/>
    <w:rsid w:val="00185135"/>
    <w:rsid w:val="001856F8"/>
    <w:rsid w:val="0019037C"/>
    <w:rsid w:val="001905A9"/>
    <w:rsid w:val="00190938"/>
    <w:rsid w:val="00191273"/>
    <w:rsid w:val="00191B08"/>
    <w:rsid w:val="00192587"/>
    <w:rsid w:val="00192CAF"/>
    <w:rsid w:val="001942A7"/>
    <w:rsid w:val="00194502"/>
    <w:rsid w:val="0019587B"/>
    <w:rsid w:val="001A163D"/>
    <w:rsid w:val="001A1C16"/>
    <w:rsid w:val="001A3C40"/>
    <w:rsid w:val="001A3EA9"/>
    <w:rsid w:val="001A4211"/>
    <w:rsid w:val="001A441E"/>
    <w:rsid w:val="001A5744"/>
    <w:rsid w:val="001A6733"/>
    <w:rsid w:val="001A6A83"/>
    <w:rsid w:val="001B357F"/>
    <w:rsid w:val="001B36C0"/>
    <w:rsid w:val="001B4B28"/>
    <w:rsid w:val="001B7BC3"/>
    <w:rsid w:val="001C10AD"/>
    <w:rsid w:val="001C2CFA"/>
    <w:rsid w:val="001C3444"/>
    <w:rsid w:val="001C3702"/>
    <w:rsid w:val="001C4656"/>
    <w:rsid w:val="001C46BC"/>
    <w:rsid w:val="001C5492"/>
    <w:rsid w:val="001D1E06"/>
    <w:rsid w:val="001D4080"/>
    <w:rsid w:val="001D498A"/>
    <w:rsid w:val="001D7E30"/>
    <w:rsid w:val="001E0F43"/>
    <w:rsid w:val="001E34EF"/>
    <w:rsid w:val="001E3680"/>
    <w:rsid w:val="001F0D65"/>
    <w:rsid w:val="001F23E6"/>
    <w:rsid w:val="001F4238"/>
    <w:rsid w:val="0020045F"/>
    <w:rsid w:val="002006CD"/>
    <w:rsid w:val="00200A38"/>
    <w:rsid w:val="00200A46"/>
    <w:rsid w:val="00202345"/>
    <w:rsid w:val="00211B6F"/>
    <w:rsid w:val="00213F06"/>
    <w:rsid w:val="00217CC3"/>
    <w:rsid w:val="00220AB6"/>
    <w:rsid w:val="0022120F"/>
    <w:rsid w:val="0022301F"/>
    <w:rsid w:val="002241AE"/>
    <w:rsid w:val="0022635C"/>
    <w:rsid w:val="00226CB0"/>
    <w:rsid w:val="0022754A"/>
    <w:rsid w:val="0023114E"/>
    <w:rsid w:val="002339AF"/>
    <w:rsid w:val="00234657"/>
    <w:rsid w:val="00235700"/>
    <w:rsid w:val="00236560"/>
    <w:rsid w:val="0023662E"/>
    <w:rsid w:val="00236D4A"/>
    <w:rsid w:val="002378F7"/>
    <w:rsid w:val="00243D50"/>
    <w:rsid w:val="00243FF0"/>
    <w:rsid w:val="0024524A"/>
    <w:rsid w:val="00245D0F"/>
    <w:rsid w:val="00251B7A"/>
    <w:rsid w:val="00251EEE"/>
    <w:rsid w:val="002548C3"/>
    <w:rsid w:val="00254A77"/>
    <w:rsid w:val="00254D82"/>
    <w:rsid w:val="0025598C"/>
    <w:rsid w:val="00257ACD"/>
    <w:rsid w:val="00261417"/>
    <w:rsid w:val="00262908"/>
    <w:rsid w:val="00262BD3"/>
    <w:rsid w:val="00264969"/>
    <w:rsid w:val="002650F4"/>
    <w:rsid w:val="00266081"/>
    <w:rsid w:val="00267C06"/>
    <w:rsid w:val="002715FD"/>
    <w:rsid w:val="0027170C"/>
    <w:rsid w:val="00274B79"/>
    <w:rsid w:val="00275A54"/>
    <w:rsid w:val="00276BF6"/>
    <w:rsid w:val="002770B1"/>
    <w:rsid w:val="00277C97"/>
    <w:rsid w:val="00280244"/>
    <w:rsid w:val="00280EB9"/>
    <w:rsid w:val="00280EDA"/>
    <w:rsid w:val="00283BB7"/>
    <w:rsid w:val="00283EA3"/>
    <w:rsid w:val="00284536"/>
    <w:rsid w:val="00285B33"/>
    <w:rsid w:val="002864E8"/>
    <w:rsid w:val="00287A3C"/>
    <w:rsid w:val="0029011F"/>
    <w:rsid w:val="00290357"/>
    <w:rsid w:val="00291BD1"/>
    <w:rsid w:val="002931B1"/>
    <w:rsid w:val="00293901"/>
    <w:rsid w:val="00295C0B"/>
    <w:rsid w:val="002A0E15"/>
    <w:rsid w:val="002A2BE0"/>
    <w:rsid w:val="002A2FC6"/>
    <w:rsid w:val="002A3A97"/>
    <w:rsid w:val="002A5BD1"/>
    <w:rsid w:val="002A6603"/>
    <w:rsid w:val="002A6E66"/>
    <w:rsid w:val="002B068E"/>
    <w:rsid w:val="002B7904"/>
    <w:rsid w:val="002C071F"/>
    <w:rsid w:val="002C0ED2"/>
    <w:rsid w:val="002C1EC7"/>
    <w:rsid w:val="002C3015"/>
    <w:rsid w:val="002C4342"/>
    <w:rsid w:val="002C44A8"/>
    <w:rsid w:val="002C7027"/>
    <w:rsid w:val="002C7EA3"/>
    <w:rsid w:val="002D20AE"/>
    <w:rsid w:val="002D33DE"/>
    <w:rsid w:val="002D597E"/>
    <w:rsid w:val="002D6A2B"/>
    <w:rsid w:val="002D6BAF"/>
    <w:rsid w:val="002D6C61"/>
    <w:rsid w:val="002E15FC"/>
    <w:rsid w:val="002E1DD1"/>
    <w:rsid w:val="002E2104"/>
    <w:rsid w:val="002E2DAC"/>
    <w:rsid w:val="002E6963"/>
    <w:rsid w:val="002E6F8F"/>
    <w:rsid w:val="002F05D8"/>
    <w:rsid w:val="002F1F1C"/>
    <w:rsid w:val="002F2DE0"/>
    <w:rsid w:val="002F5E25"/>
    <w:rsid w:val="0030353C"/>
    <w:rsid w:val="003102D9"/>
    <w:rsid w:val="0031133D"/>
    <w:rsid w:val="003125C3"/>
    <w:rsid w:val="00312AE6"/>
    <w:rsid w:val="00315A41"/>
    <w:rsid w:val="00317D1A"/>
    <w:rsid w:val="00320908"/>
    <w:rsid w:val="003211FF"/>
    <w:rsid w:val="00323764"/>
    <w:rsid w:val="003242AB"/>
    <w:rsid w:val="00324A71"/>
    <w:rsid w:val="003253F3"/>
    <w:rsid w:val="00327247"/>
    <w:rsid w:val="00327A9D"/>
    <w:rsid w:val="00327C5B"/>
    <w:rsid w:val="003306A8"/>
    <w:rsid w:val="0033130E"/>
    <w:rsid w:val="003318F8"/>
    <w:rsid w:val="0033194A"/>
    <w:rsid w:val="0033269C"/>
    <w:rsid w:val="00334743"/>
    <w:rsid w:val="00336695"/>
    <w:rsid w:val="0034083E"/>
    <w:rsid w:val="003417DD"/>
    <w:rsid w:val="003435D5"/>
    <w:rsid w:val="00345B3D"/>
    <w:rsid w:val="00351C79"/>
    <w:rsid w:val="00352131"/>
    <w:rsid w:val="00354128"/>
    <w:rsid w:val="0035516C"/>
    <w:rsid w:val="00355A4C"/>
    <w:rsid w:val="00355DAC"/>
    <w:rsid w:val="003570DD"/>
    <w:rsid w:val="003604FB"/>
    <w:rsid w:val="00360B73"/>
    <w:rsid w:val="00366367"/>
    <w:rsid w:val="0036643D"/>
    <w:rsid w:val="00370CF5"/>
    <w:rsid w:val="00374AF7"/>
    <w:rsid w:val="00374B59"/>
    <w:rsid w:val="003761BB"/>
    <w:rsid w:val="00376EE8"/>
    <w:rsid w:val="00380B71"/>
    <w:rsid w:val="00382BD0"/>
    <w:rsid w:val="0038365A"/>
    <w:rsid w:val="0038516A"/>
    <w:rsid w:val="00386378"/>
    <w:rsid w:val="00386A89"/>
    <w:rsid w:val="00395EB6"/>
    <w:rsid w:val="0039648E"/>
    <w:rsid w:val="003976F6"/>
    <w:rsid w:val="00397760"/>
    <w:rsid w:val="003A0617"/>
    <w:rsid w:val="003A5AFE"/>
    <w:rsid w:val="003A5D5F"/>
    <w:rsid w:val="003A6A82"/>
    <w:rsid w:val="003A7FFE"/>
    <w:rsid w:val="003B0A63"/>
    <w:rsid w:val="003B50E1"/>
    <w:rsid w:val="003B591C"/>
    <w:rsid w:val="003B66B0"/>
    <w:rsid w:val="003B66B8"/>
    <w:rsid w:val="003C1245"/>
    <w:rsid w:val="003C1746"/>
    <w:rsid w:val="003C2AA9"/>
    <w:rsid w:val="003C436A"/>
    <w:rsid w:val="003C58BF"/>
    <w:rsid w:val="003C5A92"/>
    <w:rsid w:val="003C711A"/>
    <w:rsid w:val="003C7D49"/>
    <w:rsid w:val="003D03AF"/>
    <w:rsid w:val="003D281D"/>
    <w:rsid w:val="003D344D"/>
    <w:rsid w:val="003D3DD7"/>
    <w:rsid w:val="003D451D"/>
    <w:rsid w:val="003D7311"/>
    <w:rsid w:val="003D7834"/>
    <w:rsid w:val="003D7B70"/>
    <w:rsid w:val="003E091D"/>
    <w:rsid w:val="003E1143"/>
    <w:rsid w:val="003E1D92"/>
    <w:rsid w:val="003E27D4"/>
    <w:rsid w:val="003E63D2"/>
    <w:rsid w:val="003E6468"/>
    <w:rsid w:val="003F12B0"/>
    <w:rsid w:val="003F2595"/>
    <w:rsid w:val="003F2DD8"/>
    <w:rsid w:val="003F3F2D"/>
    <w:rsid w:val="003F50B2"/>
    <w:rsid w:val="003F7148"/>
    <w:rsid w:val="00400CCF"/>
    <w:rsid w:val="00401BFF"/>
    <w:rsid w:val="00404424"/>
    <w:rsid w:val="00404A11"/>
    <w:rsid w:val="00406C4F"/>
    <w:rsid w:val="004100C7"/>
    <w:rsid w:val="004104C8"/>
    <w:rsid w:val="004110D7"/>
    <w:rsid w:val="0041156B"/>
    <w:rsid w:val="004122C5"/>
    <w:rsid w:val="004129B9"/>
    <w:rsid w:val="004138FC"/>
    <w:rsid w:val="00413A05"/>
    <w:rsid w:val="00413B50"/>
    <w:rsid w:val="00413B78"/>
    <w:rsid w:val="00415529"/>
    <w:rsid w:val="00416DDE"/>
    <w:rsid w:val="00417229"/>
    <w:rsid w:val="00417355"/>
    <w:rsid w:val="0042097F"/>
    <w:rsid w:val="00425D53"/>
    <w:rsid w:val="00426FB9"/>
    <w:rsid w:val="00433759"/>
    <w:rsid w:val="00436707"/>
    <w:rsid w:val="00440851"/>
    <w:rsid w:val="00440925"/>
    <w:rsid w:val="0044411E"/>
    <w:rsid w:val="00447D7A"/>
    <w:rsid w:val="004526BA"/>
    <w:rsid w:val="00452F09"/>
    <w:rsid w:val="00453435"/>
    <w:rsid w:val="00457D17"/>
    <w:rsid w:val="00460089"/>
    <w:rsid w:val="004614E2"/>
    <w:rsid w:val="00466398"/>
    <w:rsid w:val="0047306D"/>
    <w:rsid w:val="00473791"/>
    <w:rsid w:val="00476D6B"/>
    <w:rsid w:val="00476E48"/>
    <w:rsid w:val="00477B50"/>
    <w:rsid w:val="00480CE2"/>
    <w:rsid w:val="004814B2"/>
    <w:rsid w:val="00481DE9"/>
    <w:rsid w:val="00484C81"/>
    <w:rsid w:val="00486A9B"/>
    <w:rsid w:val="004878BF"/>
    <w:rsid w:val="0049128B"/>
    <w:rsid w:val="00492574"/>
    <w:rsid w:val="00493B49"/>
    <w:rsid w:val="004940F6"/>
    <w:rsid w:val="00495501"/>
    <w:rsid w:val="004A070A"/>
    <w:rsid w:val="004A1845"/>
    <w:rsid w:val="004A2AC8"/>
    <w:rsid w:val="004A300B"/>
    <w:rsid w:val="004A320E"/>
    <w:rsid w:val="004A3997"/>
    <w:rsid w:val="004A4E9C"/>
    <w:rsid w:val="004A650C"/>
    <w:rsid w:val="004A67DE"/>
    <w:rsid w:val="004B01BF"/>
    <w:rsid w:val="004B1A3C"/>
    <w:rsid w:val="004B1B1B"/>
    <w:rsid w:val="004B1F91"/>
    <w:rsid w:val="004B4002"/>
    <w:rsid w:val="004B481B"/>
    <w:rsid w:val="004C0AC5"/>
    <w:rsid w:val="004C43E9"/>
    <w:rsid w:val="004C5245"/>
    <w:rsid w:val="004C65CF"/>
    <w:rsid w:val="004C767E"/>
    <w:rsid w:val="004D0838"/>
    <w:rsid w:val="004D0B25"/>
    <w:rsid w:val="004D29F3"/>
    <w:rsid w:val="004D2CC3"/>
    <w:rsid w:val="004D35CB"/>
    <w:rsid w:val="004D4FFF"/>
    <w:rsid w:val="004D7500"/>
    <w:rsid w:val="004D7DAB"/>
    <w:rsid w:val="004E20E5"/>
    <w:rsid w:val="004E64EA"/>
    <w:rsid w:val="004E6A54"/>
    <w:rsid w:val="004E722F"/>
    <w:rsid w:val="004E7828"/>
    <w:rsid w:val="004F0341"/>
    <w:rsid w:val="004F407C"/>
    <w:rsid w:val="004F46AA"/>
    <w:rsid w:val="004F54ED"/>
    <w:rsid w:val="004F69EA"/>
    <w:rsid w:val="004F6A70"/>
    <w:rsid w:val="00500AD7"/>
    <w:rsid w:val="005010FE"/>
    <w:rsid w:val="00502ABF"/>
    <w:rsid w:val="00503968"/>
    <w:rsid w:val="00503BF0"/>
    <w:rsid w:val="005041CC"/>
    <w:rsid w:val="00504DB0"/>
    <w:rsid w:val="005060F4"/>
    <w:rsid w:val="00507BAD"/>
    <w:rsid w:val="00507C35"/>
    <w:rsid w:val="00510735"/>
    <w:rsid w:val="00511BA9"/>
    <w:rsid w:val="00511D2C"/>
    <w:rsid w:val="00513FA0"/>
    <w:rsid w:val="00514D2F"/>
    <w:rsid w:val="00515F8F"/>
    <w:rsid w:val="00516D94"/>
    <w:rsid w:val="0052012C"/>
    <w:rsid w:val="0052788E"/>
    <w:rsid w:val="00527FFD"/>
    <w:rsid w:val="00531EB4"/>
    <w:rsid w:val="00532B16"/>
    <w:rsid w:val="00534D6A"/>
    <w:rsid w:val="0053514E"/>
    <w:rsid w:val="005377AE"/>
    <w:rsid w:val="0054202E"/>
    <w:rsid w:val="005427E2"/>
    <w:rsid w:val="0054420E"/>
    <w:rsid w:val="00544D1B"/>
    <w:rsid w:val="00545DC0"/>
    <w:rsid w:val="00545F6C"/>
    <w:rsid w:val="005477D9"/>
    <w:rsid w:val="00547BA0"/>
    <w:rsid w:val="00550B66"/>
    <w:rsid w:val="00554D3A"/>
    <w:rsid w:val="0055720C"/>
    <w:rsid w:val="005578A1"/>
    <w:rsid w:val="00561796"/>
    <w:rsid w:val="00562545"/>
    <w:rsid w:val="005632DD"/>
    <w:rsid w:val="0056423B"/>
    <w:rsid w:val="00564A1E"/>
    <w:rsid w:val="00573424"/>
    <w:rsid w:val="0057402F"/>
    <w:rsid w:val="00581653"/>
    <w:rsid w:val="00582CF9"/>
    <w:rsid w:val="005841A0"/>
    <w:rsid w:val="005849D6"/>
    <w:rsid w:val="00584E43"/>
    <w:rsid w:val="00585367"/>
    <w:rsid w:val="005871A1"/>
    <w:rsid w:val="0058737E"/>
    <w:rsid w:val="00587FED"/>
    <w:rsid w:val="005907BB"/>
    <w:rsid w:val="00590BBF"/>
    <w:rsid w:val="00592518"/>
    <w:rsid w:val="00592E87"/>
    <w:rsid w:val="00593EDD"/>
    <w:rsid w:val="0059420B"/>
    <w:rsid w:val="00594C4D"/>
    <w:rsid w:val="00595F51"/>
    <w:rsid w:val="005A33B0"/>
    <w:rsid w:val="005A433F"/>
    <w:rsid w:val="005A5F14"/>
    <w:rsid w:val="005A7327"/>
    <w:rsid w:val="005B227A"/>
    <w:rsid w:val="005B2C81"/>
    <w:rsid w:val="005B3FA0"/>
    <w:rsid w:val="005B5F2B"/>
    <w:rsid w:val="005B7519"/>
    <w:rsid w:val="005C2DC2"/>
    <w:rsid w:val="005C304A"/>
    <w:rsid w:val="005C3D69"/>
    <w:rsid w:val="005C5232"/>
    <w:rsid w:val="005C5A93"/>
    <w:rsid w:val="005C7C98"/>
    <w:rsid w:val="005D1FBA"/>
    <w:rsid w:val="005D29DF"/>
    <w:rsid w:val="005D2C3A"/>
    <w:rsid w:val="005D3F8A"/>
    <w:rsid w:val="005D55A4"/>
    <w:rsid w:val="005D57C8"/>
    <w:rsid w:val="005D664F"/>
    <w:rsid w:val="005D7761"/>
    <w:rsid w:val="005E0278"/>
    <w:rsid w:val="005E090D"/>
    <w:rsid w:val="005E2BE4"/>
    <w:rsid w:val="005E3CA0"/>
    <w:rsid w:val="005E44B1"/>
    <w:rsid w:val="005E5E2C"/>
    <w:rsid w:val="005E67B0"/>
    <w:rsid w:val="005E7047"/>
    <w:rsid w:val="005E777F"/>
    <w:rsid w:val="005E77D1"/>
    <w:rsid w:val="005F1A7E"/>
    <w:rsid w:val="005F1CA7"/>
    <w:rsid w:val="005F35D7"/>
    <w:rsid w:val="005F43DD"/>
    <w:rsid w:val="005F51A9"/>
    <w:rsid w:val="005F6590"/>
    <w:rsid w:val="005F6BE1"/>
    <w:rsid w:val="005F7416"/>
    <w:rsid w:val="0060006B"/>
    <w:rsid w:val="006005E2"/>
    <w:rsid w:val="00600C11"/>
    <w:rsid w:val="00600C86"/>
    <w:rsid w:val="0060119D"/>
    <w:rsid w:val="00601DB6"/>
    <w:rsid w:val="00601E97"/>
    <w:rsid w:val="006060E0"/>
    <w:rsid w:val="00606B89"/>
    <w:rsid w:val="00606F08"/>
    <w:rsid w:val="00610329"/>
    <w:rsid w:val="00611B0E"/>
    <w:rsid w:val="00611EAF"/>
    <w:rsid w:val="00615427"/>
    <w:rsid w:val="006169C6"/>
    <w:rsid w:val="00617959"/>
    <w:rsid w:val="00620173"/>
    <w:rsid w:val="00623F30"/>
    <w:rsid w:val="00624560"/>
    <w:rsid w:val="00625FB8"/>
    <w:rsid w:val="006261BD"/>
    <w:rsid w:val="00627BEF"/>
    <w:rsid w:val="00631DCF"/>
    <w:rsid w:val="00632657"/>
    <w:rsid w:val="006328F8"/>
    <w:rsid w:val="00635EDB"/>
    <w:rsid w:val="00636755"/>
    <w:rsid w:val="00636973"/>
    <w:rsid w:val="00645210"/>
    <w:rsid w:val="006460D6"/>
    <w:rsid w:val="0064734E"/>
    <w:rsid w:val="00650137"/>
    <w:rsid w:val="006509D7"/>
    <w:rsid w:val="00650FA5"/>
    <w:rsid w:val="00650FFB"/>
    <w:rsid w:val="00651CE8"/>
    <w:rsid w:val="00651E0F"/>
    <w:rsid w:val="006539A0"/>
    <w:rsid w:val="0065521B"/>
    <w:rsid w:val="006567AC"/>
    <w:rsid w:val="0066016C"/>
    <w:rsid w:val="006670EB"/>
    <w:rsid w:val="00667688"/>
    <w:rsid w:val="00670DEF"/>
    <w:rsid w:val="00670EA6"/>
    <w:rsid w:val="00670FBD"/>
    <w:rsid w:val="00671436"/>
    <w:rsid w:val="00671EF6"/>
    <w:rsid w:val="0067205B"/>
    <w:rsid w:val="00673012"/>
    <w:rsid w:val="00674218"/>
    <w:rsid w:val="006748F8"/>
    <w:rsid w:val="00680489"/>
    <w:rsid w:val="00683C32"/>
    <w:rsid w:val="0068659D"/>
    <w:rsid w:val="00686BDA"/>
    <w:rsid w:val="0068748D"/>
    <w:rsid w:val="00690BB2"/>
    <w:rsid w:val="00693D09"/>
    <w:rsid w:val="00693E0F"/>
    <w:rsid w:val="006965C2"/>
    <w:rsid w:val="00696C53"/>
    <w:rsid w:val="006A0F68"/>
    <w:rsid w:val="006A162B"/>
    <w:rsid w:val="006A1B80"/>
    <w:rsid w:val="006A3F67"/>
    <w:rsid w:val="006A49E4"/>
    <w:rsid w:val="006A6549"/>
    <w:rsid w:val="006A66D6"/>
    <w:rsid w:val="006A7710"/>
    <w:rsid w:val="006A7A61"/>
    <w:rsid w:val="006B1E59"/>
    <w:rsid w:val="006B2FFB"/>
    <w:rsid w:val="006B3863"/>
    <w:rsid w:val="006B48B5"/>
    <w:rsid w:val="006B6710"/>
    <w:rsid w:val="006B7C50"/>
    <w:rsid w:val="006C08F3"/>
    <w:rsid w:val="006C0D12"/>
    <w:rsid w:val="006C10A2"/>
    <w:rsid w:val="006C1F18"/>
    <w:rsid w:val="006C26C5"/>
    <w:rsid w:val="006C298A"/>
    <w:rsid w:val="006C3BD0"/>
    <w:rsid w:val="006C4751"/>
    <w:rsid w:val="006D0CC7"/>
    <w:rsid w:val="006D2227"/>
    <w:rsid w:val="006D3B59"/>
    <w:rsid w:val="006D40D5"/>
    <w:rsid w:val="006D666D"/>
    <w:rsid w:val="006E0135"/>
    <w:rsid w:val="006E1D70"/>
    <w:rsid w:val="006E2BF8"/>
    <w:rsid w:val="006E3F4D"/>
    <w:rsid w:val="006E640F"/>
    <w:rsid w:val="006E7530"/>
    <w:rsid w:val="006F009A"/>
    <w:rsid w:val="006F3D93"/>
    <w:rsid w:val="006F79FB"/>
    <w:rsid w:val="006F7C70"/>
    <w:rsid w:val="007019B1"/>
    <w:rsid w:val="00702B85"/>
    <w:rsid w:val="00706DCE"/>
    <w:rsid w:val="0071215E"/>
    <w:rsid w:val="00712641"/>
    <w:rsid w:val="0071734A"/>
    <w:rsid w:val="007200AB"/>
    <w:rsid w:val="00721657"/>
    <w:rsid w:val="007247E9"/>
    <w:rsid w:val="007279A8"/>
    <w:rsid w:val="00727B1A"/>
    <w:rsid w:val="00727C34"/>
    <w:rsid w:val="00727CE4"/>
    <w:rsid w:val="00727EF4"/>
    <w:rsid w:val="007321E1"/>
    <w:rsid w:val="007343C7"/>
    <w:rsid w:val="00741337"/>
    <w:rsid w:val="007422BD"/>
    <w:rsid w:val="00743174"/>
    <w:rsid w:val="00744F2B"/>
    <w:rsid w:val="00745634"/>
    <w:rsid w:val="007459FE"/>
    <w:rsid w:val="0074758D"/>
    <w:rsid w:val="007500B7"/>
    <w:rsid w:val="00752258"/>
    <w:rsid w:val="007529E1"/>
    <w:rsid w:val="007546A9"/>
    <w:rsid w:val="00757DEC"/>
    <w:rsid w:val="00762880"/>
    <w:rsid w:val="00762AD6"/>
    <w:rsid w:val="00762E02"/>
    <w:rsid w:val="00767D4F"/>
    <w:rsid w:val="00772290"/>
    <w:rsid w:val="00773307"/>
    <w:rsid w:val="0077345A"/>
    <w:rsid w:val="00774E3D"/>
    <w:rsid w:val="007757C1"/>
    <w:rsid w:val="00775B4B"/>
    <w:rsid w:val="00775BC1"/>
    <w:rsid w:val="00777265"/>
    <w:rsid w:val="00777640"/>
    <w:rsid w:val="007805E7"/>
    <w:rsid w:val="007809DE"/>
    <w:rsid w:val="00782207"/>
    <w:rsid w:val="0078222A"/>
    <w:rsid w:val="00782CED"/>
    <w:rsid w:val="00782F99"/>
    <w:rsid w:val="00784CA8"/>
    <w:rsid w:val="00785778"/>
    <w:rsid w:val="00786510"/>
    <w:rsid w:val="00787D48"/>
    <w:rsid w:val="00791057"/>
    <w:rsid w:val="0079131F"/>
    <w:rsid w:val="007916FA"/>
    <w:rsid w:val="00793EC2"/>
    <w:rsid w:val="00795294"/>
    <w:rsid w:val="007957C1"/>
    <w:rsid w:val="007A16B5"/>
    <w:rsid w:val="007A3422"/>
    <w:rsid w:val="007A4E50"/>
    <w:rsid w:val="007A5F31"/>
    <w:rsid w:val="007A7534"/>
    <w:rsid w:val="007B0E93"/>
    <w:rsid w:val="007B1052"/>
    <w:rsid w:val="007B18A7"/>
    <w:rsid w:val="007B2348"/>
    <w:rsid w:val="007B250E"/>
    <w:rsid w:val="007B30AB"/>
    <w:rsid w:val="007B404D"/>
    <w:rsid w:val="007B4A3E"/>
    <w:rsid w:val="007B517B"/>
    <w:rsid w:val="007C2694"/>
    <w:rsid w:val="007C27FC"/>
    <w:rsid w:val="007C389F"/>
    <w:rsid w:val="007C51FF"/>
    <w:rsid w:val="007C720B"/>
    <w:rsid w:val="007D0F14"/>
    <w:rsid w:val="007D4803"/>
    <w:rsid w:val="007D50E4"/>
    <w:rsid w:val="007E0EE4"/>
    <w:rsid w:val="007E11B2"/>
    <w:rsid w:val="007E2DC5"/>
    <w:rsid w:val="007E61EA"/>
    <w:rsid w:val="007E7CE8"/>
    <w:rsid w:val="007E7EFD"/>
    <w:rsid w:val="007F03CF"/>
    <w:rsid w:val="007F1CC7"/>
    <w:rsid w:val="007F212E"/>
    <w:rsid w:val="007F4ACE"/>
    <w:rsid w:val="007F63C5"/>
    <w:rsid w:val="007F6844"/>
    <w:rsid w:val="0080004A"/>
    <w:rsid w:val="008027AC"/>
    <w:rsid w:val="008028CE"/>
    <w:rsid w:val="00802958"/>
    <w:rsid w:val="0080332E"/>
    <w:rsid w:val="008040DC"/>
    <w:rsid w:val="008116BC"/>
    <w:rsid w:val="00813875"/>
    <w:rsid w:val="00813AC8"/>
    <w:rsid w:val="008141E0"/>
    <w:rsid w:val="008152B0"/>
    <w:rsid w:val="008157CC"/>
    <w:rsid w:val="008164A1"/>
    <w:rsid w:val="00816EE1"/>
    <w:rsid w:val="00816F88"/>
    <w:rsid w:val="00820707"/>
    <w:rsid w:val="00821996"/>
    <w:rsid w:val="00822323"/>
    <w:rsid w:val="00827BC6"/>
    <w:rsid w:val="008300AD"/>
    <w:rsid w:val="00831BFB"/>
    <w:rsid w:val="00833024"/>
    <w:rsid w:val="00833915"/>
    <w:rsid w:val="008350B9"/>
    <w:rsid w:val="00835C4F"/>
    <w:rsid w:val="008419B1"/>
    <w:rsid w:val="0084291B"/>
    <w:rsid w:val="008436BF"/>
    <w:rsid w:val="00844A56"/>
    <w:rsid w:val="00845B11"/>
    <w:rsid w:val="00847190"/>
    <w:rsid w:val="00850F02"/>
    <w:rsid w:val="00852081"/>
    <w:rsid w:val="0085574E"/>
    <w:rsid w:val="008605E9"/>
    <w:rsid w:val="0086101A"/>
    <w:rsid w:val="00861F9C"/>
    <w:rsid w:val="00862CEA"/>
    <w:rsid w:val="008655A6"/>
    <w:rsid w:val="0086593C"/>
    <w:rsid w:val="00866B8C"/>
    <w:rsid w:val="00866DCD"/>
    <w:rsid w:val="0087030F"/>
    <w:rsid w:val="00872B6E"/>
    <w:rsid w:val="0087330C"/>
    <w:rsid w:val="00874122"/>
    <w:rsid w:val="00874DFD"/>
    <w:rsid w:val="00875FCA"/>
    <w:rsid w:val="00877D44"/>
    <w:rsid w:val="00877F4C"/>
    <w:rsid w:val="0088010B"/>
    <w:rsid w:val="008802F9"/>
    <w:rsid w:val="0088293C"/>
    <w:rsid w:val="00882EC2"/>
    <w:rsid w:val="00883086"/>
    <w:rsid w:val="008853FD"/>
    <w:rsid w:val="008879FD"/>
    <w:rsid w:val="00894C37"/>
    <w:rsid w:val="00894E9D"/>
    <w:rsid w:val="0089504B"/>
    <w:rsid w:val="00896558"/>
    <w:rsid w:val="00897AB1"/>
    <w:rsid w:val="008A00EA"/>
    <w:rsid w:val="008A2B01"/>
    <w:rsid w:val="008A2F06"/>
    <w:rsid w:val="008A3F93"/>
    <w:rsid w:val="008A470C"/>
    <w:rsid w:val="008A6236"/>
    <w:rsid w:val="008A6E1C"/>
    <w:rsid w:val="008A72FD"/>
    <w:rsid w:val="008B0AFD"/>
    <w:rsid w:val="008B2239"/>
    <w:rsid w:val="008B2EDF"/>
    <w:rsid w:val="008B47C7"/>
    <w:rsid w:val="008B54CB"/>
    <w:rsid w:val="008B5A3D"/>
    <w:rsid w:val="008B65E5"/>
    <w:rsid w:val="008B767B"/>
    <w:rsid w:val="008B7AA5"/>
    <w:rsid w:val="008C1AEA"/>
    <w:rsid w:val="008C32D2"/>
    <w:rsid w:val="008C4010"/>
    <w:rsid w:val="008C4FDF"/>
    <w:rsid w:val="008C6B1F"/>
    <w:rsid w:val="008D0287"/>
    <w:rsid w:val="008D06AC"/>
    <w:rsid w:val="008D3E9E"/>
    <w:rsid w:val="008D5794"/>
    <w:rsid w:val="008D5E4F"/>
    <w:rsid w:val="008D660E"/>
    <w:rsid w:val="008E34F0"/>
    <w:rsid w:val="008E3B3A"/>
    <w:rsid w:val="008E5915"/>
    <w:rsid w:val="008E68F7"/>
    <w:rsid w:val="008E6DE1"/>
    <w:rsid w:val="008F14F5"/>
    <w:rsid w:val="008F3D54"/>
    <w:rsid w:val="008F4DC8"/>
    <w:rsid w:val="008F71C1"/>
    <w:rsid w:val="008F7C6F"/>
    <w:rsid w:val="00902D41"/>
    <w:rsid w:val="00902F49"/>
    <w:rsid w:val="00903845"/>
    <w:rsid w:val="00904230"/>
    <w:rsid w:val="00904574"/>
    <w:rsid w:val="0090786C"/>
    <w:rsid w:val="00907CEB"/>
    <w:rsid w:val="00914004"/>
    <w:rsid w:val="009149B1"/>
    <w:rsid w:val="009165D9"/>
    <w:rsid w:val="009211C0"/>
    <w:rsid w:val="00922EC1"/>
    <w:rsid w:val="00922F00"/>
    <w:rsid w:val="00923CF1"/>
    <w:rsid w:val="009278F4"/>
    <w:rsid w:val="009301F1"/>
    <w:rsid w:val="009307DF"/>
    <w:rsid w:val="00930E28"/>
    <w:rsid w:val="00931972"/>
    <w:rsid w:val="0093396D"/>
    <w:rsid w:val="009359B8"/>
    <w:rsid w:val="00935FF0"/>
    <w:rsid w:val="009379AD"/>
    <w:rsid w:val="00942CC3"/>
    <w:rsid w:val="009431F8"/>
    <w:rsid w:val="009433D7"/>
    <w:rsid w:val="0094660D"/>
    <w:rsid w:val="009469D6"/>
    <w:rsid w:val="00947A35"/>
    <w:rsid w:val="009508E0"/>
    <w:rsid w:val="00950BC8"/>
    <w:rsid w:val="00952859"/>
    <w:rsid w:val="0095313C"/>
    <w:rsid w:val="00957573"/>
    <w:rsid w:val="0096201B"/>
    <w:rsid w:val="00962081"/>
    <w:rsid w:val="00964263"/>
    <w:rsid w:val="00964C33"/>
    <w:rsid w:val="009654D8"/>
    <w:rsid w:val="00966CB5"/>
    <w:rsid w:val="00967ECC"/>
    <w:rsid w:val="00970325"/>
    <w:rsid w:val="009719D3"/>
    <w:rsid w:val="00975786"/>
    <w:rsid w:val="00981CB7"/>
    <w:rsid w:val="009820B7"/>
    <w:rsid w:val="00982DBB"/>
    <w:rsid w:val="00983E1F"/>
    <w:rsid w:val="009869AF"/>
    <w:rsid w:val="0098700A"/>
    <w:rsid w:val="00987FD4"/>
    <w:rsid w:val="0099048A"/>
    <w:rsid w:val="0099089F"/>
    <w:rsid w:val="0099104F"/>
    <w:rsid w:val="00992140"/>
    <w:rsid w:val="00993F46"/>
    <w:rsid w:val="00994FC5"/>
    <w:rsid w:val="00997358"/>
    <w:rsid w:val="009A08C7"/>
    <w:rsid w:val="009A3C51"/>
    <w:rsid w:val="009A452B"/>
    <w:rsid w:val="009A4CFC"/>
    <w:rsid w:val="009A5F4E"/>
    <w:rsid w:val="009B050C"/>
    <w:rsid w:val="009B087F"/>
    <w:rsid w:val="009B2AF4"/>
    <w:rsid w:val="009B4693"/>
    <w:rsid w:val="009B6276"/>
    <w:rsid w:val="009C110B"/>
    <w:rsid w:val="009C2C3D"/>
    <w:rsid w:val="009C309F"/>
    <w:rsid w:val="009C5441"/>
    <w:rsid w:val="009C58CF"/>
    <w:rsid w:val="009D119F"/>
    <w:rsid w:val="009D28AF"/>
    <w:rsid w:val="009D2F0A"/>
    <w:rsid w:val="009D3D31"/>
    <w:rsid w:val="009D49A2"/>
    <w:rsid w:val="009E23E2"/>
    <w:rsid w:val="009F2261"/>
    <w:rsid w:val="009F3940"/>
    <w:rsid w:val="009F3EB2"/>
    <w:rsid w:val="009F5B30"/>
    <w:rsid w:val="009F5DB1"/>
    <w:rsid w:val="009F6502"/>
    <w:rsid w:val="009F6EB1"/>
    <w:rsid w:val="00A00E15"/>
    <w:rsid w:val="00A01293"/>
    <w:rsid w:val="00A035D9"/>
    <w:rsid w:val="00A049B9"/>
    <w:rsid w:val="00A0520A"/>
    <w:rsid w:val="00A10BCB"/>
    <w:rsid w:val="00A111E5"/>
    <w:rsid w:val="00A11D05"/>
    <w:rsid w:val="00A12702"/>
    <w:rsid w:val="00A13162"/>
    <w:rsid w:val="00A14953"/>
    <w:rsid w:val="00A1726B"/>
    <w:rsid w:val="00A20267"/>
    <w:rsid w:val="00A22F7A"/>
    <w:rsid w:val="00A23F26"/>
    <w:rsid w:val="00A25CE2"/>
    <w:rsid w:val="00A3158C"/>
    <w:rsid w:val="00A3238F"/>
    <w:rsid w:val="00A32DF3"/>
    <w:rsid w:val="00A33E32"/>
    <w:rsid w:val="00A35E20"/>
    <w:rsid w:val="00A36ED9"/>
    <w:rsid w:val="00A36F6D"/>
    <w:rsid w:val="00A36F79"/>
    <w:rsid w:val="00A42C87"/>
    <w:rsid w:val="00A46970"/>
    <w:rsid w:val="00A472E1"/>
    <w:rsid w:val="00A479C9"/>
    <w:rsid w:val="00A50CA0"/>
    <w:rsid w:val="00A52523"/>
    <w:rsid w:val="00A525CC"/>
    <w:rsid w:val="00A52F6B"/>
    <w:rsid w:val="00A53E7C"/>
    <w:rsid w:val="00A5524E"/>
    <w:rsid w:val="00A56FED"/>
    <w:rsid w:val="00A5751D"/>
    <w:rsid w:val="00A60087"/>
    <w:rsid w:val="00A60114"/>
    <w:rsid w:val="00A60EB4"/>
    <w:rsid w:val="00A652B6"/>
    <w:rsid w:val="00A65C7F"/>
    <w:rsid w:val="00A668A8"/>
    <w:rsid w:val="00A705E8"/>
    <w:rsid w:val="00A721F4"/>
    <w:rsid w:val="00A74933"/>
    <w:rsid w:val="00A772B1"/>
    <w:rsid w:val="00A808CF"/>
    <w:rsid w:val="00A82CC4"/>
    <w:rsid w:val="00A82F66"/>
    <w:rsid w:val="00A83CA0"/>
    <w:rsid w:val="00A8449E"/>
    <w:rsid w:val="00A84A91"/>
    <w:rsid w:val="00A84B56"/>
    <w:rsid w:val="00A8708D"/>
    <w:rsid w:val="00A90D6E"/>
    <w:rsid w:val="00A92AA9"/>
    <w:rsid w:val="00A9392C"/>
    <w:rsid w:val="00A93BCB"/>
    <w:rsid w:val="00A93D79"/>
    <w:rsid w:val="00A9462B"/>
    <w:rsid w:val="00A96A0E"/>
    <w:rsid w:val="00A97D59"/>
    <w:rsid w:val="00AA13AC"/>
    <w:rsid w:val="00AA1AB9"/>
    <w:rsid w:val="00AA3E09"/>
    <w:rsid w:val="00AA448A"/>
    <w:rsid w:val="00AA4BEF"/>
    <w:rsid w:val="00AA6894"/>
    <w:rsid w:val="00AA7952"/>
    <w:rsid w:val="00AB06E1"/>
    <w:rsid w:val="00AB0737"/>
    <w:rsid w:val="00AB14A1"/>
    <w:rsid w:val="00AB1659"/>
    <w:rsid w:val="00AB4962"/>
    <w:rsid w:val="00AB4CD5"/>
    <w:rsid w:val="00AB554B"/>
    <w:rsid w:val="00AB6F4D"/>
    <w:rsid w:val="00AB734E"/>
    <w:rsid w:val="00AB740F"/>
    <w:rsid w:val="00AB7CC2"/>
    <w:rsid w:val="00AC1B0C"/>
    <w:rsid w:val="00AC439B"/>
    <w:rsid w:val="00AC6F14"/>
    <w:rsid w:val="00AC7221"/>
    <w:rsid w:val="00AD0989"/>
    <w:rsid w:val="00AD12D9"/>
    <w:rsid w:val="00AD1A1D"/>
    <w:rsid w:val="00AD256A"/>
    <w:rsid w:val="00AD40E0"/>
    <w:rsid w:val="00AD4677"/>
    <w:rsid w:val="00AD50BE"/>
    <w:rsid w:val="00AE1583"/>
    <w:rsid w:val="00AE2C14"/>
    <w:rsid w:val="00AE2FBE"/>
    <w:rsid w:val="00AE353C"/>
    <w:rsid w:val="00AE4C6C"/>
    <w:rsid w:val="00AE5551"/>
    <w:rsid w:val="00AE5961"/>
    <w:rsid w:val="00AE7793"/>
    <w:rsid w:val="00AE7815"/>
    <w:rsid w:val="00AF0745"/>
    <w:rsid w:val="00AF4971"/>
    <w:rsid w:val="00AF4ACF"/>
    <w:rsid w:val="00AF5276"/>
    <w:rsid w:val="00AF7C86"/>
    <w:rsid w:val="00AF7F35"/>
    <w:rsid w:val="00B01046"/>
    <w:rsid w:val="00B0656F"/>
    <w:rsid w:val="00B1042D"/>
    <w:rsid w:val="00B1221B"/>
    <w:rsid w:val="00B15D8B"/>
    <w:rsid w:val="00B17026"/>
    <w:rsid w:val="00B17484"/>
    <w:rsid w:val="00B174CE"/>
    <w:rsid w:val="00B20C1D"/>
    <w:rsid w:val="00B224F3"/>
    <w:rsid w:val="00B239BB"/>
    <w:rsid w:val="00B23E25"/>
    <w:rsid w:val="00B25363"/>
    <w:rsid w:val="00B25D57"/>
    <w:rsid w:val="00B25ED0"/>
    <w:rsid w:val="00B2735E"/>
    <w:rsid w:val="00B276E2"/>
    <w:rsid w:val="00B3043A"/>
    <w:rsid w:val="00B30A4E"/>
    <w:rsid w:val="00B30D3B"/>
    <w:rsid w:val="00B310F9"/>
    <w:rsid w:val="00B377A5"/>
    <w:rsid w:val="00B37866"/>
    <w:rsid w:val="00B412FB"/>
    <w:rsid w:val="00B41381"/>
    <w:rsid w:val="00B4392D"/>
    <w:rsid w:val="00B45449"/>
    <w:rsid w:val="00B4576B"/>
    <w:rsid w:val="00B46350"/>
    <w:rsid w:val="00B46DF3"/>
    <w:rsid w:val="00B50479"/>
    <w:rsid w:val="00B516ED"/>
    <w:rsid w:val="00B528DB"/>
    <w:rsid w:val="00B5543B"/>
    <w:rsid w:val="00B57A35"/>
    <w:rsid w:val="00B61192"/>
    <w:rsid w:val="00B623F4"/>
    <w:rsid w:val="00B648C7"/>
    <w:rsid w:val="00B66E8F"/>
    <w:rsid w:val="00B67399"/>
    <w:rsid w:val="00B709B4"/>
    <w:rsid w:val="00B71F5E"/>
    <w:rsid w:val="00B721BB"/>
    <w:rsid w:val="00B7340E"/>
    <w:rsid w:val="00B77B9D"/>
    <w:rsid w:val="00B77DE9"/>
    <w:rsid w:val="00B80157"/>
    <w:rsid w:val="00B80962"/>
    <w:rsid w:val="00B83D5E"/>
    <w:rsid w:val="00B8460A"/>
    <w:rsid w:val="00B85CB1"/>
    <w:rsid w:val="00B8650D"/>
    <w:rsid w:val="00B87370"/>
    <w:rsid w:val="00B879B4"/>
    <w:rsid w:val="00B90F07"/>
    <w:rsid w:val="00B929E8"/>
    <w:rsid w:val="00B95306"/>
    <w:rsid w:val="00B97BB9"/>
    <w:rsid w:val="00BA0009"/>
    <w:rsid w:val="00BA2EF5"/>
    <w:rsid w:val="00BA5249"/>
    <w:rsid w:val="00BA682B"/>
    <w:rsid w:val="00BB02B5"/>
    <w:rsid w:val="00BB042F"/>
    <w:rsid w:val="00BB1863"/>
    <w:rsid w:val="00BB25EE"/>
    <w:rsid w:val="00BB2A60"/>
    <w:rsid w:val="00BB363A"/>
    <w:rsid w:val="00BB5E8F"/>
    <w:rsid w:val="00BB66A5"/>
    <w:rsid w:val="00BB7ABB"/>
    <w:rsid w:val="00BB7C71"/>
    <w:rsid w:val="00BC10A0"/>
    <w:rsid w:val="00BC478C"/>
    <w:rsid w:val="00BC5DD0"/>
    <w:rsid w:val="00BC7B88"/>
    <w:rsid w:val="00BC7BA2"/>
    <w:rsid w:val="00BD0C73"/>
    <w:rsid w:val="00BD182F"/>
    <w:rsid w:val="00BD2135"/>
    <w:rsid w:val="00BD2158"/>
    <w:rsid w:val="00BD2571"/>
    <w:rsid w:val="00BD426B"/>
    <w:rsid w:val="00BD5C98"/>
    <w:rsid w:val="00BD76BC"/>
    <w:rsid w:val="00BD79F0"/>
    <w:rsid w:val="00BE1D28"/>
    <w:rsid w:val="00BE2B4D"/>
    <w:rsid w:val="00BE3101"/>
    <w:rsid w:val="00BE43AA"/>
    <w:rsid w:val="00BE4A81"/>
    <w:rsid w:val="00BF06FC"/>
    <w:rsid w:val="00BF1E49"/>
    <w:rsid w:val="00BF3BEB"/>
    <w:rsid w:val="00BF3F39"/>
    <w:rsid w:val="00BF416A"/>
    <w:rsid w:val="00BF4576"/>
    <w:rsid w:val="00BF60A9"/>
    <w:rsid w:val="00BF72A7"/>
    <w:rsid w:val="00C01039"/>
    <w:rsid w:val="00C015F8"/>
    <w:rsid w:val="00C02C2A"/>
    <w:rsid w:val="00C02CBA"/>
    <w:rsid w:val="00C05834"/>
    <w:rsid w:val="00C063C8"/>
    <w:rsid w:val="00C06FCF"/>
    <w:rsid w:val="00C07AA7"/>
    <w:rsid w:val="00C07E26"/>
    <w:rsid w:val="00C1011C"/>
    <w:rsid w:val="00C12F94"/>
    <w:rsid w:val="00C172EB"/>
    <w:rsid w:val="00C177C5"/>
    <w:rsid w:val="00C203C5"/>
    <w:rsid w:val="00C2214D"/>
    <w:rsid w:val="00C25F65"/>
    <w:rsid w:val="00C27FEC"/>
    <w:rsid w:val="00C3176E"/>
    <w:rsid w:val="00C32A69"/>
    <w:rsid w:val="00C34EC3"/>
    <w:rsid w:val="00C36A41"/>
    <w:rsid w:val="00C4038C"/>
    <w:rsid w:val="00C42767"/>
    <w:rsid w:val="00C42BA2"/>
    <w:rsid w:val="00C44066"/>
    <w:rsid w:val="00C44E13"/>
    <w:rsid w:val="00C45623"/>
    <w:rsid w:val="00C51FD4"/>
    <w:rsid w:val="00C5437A"/>
    <w:rsid w:val="00C57F12"/>
    <w:rsid w:val="00C60A41"/>
    <w:rsid w:val="00C61D57"/>
    <w:rsid w:val="00C628ED"/>
    <w:rsid w:val="00C62AB7"/>
    <w:rsid w:val="00C62DE8"/>
    <w:rsid w:val="00C62DFB"/>
    <w:rsid w:val="00C630E6"/>
    <w:rsid w:val="00C63812"/>
    <w:rsid w:val="00C638C7"/>
    <w:rsid w:val="00C63BE5"/>
    <w:rsid w:val="00C64AF3"/>
    <w:rsid w:val="00C663DE"/>
    <w:rsid w:val="00C66F4D"/>
    <w:rsid w:val="00C67BB5"/>
    <w:rsid w:val="00C70A05"/>
    <w:rsid w:val="00C72713"/>
    <w:rsid w:val="00C731D3"/>
    <w:rsid w:val="00C774A3"/>
    <w:rsid w:val="00C77D6A"/>
    <w:rsid w:val="00C8039E"/>
    <w:rsid w:val="00C83D32"/>
    <w:rsid w:val="00C848EF"/>
    <w:rsid w:val="00C86286"/>
    <w:rsid w:val="00C86600"/>
    <w:rsid w:val="00C87BCA"/>
    <w:rsid w:val="00C87EED"/>
    <w:rsid w:val="00C92258"/>
    <w:rsid w:val="00C934E1"/>
    <w:rsid w:val="00C938A6"/>
    <w:rsid w:val="00C942C9"/>
    <w:rsid w:val="00C94506"/>
    <w:rsid w:val="00C95147"/>
    <w:rsid w:val="00C954BC"/>
    <w:rsid w:val="00CA1D6D"/>
    <w:rsid w:val="00CA1F0B"/>
    <w:rsid w:val="00CA2BD7"/>
    <w:rsid w:val="00CA4356"/>
    <w:rsid w:val="00CA43A3"/>
    <w:rsid w:val="00CA6BAE"/>
    <w:rsid w:val="00CA7358"/>
    <w:rsid w:val="00CB0A1D"/>
    <w:rsid w:val="00CB110F"/>
    <w:rsid w:val="00CB2A2E"/>
    <w:rsid w:val="00CB338A"/>
    <w:rsid w:val="00CB4D8B"/>
    <w:rsid w:val="00CB6C42"/>
    <w:rsid w:val="00CB79C5"/>
    <w:rsid w:val="00CC0680"/>
    <w:rsid w:val="00CC1355"/>
    <w:rsid w:val="00CC1FF7"/>
    <w:rsid w:val="00CC2735"/>
    <w:rsid w:val="00CC411F"/>
    <w:rsid w:val="00CC4B75"/>
    <w:rsid w:val="00CC57C8"/>
    <w:rsid w:val="00CC732E"/>
    <w:rsid w:val="00CD2FCD"/>
    <w:rsid w:val="00CD3C6D"/>
    <w:rsid w:val="00CD5544"/>
    <w:rsid w:val="00CD7207"/>
    <w:rsid w:val="00CE0422"/>
    <w:rsid w:val="00CE0DBE"/>
    <w:rsid w:val="00CE3F18"/>
    <w:rsid w:val="00CE3F7D"/>
    <w:rsid w:val="00CE4E1C"/>
    <w:rsid w:val="00CE516F"/>
    <w:rsid w:val="00CE5E4D"/>
    <w:rsid w:val="00CE780B"/>
    <w:rsid w:val="00CF02C4"/>
    <w:rsid w:val="00CF167F"/>
    <w:rsid w:val="00CF43F3"/>
    <w:rsid w:val="00CF5477"/>
    <w:rsid w:val="00CF55B4"/>
    <w:rsid w:val="00CF72E5"/>
    <w:rsid w:val="00D013EE"/>
    <w:rsid w:val="00D01F54"/>
    <w:rsid w:val="00D040F7"/>
    <w:rsid w:val="00D04A6E"/>
    <w:rsid w:val="00D04A76"/>
    <w:rsid w:val="00D05536"/>
    <w:rsid w:val="00D07CF5"/>
    <w:rsid w:val="00D10FC7"/>
    <w:rsid w:val="00D14790"/>
    <w:rsid w:val="00D1519F"/>
    <w:rsid w:val="00D17B56"/>
    <w:rsid w:val="00D20E99"/>
    <w:rsid w:val="00D214FC"/>
    <w:rsid w:val="00D21C83"/>
    <w:rsid w:val="00D23022"/>
    <w:rsid w:val="00D2412A"/>
    <w:rsid w:val="00D2533F"/>
    <w:rsid w:val="00D27525"/>
    <w:rsid w:val="00D30A21"/>
    <w:rsid w:val="00D30ED9"/>
    <w:rsid w:val="00D32DA7"/>
    <w:rsid w:val="00D356E3"/>
    <w:rsid w:val="00D35BDD"/>
    <w:rsid w:val="00D37BD3"/>
    <w:rsid w:val="00D40218"/>
    <w:rsid w:val="00D42161"/>
    <w:rsid w:val="00D422AA"/>
    <w:rsid w:val="00D43996"/>
    <w:rsid w:val="00D468F7"/>
    <w:rsid w:val="00D47066"/>
    <w:rsid w:val="00D53339"/>
    <w:rsid w:val="00D53718"/>
    <w:rsid w:val="00D57C5A"/>
    <w:rsid w:val="00D60011"/>
    <w:rsid w:val="00D6203C"/>
    <w:rsid w:val="00D62392"/>
    <w:rsid w:val="00D63006"/>
    <w:rsid w:val="00D65F6C"/>
    <w:rsid w:val="00D70AC5"/>
    <w:rsid w:val="00D72301"/>
    <w:rsid w:val="00D72CB0"/>
    <w:rsid w:val="00D76441"/>
    <w:rsid w:val="00D7676A"/>
    <w:rsid w:val="00D827A4"/>
    <w:rsid w:val="00D83AAA"/>
    <w:rsid w:val="00D84406"/>
    <w:rsid w:val="00D87058"/>
    <w:rsid w:val="00D90A79"/>
    <w:rsid w:val="00D911DE"/>
    <w:rsid w:val="00D91B97"/>
    <w:rsid w:val="00D93A47"/>
    <w:rsid w:val="00D93ACC"/>
    <w:rsid w:val="00D93C08"/>
    <w:rsid w:val="00D95DAC"/>
    <w:rsid w:val="00DA00D1"/>
    <w:rsid w:val="00DA031D"/>
    <w:rsid w:val="00DA094E"/>
    <w:rsid w:val="00DA0B53"/>
    <w:rsid w:val="00DA3BC7"/>
    <w:rsid w:val="00DA42DF"/>
    <w:rsid w:val="00DA5BA0"/>
    <w:rsid w:val="00DB06A9"/>
    <w:rsid w:val="00DB1171"/>
    <w:rsid w:val="00DB1519"/>
    <w:rsid w:val="00DB2840"/>
    <w:rsid w:val="00DB788F"/>
    <w:rsid w:val="00DC1BD3"/>
    <w:rsid w:val="00DC26F8"/>
    <w:rsid w:val="00DC2C1A"/>
    <w:rsid w:val="00DC359C"/>
    <w:rsid w:val="00DC59BE"/>
    <w:rsid w:val="00DC6340"/>
    <w:rsid w:val="00DC6887"/>
    <w:rsid w:val="00DD195C"/>
    <w:rsid w:val="00DD5F5E"/>
    <w:rsid w:val="00DD66B4"/>
    <w:rsid w:val="00DD7506"/>
    <w:rsid w:val="00DE04AA"/>
    <w:rsid w:val="00DE1972"/>
    <w:rsid w:val="00DE27AB"/>
    <w:rsid w:val="00DE2F06"/>
    <w:rsid w:val="00DE4BC4"/>
    <w:rsid w:val="00DE5105"/>
    <w:rsid w:val="00DE7621"/>
    <w:rsid w:val="00DF2AB3"/>
    <w:rsid w:val="00DF7250"/>
    <w:rsid w:val="00E00CAA"/>
    <w:rsid w:val="00E01FE8"/>
    <w:rsid w:val="00E03EBF"/>
    <w:rsid w:val="00E05209"/>
    <w:rsid w:val="00E0559C"/>
    <w:rsid w:val="00E05AC1"/>
    <w:rsid w:val="00E06569"/>
    <w:rsid w:val="00E1109D"/>
    <w:rsid w:val="00E11BCF"/>
    <w:rsid w:val="00E11FA5"/>
    <w:rsid w:val="00E21CED"/>
    <w:rsid w:val="00E2258E"/>
    <w:rsid w:val="00E24676"/>
    <w:rsid w:val="00E25F12"/>
    <w:rsid w:val="00E260C2"/>
    <w:rsid w:val="00E305AE"/>
    <w:rsid w:val="00E30FA2"/>
    <w:rsid w:val="00E31AB4"/>
    <w:rsid w:val="00E32596"/>
    <w:rsid w:val="00E3368E"/>
    <w:rsid w:val="00E351D2"/>
    <w:rsid w:val="00E368F7"/>
    <w:rsid w:val="00E36EB8"/>
    <w:rsid w:val="00E37FB8"/>
    <w:rsid w:val="00E407CF"/>
    <w:rsid w:val="00E40B07"/>
    <w:rsid w:val="00E42326"/>
    <w:rsid w:val="00E43544"/>
    <w:rsid w:val="00E44219"/>
    <w:rsid w:val="00E44D89"/>
    <w:rsid w:val="00E46333"/>
    <w:rsid w:val="00E46542"/>
    <w:rsid w:val="00E477EA"/>
    <w:rsid w:val="00E529A0"/>
    <w:rsid w:val="00E529AB"/>
    <w:rsid w:val="00E52AFC"/>
    <w:rsid w:val="00E53F03"/>
    <w:rsid w:val="00E54C72"/>
    <w:rsid w:val="00E55807"/>
    <w:rsid w:val="00E56556"/>
    <w:rsid w:val="00E56633"/>
    <w:rsid w:val="00E639B6"/>
    <w:rsid w:val="00E63B14"/>
    <w:rsid w:val="00E65CA0"/>
    <w:rsid w:val="00E66CAE"/>
    <w:rsid w:val="00E66E54"/>
    <w:rsid w:val="00E67BC0"/>
    <w:rsid w:val="00E70D9F"/>
    <w:rsid w:val="00E77674"/>
    <w:rsid w:val="00E807C4"/>
    <w:rsid w:val="00E81629"/>
    <w:rsid w:val="00E83810"/>
    <w:rsid w:val="00E86933"/>
    <w:rsid w:val="00E86D72"/>
    <w:rsid w:val="00E91BE1"/>
    <w:rsid w:val="00E926C5"/>
    <w:rsid w:val="00E9605B"/>
    <w:rsid w:val="00E96432"/>
    <w:rsid w:val="00E97298"/>
    <w:rsid w:val="00E97753"/>
    <w:rsid w:val="00EA0C51"/>
    <w:rsid w:val="00EA35C9"/>
    <w:rsid w:val="00EA367E"/>
    <w:rsid w:val="00EA5CE5"/>
    <w:rsid w:val="00EA7573"/>
    <w:rsid w:val="00EA7DE7"/>
    <w:rsid w:val="00EB045A"/>
    <w:rsid w:val="00EB0A0E"/>
    <w:rsid w:val="00EB1DD9"/>
    <w:rsid w:val="00EB29FE"/>
    <w:rsid w:val="00EB4D92"/>
    <w:rsid w:val="00EB5D5B"/>
    <w:rsid w:val="00EB6A01"/>
    <w:rsid w:val="00EB7A8A"/>
    <w:rsid w:val="00EC14B4"/>
    <w:rsid w:val="00EC2839"/>
    <w:rsid w:val="00EC3322"/>
    <w:rsid w:val="00EC3F0E"/>
    <w:rsid w:val="00EC6FED"/>
    <w:rsid w:val="00EC7508"/>
    <w:rsid w:val="00EC7F3B"/>
    <w:rsid w:val="00ED107C"/>
    <w:rsid w:val="00ED1D20"/>
    <w:rsid w:val="00ED3B48"/>
    <w:rsid w:val="00ED4306"/>
    <w:rsid w:val="00ED4F85"/>
    <w:rsid w:val="00ED5299"/>
    <w:rsid w:val="00ED58AD"/>
    <w:rsid w:val="00ED680B"/>
    <w:rsid w:val="00EE06D1"/>
    <w:rsid w:val="00EE29F4"/>
    <w:rsid w:val="00EE3A64"/>
    <w:rsid w:val="00EE50E5"/>
    <w:rsid w:val="00EE5AA4"/>
    <w:rsid w:val="00EF01CF"/>
    <w:rsid w:val="00EF02A4"/>
    <w:rsid w:val="00EF2157"/>
    <w:rsid w:val="00EF3D02"/>
    <w:rsid w:val="00EF642A"/>
    <w:rsid w:val="00EF698B"/>
    <w:rsid w:val="00F00271"/>
    <w:rsid w:val="00F00756"/>
    <w:rsid w:val="00F01BDD"/>
    <w:rsid w:val="00F02361"/>
    <w:rsid w:val="00F03590"/>
    <w:rsid w:val="00F03622"/>
    <w:rsid w:val="00F04539"/>
    <w:rsid w:val="00F05B1D"/>
    <w:rsid w:val="00F077FD"/>
    <w:rsid w:val="00F1096D"/>
    <w:rsid w:val="00F10ED4"/>
    <w:rsid w:val="00F1224F"/>
    <w:rsid w:val="00F15512"/>
    <w:rsid w:val="00F16011"/>
    <w:rsid w:val="00F204F3"/>
    <w:rsid w:val="00F218AB"/>
    <w:rsid w:val="00F22C56"/>
    <w:rsid w:val="00F238B3"/>
    <w:rsid w:val="00F23EA0"/>
    <w:rsid w:val="00F244F9"/>
    <w:rsid w:val="00F24FED"/>
    <w:rsid w:val="00F25586"/>
    <w:rsid w:val="00F2651D"/>
    <w:rsid w:val="00F26954"/>
    <w:rsid w:val="00F26AB3"/>
    <w:rsid w:val="00F27362"/>
    <w:rsid w:val="00F27920"/>
    <w:rsid w:val="00F279FD"/>
    <w:rsid w:val="00F27E94"/>
    <w:rsid w:val="00F31498"/>
    <w:rsid w:val="00F31830"/>
    <w:rsid w:val="00F32FEF"/>
    <w:rsid w:val="00F3329E"/>
    <w:rsid w:val="00F3569E"/>
    <w:rsid w:val="00F374D9"/>
    <w:rsid w:val="00F41779"/>
    <w:rsid w:val="00F41B1C"/>
    <w:rsid w:val="00F42749"/>
    <w:rsid w:val="00F42E13"/>
    <w:rsid w:val="00F42F1C"/>
    <w:rsid w:val="00F43B44"/>
    <w:rsid w:val="00F440E5"/>
    <w:rsid w:val="00F448F6"/>
    <w:rsid w:val="00F455C9"/>
    <w:rsid w:val="00F46A3E"/>
    <w:rsid w:val="00F50F82"/>
    <w:rsid w:val="00F52613"/>
    <w:rsid w:val="00F52741"/>
    <w:rsid w:val="00F53D8A"/>
    <w:rsid w:val="00F5545E"/>
    <w:rsid w:val="00F55AD2"/>
    <w:rsid w:val="00F62285"/>
    <w:rsid w:val="00F626F7"/>
    <w:rsid w:val="00F6271A"/>
    <w:rsid w:val="00F62DAD"/>
    <w:rsid w:val="00F64419"/>
    <w:rsid w:val="00F736F9"/>
    <w:rsid w:val="00F73833"/>
    <w:rsid w:val="00F75263"/>
    <w:rsid w:val="00F76DC6"/>
    <w:rsid w:val="00F81D43"/>
    <w:rsid w:val="00F81DAD"/>
    <w:rsid w:val="00F8607C"/>
    <w:rsid w:val="00F907BC"/>
    <w:rsid w:val="00F9211C"/>
    <w:rsid w:val="00F942B8"/>
    <w:rsid w:val="00F946AE"/>
    <w:rsid w:val="00F9731A"/>
    <w:rsid w:val="00F97A8D"/>
    <w:rsid w:val="00F97D38"/>
    <w:rsid w:val="00FA095D"/>
    <w:rsid w:val="00FA0AD4"/>
    <w:rsid w:val="00FA2081"/>
    <w:rsid w:val="00FA611E"/>
    <w:rsid w:val="00FA6C8B"/>
    <w:rsid w:val="00FA6CDA"/>
    <w:rsid w:val="00FA7C89"/>
    <w:rsid w:val="00FB16E0"/>
    <w:rsid w:val="00FB37EC"/>
    <w:rsid w:val="00FB386C"/>
    <w:rsid w:val="00FB4139"/>
    <w:rsid w:val="00FB476E"/>
    <w:rsid w:val="00FC0D90"/>
    <w:rsid w:val="00FC0F5E"/>
    <w:rsid w:val="00FC128E"/>
    <w:rsid w:val="00FC2F6B"/>
    <w:rsid w:val="00FC5110"/>
    <w:rsid w:val="00FC7D8C"/>
    <w:rsid w:val="00FD00C3"/>
    <w:rsid w:val="00FD383E"/>
    <w:rsid w:val="00FD3980"/>
    <w:rsid w:val="00FD431E"/>
    <w:rsid w:val="00FD5A2C"/>
    <w:rsid w:val="00FE0064"/>
    <w:rsid w:val="00FE0D47"/>
    <w:rsid w:val="00FE1D5C"/>
    <w:rsid w:val="00FE2481"/>
    <w:rsid w:val="00FE2F8B"/>
    <w:rsid w:val="00FE3669"/>
    <w:rsid w:val="00FE3A81"/>
    <w:rsid w:val="00FE487E"/>
    <w:rsid w:val="00FE5204"/>
    <w:rsid w:val="00FE69D8"/>
    <w:rsid w:val="00FF287F"/>
    <w:rsid w:val="00FF2BDC"/>
    <w:rsid w:val="00FF3527"/>
    <w:rsid w:val="00FF5B44"/>
    <w:rsid w:val="00FF65A5"/>
    <w:rsid w:val="00FF74A8"/>
    <w:rsid w:val="00FF7AB4"/>
    <w:rsid w:val="021F7459"/>
    <w:rsid w:val="031DDD54"/>
    <w:rsid w:val="03832833"/>
    <w:rsid w:val="038B8FA0"/>
    <w:rsid w:val="04C0206B"/>
    <w:rsid w:val="060A8C5F"/>
    <w:rsid w:val="061128C3"/>
    <w:rsid w:val="06FEE465"/>
    <w:rsid w:val="0759A00F"/>
    <w:rsid w:val="098D1ED8"/>
    <w:rsid w:val="0A8DFCC0"/>
    <w:rsid w:val="0B28EF39"/>
    <w:rsid w:val="10706102"/>
    <w:rsid w:val="1112C37B"/>
    <w:rsid w:val="11C51530"/>
    <w:rsid w:val="12FEFE02"/>
    <w:rsid w:val="130F6FBE"/>
    <w:rsid w:val="1323768F"/>
    <w:rsid w:val="1358F49B"/>
    <w:rsid w:val="1435D7BA"/>
    <w:rsid w:val="1499E7FA"/>
    <w:rsid w:val="167A021C"/>
    <w:rsid w:val="1815D27D"/>
    <w:rsid w:val="19CE35C3"/>
    <w:rsid w:val="1A260D43"/>
    <w:rsid w:val="1BDB31CD"/>
    <w:rsid w:val="1BEDE27A"/>
    <w:rsid w:val="1C8CB7EB"/>
    <w:rsid w:val="1D1DFBD7"/>
    <w:rsid w:val="1DB57DFA"/>
    <w:rsid w:val="1E01853B"/>
    <w:rsid w:val="1E642C19"/>
    <w:rsid w:val="221EBE26"/>
    <w:rsid w:val="22C98556"/>
    <w:rsid w:val="22F36886"/>
    <w:rsid w:val="251AC742"/>
    <w:rsid w:val="2757FF8A"/>
    <w:rsid w:val="28502333"/>
    <w:rsid w:val="29FA39DC"/>
    <w:rsid w:val="2E9F500B"/>
    <w:rsid w:val="2F057187"/>
    <w:rsid w:val="304D7EA0"/>
    <w:rsid w:val="30F3ED61"/>
    <w:rsid w:val="32C871A9"/>
    <w:rsid w:val="3442D0CE"/>
    <w:rsid w:val="35C57F8E"/>
    <w:rsid w:val="35DEA12F"/>
    <w:rsid w:val="37319481"/>
    <w:rsid w:val="378E9871"/>
    <w:rsid w:val="3D093E83"/>
    <w:rsid w:val="4491A7E3"/>
    <w:rsid w:val="46CF5F8F"/>
    <w:rsid w:val="474269E1"/>
    <w:rsid w:val="480AA6C9"/>
    <w:rsid w:val="488EA3C8"/>
    <w:rsid w:val="4DB1AB65"/>
    <w:rsid w:val="52C30245"/>
    <w:rsid w:val="52F743CA"/>
    <w:rsid w:val="53A981E1"/>
    <w:rsid w:val="53D66A88"/>
    <w:rsid w:val="5551FBD7"/>
    <w:rsid w:val="57B107AC"/>
    <w:rsid w:val="59B90A07"/>
    <w:rsid w:val="5C32EB39"/>
    <w:rsid w:val="5CF33689"/>
    <w:rsid w:val="5FC44385"/>
    <w:rsid w:val="6259F193"/>
    <w:rsid w:val="641DFAEA"/>
    <w:rsid w:val="64AC4EB0"/>
    <w:rsid w:val="655B75EE"/>
    <w:rsid w:val="66F0DF02"/>
    <w:rsid w:val="6ACE7078"/>
    <w:rsid w:val="6DD48AEB"/>
    <w:rsid w:val="7311CAA8"/>
    <w:rsid w:val="73ECA2A7"/>
    <w:rsid w:val="764858F2"/>
    <w:rsid w:val="76CB8CFA"/>
    <w:rsid w:val="77244369"/>
    <w:rsid w:val="7E434979"/>
    <w:rsid w:val="7EF3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29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C429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qFormat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C5492"/>
    <w:pPr>
      <w:keepLines/>
      <w:tabs>
        <w:tab w:val="left" w:pos="255"/>
      </w:tabs>
      <w:ind w:left="255" w:hanging="255"/>
    </w:pPr>
    <w:rPr>
      <w:sz w:val="20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0C4291"/>
    <w:pPr>
      <w:spacing w:before="240" w:after="240"/>
      <w:jc w:val="center"/>
    </w:pPr>
    <w:rPr>
      <w:b/>
      <w:sz w:val="26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1C5492"/>
    <w:pPr>
      <w:keepNext/>
      <w:keepLines/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1C549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qFormat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C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16E0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C06F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6A16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162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162B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1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162B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2DA7"/>
    <w:rPr>
      <w:rFonts w:asciiTheme="minorHAnsi" w:hAnsiTheme="minorHAnsi"/>
      <w:sz w:val="24"/>
      <w:lang w:val="en-GB" w:eastAsia="en-US"/>
    </w:rPr>
  </w:style>
  <w:style w:type="paragraph" w:customStyle="1" w:styleId="CEOParagraph1">
    <w:name w:val="CEO_Paragraph1."/>
    <w:basedOn w:val="Normal"/>
    <w:rsid w:val="00782207"/>
    <w:pPr>
      <w:keepNext/>
      <w:numPr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Cs w:val="22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1EB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1EB4"/>
    <w:rPr>
      <w:rFonts w:ascii="Calibri" w:eastAsiaTheme="minorHAnsi" w:hAnsi="Calibri" w:cstheme="minorBidi"/>
      <w:kern w:val="2"/>
      <w:sz w:val="22"/>
      <w:szCs w:val="21"/>
      <w:lang w:val="en-GB" w:eastAsia="en-US"/>
      <w14:ligatures w14:val="standardContextual"/>
    </w:rPr>
  </w:style>
  <w:style w:type="paragraph" w:customStyle="1" w:styleId="h4">
    <w:name w:val="h4"/>
    <w:basedOn w:val="Normal"/>
    <w:rsid w:val="00235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CEONormal">
    <w:name w:val="CEO_Normal"/>
    <w:link w:val="CEONormalChar"/>
    <w:rsid w:val="00EB5D5B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EB5D5B"/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ui-provider">
    <w:name w:val="ui-provider"/>
    <w:basedOn w:val="DefaultParagraphFont"/>
    <w:rsid w:val="0087030F"/>
  </w:style>
  <w:style w:type="character" w:styleId="Strong">
    <w:name w:val="Strong"/>
    <w:basedOn w:val="DefaultParagraphFont"/>
    <w:uiPriority w:val="22"/>
    <w:qFormat/>
    <w:rsid w:val="00D30A2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C30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309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14/relationships/chartEx" Target="charts/chartEx2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hart" Target="charts/chart6.xml"/><Relationship Id="rId7" Type="http://schemas.openxmlformats.org/officeDocument/2006/relationships/settings" Target="settings.xml"/><Relationship Id="rId12" Type="http://schemas.microsoft.com/office/2014/relationships/chartEx" Target="charts/chartEx1.xml"/><Relationship Id="rId17" Type="http://schemas.openxmlformats.org/officeDocument/2006/relationships/chart" Target="charts/chart4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chart" Target="charts/chart8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chart" Target="charts/chart7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DAGHTTP://WWW.ITU.INT/EN/ITU-D/CONFERENCES/TDAG/PAGES/DEFAULT.ASPX" TargetMode="External"/><Relationship Id="rId1" Type="http://schemas.openxmlformats.org/officeDocument/2006/relationships/hyperlink" Target="mailto:sandrine.guyot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2022/Copy%20of%20Agreement%202022%20TDAG_FINAL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Copy%20of%20Agreement%202022%20TDAG_FINAL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Copy%20of%20Agreement%202022%20TDAG_FINAL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Quaterly_Report/2023/Copy%20of%20Agreements%202023%20May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2022/Copy%20of%20Agreements%202023%20May_1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TDAG/2022/Copy%20of%20Agreements%202023%20May_1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Quaterly_Report/2023/Copy%20of%20Agreements%202023%20May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Quaterly_Report/2023/Copy%20of%20Agreements%202023%20May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8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https://ituint-my.sharepoint.com/personal/sandrine_guyot_itu_int/Documents/Quaterly_Report/2022/Q4_2022_TDAG22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https://ituint-my.sharepoint.com/personal/sandrine_guyot_itu_int/Documents/TDAG/2022/Copy%20of%20Agreements%202023%20May_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effectLst/>
              </a:rPr>
              <a:t>Финансовые взносы партнеров БРЭ по типам</a:t>
            </a:r>
            <a:r>
              <a:rPr lang="en-US" sz="1100" b="1" i="0" baseline="0">
                <a:effectLst/>
              </a:rPr>
              <a:t> (2022</a:t>
            </a:r>
            <a:r>
              <a:rPr lang="ru-RU" sz="1100" b="1" i="0" baseline="0">
                <a:effectLst/>
              </a:rPr>
              <a:t> г.</a:t>
            </a:r>
            <a:r>
              <a:rPr lang="en-US" sz="1100" b="1" i="0" baseline="0">
                <a:effectLst/>
              </a:rPr>
              <a:t>)</a:t>
            </a:r>
          </a:p>
        </c:rich>
      </c:tx>
      <c:layout>
        <c:manualLayout>
          <c:xMode val="edge"/>
          <c:yMode val="edge"/>
          <c:x val="0.20826600585541336"/>
          <c:y val="2.75103163686382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0596343054883501"/>
          <c:y val="0.25441635766610349"/>
          <c:w val="0.20401162610725801"/>
          <c:h val="0.6781211753620205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F10-4A42-8C66-3EE216B3B8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F10-4A42-8C66-3EE216B3B8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F10-4A42-8C66-3EE216B3B8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F10-4A42-8C66-3EE216B3B8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F10-4A42-8C66-3EE216B3B82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F10-4A42-8C66-3EE216B3B82C}"/>
                </c:ext>
              </c:extLst>
            </c:dLbl>
            <c:dLbl>
              <c:idx val="1"/>
              <c:layout>
                <c:manualLayout>
                  <c:x val="-7.6613945137677164E-2"/>
                  <c:y val="-0.18467983040581465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74,5%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F10-4A42-8C66-3EE216B3B82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F10-4A42-8C66-3EE216B3B82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F10-4A42-8C66-3EE216B3B82C}"/>
                </c:ext>
              </c:extLst>
            </c:dLbl>
            <c:dLbl>
              <c:idx val="4"/>
              <c:layout>
                <c:manualLayout>
                  <c:x val="-1.6723933716851502E-3"/>
                  <c:y val="4.273142782874286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rPr>
                      <a:t>18,5%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9F10-4A42-8C66-3EE216B3B8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'Types partner'!$G$5:$G$9</c:f>
              <c:strCache>
                <c:ptCount val="5"/>
                <c:pt idx="0">
                  <c:v>Foundations</c:v>
                </c:pt>
                <c:pt idx="1">
                  <c:v>Governmental entities </c:v>
                </c:pt>
                <c:pt idx="2">
                  <c:v>Other</c:v>
                </c:pt>
                <c:pt idx="3">
                  <c:v>Private  Sector entities</c:v>
                </c:pt>
                <c:pt idx="4">
                  <c:v>UN organizations </c:v>
                </c:pt>
              </c:strCache>
            </c:strRef>
          </c:cat>
          <c:val>
            <c:numRef>
              <c:f>'Types partner'!$H$5:$H$9</c:f>
              <c:numCache>
                <c:formatCode>0.0%</c:formatCode>
                <c:ptCount val="5"/>
                <c:pt idx="0">
                  <c:v>1.7172596154231437E-3</c:v>
                </c:pt>
                <c:pt idx="1">
                  <c:v>0.75591283968683143</c:v>
                </c:pt>
                <c:pt idx="2">
                  <c:v>1.5684304487531379E-2</c:v>
                </c:pt>
                <c:pt idx="3">
                  <c:v>4.2139604734919796E-2</c:v>
                </c:pt>
                <c:pt idx="4">
                  <c:v>0.1845459914752943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10-4A42-8C66-3EE216B3B82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040569183973046"/>
          <c:y val="0.26328467834801278"/>
          <c:w val="0.21093873973388336"/>
          <c:h val="0.567803435741460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Распределение подписанных соглашений по регионам</a:t>
            </a:r>
            <a:r>
              <a:rPr lang="en-US" sz="1100" b="1"/>
              <a:t> (2022</a:t>
            </a:r>
            <a:r>
              <a:rPr lang="ru-RU" sz="1100" b="1"/>
              <a:t> г.</a:t>
            </a:r>
            <a:r>
              <a:rPr lang="en-US" sz="1100" b="1"/>
              <a:t>)</a:t>
            </a:r>
          </a:p>
        </c:rich>
      </c:tx>
      <c:layout>
        <c:manualLayout>
          <c:xMode val="edge"/>
          <c:yMode val="edge"/>
          <c:x val="0.15554095615348695"/>
          <c:y val="2.93609614587650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Regions!$I$43</c:f>
              <c:strCache>
                <c:ptCount val="1"/>
                <c:pt idx="0">
                  <c:v>Number of agreements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Regions!$H$44:$H$50</c:f>
              <c:strCache>
                <c:ptCount val="7"/>
                <c:pt idx="0">
                  <c:v>Africa</c:v>
                </c:pt>
                <c:pt idx="1">
                  <c:v>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CIS</c:v>
                </c:pt>
                <c:pt idx="5">
                  <c:v>Europe </c:v>
                </c:pt>
                <c:pt idx="6">
                  <c:v>Multi-regions</c:v>
                </c:pt>
              </c:strCache>
            </c:strRef>
          </c:cat>
          <c:val>
            <c:numRef>
              <c:f>Regions!$I$44:$I$50</c:f>
              <c:numCache>
                <c:formatCode>0%</c:formatCode>
                <c:ptCount val="7"/>
                <c:pt idx="0">
                  <c:v>0.12676056338028169</c:v>
                </c:pt>
                <c:pt idx="1">
                  <c:v>8.4507042253521125E-2</c:v>
                </c:pt>
                <c:pt idx="2">
                  <c:v>8.4507042253521125E-2</c:v>
                </c:pt>
                <c:pt idx="3">
                  <c:v>0.23943661971830985</c:v>
                </c:pt>
                <c:pt idx="4">
                  <c:v>2.8169014084507043E-2</c:v>
                </c:pt>
                <c:pt idx="5">
                  <c:v>4.2253521126760563E-2</c:v>
                </c:pt>
                <c:pt idx="6">
                  <c:v>0.39436619718309857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7D-44CE-9E1D-9079F2C993F9}"/>
            </c:ext>
          </c:extLst>
        </c:ser>
        <c:ser>
          <c:idx val="1"/>
          <c:order val="1"/>
          <c:tx>
            <c:strRef>
              <c:f>Regions!$J$43</c:f>
              <c:strCache>
                <c:ptCount val="1"/>
                <c:pt idx="0">
                  <c:v>Funds signed (2022)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Regions!$H$44:$H$50</c:f>
              <c:strCache>
                <c:ptCount val="7"/>
                <c:pt idx="0">
                  <c:v>Africa</c:v>
                </c:pt>
                <c:pt idx="1">
                  <c:v>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CIS</c:v>
                </c:pt>
                <c:pt idx="5">
                  <c:v>Europe </c:v>
                </c:pt>
                <c:pt idx="6">
                  <c:v>Multi-regions</c:v>
                </c:pt>
              </c:strCache>
            </c:strRef>
          </c:cat>
          <c:val>
            <c:numRef>
              <c:f>Regions!$J$44:$J$50</c:f>
              <c:numCache>
                <c:formatCode>0%</c:formatCode>
                <c:ptCount val="7"/>
                <c:pt idx="0">
                  <c:v>6.6484097710276691E-2</c:v>
                </c:pt>
                <c:pt idx="1">
                  <c:v>2.0108025308975777E-2</c:v>
                </c:pt>
                <c:pt idx="2">
                  <c:v>3.8320349054801812E-2</c:v>
                </c:pt>
                <c:pt idx="3">
                  <c:v>0.43300187770734178</c:v>
                </c:pt>
                <c:pt idx="4">
                  <c:v>9.4441740140485224E-3</c:v>
                </c:pt>
                <c:pt idx="5">
                  <c:v>2.4056722749690763E-2</c:v>
                </c:pt>
                <c:pt idx="6">
                  <c:v>0.40858475345486467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7D-44CE-9E1D-9079F2C993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1306456"/>
        <c:axId val="671119464"/>
      </c:barChart>
      <c:catAx>
        <c:axId val="1041306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1119464"/>
        <c:crosses val="autoZero"/>
        <c:auto val="1"/>
        <c:lblAlgn val="ctr"/>
        <c:lblOffset val="100"/>
        <c:noMultiLvlLbl val="0"/>
      </c:catAx>
      <c:valAx>
        <c:axId val="6711194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41306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80142666215803"/>
          <c:y val="0.89849553016399264"/>
          <c:w val="0.44397146675683946"/>
          <c:h val="0.101504469836007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effectLst/>
              </a:rPr>
              <a:t>Распределение подписанных соглашений по тематическим приоритетам</a:t>
            </a:r>
            <a:r>
              <a:rPr lang="en-GB" sz="1100" b="1" i="0" u="none" strike="noStrike" baseline="0">
                <a:effectLst/>
              </a:rPr>
              <a:t> </a:t>
            </a:r>
            <a:br>
              <a:rPr lang="ru-RU" sz="1100" b="1" i="0" u="none" strike="noStrike" baseline="0">
                <a:effectLst/>
              </a:rPr>
            </a:br>
            <a:r>
              <a:rPr lang="en-GB" sz="1100" b="1" i="0" u="none" strike="noStrike" baseline="0">
                <a:effectLst/>
              </a:rPr>
              <a:t>(2022</a:t>
            </a:r>
            <a:r>
              <a:rPr lang="ru-RU" sz="1100" b="1" i="0" u="none" strike="noStrike" baseline="0">
                <a:effectLst/>
              </a:rPr>
              <a:t> г.</a:t>
            </a:r>
            <a:r>
              <a:rPr lang="en-GB" sz="1100" b="1" i="0" u="none" strike="noStrike" baseline="0">
                <a:effectLst/>
              </a:rPr>
              <a:t>)</a:t>
            </a:r>
            <a:endParaRPr lang="en-GB" sz="1100"/>
          </a:p>
        </c:rich>
      </c:tx>
      <c:layout>
        <c:manualLayout>
          <c:xMode val="edge"/>
          <c:yMode val="edge"/>
          <c:x val="0.17217783241139115"/>
          <c:y val="2.51361541684122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TP!$H$52</c:f>
              <c:strCache>
                <c:ptCount val="1"/>
                <c:pt idx="0">
                  <c:v>Funds signed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TP!$G$53:$G$62</c:f>
              <c:strCache>
                <c:ptCount val="10"/>
                <c:pt idx="0">
                  <c:v>Multi-thematic </c:v>
                </c:pt>
                <c:pt idx="1">
                  <c:v>Statistics</c:v>
                </c:pt>
                <c:pt idx="2">
                  <c:v>Network &amp; Digital Infrast.</c:v>
                </c:pt>
                <c:pt idx="3">
                  <c:v>Environment </c:v>
                </c:pt>
                <c:pt idx="4">
                  <c:v>Emergency  Telecom</c:v>
                </c:pt>
                <c:pt idx="5">
                  <c:v>Digital Services &amp; App</c:v>
                </c:pt>
                <c:pt idx="6">
                  <c:v>Digital Innovation Ecosystem</c:v>
                </c:pt>
                <c:pt idx="7">
                  <c:v>Digital Inclusion </c:v>
                </c:pt>
                <c:pt idx="8">
                  <c:v>Cybersecurity </c:v>
                </c:pt>
                <c:pt idx="9">
                  <c:v>Capacit Development </c:v>
                </c:pt>
              </c:strCache>
            </c:strRef>
          </c:cat>
          <c:val>
            <c:numRef>
              <c:f>TP!$H$53:$H$62</c:f>
              <c:numCache>
                <c:formatCode>0%</c:formatCode>
                <c:ptCount val="10"/>
                <c:pt idx="0">
                  <c:v>0.35391262109516347</c:v>
                </c:pt>
                <c:pt idx="1">
                  <c:v>0</c:v>
                </c:pt>
                <c:pt idx="2">
                  <c:v>0.38858779592608761</c:v>
                </c:pt>
                <c:pt idx="3">
                  <c:v>3.4126971569440477E-3</c:v>
                </c:pt>
                <c:pt idx="4">
                  <c:v>2.1820578791369515E-2</c:v>
                </c:pt>
                <c:pt idx="5">
                  <c:v>4.6728304113923688E-2</c:v>
                </c:pt>
                <c:pt idx="6">
                  <c:v>2.5026445817589681E-2</c:v>
                </c:pt>
                <c:pt idx="7">
                  <c:v>0.15523480338882897</c:v>
                </c:pt>
                <c:pt idx="8">
                  <c:v>0</c:v>
                </c:pt>
                <c:pt idx="9">
                  <c:v>5.2767537100930307E-3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7C-467C-82EF-B957D5DA367B}"/>
            </c:ext>
          </c:extLst>
        </c:ser>
        <c:ser>
          <c:idx val="1"/>
          <c:order val="1"/>
          <c:tx>
            <c:strRef>
              <c:f>TP!$I$52</c:f>
              <c:strCache>
                <c:ptCount val="1"/>
                <c:pt idx="0">
                  <c:v>Number of agreements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TP!$G$53:$G$62</c:f>
              <c:strCache>
                <c:ptCount val="10"/>
                <c:pt idx="0">
                  <c:v>Multi-thematic </c:v>
                </c:pt>
                <c:pt idx="1">
                  <c:v>Statistics</c:v>
                </c:pt>
                <c:pt idx="2">
                  <c:v>Network &amp; Digital Infrast.</c:v>
                </c:pt>
                <c:pt idx="3">
                  <c:v>Environment </c:v>
                </c:pt>
                <c:pt idx="4">
                  <c:v>Emergency  Telecom</c:v>
                </c:pt>
                <c:pt idx="5">
                  <c:v>Digital Services &amp; App</c:v>
                </c:pt>
                <c:pt idx="6">
                  <c:v>Digital Innovation Ecosystem</c:v>
                </c:pt>
                <c:pt idx="7">
                  <c:v>Digital Inclusion </c:v>
                </c:pt>
                <c:pt idx="8">
                  <c:v>Cybersecurity </c:v>
                </c:pt>
                <c:pt idx="9">
                  <c:v>Capacit Development </c:v>
                </c:pt>
              </c:strCache>
            </c:strRef>
          </c:cat>
          <c:val>
            <c:numRef>
              <c:f>TP!$I$53:$I$62</c:f>
              <c:numCache>
                <c:formatCode>0%</c:formatCode>
                <c:ptCount val="10"/>
                <c:pt idx="0">
                  <c:v>0.15492957746478872</c:v>
                </c:pt>
                <c:pt idx="1">
                  <c:v>1.4084507042253521E-2</c:v>
                </c:pt>
                <c:pt idx="2">
                  <c:v>0.12676056338028169</c:v>
                </c:pt>
                <c:pt idx="3">
                  <c:v>2.8169014084507043E-2</c:v>
                </c:pt>
                <c:pt idx="4">
                  <c:v>7.0422535211267609E-2</c:v>
                </c:pt>
                <c:pt idx="5">
                  <c:v>4.2253521126760563E-2</c:v>
                </c:pt>
                <c:pt idx="6">
                  <c:v>0.15492957746478872</c:v>
                </c:pt>
                <c:pt idx="7">
                  <c:v>0.25352112676056338</c:v>
                </c:pt>
                <c:pt idx="8">
                  <c:v>1.4084507042253521E-2</c:v>
                </c:pt>
                <c:pt idx="9">
                  <c:v>0.14084507042253522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7C-467C-82EF-B957D5DA36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04828271"/>
        <c:axId val="1347088719"/>
      </c:barChart>
      <c:catAx>
        <c:axId val="1404828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7088719"/>
        <c:crosses val="autoZero"/>
        <c:auto val="1"/>
        <c:lblAlgn val="ctr"/>
        <c:lblOffset val="100"/>
        <c:noMultiLvlLbl val="0"/>
      </c:catAx>
      <c:valAx>
        <c:axId val="1347088719"/>
        <c:scaling>
          <c:orientation val="minMax"/>
          <c:max val="0.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4828271"/>
        <c:crosses val="autoZero"/>
        <c:crossBetween val="between"/>
      </c:valAx>
      <c:spPr>
        <a:noFill/>
        <a:ln cmpd="dbl">
          <a:solidFill>
            <a:schemeClr val="accent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baseline="0">
                <a:effectLst/>
              </a:rPr>
              <a:t>Договоренности о совместном финансировании</a:t>
            </a:r>
            <a:r>
              <a:rPr lang="en-US" sz="1100" b="1" i="0" baseline="0">
                <a:effectLst/>
              </a:rPr>
              <a:t> </a:t>
            </a:r>
            <a:br>
              <a:rPr lang="ru-RU" sz="1100" b="1" i="0" baseline="0">
                <a:effectLst/>
              </a:rPr>
            </a:br>
            <a:r>
              <a:rPr lang="en-US" sz="1100" b="1" i="0" baseline="0">
                <a:effectLst/>
              </a:rPr>
              <a:t>(1 </a:t>
            </a:r>
            <a:r>
              <a:rPr lang="ru-RU" sz="1100" b="1" i="0" baseline="0">
                <a:effectLst/>
              </a:rPr>
              <a:t>янв.</a:t>
            </a:r>
            <a:r>
              <a:rPr lang="en-US" sz="1100" b="1" i="0" baseline="0">
                <a:effectLst/>
              </a:rPr>
              <a:t> - 30 </a:t>
            </a:r>
            <a:r>
              <a:rPr lang="ru-RU" sz="1100" b="1" i="0" baseline="0">
                <a:effectLst/>
              </a:rPr>
              <a:t>апр.</a:t>
            </a:r>
            <a:r>
              <a:rPr lang="en-US" sz="1100" b="1" i="0" baseline="0">
                <a:effectLst/>
              </a:rPr>
              <a:t> 2023</a:t>
            </a:r>
            <a:r>
              <a:rPr lang="ru-RU" sz="1100" b="1" i="0" baseline="0">
                <a:effectLst/>
              </a:rPr>
              <a:t> г.</a:t>
            </a:r>
            <a:r>
              <a:rPr lang="en-US" sz="1100" b="1" i="0" baseline="0">
                <a:effectLst/>
              </a:rPr>
              <a:t>)</a:t>
            </a:r>
            <a:endParaRPr lang="en-GB" sz="1000"/>
          </a:p>
        </c:rich>
      </c:tx>
      <c:layout>
        <c:manualLayout>
          <c:xMode val="edge"/>
          <c:yMode val="edge"/>
          <c:x val="6.9305385215743115E-2"/>
          <c:y val="3.575736197715176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51603707262319454"/>
          <c:y val="0.10361411261660872"/>
          <c:w val="0.27159295870033617"/>
          <c:h val="0.754625502113145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8C-4233-B37C-184F463A61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F8C-4233-B37C-184F463A61A4}"/>
              </c:ext>
            </c:extLst>
          </c:dPt>
          <c:dLbls>
            <c:dLbl>
              <c:idx val="0"/>
              <c:layout>
                <c:manualLayout>
                  <c:x val="6.0445787684170763E-2"/>
                  <c:y val="-0.1259622113365990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50"/>
                      <a:t>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F8C-4233-B37C-184F463A61A4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50"/>
                      <a:t>98%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F8C-4233-B37C-184F463A61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'% ITU vs partners'!$A$7:$A$8</c:f>
              <c:strCache>
                <c:ptCount val="2"/>
                <c:pt idx="0">
                  <c:v>ITU component</c:v>
                </c:pt>
                <c:pt idx="1">
                  <c:v>Partner's component </c:v>
                </c:pt>
              </c:strCache>
            </c:strRef>
          </c:cat>
          <c:val>
            <c:numRef>
              <c:f>'% ITU vs partners'!$B$7:$B$8</c:f>
              <c:numCache>
                <c:formatCode>0.0%</c:formatCode>
                <c:ptCount val="2"/>
                <c:pt idx="0">
                  <c:v>1.6018473406189643E-2</c:v>
                </c:pt>
                <c:pt idx="1">
                  <c:v>0.98398152659381033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8C-4233-B37C-184F463A61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583500026716278"/>
          <c:y val="0.41469724436999617"/>
          <c:w val="0.25794590479815399"/>
          <c:h val="0.243213360939163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Распределение подписанных соглашений по регионам</a:t>
            </a:r>
            <a:r>
              <a:rPr lang="en-US" sz="1050" b="1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 </a:t>
            </a:r>
            <a:r>
              <a:rPr lang="en-US" sz="11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(1 </a:t>
            </a:r>
            <a:r>
              <a:rPr lang="ru-RU" sz="11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янв.</a:t>
            </a:r>
            <a:r>
              <a:rPr lang="en-US" sz="11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 - 30 </a:t>
            </a:r>
            <a:r>
              <a:rPr lang="ru-RU" sz="11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апр.</a:t>
            </a:r>
            <a:r>
              <a:rPr lang="en-US" sz="11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 2023</a:t>
            </a:r>
            <a:r>
              <a:rPr lang="ru-RU" sz="11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 г.</a:t>
            </a:r>
            <a:r>
              <a:rPr lang="en-US" sz="11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Regions!$D$27</c:f>
              <c:strCache>
                <c:ptCount val="1"/>
                <c:pt idx="0">
                  <c:v>Number of agreements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Regions!$C$28:$C$32</c:f>
              <c:strCache>
                <c:ptCount val="5"/>
                <c:pt idx="0">
                  <c:v>Africa</c:v>
                </c:pt>
                <c:pt idx="1">
                  <c:v>Americas</c:v>
                </c:pt>
                <c:pt idx="2">
                  <c:v>Asia-Pacific</c:v>
                </c:pt>
                <c:pt idx="3">
                  <c:v>Europe </c:v>
                </c:pt>
                <c:pt idx="4">
                  <c:v>Multi-regions</c:v>
                </c:pt>
              </c:strCache>
            </c:strRef>
          </c:cat>
          <c:val>
            <c:numRef>
              <c:f>Regions!$D$28:$D$32</c:f>
              <c:numCache>
                <c:formatCode>0%</c:formatCode>
                <c:ptCount val="5"/>
                <c:pt idx="0">
                  <c:v>0.2</c:v>
                </c:pt>
                <c:pt idx="1">
                  <c:v>0.13333333333333333</c:v>
                </c:pt>
                <c:pt idx="2">
                  <c:v>0.3</c:v>
                </c:pt>
                <c:pt idx="3">
                  <c:v>0.13333333333333333</c:v>
                </c:pt>
                <c:pt idx="4">
                  <c:v>0.23333333333333334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8F-407C-A5FB-453982FDCEF2}"/>
            </c:ext>
          </c:extLst>
        </c:ser>
        <c:ser>
          <c:idx val="1"/>
          <c:order val="1"/>
          <c:tx>
            <c:strRef>
              <c:f>Regions!$E$27</c:f>
              <c:strCache>
                <c:ptCount val="1"/>
                <c:pt idx="0">
                  <c:v>Funds signed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Regions!$C$28:$C$32</c:f>
              <c:strCache>
                <c:ptCount val="5"/>
                <c:pt idx="0">
                  <c:v>Africa</c:v>
                </c:pt>
                <c:pt idx="1">
                  <c:v>Americas</c:v>
                </c:pt>
                <c:pt idx="2">
                  <c:v>Asia-Pacific</c:v>
                </c:pt>
                <c:pt idx="3">
                  <c:v>Europe </c:v>
                </c:pt>
                <c:pt idx="4">
                  <c:v>Multi-regions</c:v>
                </c:pt>
              </c:strCache>
            </c:strRef>
          </c:cat>
          <c:val>
            <c:numRef>
              <c:f>Regions!$E$28:$E$32</c:f>
              <c:numCache>
                <c:formatCode>0%</c:formatCode>
                <c:ptCount val="5"/>
                <c:pt idx="0">
                  <c:v>5.1380640731537412E-2</c:v>
                </c:pt>
                <c:pt idx="1">
                  <c:v>2.0191970120552884E-2</c:v>
                </c:pt>
                <c:pt idx="2">
                  <c:v>2.9387979633972335E-2</c:v>
                </c:pt>
                <c:pt idx="3">
                  <c:v>0</c:v>
                </c:pt>
                <c:pt idx="4">
                  <c:v>0.89903940951393735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8F-407C-A5FB-453982FDC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6623760"/>
        <c:axId val="1260863824"/>
      </c:barChart>
      <c:catAx>
        <c:axId val="126662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863824"/>
        <c:crosses val="autoZero"/>
        <c:auto val="1"/>
        <c:lblAlgn val="ctr"/>
        <c:lblOffset val="100"/>
        <c:noMultiLvlLbl val="0"/>
      </c:catAx>
      <c:valAx>
        <c:axId val="12608638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26662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u="none" strike="noStrike" baseline="0">
                <a:effectLst/>
              </a:rPr>
              <a:t>Распределение подписанных соглашений по приоритетам МСЭ-</a:t>
            </a:r>
            <a:r>
              <a:rPr lang="en-US" sz="1000" b="1" i="0" u="none" strike="noStrike" baseline="0">
                <a:effectLst/>
              </a:rPr>
              <a:t>D</a:t>
            </a:r>
            <a:r>
              <a:rPr lang="ru-RU" sz="1000" b="1" i="0" u="none" strike="noStrike" baseline="0">
                <a:effectLst/>
              </a:rPr>
              <a:t> </a:t>
            </a:r>
            <a:br>
              <a:rPr lang="ru-RU" sz="1000" b="1" i="0" u="none" strike="noStrike" baseline="0">
                <a:effectLst/>
              </a:rPr>
            </a:br>
            <a:r>
              <a:rPr lang="en-GB" sz="1100" b="1" i="0" baseline="0">
                <a:effectLst/>
              </a:rPr>
              <a:t>(1 </a:t>
            </a:r>
            <a:r>
              <a:rPr lang="ru-RU" sz="1100" b="1" i="0" baseline="0">
                <a:effectLst/>
              </a:rPr>
              <a:t>янв</a:t>
            </a:r>
            <a:r>
              <a:rPr lang="en-GB" sz="1100" b="1" i="0" baseline="0">
                <a:effectLst/>
              </a:rPr>
              <a:t>. - 30 </a:t>
            </a:r>
            <a:r>
              <a:rPr lang="ru-RU" sz="1100" b="1" i="0" baseline="0">
                <a:effectLst/>
              </a:rPr>
              <a:t>апр</a:t>
            </a:r>
            <a:r>
              <a:rPr lang="en-GB" sz="1100" b="1" i="0" baseline="0">
                <a:effectLst/>
              </a:rPr>
              <a:t>. 2023</a:t>
            </a:r>
            <a:r>
              <a:rPr lang="ru-RU" sz="1100" b="1" i="0" baseline="0">
                <a:effectLst/>
              </a:rPr>
              <a:t> г.</a:t>
            </a:r>
            <a:r>
              <a:rPr lang="en-GB" sz="1100" b="1" i="0" baseline="0">
                <a:effectLst/>
              </a:rPr>
              <a:t>)</a:t>
            </a:r>
            <a:endParaRPr lang="en-GB" sz="1100"/>
          </a:p>
        </c:rich>
      </c:tx>
      <c:layout>
        <c:manualLayout>
          <c:xMode val="edge"/>
          <c:yMode val="edge"/>
          <c:x val="0.14454681497634408"/>
          <c:y val="3.84355613421588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TP!$G$25</c:f>
              <c:strCache>
                <c:ptCount val="1"/>
                <c:pt idx="0">
                  <c:v>number of agreements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TP!$F$26:$F$30</c:f>
              <c:strCache>
                <c:ptCount val="5"/>
                <c:pt idx="0">
                  <c:v>Multi-priorities </c:v>
                </c:pt>
                <c:pt idx="1">
                  <c:v>Inclusive &amp; secure telecom/ICTs for sustainable dev.</c:v>
                </c:pt>
                <c:pt idx="2">
                  <c:v>Enabling policy &amp; regulatory envir.</c:v>
                </c:pt>
                <c:pt idx="3">
                  <c:v>Digital transformation </c:v>
                </c:pt>
                <c:pt idx="4">
                  <c:v>Affordable connectivity</c:v>
                </c:pt>
              </c:strCache>
            </c:strRef>
          </c:cat>
          <c:val>
            <c:numRef>
              <c:f>TP!$G$26:$G$30</c:f>
              <c:numCache>
                <c:formatCode>0%</c:formatCode>
                <c:ptCount val="5"/>
                <c:pt idx="0">
                  <c:v>0.16666666666666666</c:v>
                </c:pt>
                <c:pt idx="1">
                  <c:v>0.13333333333333333</c:v>
                </c:pt>
                <c:pt idx="2">
                  <c:v>0.46666666666666667</c:v>
                </c:pt>
                <c:pt idx="3">
                  <c:v>0.13333333333333333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B5-4BE1-8C44-0D4F77523460}"/>
            </c:ext>
          </c:extLst>
        </c:ser>
        <c:ser>
          <c:idx val="1"/>
          <c:order val="1"/>
          <c:tx>
            <c:strRef>
              <c:f>TP!$H$25</c:f>
              <c:strCache>
                <c:ptCount val="1"/>
                <c:pt idx="0">
                  <c:v>Funds signed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TP!$F$26:$F$30</c:f>
              <c:strCache>
                <c:ptCount val="5"/>
                <c:pt idx="0">
                  <c:v>Multi-priorities </c:v>
                </c:pt>
                <c:pt idx="1">
                  <c:v>Inclusive &amp; secure telecom/ICTs for sustainable dev.</c:v>
                </c:pt>
                <c:pt idx="2">
                  <c:v>Enabling policy &amp; regulatory envir.</c:v>
                </c:pt>
                <c:pt idx="3">
                  <c:v>Digital transformation </c:v>
                </c:pt>
                <c:pt idx="4">
                  <c:v>Affordable connectivity</c:v>
                </c:pt>
              </c:strCache>
            </c:strRef>
          </c:cat>
          <c:val>
            <c:numRef>
              <c:f>TP!$H$26:$H$30</c:f>
              <c:numCache>
                <c:formatCode>0%</c:formatCode>
                <c:ptCount val="5"/>
                <c:pt idx="0">
                  <c:v>5.1380640731537412E-2</c:v>
                </c:pt>
                <c:pt idx="1">
                  <c:v>2.5267014633781813E-2</c:v>
                </c:pt>
                <c:pt idx="2">
                  <c:v>0.62965566941126372</c:v>
                </c:pt>
                <c:pt idx="3">
                  <c:v>0.23265630312130867</c:v>
                </c:pt>
                <c:pt idx="4">
                  <c:v>6.1040372102108331E-2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B5-4BE1-8C44-0D4F775234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54547536"/>
        <c:axId val="1265098768"/>
      </c:barChart>
      <c:catAx>
        <c:axId val="1254547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5098768"/>
        <c:crosses val="autoZero"/>
        <c:auto val="1"/>
        <c:lblAlgn val="ctr"/>
        <c:lblOffset val="100"/>
        <c:noMultiLvlLbl val="0"/>
      </c:catAx>
      <c:valAx>
        <c:axId val="1265098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54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Число подписанных соглашений</a:t>
            </a:r>
            <a:endParaRPr lang="en-US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vs 2023'!$C$10</c:f>
              <c:strCache>
                <c:ptCount val="1"/>
                <c:pt idx="0">
                  <c:v>Jan-Apr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vs 2023'!$D$9</c:f>
              <c:strCache>
                <c:ptCount val="1"/>
                <c:pt idx="0">
                  <c:v>Number of Agreements signed</c:v>
                </c:pt>
              </c:strCache>
            </c:strRef>
          </c:cat>
          <c:val>
            <c:numRef>
              <c:f>'2022 vs 2023'!$D$10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57-493C-8D5B-BDAB9B8994C2}"/>
            </c:ext>
          </c:extLst>
        </c:ser>
        <c:ser>
          <c:idx val="1"/>
          <c:order val="1"/>
          <c:tx>
            <c:strRef>
              <c:f>'2022 vs 2023'!$C$11</c:f>
              <c:strCache>
                <c:ptCount val="1"/>
                <c:pt idx="0">
                  <c:v>Jan-Apr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EB4-44B5-97C8-D8D3312C26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vs 2023'!$D$9</c:f>
              <c:strCache>
                <c:ptCount val="1"/>
                <c:pt idx="0">
                  <c:v>Number of Agreements signed</c:v>
                </c:pt>
              </c:strCache>
            </c:strRef>
          </c:cat>
          <c:val>
            <c:numRef>
              <c:f>'2022 vs 2023'!$D$11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57-493C-8D5B-BDAB9B8994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68531023"/>
        <c:axId val="1768531983"/>
      </c:barChart>
      <c:catAx>
        <c:axId val="176853102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68531983"/>
        <c:crosses val="autoZero"/>
        <c:auto val="1"/>
        <c:lblAlgn val="ctr"/>
        <c:lblOffset val="100"/>
        <c:noMultiLvlLbl val="0"/>
      </c:catAx>
      <c:valAx>
        <c:axId val="1768531983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68531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Подписанные средства</a:t>
            </a:r>
            <a:r>
              <a:rPr lang="en-GB" sz="1100" b="1"/>
              <a:t> (</a:t>
            </a:r>
            <a:r>
              <a:rPr lang="ru-RU" sz="1100" b="1"/>
              <a:t>млн. долл. США</a:t>
            </a:r>
            <a:r>
              <a:rPr lang="en-GB" sz="1100" baseline="0"/>
              <a:t>)</a:t>
            </a:r>
            <a:endParaRPr lang="en-GB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vs 2023'!$F$16</c:f>
              <c:strCache>
                <c:ptCount val="1"/>
                <c:pt idx="0">
                  <c:v>Jan-Apr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7CC-44F2-87DC-8866B6ED1A9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7CC-44F2-87DC-8866B6ED1A9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7CC-44F2-87DC-8866B6ED1A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vs 2023'!$G$15:$I$15</c:f>
              <c:strCache>
                <c:ptCount val="3"/>
                <c:pt idx="0">
                  <c:v>Partners</c:v>
                </c:pt>
                <c:pt idx="1">
                  <c:v>ITU </c:v>
                </c:pt>
                <c:pt idx="2">
                  <c:v>Total </c:v>
                </c:pt>
              </c:strCache>
              <c:extLst/>
            </c:strRef>
          </c:cat>
          <c:val>
            <c:numRef>
              <c:f>'2022 vs 2023'!$G$16:$I$16</c:f>
              <c:numCache>
                <c:formatCode>0.00</c:formatCode>
                <c:ptCount val="3"/>
                <c:pt idx="0">
                  <c:v>3.43</c:v>
                </c:pt>
                <c:pt idx="1">
                  <c:v>0.46</c:v>
                </c:pt>
                <c:pt idx="2">
                  <c:v>3.89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CC-44F2-87DC-8866B6ED1A9B}"/>
            </c:ext>
          </c:extLst>
        </c:ser>
        <c:ser>
          <c:idx val="1"/>
          <c:order val="1"/>
          <c:tx>
            <c:strRef>
              <c:f>'2022 vs 2023'!$F$17</c:f>
              <c:strCache>
                <c:ptCount val="1"/>
                <c:pt idx="0">
                  <c:v>Jan-Apr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7CC-44F2-87DC-8866B6ED1A9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7CC-44F2-87DC-8866B6ED1A9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7CC-44F2-87DC-8866B6ED1A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 vs 2023'!$G$15:$I$15</c:f>
              <c:strCache>
                <c:ptCount val="3"/>
                <c:pt idx="0">
                  <c:v>Partners</c:v>
                </c:pt>
                <c:pt idx="1">
                  <c:v>ITU </c:v>
                </c:pt>
                <c:pt idx="2">
                  <c:v>Total </c:v>
                </c:pt>
              </c:strCache>
              <c:extLst/>
            </c:strRef>
          </c:cat>
          <c:val>
            <c:numRef>
              <c:f>'2022 vs 2023'!$G$17:$I$17</c:f>
              <c:numCache>
                <c:formatCode>0.00</c:formatCode>
                <c:ptCount val="3"/>
                <c:pt idx="0">
                  <c:v>5.32</c:v>
                </c:pt>
                <c:pt idx="1">
                  <c:v>0.09</c:v>
                </c:pt>
                <c:pt idx="2">
                  <c:v>5.41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CC-44F2-87DC-8866B6ED1A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7898464"/>
        <c:axId val="1245599344"/>
      </c:barChart>
      <c:catAx>
        <c:axId val="23789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599344"/>
        <c:crosses val="autoZero"/>
        <c:auto val="1"/>
        <c:lblAlgn val="ctr"/>
        <c:lblOffset val="100"/>
        <c:noMultiLvlLbl val="0"/>
      </c:catAx>
      <c:valAx>
        <c:axId val="12455993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23789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'2022'!$C$77:$C$78</cx:f>
        <cx:lvl ptCount="2">
          <cx:pt idx="0">ITU component</cx:pt>
          <cx:pt idx="1">Partners' component</cx:pt>
        </cx:lvl>
      </cx:strDim>
      <cx:numDim type="size">
        <cx:f>'2022'!$D$77:$D$78</cx:f>
        <cx:lvl ptCount="2" formatCode="0%">
          <cx:pt idx="0">0.096685183573763822</cx:pt>
          <cx:pt idx="1">0.90331481642623634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 sz="1100">
                <a:solidFill>
                  <a:schemeClr val="tx1">
                    <a:lumMod val="75000"/>
                    <a:lumOff val="25000"/>
                  </a:schemeClr>
                </a:solidFill>
              </a:defRPr>
            </a:pPr>
            <a:r>
              <a:rPr lang="ru-RU" sz="1100" b="1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 panose="020F0502020204030204"/>
              </a:rPr>
              <a:t>Договоренности о совместном финансировании </a:t>
            </a:r>
            <a:r>
              <a:rPr lang="en-US" sz="1100" b="1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 panose="020F0502020204030204"/>
              </a:rPr>
              <a:t>(2022</a:t>
            </a:r>
            <a:r>
              <a:rPr lang="ru-RU" sz="1100" b="1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 panose="020F0502020204030204"/>
              </a:rPr>
              <a:t> г.</a:t>
            </a:r>
            <a:r>
              <a:rPr lang="en-US" sz="1100" b="1" i="0" u="none" strike="noStrike" baseline="0">
                <a:solidFill>
                  <a:schemeClr val="tx1">
                    <a:lumMod val="75000"/>
                    <a:lumOff val="25000"/>
                  </a:schemeClr>
                </a:solidFill>
                <a:latin typeface="Calibri" panose="020F0502020204030204"/>
              </a:rPr>
              <a:t>)</a:t>
            </a:r>
          </a:p>
        </cx:rich>
      </cx:tx>
    </cx:title>
    <cx:plotArea>
      <cx:plotAreaRegion>
        <cx:series layoutId="treemap" uniqueId="{02A70587-0A48-4FC3-8964-E639A99D8903}">
          <cx:dataLabels pos="inEnd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100" b="1"/>
                </a:pPr>
                <a:endParaRPr lang="en-US" sz="1100" b="1" i="0" u="none" strike="noStrike" baseline="0">
                  <a:solidFill>
                    <a:sysClr val="window" lastClr="FFFFFF"/>
                  </a:solidFill>
                  <a:latin typeface="Calibri"/>
                </a:endParaRPr>
              </a:p>
            </cx:txPr>
            <cx:visibility seriesName="0" categoryName="0" value="1"/>
            <cx:separator>, </cx:separator>
          </cx:dataLabels>
          <cx:dataId val="0"/>
          <cx:layoutPr>
            <cx:parentLabelLayout val="overlapping"/>
          </cx:layoutPr>
        </cx:series>
      </cx:plotAreaRegion>
    </cx:plotArea>
    <cx:legend pos="t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b="1">
              <a:solidFill>
                <a:schemeClr val="tx1"/>
              </a:solidFill>
            </a:defRPr>
          </a:pPr>
          <a:endParaRPr lang="en-US" sz="900" b="1" i="0" u="none" strike="noStrike" baseline="0">
            <a:solidFill>
              <a:schemeClr val="tx1"/>
            </a:solidFill>
            <a:latin typeface="Calibri"/>
          </a:endParaRPr>
        </a:p>
      </cx:txPr>
    </cx:legend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'Types partner'!$B$29:$B$32</cx:f>
        <cx:lvl ptCount="4">
          <cx:pt idx="0">Financial Institutions</cx:pt>
          <cx:pt idx="1">Governmental entities </cx:pt>
          <cx:pt idx="2">Private Sector entities </cx:pt>
          <cx:pt idx="3">UN organizations </cx:pt>
        </cx:lvl>
      </cx:strDim>
      <cx:numDim type="size">
        <cx:f>'Types partner'!$C$29:$C$32</cx:f>
        <cx:lvl ptCount="4" formatCode="0%">
          <cx:pt idx="0">0.61143761497449645</cx:pt>
          <cx:pt idx="1">0.3091815300908442</cx:pt>
          <cx:pt idx="2">0.02298625212372675</cx:pt>
          <cx:pt idx="3">0.05639460281093258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rtl="0" fontAlgn="base"/>
            <a:r>
              <a:rPr lang="ru-RU" sz="10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+mn-lt"/>
              </a:rPr>
              <a:t>Финансовые</a:t>
            </a:r>
            <a:r>
              <a:rPr lang="ru-RU" sz="1000" b="1" i="0" baseline="0">
                <a:effectLst/>
                <a:latin typeface="+mn-lt"/>
              </a:rPr>
              <a:t> </a:t>
            </a:r>
            <a:r>
              <a:rPr lang="ru-RU" sz="10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+mn-lt"/>
              </a:rPr>
              <a:t>взносы</a:t>
            </a:r>
            <a:r>
              <a:rPr lang="ru-RU" sz="1000" b="1" i="0" baseline="0">
                <a:effectLst/>
                <a:latin typeface="+mn-lt"/>
              </a:rPr>
              <a:t> </a:t>
            </a:r>
            <a:r>
              <a:rPr lang="ru-RU" sz="10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+mn-lt"/>
              </a:rPr>
              <a:t>партнеров</a:t>
            </a:r>
            <a:r>
              <a:rPr lang="ru-RU" sz="1000" b="1" i="0" baseline="0">
                <a:effectLst/>
                <a:latin typeface="+mn-lt"/>
              </a:rPr>
              <a:t> </a:t>
            </a:r>
            <a:r>
              <a:rPr lang="ru-RU" sz="10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+mn-lt"/>
              </a:rPr>
              <a:t>БРЭ</a:t>
            </a:r>
            <a:r>
              <a:rPr lang="ru-RU" sz="1000" b="1" i="0" baseline="0">
                <a:effectLst/>
                <a:latin typeface="+mn-lt"/>
              </a:rPr>
              <a:t> </a:t>
            </a:r>
            <a:r>
              <a:rPr lang="ru-RU" sz="10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+mn-lt"/>
              </a:rPr>
              <a:t>по</a:t>
            </a:r>
            <a:r>
              <a:rPr lang="ru-RU" sz="1000" b="1" i="0" baseline="0">
                <a:effectLst/>
                <a:latin typeface="+mn-lt"/>
              </a:rPr>
              <a:t> </a:t>
            </a:r>
            <a:r>
              <a:rPr lang="ru-RU" sz="10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+mn-lt"/>
              </a:rPr>
              <a:t>типам</a:t>
            </a:r>
            <a:r>
              <a:rPr lang="ru-RU" sz="1000" b="1" i="0" baseline="0">
                <a:effectLst/>
                <a:latin typeface="+mn-lt"/>
              </a:rPr>
              <a:t> </a:t>
            </a:r>
            <a:r>
              <a:rPr lang="ru-RU" sz="10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+mn-lt"/>
              </a:rPr>
              <a:t>(1</a:t>
            </a:r>
            <a:r>
              <a:rPr lang="ru-RU" sz="1000" b="1" i="0" baseline="0">
                <a:effectLst/>
                <a:latin typeface="+mn-lt"/>
              </a:rPr>
              <a:t> </a:t>
            </a:r>
            <a:r>
              <a:rPr lang="ru-RU" sz="10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+mn-lt"/>
              </a:rPr>
              <a:t>янв. - 30 апр. 2023</a:t>
            </a:r>
            <a:r>
              <a:rPr lang="ru-RU" sz="1000" b="1" i="0" baseline="0">
                <a:effectLst/>
                <a:latin typeface="+mn-lt"/>
              </a:rPr>
              <a:t> </a:t>
            </a:r>
            <a:r>
              <a:rPr lang="ru-RU" sz="1000" b="1" i="0" baseline="0">
                <a:solidFill>
                  <a:schemeClr val="tx1">
                    <a:lumMod val="75000"/>
                    <a:lumOff val="25000"/>
                  </a:schemeClr>
                </a:solidFill>
                <a:effectLst/>
                <a:latin typeface="+mn-lt"/>
              </a:rPr>
              <a:t>г.)</a:t>
            </a:r>
            <a:r>
              <a:rPr lang="ru-RU" sz="1000" b="1" i="0" baseline="0">
                <a:effectLst/>
                <a:latin typeface="+mn-lt"/>
              </a:rPr>
              <a:t> </a:t>
            </a:r>
            <a:endParaRPr lang="en-US" sz="1100" b="1" i="0" baseline="0">
              <a:solidFill>
                <a:schemeClr val="tx1">
                  <a:lumMod val="65000"/>
                  <a:lumOff val="35000"/>
                </a:schemeClr>
              </a:solidFill>
              <a:effectLst/>
              <a:latin typeface="+mn-lt"/>
            </a:endParaRPr>
          </a:p>
        </cx:rich>
      </cx:tx>
    </cx:title>
    <cx:plotArea>
      <cx:plotAreaRegion>
        <cx:series layoutId="treemap" uniqueId="{4A76A414-86C1-474D-9F82-146896780B65}">
          <cx:tx>
            <cx:txData>
              <cx:f>'Types partner'!$C$28</cx:f>
              <cx:v>Funds signed</cx:v>
            </cx:txData>
          </cx:tx>
          <cx:dataLabels pos="inEnd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050" b="1"/>
                </a:pPr>
                <a:endParaRPr lang="en-US" sz="1050" b="1" i="0" u="none" strike="noStrike" baseline="0">
                  <a:solidFill>
                    <a:sysClr val="window" lastClr="FFFFFF"/>
                  </a:solidFill>
                  <a:latin typeface="Calibri"/>
                </a:endParaRPr>
              </a:p>
            </cx:txPr>
            <cx:visibility seriesName="0" categoryName="0" value="1"/>
            <cx:separator>, </cx:separator>
          </cx:dataLabels>
          <cx:dataId val="0"/>
          <cx:layoutPr>
            <cx:parentLabelLayout val="overlapping"/>
          </cx:layoutPr>
        </cx:series>
      </cx:plotAreaRegion>
    </cx:plotArea>
    <cx:legend pos="t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b="1"/>
          </a:pPr>
          <a:endParaRPr lang="en-US" sz="900" b="1" i="0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"/>
          </a:endParaRPr>
        </a:p>
      </cx:txPr>
    </cx:legend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0.61708</cdr:x>
      <cdr:y>0.26309</cdr:y>
    </cdr:from>
    <cdr:to>
      <cdr:x>0.87054</cdr:x>
      <cdr:y>0.80473</cdr:y>
    </cdr:to>
    <cdr:sp macro="" textlink="">
      <cdr:nvSpPr>
        <cdr:cNvPr id="4" name="Text Box 6"/>
        <cdr:cNvSpPr txBox="1"/>
      </cdr:nvSpPr>
      <cdr:spPr>
        <a:xfrm xmlns:a="http://schemas.openxmlformats.org/drawingml/2006/main">
          <a:off x="3787553" y="496514"/>
          <a:ext cx="1555723" cy="102218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Фонды</a:t>
          </a:r>
        </a:p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Государственные объединения</a:t>
          </a:r>
        </a:p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Другие</a:t>
          </a:r>
          <a:endParaRPr lang="ru-RU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Объединения</a:t>
          </a:r>
          <a:r>
            <a:rPr lang="ru-RU" sz="800" baseline="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 частного сектора</a:t>
          </a:r>
        </a:p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aseline="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Организации системы ООН</a:t>
          </a:r>
          <a:endParaRPr lang="ru-RU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0.05207</cdr:x>
      <cdr:y>0.73059</cdr:y>
    </cdr:from>
    <cdr:to>
      <cdr:x>0.97818</cdr:x>
      <cdr:y>0.8398</cdr:y>
    </cdr:to>
    <cdr:sp macro="" textlink="">
      <cdr:nvSpPr>
        <cdr:cNvPr id="3" name="Text Box 6"/>
        <cdr:cNvSpPr txBox="1"/>
      </cdr:nvSpPr>
      <cdr:spPr>
        <a:xfrm xmlns:a="http://schemas.openxmlformats.org/drawingml/2006/main">
          <a:off x="323380" y="1542553"/>
          <a:ext cx="5751416" cy="230588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lnSpc>
              <a:spcPts val="800"/>
            </a:lnSpc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Африка</a:t>
          </a:r>
          <a:r>
            <a:rPr lang="ru-RU" sz="800" baseline="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     </a:t>
          </a:r>
          <a:r>
            <a:rPr lang="ru-RU" sz="800">
              <a:effectLst/>
              <a:latin typeface="+mn-lt"/>
              <a:ea typeface="+mn-ea"/>
              <a:cs typeface="+mn-cs"/>
            </a:rPr>
            <a:t>Северная и Южная </a:t>
          </a:r>
          <a:r>
            <a:rPr lang="ru-RU" sz="800" baseline="0">
              <a:effectLst/>
              <a:latin typeface="+mn-lt"/>
              <a:ea typeface="+mn-ea"/>
              <a:cs typeface="+mn-cs"/>
            </a:rPr>
            <a:t>     </a:t>
          </a:r>
          <a:r>
            <a:rPr lang="ru-RU" sz="800">
              <a:effectLst/>
              <a:latin typeface="+mn-lt"/>
              <a:ea typeface="+mn-ea"/>
              <a:cs typeface="+mn-cs"/>
            </a:rPr>
            <a:t>Арабские                           Азиатско-</a:t>
          </a:r>
          <a:r>
            <a:rPr lang="ru-RU" sz="1100" baseline="0">
              <a:effectLst/>
              <a:latin typeface="+mn-lt"/>
              <a:ea typeface="+mn-ea"/>
              <a:cs typeface="+mn-cs"/>
            </a:rPr>
            <a:t>                   </a:t>
          </a:r>
          <a:r>
            <a:rPr lang="ru-RU" sz="800">
              <a:effectLst/>
              <a:latin typeface="+mn-lt"/>
              <a:ea typeface="+mn-ea"/>
              <a:cs typeface="+mn-cs"/>
            </a:rPr>
            <a:t>СНГ</a:t>
          </a:r>
          <a:r>
            <a:rPr lang="ru-RU" sz="800" baseline="0">
              <a:effectLst/>
              <a:latin typeface="+mn-lt"/>
              <a:ea typeface="+mn-ea"/>
              <a:cs typeface="+mn-cs"/>
            </a:rPr>
            <a:t>                           </a:t>
          </a:r>
          <a:r>
            <a:rPr lang="ru-RU" sz="800">
              <a:effectLst/>
              <a:latin typeface="+mn-lt"/>
              <a:ea typeface="+mn-ea"/>
              <a:cs typeface="+mn-cs"/>
            </a:rPr>
            <a:t>Европа	                  Несколько </a:t>
          </a:r>
          <a:br>
            <a:rPr lang="ru-RU" sz="800">
              <a:effectLst/>
              <a:latin typeface="+mn-lt"/>
              <a:ea typeface="+mn-ea"/>
              <a:cs typeface="+mn-cs"/>
            </a:rPr>
          </a:br>
          <a:r>
            <a:rPr lang="ru-RU" sz="800">
              <a:effectLst/>
              <a:latin typeface="+mn-lt"/>
              <a:ea typeface="+mn-ea"/>
              <a:cs typeface="+mn-cs"/>
            </a:rPr>
            <a:t>                              Америка            Государства</a:t>
          </a:r>
          <a:r>
            <a:rPr lang="ru-RU" sz="800" baseline="0">
              <a:effectLst/>
              <a:latin typeface="+mn-lt"/>
              <a:ea typeface="+mn-ea"/>
              <a:cs typeface="+mn-cs"/>
            </a:rPr>
            <a:t>            Тихоокеанский регион                                                                                   регионов</a:t>
          </a:r>
          <a:endParaRPr lang="ru-RU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0.32699</cdr:x>
      <cdr:y>0.89665</cdr:y>
    </cdr:from>
    <cdr:to>
      <cdr:x>0.51214</cdr:x>
      <cdr:y>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2030675" y="1893156"/>
          <a:ext cx="1149846" cy="21821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Число соглашений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0.5472</cdr:x>
      <cdr:y>0.90215</cdr:y>
    </cdr:from>
    <cdr:to>
      <cdr:x>0.79509</cdr:x>
      <cdr:y>0.97538</cdr:y>
    </cdr:to>
    <cdr:sp macro="" textlink="">
      <cdr:nvSpPr>
        <cdr:cNvPr id="6" name="Text Box 4"/>
        <cdr:cNvSpPr txBox="1"/>
      </cdr:nvSpPr>
      <cdr:spPr>
        <a:xfrm xmlns:a="http://schemas.openxmlformats.org/drawingml/2006/main">
          <a:off x="3398298" y="1904779"/>
          <a:ext cx="1539462" cy="15460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Подписанные фонды (2022 г.)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0.2133</cdr:y>
    </cdr:from>
    <cdr:to>
      <cdr:x>0.25097</cdr:x>
      <cdr:y>0.81657</cdr:y>
    </cdr:to>
    <cdr:sp macro="" textlink="">
      <cdr:nvSpPr>
        <cdr:cNvPr id="2" name="Text Box 6"/>
        <cdr:cNvSpPr txBox="1"/>
      </cdr:nvSpPr>
      <cdr:spPr>
        <a:xfrm xmlns:a="http://schemas.openxmlformats.org/drawingml/2006/main">
          <a:off x="0" y="571168"/>
          <a:ext cx="1637477" cy="1615441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Развитие потенциала</a:t>
          </a:r>
        </a:p>
        <a:p xmlns:a="http://schemas.openxmlformats.org/drawingml/2006/main">
          <a:pPr algn="r" hangingPunct="0">
            <a:spcBef>
              <a:spcPts val="1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Кибербезопасность</a:t>
          </a:r>
        </a:p>
        <a:p xmlns:a="http://schemas.openxmlformats.org/drawingml/2006/main">
          <a:pPr algn="r" hangingPunct="0">
            <a:spcBef>
              <a:spcPts val="1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Охват цифровыми технологиями</a:t>
          </a:r>
        </a:p>
        <a:p xmlns:a="http://schemas.openxmlformats.org/drawingml/2006/main">
          <a:pPr algn="r" hangingPunct="0">
            <a:spcBef>
              <a:spcPts val="2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spc="-20" baseline="0">
              <a:effectLst/>
              <a:latin typeface="+mn-lt"/>
              <a:ea typeface="+mn-ea"/>
              <a:cs typeface="+mn-cs"/>
            </a:rPr>
            <a:t>Экосистема цифровых инноваций</a:t>
          </a:r>
        </a:p>
        <a:p xmlns:a="http://schemas.openxmlformats.org/drawingml/2006/main">
          <a:pPr algn="r" hangingPunct="0">
            <a:spcBef>
              <a:spcPts val="2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Цифровые услуги и приложения</a:t>
          </a:r>
        </a:p>
        <a:p xmlns:a="http://schemas.openxmlformats.org/drawingml/2006/main">
          <a:pPr algn="r" hangingPunct="0">
            <a:lnSpc>
              <a:spcPts val="800"/>
            </a:lnSpc>
            <a:spcBef>
              <a:spcPts val="1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Электросвязь в чрезвычайных ситуациях</a:t>
          </a:r>
        </a:p>
        <a:p xmlns:a="http://schemas.openxmlformats.org/drawingml/2006/main">
          <a:pPr algn="r"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Окружающая среда</a:t>
          </a:r>
        </a:p>
        <a:p xmlns:a="http://schemas.openxmlformats.org/drawingml/2006/main">
          <a:pPr algn="r"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Сети и цифровая инфраструктура</a:t>
          </a:r>
        </a:p>
        <a:p xmlns:a="http://schemas.openxmlformats.org/drawingml/2006/main">
          <a:pPr algn="r" hangingPunct="0">
            <a:spcBef>
              <a:spcPts val="1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Статистика</a:t>
          </a:r>
        </a:p>
        <a:p xmlns:a="http://schemas.openxmlformats.org/drawingml/2006/main">
          <a:pPr algn="r" hangingPunct="0">
            <a:lnSpc>
              <a:spcPts val="800"/>
            </a:lnSpc>
            <a:spcBef>
              <a:spcPts val="1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Несколько тематических приоритетов</a:t>
          </a:r>
          <a:endParaRPr lang="ru-RU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0.56641</cdr:x>
      <cdr:y>0.89521</cdr:y>
    </cdr:from>
    <cdr:to>
      <cdr:x>0.78238</cdr:x>
      <cdr:y>0.97098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3695589" y="2397180"/>
          <a:ext cx="1409147" cy="202897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Подписанные средства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0.35923</cdr:x>
      <cdr:y>0.88927</cdr:y>
    </cdr:from>
    <cdr:to>
      <cdr:x>0.53547</cdr:x>
      <cdr:y>0.97076</cdr:y>
    </cdr:to>
    <cdr:sp macro="" textlink="">
      <cdr:nvSpPr>
        <cdr:cNvPr id="4" name="Text Box 1"/>
        <cdr:cNvSpPr txBox="1"/>
      </cdr:nvSpPr>
      <cdr:spPr>
        <a:xfrm xmlns:a="http://schemas.openxmlformats.org/drawingml/2006/main">
          <a:off x="2343868" y="2381277"/>
          <a:ext cx="1149846" cy="21821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Число соглашений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0.19848</cdr:x>
      <cdr:y>0.41619</cdr:y>
    </cdr:from>
    <cdr:to>
      <cdr:x>0.40068</cdr:x>
      <cdr:y>0.6469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130411" y="731521"/>
          <a:ext cx="1151614" cy="40551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Доля МСЭ</a:t>
          </a:r>
        </a:p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Доля партнера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0.35109</cdr:x>
      <cdr:y>0.86312</cdr:y>
    </cdr:from>
    <cdr:to>
      <cdr:x>0.5356</cdr:x>
      <cdr:y>0.9662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187935" y="1827309"/>
          <a:ext cx="1149846" cy="21821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Число соглашений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0.56799</cdr:x>
      <cdr:y>0.87036</cdr:y>
    </cdr:from>
    <cdr:to>
      <cdr:x>0.79411</cdr:x>
      <cdr:y>0.9662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3539655" y="1842632"/>
          <a:ext cx="1409147" cy="202897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Подписанные средства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0.06004</cdr:x>
      <cdr:y>0.75261</cdr:y>
    </cdr:from>
    <cdr:to>
      <cdr:x>0.98294</cdr:x>
      <cdr:y>0.86153</cdr:y>
    </cdr:to>
    <cdr:sp macro="" textlink="">
      <cdr:nvSpPr>
        <cdr:cNvPr id="5" name="Text Box 6"/>
        <cdr:cNvSpPr txBox="1"/>
      </cdr:nvSpPr>
      <cdr:spPr>
        <a:xfrm xmlns:a="http://schemas.openxmlformats.org/drawingml/2006/main">
          <a:off x="374180" y="1593353"/>
          <a:ext cx="5751416" cy="230588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lnSpc>
              <a:spcPts val="800"/>
            </a:lnSpc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  Африка</a:t>
          </a:r>
          <a:r>
            <a:rPr lang="ru-RU" sz="800" baseline="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                          </a:t>
          </a:r>
          <a:r>
            <a:rPr lang="ru-RU" sz="800">
              <a:effectLst/>
              <a:latin typeface="+mn-lt"/>
              <a:ea typeface="+mn-ea"/>
              <a:cs typeface="+mn-cs"/>
            </a:rPr>
            <a:t>Северная и Южная </a:t>
          </a:r>
          <a:r>
            <a:rPr lang="ru-RU" sz="800" baseline="0">
              <a:effectLst/>
              <a:latin typeface="+mn-lt"/>
              <a:ea typeface="+mn-ea"/>
              <a:cs typeface="+mn-cs"/>
            </a:rPr>
            <a:t>     </a:t>
          </a:r>
          <a:r>
            <a:rPr lang="ru-RU" sz="800">
              <a:effectLst/>
              <a:latin typeface="+mn-lt"/>
              <a:ea typeface="+mn-ea"/>
              <a:cs typeface="+mn-cs"/>
            </a:rPr>
            <a:t>                  Азиатско-</a:t>
          </a:r>
          <a:r>
            <a:rPr lang="ru-RU" sz="1100" baseline="0">
              <a:effectLst/>
              <a:latin typeface="+mn-lt"/>
              <a:ea typeface="+mn-ea"/>
              <a:cs typeface="+mn-cs"/>
            </a:rPr>
            <a:t>                   </a:t>
          </a:r>
          <a:r>
            <a:rPr lang="ru-RU" sz="800" baseline="0">
              <a:effectLst/>
              <a:latin typeface="+mn-lt"/>
              <a:ea typeface="+mn-ea"/>
              <a:cs typeface="+mn-cs"/>
            </a:rPr>
            <a:t>       </a:t>
          </a:r>
          <a:r>
            <a:rPr lang="ru-RU" sz="800">
              <a:effectLst/>
              <a:latin typeface="+mn-lt"/>
              <a:ea typeface="+mn-ea"/>
              <a:cs typeface="+mn-cs"/>
            </a:rPr>
            <a:t>Европа	         Несколько </a:t>
          </a:r>
          <a:br>
            <a:rPr lang="ru-RU" sz="800">
              <a:effectLst/>
              <a:latin typeface="+mn-lt"/>
              <a:ea typeface="+mn-ea"/>
              <a:cs typeface="+mn-cs"/>
            </a:rPr>
          </a:br>
          <a:r>
            <a:rPr lang="ru-RU" sz="800">
              <a:effectLst/>
              <a:latin typeface="+mn-lt"/>
              <a:ea typeface="+mn-ea"/>
              <a:cs typeface="+mn-cs"/>
            </a:rPr>
            <a:t>                                                  Америка            </a:t>
          </a:r>
          <a:r>
            <a:rPr lang="ru-RU" sz="800" baseline="0">
              <a:effectLst/>
              <a:latin typeface="+mn-lt"/>
              <a:ea typeface="+mn-ea"/>
              <a:cs typeface="+mn-cs"/>
            </a:rPr>
            <a:t>            Тихоокеанский регион                                                                            регионов    </a:t>
          </a:r>
          <a:endParaRPr lang="ru-RU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0.49282</cdr:x>
      <cdr:y>0.87928</cdr:y>
    </cdr:from>
    <cdr:to>
      <cdr:x>0.67814</cdr:x>
      <cdr:y>0.97274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057720" y="2053037"/>
          <a:ext cx="1149846" cy="21821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Число соглашений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0.34986</cdr:x>
      <cdr:y>0.87179</cdr:y>
    </cdr:from>
    <cdr:to>
      <cdr:x>0.48185</cdr:x>
      <cdr:y>0.95352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2170707" y="2035534"/>
          <a:ext cx="818984" cy="190831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lnSpc>
              <a:spcPts val="800"/>
            </a:lnSpc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Подписанные </a:t>
          </a:r>
          <a:b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средства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0.01282</cdr:x>
      <cdr:y>0.23914</cdr:y>
    </cdr:from>
    <cdr:to>
      <cdr:x>0.41906</cdr:x>
      <cdr:y>0.76622</cdr:y>
    </cdr:to>
    <cdr:sp macro="" textlink="">
      <cdr:nvSpPr>
        <cdr:cNvPr id="4" name="Text Box 6"/>
        <cdr:cNvSpPr txBox="1"/>
      </cdr:nvSpPr>
      <cdr:spPr>
        <a:xfrm xmlns:a="http://schemas.openxmlformats.org/drawingml/2006/main">
          <a:off x="79513" y="558358"/>
          <a:ext cx="2520563" cy="123068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hangingPunct="0">
            <a:lnSpc>
              <a:spcPts val="900"/>
            </a:lnSpc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Возможность установления приемлемых в ценовом отношении соединений </a:t>
          </a:r>
        </a:p>
        <a:p xmlns:a="http://schemas.openxmlformats.org/drawingml/2006/main">
          <a:pPr algn="r" hangingPunct="0">
            <a:spcBef>
              <a:spcPts val="2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Цифровая трансформация</a:t>
          </a:r>
        </a:p>
        <a:p xmlns:a="http://schemas.openxmlformats.org/drawingml/2006/main">
          <a:pPr algn="r" hangingPunct="0">
            <a:lnSpc>
              <a:spcPts val="900"/>
            </a:lnSpc>
            <a:spcBef>
              <a:spcPts val="7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Благоприятная политическая и регуляторная среда</a:t>
          </a:r>
        </a:p>
        <a:p xmlns:a="http://schemas.openxmlformats.org/drawingml/2006/main">
          <a:pPr algn="r" hangingPunct="0">
            <a:lnSpc>
              <a:spcPts val="900"/>
            </a:lnSpc>
            <a:spcBef>
              <a:spcPts val="7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Инклюзивная и защищенная электросвязь/ИКТ для устойчивого развития</a:t>
          </a:r>
        </a:p>
        <a:p xmlns:a="http://schemas.openxmlformats.org/drawingml/2006/main">
          <a:pPr algn="r" hangingPunct="0">
            <a:spcBef>
              <a:spcPts val="5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+mn-lt"/>
              <a:ea typeface="+mn-ea"/>
              <a:cs typeface="+mn-cs"/>
            </a:rPr>
            <a:t>Несколько приоритетов</a:t>
          </a:r>
          <a:endParaRPr lang="ru-RU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0.15927</cdr:x>
      <cdr:y>0.76923</cdr:y>
    </cdr:from>
    <cdr:to>
      <cdr:x>0.53065</cdr:x>
      <cdr:y>0.93345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06844" y="1130301"/>
          <a:ext cx="715506" cy="24129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Янв.-апр. 2022 г.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0.59104</cdr:x>
      <cdr:y>0.78652</cdr:y>
    </cdr:from>
    <cdr:to>
      <cdr:x>0.96243</cdr:x>
      <cdr:y>0.95073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1138694" y="1155701"/>
          <a:ext cx="715506" cy="24129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Янв.-апр. 2023 г.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0.33611</cdr:x>
      <cdr:y>0.80398</cdr:y>
    </cdr:from>
    <cdr:to>
      <cdr:x>0.51448</cdr:x>
      <cdr:y>0.93917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348244" y="1435101"/>
          <a:ext cx="715506" cy="24129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Янв.-апр. 2022 г.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0.54191</cdr:x>
      <cdr:y>0.80043</cdr:y>
    </cdr:from>
    <cdr:to>
      <cdr:x>0.72028</cdr:x>
      <cdr:y>0.93561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2173744" y="1428751"/>
          <a:ext cx="715506" cy="24129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Янв.-апр. 2023 г.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0.08441</cdr:x>
      <cdr:y>0.68303</cdr:y>
    </cdr:from>
    <cdr:to>
      <cdr:x>0.91024</cdr:x>
      <cdr:y>0.78975</cdr:y>
    </cdr:to>
    <cdr:sp macro="" textlink="">
      <cdr:nvSpPr>
        <cdr:cNvPr id="4" name="Text Box 1"/>
        <cdr:cNvSpPr txBox="1"/>
      </cdr:nvSpPr>
      <cdr:spPr>
        <a:xfrm xmlns:a="http://schemas.openxmlformats.org/drawingml/2006/main">
          <a:off x="338594" y="1219201"/>
          <a:ext cx="3312656" cy="19049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    Партнеры			        МСЭ		Всего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0FEB-7DA8-4488-8BD1-8979029FB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6BFEE-B118-4907-9EFF-6B703ADBC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25BF46-F933-4D58-A458-E00AC119AF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2A08A-29CE-428D-A4AC-3F0F4A3E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1404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Fedosova, Elena</cp:lastModifiedBy>
  <cp:revision>11</cp:revision>
  <cp:lastPrinted>2023-05-03T12:08:00Z</cp:lastPrinted>
  <dcterms:created xsi:type="dcterms:W3CDTF">2023-05-16T18:24:00Z</dcterms:created>
  <dcterms:modified xsi:type="dcterms:W3CDTF">2023-05-17T15:02:00Z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